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EE3BAB">
        <w:trPr>
          <w:cantSplit/>
        </w:trPr>
        <w:tc>
          <w:tcPr>
            <w:tcW w:w="6911" w:type="dxa"/>
            <w:vAlign w:val="center"/>
          </w:tcPr>
          <w:p w:rsidR="00BD1614" w:rsidRPr="00960D89" w:rsidRDefault="00BD1614" w:rsidP="00EE3BAB">
            <w:pPr>
              <w:rPr>
                <w:b/>
                <w:bCs/>
                <w:position w:val="6"/>
                <w:szCs w:val="24"/>
                <w:lang w:val="fr-CH"/>
              </w:rPr>
            </w:pPr>
            <w:bookmarkStart w:id="0" w:name="dbreak"/>
            <w:bookmarkStart w:id="1" w:name="dpp"/>
            <w:bookmarkStart w:id="2" w:name="_GoBack"/>
            <w:bookmarkEnd w:id="0"/>
            <w:bookmarkEnd w:id="1"/>
            <w:bookmarkEnd w:id="2"/>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972A32">
            <w:pPr>
              <w:spacing w:before="0" w:line="240" w:lineRule="atLeast"/>
              <w:rPr>
                <w:rFonts w:cstheme="minorHAnsi"/>
                <w:lang w:val="en-US"/>
              </w:rPr>
            </w:pPr>
            <w:bookmarkStart w:id="3" w:name="ditulogo"/>
            <w:bookmarkEnd w:id="3"/>
            <w:r w:rsidRPr="008C10D9">
              <w:rPr>
                <w:rFonts w:cstheme="minorHAnsi"/>
                <w:b/>
                <w:bCs/>
                <w:noProof/>
                <w:lang w:val="en-US" w:eastAsia="zh-CN"/>
              </w:rPr>
              <w:drawing>
                <wp:inline distT="0" distB="0" distL="0" distR="0" wp14:anchorId="03BA0129" wp14:editId="11CB23B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972A32">
        <w:trPr>
          <w:cantSplit/>
        </w:trPr>
        <w:tc>
          <w:tcPr>
            <w:tcW w:w="6911" w:type="dxa"/>
            <w:tcBorders>
              <w:bottom w:val="single" w:sz="12" w:space="0" w:color="auto"/>
            </w:tcBorders>
          </w:tcPr>
          <w:p w:rsidR="00BD1614" w:rsidRPr="008C10D9" w:rsidRDefault="00BD1614" w:rsidP="00972A32">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BD1614" w:rsidRPr="008C10D9" w:rsidRDefault="00BD1614" w:rsidP="00972A32">
            <w:pPr>
              <w:spacing w:before="0" w:line="240" w:lineRule="atLeast"/>
              <w:rPr>
                <w:rFonts w:cstheme="minorHAnsi"/>
                <w:szCs w:val="24"/>
                <w:lang w:val="en-US"/>
              </w:rPr>
            </w:pPr>
          </w:p>
        </w:tc>
      </w:tr>
      <w:tr w:rsidR="00BD1614" w:rsidRPr="002A6F8F" w:rsidTr="00972A32">
        <w:trPr>
          <w:cantSplit/>
        </w:trPr>
        <w:tc>
          <w:tcPr>
            <w:tcW w:w="6911" w:type="dxa"/>
            <w:tcBorders>
              <w:top w:val="single" w:sz="12" w:space="0" w:color="auto"/>
            </w:tcBorders>
          </w:tcPr>
          <w:p w:rsidR="00BD1614" w:rsidRPr="008C10D9" w:rsidRDefault="00BD1614" w:rsidP="00972A32">
            <w:pPr>
              <w:spacing w:before="0" w:after="48" w:line="240" w:lineRule="atLeast"/>
              <w:rPr>
                <w:rFonts w:cstheme="minorHAnsi"/>
                <w:b/>
                <w:smallCaps/>
                <w:szCs w:val="24"/>
                <w:lang w:val="en-US"/>
              </w:rPr>
            </w:pPr>
          </w:p>
        </w:tc>
        <w:tc>
          <w:tcPr>
            <w:tcW w:w="3120" w:type="dxa"/>
            <w:tcBorders>
              <w:top w:val="single" w:sz="12" w:space="0" w:color="auto"/>
            </w:tcBorders>
          </w:tcPr>
          <w:p w:rsidR="00BD1614" w:rsidRPr="008C10D9" w:rsidRDefault="00BD1614" w:rsidP="00972A32">
            <w:pPr>
              <w:spacing w:before="0" w:line="240" w:lineRule="atLeast"/>
              <w:rPr>
                <w:rFonts w:cstheme="minorHAnsi"/>
                <w:szCs w:val="24"/>
                <w:lang w:val="en-US"/>
              </w:rPr>
            </w:pPr>
          </w:p>
        </w:tc>
      </w:tr>
      <w:tr w:rsidR="00BD1614" w:rsidRPr="002A6F8F" w:rsidTr="00972A32">
        <w:trPr>
          <w:cantSplit/>
        </w:trPr>
        <w:tc>
          <w:tcPr>
            <w:tcW w:w="6911" w:type="dxa"/>
          </w:tcPr>
          <w:p w:rsidR="00BD1614" w:rsidRPr="008C10D9" w:rsidRDefault="00407795" w:rsidP="00972A32">
            <w:pPr>
              <w:pStyle w:val="Committee"/>
              <w:framePr w:hSpace="0" w:wrap="auto" w:hAnchor="text" w:yAlign="inline"/>
            </w:pPr>
            <w:r w:rsidRPr="008C10D9">
              <w:t>SÉANCE PLÉNIÈRE</w:t>
            </w:r>
          </w:p>
        </w:tc>
        <w:tc>
          <w:tcPr>
            <w:tcW w:w="3120" w:type="dxa"/>
          </w:tcPr>
          <w:p w:rsidR="00BD1614" w:rsidRPr="008C10D9" w:rsidRDefault="00407795" w:rsidP="001878A0">
            <w:pPr>
              <w:spacing w:before="0" w:line="240" w:lineRule="atLeast"/>
              <w:rPr>
                <w:rFonts w:cstheme="minorHAnsi"/>
                <w:szCs w:val="24"/>
                <w:lang w:val="en-US"/>
              </w:rPr>
            </w:pPr>
            <w:r>
              <w:rPr>
                <w:rFonts w:cstheme="minorHAnsi"/>
                <w:b/>
                <w:szCs w:val="24"/>
                <w:lang w:val="en-US"/>
              </w:rPr>
              <w:t xml:space="preserve">Document </w:t>
            </w:r>
            <w:r w:rsidR="001878A0">
              <w:rPr>
                <w:rFonts w:cstheme="minorHAnsi"/>
                <w:b/>
                <w:szCs w:val="24"/>
                <w:lang w:val="en-US"/>
              </w:rPr>
              <w:t>64</w:t>
            </w:r>
            <w:r>
              <w:rPr>
                <w:rFonts w:cstheme="minorHAnsi"/>
                <w:b/>
                <w:szCs w:val="24"/>
                <w:lang w:val="en-US"/>
              </w:rPr>
              <w:t>-F</w:t>
            </w:r>
          </w:p>
        </w:tc>
      </w:tr>
      <w:tr w:rsidR="00BD1614" w:rsidRPr="002A6F8F" w:rsidTr="00972A32">
        <w:trPr>
          <w:cantSplit/>
        </w:trPr>
        <w:tc>
          <w:tcPr>
            <w:tcW w:w="6911" w:type="dxa"/>
          </w:tcPr>
          <w:p w:rsidR="00BD1614" w:rsidRPr="008C10D9" w:rsidRDefault="00BD1614" w:rsidP="00972A32">
            <w:pPr>
              <w:spacing w:before="0" w:after="48" w:line="240" w:lineRule="atLeast"/>
              <w:rPr>
                <w:rFonts w:cstheme="minorHAnsi"/>
                <w:b/>
                <w:smallCaps/>
                <w:szCs w:val="24"/>
                <w:lang w:val="en-US"/>
              </w:rPr>
            </w:pPr>
          </w:p>
        </w:tc>
        <w:tc>
          <w:tcPr>
            <w:tcW w:w="3120" w:type="dxa"/>
          </w:tcPr>
          <w:p w:rsidR="00BD1614" w:rsidRPr="008C10D9" w:rsidRDefault="001878A0" w:rsidP="00972A32">
            <w:pPr>
              <w:spacing w:before="0" w:line="240" w:lineRule="atLeast"/>
              <w:rPr>
                <w:rFonts w:cstheme="minorHAnsi"/>
                <w:b/>
                <w:szCs w:val="24"/>
                <w:lang w:val="en-US"/>
              </w:rPr>
            </w:pPr>
            <w:r>
              <w:rPr>
                <w:rFonts w:cstheme="minorHAnsi"/>
                <w:b/>
                <w:szCs w:val="24"/>
                <w:lang w:val="en-US"/>
              </w:rPr>
              <w:t>28 juillet 2014</w:t>
            </w:r>
          </w:p>
        </w:tc>
      </w:tr>
      <w:tr w:rsidR="00BD1614" w:rsidRPr="002A6F8F" w:rsidTr="00972A32">
        <w:trPr>
          <w:cantSplit/>
        </w:trPr>
        <w:tc>
          <w:tcPr>
            <w:tcW w:w="6911" w:type="dxa"/>
          </w:tcPr>
          <w:p w:rsidR="00BD1614" w:rsidRPr="008C10D9" w:rsidRDefault="00BD1614" w:rsidP="00972A32">
            <w:pPr>
              <w:spacing w:before="0" w:after="48" w:line="240" w:lineRule="atLeast"/>
              <w:rPr>
                <w:rFonts w:cstheme="minorHAnsi"/>
                <w:b/>
                <w:smallCaps/>
                <w:szCs w:val="24"/>
                <w:lang w:val="en-US"/>
              </w:rPr>
            </w:pPr>
          </w:p>
        </w:tc>
        <w:tc>
          <w:tcPr>
            <w:tcW w:w="3120" w:type="dxa"/>
          </w:tcPr>
          <w:p w:rsidR="00BD1614" w:rsidRPr="008C10D9" w:rsidRDefault="00407795" w:rsidP="001878A0">
            <w:pPr>
              <w:spacing w:before="0" w:line="240" w:lineRule="atLeast"/>
              <w:rPr>
                <w:rFonts w:cstheme="minorHAnsi"/>
                <w:b/>
                <w:szCs w:val="24"/>
                <w:lang w:val="en-US"/>
              </w:rPr>
            </w:pPr>
            <w:r w:rsidRPr="008C10D9">
              <w:rPr>
                <w:rFonts w:cstheme="minorHAnsi"/>
                <w:b/>
                <w:szCs w:val="24"/>
                <w:lang w:val="en-US"/>
              </w:rPr>
              <w:t xml:space="preserve">Original: </w:t>
            </w:r>
            <w:r w:rsidR="001878A0">
              <w:rPr>
                <w:rFonts w:cstheme="minorHAnsi"/>
                <w:b/>
                <w:szCs w:val="24"/>
                <w:lang w:val="en-US"/>
              </w:rPr>
              <w:t>français</w:t>
            </w:r>
          </w:p>
        </w:tc>
      </w:tr>
      <w:tr w:rsidR="00BD1614" w:rsidRPr="002A6F8F" w:rsidTr="00972A32">
        <w:trPr>
          <w:cantSplit/>
        </w:trPr>
        <w:tc>
          <w:tcPr>
            <w:tcW w:w="10031" w:type="dxa"/>
            <w:gridSpan w:val="2"/>
          </w:tcPr>
          <w:p w:rsidR="00BD1614" w:rsidRPr="008C10D9" w:rsidRDefault="00BD1614" w:rsidP="00972A32">
            <w:pPr>
              <w:spacing w:before="0" w:line="240" w:lineRule="atLeast"/>
              <w:rPr>
                <w:rFonts w:cstheme="minorHAnsi"/>
                <w:b/>
                <w:szCs w:val="24"/>
                <w:lang w:val="en-US"/>
              </w:rPr>
            </w:pPr>
          </w:p>
        </w:tc>
      </w:tr>
      <w:tr w:rsidR="00BD1614" w:rsidRPr="002A6F8F" w:rsidTr="00972A32">
        <w:trPr>
          <w:cantSplit/>
        </w:trPr>
        <w:tc>
          <w:tcPr>
            <w:tcW w:w="10031" w:type="dxa"/>
            <w:gridSpan w:val="2"/>
          </w:tcPr>
          <w:p w:rsidR="00BD1614" w:rsidRPr="002A6F8F" w:rsidRDefault="001878A0" w:rsidP="00DC4F3D">
            <w:pPr>
              <w:pStyle w:val="Source"/>
              <w:rPr>
                <w:lang w:val="en-US"/>
              </w:rPr>
            </w:pPr>
            <w:bookmarkStart w:id="5" w:name="dsource" w:colFirst="0" w:colLast="0"/>
            <w:bookmarkEnd w:id="4"/>
            <w:r w:rsidRPr="001878A0">
              <w:rPr>
                <w:lang w:val="en-US"/>
              </w:rPr>
              <w:t xml:space="preserve">Rapport du </w:t>
            </w:r>
            <w:r w:rsidR="00DC4F3D">
              <w:rPr>
                <w:lang w:val="fr-CH"/>
              </w:rPr>
              <w:t>Conseil</w:t>
            </w:r>
          </w:p>
        </w:tc>
      </w:tr>
      <w:tr w:rsidR="00BD1614" w:rsidRPr="002A6F8F" w:rsidTr="00972A32">
        <w:trPr>
          <w:cantSplit/>
        </w:trPr>
        <w:tc>
          <w:tcPr>
            <w:tcW w:w="10031" w:type="dxa"/>
            <w:gridSpan w:val="2"/>
          </w:tcPr>
          <w:p w:rsidR="00BD1614" w:rsidRPr="001878A0" w:rsidRDefault="001878A0" w:rsidP="00972A32">
            <w:pPr>
              <w:pStyle w:val="Title1"/>
              <w:rPr>
                <w:lang w:val="fr-CH"/>
              </w:rPr>
            </w:pPr>
            <w:bookmarkStart w:id="6" w:name="dtitle1" w:colFirst="0" w:colLast="0"/>
            <w:bookmarkEnd w:id="5"/>
            <w:r w:rsidRPr="001878A0">
              <w:rPr>
                <w:lang w:val="fr-CH"/>
              </w:rPr>
              <w:t xml:space="preserve">ARRIÉRÉS, COMPTES SPÉCIAUX D’ARRIÉRÉS ET </w:t>
            </w:r>
            <w:r>
              <w:rPr>
                <w:lang w:val="fr-CH"/>
              </w:rPr>
              <w:br/>
            </w:r>
            <w:r w:rsidRPr="001878A0">
              <w:rPr>
                <w:lang w:val="fr-CH"/>
              </w:rPr>
              <w:t>COMPTES SPÉCIAUX D’ARRIÉRÉS SUPPRIMÉS</w:t>
            </w:r>
          </w:p>
        </w:tc>
      </w:tr>
    </w:tbl>
    <w:bookmarkEnd w:id="6"/>
    <w:p w:rsidR="00863306" w:rsidRPr="00FE4485" w:rsidRDefault="00863306" w:rsidP="00863306">
      <w:pPr>
        <w:tabs>
          <w:tab w:val="clear" w:pos="567"/>
          <w:tab w:val="clear" w:pos="1134"/>
          <w:tab w:val="clear" w:pos="1701"/>
          <w:tab w:val="clear" w:pos="2268"/>
          <w:tab w:val="clear" w:pos="2835"/>
        </w:tabs>
        <w:spacing w:before="360" w:after="120"/>
        <w:rPr>
          <w:rFonts w:asciiTheme="minorHAnsi" w:hAnsiTheme="minorHAnsi"/>
          <w:b/>
        </w:rPr>
      </w:pPr>
      <w:r w:rsidRPr="00FE4485">
        <w:rPr>
          <w:rFonts w:asciiTheme="minorHAnsi" w:hAnsiTheme="minorHAnsi"/>
          <w:b/>
        </w:rPr>
        <w:t>1</w:t>
      </w:r>
      <w:r w:rsidRPr="00FE4485">
        <w:rPr>
          <w:rFonts w:asciiTheme="minorHAnsi" w:hAnsiTheme="minorHAnsi"/>
          <w:b/>
        </w:rPr>
        <w:tab/>
        <w:t>Rappel</w:t>
      </w:r>
    </w:p>
    <w:p w:rsidR="00863306" w:rsidRDefault="00863306" w:rsidP="00863306">
      <w:pPr>
        <w:pStyle w:val="listitem"/>
        <w:numPr>
          <w:ilvl w:val="1"/>
          <w:numId w:val="29"/>
        </w:numPr>
        <w:tabs>
          <w:tab w:val="clear" w:pos="794"/>
          <w:tab w:val="clear" w:pos="1191"/>
          <w:tab w:val="clear" w:pos="1588"/>
          <w:tab w:val="clear" w:pos="1985"/>
        </w:tabs>
        <w:spacing w:before="160" w:after="120"/>
        <w:ind w:left="0" w:firstLine="0"/>
        <w:rPr>
          <w:rFonts w:asciiTheme="minorHAnsi" w:hAnsiTheme="minorHAnsi"/>
        </w:rPr>
      </w:pPr>
      <w:r w:rsidRPr="00FE4485">
        <w:rPr>
          <w:rFonts w:asciiTheme="minorHAnsi" w:hAnsiTheme="minorHAnsi"/>
        </w:rPr>
        <w:t xml:space="preserve">Par sa </w:t>
      </w:r>
      <w:hyperlink r:id="rId11" w:anchor="res41" w:history="1">
        <w:r w:rsidRPr="00A10D73">
          <w:rPr>
            <w:rStyle w:val="Hyperlink"/>
            <w:rFonts w:asciiTheme="minorHAnsi" w:hAnsiTheme="minorHAnsi"/>
          </w:rPr>
          <w:t>Résolution 41</w:t>
        </w:r>
      </w:hyperlink>
      <w:r>
        <w:rPr>
          <w:rFonts w:asciiTheme="minorHAnsi" w:hAnsiTheme="minorHAnsi"/>
        </w:rPr>
        <w:t xml:space="preserve"> (Rév. Guadalajara, 2010</w:t>
      </w:r>
      <w:r w:rsidRPr="00FE4485">
        <w:rPr>
          <w:rFonts w:asciiTheme="minorHAnsi" w:hAnsiTheme="minorHAnsi"/>
        </w:rPr>
        <w:t>), la Conférence de plénipotentiaires a prié instamment tous les Etats Membres en retard dans leurs paiements, en particulier ceux pour lesquels des comptes spéciaux d’arriérés avaient été supprimés, ainsi que les Membres des Secteurs</w:t>
      </w:r>
      <w:r>
        <w:rPr>
          <w:rFonts w:asciiTheme="minorHAnsi" w:hAnsiTheme="minorHAnsi"/>
        </w:rPr>
        <w:t xml:space="preserve"> et les Associés</w:t>
      </w:r>
      <w:r w:rsidRPr="00FE4485">
        <w:rPr>
          <w:rFonts w:asciiTheme="minorHAnsi" w:hAnsiTheme="minorHAnsi"/>
        </w:rPr>
        <w:t xml:space="preserve"> en retard dans leurs paiements, de soumettre au Secrétaire général et d’arrêter avec lui un plan d’amortissement en vue de régler leurs arriérés. Elle a confirmé la décision de n’ouvrir de nouveaux comptes spéciaux d’arriérés qu’après la conclusion d’un accord avec le Secrétaire général établissant un plan d’amortissement spécifique, au plus tard un an après la réception de la demande d’ouverture de ces comptes spéciaux. Il a été décidé en outre que les sommes dues ne seront pas prises en compte pour l’application du No 169 de la Constitution (droit de vote), à condition que les Etats Membres concernés aient soumis au Secrétaire général et arrêté avec lui leur plan d’amortissement et aussi longtemps qu’ils respectent strictement ce plan et les conditions dont il est assorti. Le non-respect dudit plan et desdites conditions entraînerait la suppression du compte spécial d’arriérés. D’autre part, le Conseil a été chargé de revoir les lignes directrices concernant les plans d’amortissement</w:t>
      </w:r>
      <w:r>
        <w:rPr>
          <w:rFonts w:asciiTheme="minorHAnsi" w:hAnsiTheme="minorHAnsi"/>
        </w:rPr>
        <w:t xml:space="preserve">, notamment leur durée maximale, qui serait </w:t>
      </w:r>
      <w:r w:rsidRPr="00C81642">
        <w:rPr>
          <w:rFonts w:asciiTheme="minorHAnsi" w:hAnsiTheme="minorHAnsi"/>
        </w:rPr>
        <w:t>de cinq ans pour les pays développés, de dix ans pour les pays en développement et de quinze ans pour les pays les moins avancés (PMA), ainsi que de cinq ans pour les Membres des Secteurs et les Associés.</w:t>
      </w:r>
      <w:r>
        <w:rPr>
          <w:rFonts w:asciiTheme="minorHAnsi" w:hAnsiTheme="minorHAnsi"/>
        </w:rPr>
        <w:t xml:space="preserve"> </w:t>
      </w:r>
      <w:r w:rsidRPr="00FE4485">
        <w:rPr>
          <w:rFonts w:asciiTheme="minorHAnsi" w:hAnsiTheme="minorHAnsi"/>
        </w:rPr>
        <w:t xml:space="preserve"> Le C</w:t>
      </w:r>
      <w:r>
        <w:rPr>
          <w:rFonts w:asciiTheme="minorHAnsi" w:hAnsiTheme="minorHAnsi"/>
        </w:rPr>
        <w:t>onseil a initialement fixé l</w:t>
      </w:r>
      <w:r w:rsidRPr="00FE4485">
        <w:rPr>
          <w:rFonts w:asciiTheme="minorHAnsi" w:hAnsiTheme="minorHAnsi"/>
        </w:rPr>
        <w:t xml:space="preserve">es lignes directrices </w:t>
      </w:r>
      <w:r>
        <w:rPr>
          <w:rFonts w:asciiTheme="minorHAnsi" w:hAnsiTheme="minorHAnsi"/>
        </w:rPr>
        <w:t xml:space="preserve">pour les plans d’amortissement </w:t>
      </w:r>
      <w:r w:rsidRPr="00FE4485">
        <w:rPr>
          <w:rFonts w:asciiTheme="minorHAnsi" w:hAnsiTheme="minorHAnsi"/>
        </w:rPr>
        <w:t xml:space="preserve">lors de sa session de 1999 (Document </w:t>
      </w:r>
      <w:hyperlink r:id="rId12" w:history="1">
        <w:r w:rsidRPr="009A065B">
          <w:rPr>
            <w:rStyle w:val="Hyperlink"/>
            <w:rFonts w:asciiTheme="minorHAnsi" w:hAnsiTheme="minorHAnsi"/>
          </w:rPr>
          <w:t>C99/27</w:t>
        </w:r>
      </w:hyperlink>
      <w:r w:rsidRPr="00FE4485">
        <w:rPr>
          <w:rFonts w:asciiTheme="minorHAnsi" w:hAnsiTheme="minorHAnsi"/>
        </w:rPr>
        <w:t>). Le Conseil a aussi été chargé d’envisager d’autres mesures appropriées, comme par exemple, dans des circonstances exceptionnelles, des réductions temporaires de classe de contribution</w:t>
      </w:r>
      <w:r>
        <w:rPr>
          <w:rFonts w:asciiTheme="minorHAnsi" w:hAnsiTheme="minorHAnsi"/>
        </w:rPr>
        <w:t> ;</w:t>
      </w:r>
      <w:r w:rsidRPr="00FE4485">
        <w:rPr>
          <w:rFonts w:asciiTheme="minorHAnsi" w:hAnsiTheme="minorHAnsi"/>
        </w:rPr>
        <w:t xml:space="preserve"> l’annulation des intérêts pour paiements en retard, pour autant que chaque Et</w:t>
      </w:r>
      <w:r>
        <w:rPr>
          <w:rFonts w:asciiTheme="minorHAnsi" w:hAnsiTheme="minorHAnsi"/>
        </w:rPr>
        <w:t xml:space="preserve">at Membre, Membre de Secteur ou </w:t>
      </w:r>
      <w:r w:rsidRPr="00FE4485">
        <w:rPr>
          <w:rFonts w:asciiTheme="minorHAnsi" w:hAnsiTheme="minorHAnsi"/>
        </w:rPr>
        <w:t>Associé conce</w:t>
      </w:r>
      <w:r>
        <w:rPr>
          <w:rFonts w:asciiTheme="minorHAnsi" w:hAnsiTheme="minorHAnsi"/>
        </w:rPr>
        <w:t>rné se conforme strictement au p</w:t>
      </w:r>
      <w:r w:rsidRPr="00FE4485">
        <w:rPr>
          <w:rFonts w:asciiTheme="minorHAnsi" w:hAnsiTheme="minorHAnsi"/>
        </w:rPr>
        <w:t>lan d’amortissement convenu pour le règle</w:t>
      </w:r>
      <w:r>
        <w:rPr>
          <w:rFonts w:asciiTheme="minorHAnsi" w:hAnsiTheme="minorHAnsi"/>
        </w:rPr>
        <w:t>ment des contributions impayées ; l’établissement d’un plan d’amortissement d’une durée maximale de trente ans pour les pays ayant des besoins particuliers, en raison de catastrophes naturelles, de guerres civiles ou de difficultés économiques extrêmes et l’ajustement du plan d’amortissement dans sa phase initiale, afin de permettre le paiement d’un montant annuel inférieur, pour autant que le montant total cumulé soit le même à la fin du plan d’amortissement.</w:t>
      </w:r>
    </w:p>
    <w:p w:rsidR="00863306" w:rsidRPr="00FE4485" w:rsidRDefault="00863306" w:rsidP="00863306">
      <w:pPr>
        <w:pStyle w:val="listitem"/>
        <w:tabs>
          <w:tab w:val="clear" w:pos="794"/>
          <w:tab w:val="clear" w:pos="1191"/>
          <w:tab w:val="clear" w:pos="1588"/>
          <w:tab w:val="clear" w:pos="1985"/>
        </w:tabs>
        <w:spacing w:before="160" w:after="120"/>
        <w:rPr>
          <w:rFonts w:asciiTheme="minorHAnsi" w:hAnsiTheme="minorHAnsi"/>
        </w:rPr>
      </w:pPr>
      <w:r>
        <w:rPr>
          <w:rFonts w:asciiTheme="minorHAnsi" w:hAnsiTheme="minorHAnsi"/>
        </w:rPr>
        <w:t>1.2</w:t>
      </w:r>
      <w:r>
        <w:rPr>
          <w:rFonts w:asciiTheme="minorHAnsi" w:hAnsiTheme="minorHAnsi"/>
        </w:rPr>
        <w:tab/>
        <w:t xml:space="preserve">En vertu de la </w:t>
      </w:r>
      <w:hyperlink r:id="rId13" w:anchor="res169" w:history="1">
        <w:r w:rsidRPr="00A10D73">
          <w:rPr>
            <w:rStyle w:val="Hyperlink"/>
            <w:rFonts w:asciiTheme="minorHAnsi" w:hAnsiTheme="minorHAnsi"/>
          </w:rPr>
          <w:t>Résolution 169</w:t>
        </w:r>
      </w:hyperlink>
      <w:r>
        <w:rPr>
          <w:rFonts w:asciiTheme="minorHAnsi" w:hAnsiTheme="minorHAnsi"/>
        </w:rPr>
        <w:t xml:space="preserve"> (Guadalajara, 2010), les établissements universitaires, les universités et instituts associés (désignés ci-après « établissements universitaires ») ont été admis, à titre d’essai, à participer aux travaux des Secteurs. La Résolution 41 (Rév. Guadalajara, 2010) leur </w:t>
      </w:r>
      <w:r>
        <w:rPr>
          <w:rFonts w:asciiTheme="minorHAnsi" w:hAnsiTheme="minorHAnsi"/>
        </w:rPr>
        <w:lastRenderedPageBreak/>
        <w:t>a été appliquée par analogie. Si cette catégorie devait être confirmée par la présente Conférence de plénipotentiaires, il pourrait être opportun d’amender en conséquence la Résolution 41</w:t>
      </w:r>
      <w:r w:rsidR="00A10D73">
        <w:rPr>
          <w:rFonts w:asciiTheme="minorHAnsi" w:hAnsiTheme="minorHAnsi"/>
        </w:rPr>
        <w:t xml:space="preserve"> </w:t>
      </w:r>
      <w:r>
        <w:rPr>
          <w:rFonts w:asciiTheme="minorHAnsi" w:hAnsiTheme="minorHAnsi"/>
        </w:rPr>
        <w:t>(Rév. Guadalajara, 2010).</w:t>
      </w:r>
    </w:p>
    <w:p w:rsidR="00863306" w:rsidRPr="001F0A7A" w:rsidRDefault="00863306" w:rsidP="00863306">
      <w:pPr>
        <w:pStyle w:val="listitem"/>
        <w:tabs>
          <w:tab w:val="clear" w:pos="794"/>
          <w:tab w:val="clear" w:pos="1191"/>
          <w:tab w:val="clear" w:pos="1588"/>
          <w:tab w:val="clear" w:pos="1985"/>
        </w:tabs>
        <w:spacing w:before="160" w:after="120"/>
        <w:rPr>
          <w:rFonts w:asciiTheme="minorHAnsi" w:hAnsiTheme="minorHAnsi"/>
        </w:rPr>
      </w:pPr>
      <w:r w:rsidRPr="00FE4485">
        <w:rPr>
          <w:rFonts w:asciiTheme="minorHAnsi" w:hAnsiTheme="minorHAnsi"/>
        </w:rPr>
        <w:t>1.</w:t>
      </w:r>
      <w:r>
        <w:rPr>
          <w:rFonts w:asciiTheme="minorHAnsi" w:hAnsiTheme="minorHAnsi"/>
        </w:rPr>
        <w:t>3</w:t>
      </w:r>
      <w:r w:rsidRPr="00FE4485">
        <w:rPr>
          <w:rFonts w:asciiTheme="minorHAnsi" w:hAnsiTheme="minorHAnsi"/>
        </w:rPr>
        <w:tab/>
        <w:t xml:space="preserve">En outre, le Conseil a été chargé de prendre des mesures additionnelles en cas de non-respect des modalités de remboursement convenues et/ou de retard dans le paiement des parts contributives annuelles non incluses dans les plans d’amortissement, qui comprendront, en particulier, la suspension de la participation aux travaux de l’Union des Membres des Secteurs et des Associés </w:t>
      </w:r>
      <w:r w:rsidRPr="00323685">
        <w:rPr>
          <w:rFonts w:asciiTheme="minorHAnsi" w:hAnsiTheme="minorHAnsi"/>
        </w:rPr>
        <w:t>concernés. Enfin</w:t>
      </w:r>
      <w:r w:rsidRPr="001F0A7A">
        <w:rPr>
          <w:rFonts w:asciiTheme="minorHAnsi" w:hAnsiTheme="minorHAnsi"/>
        </w:rPr>
        <w:t>, le Conseil a été chargé d’examiner le niveau approprié de la Provision pour comptes débiteurs, d’en assurer la couverture appropriée et de faire rapport à la présente Conférence sur les résultats obtenus en application de la Résolution</w:t>
      </w:r>
      <w:r>
        <w:rPr>
          <w:rFonts w:asciiTheme="minorHAnsi" w:hAnsiTheme="minorHAnsi"/>
        </w:rPr>
        <w:t> </w:t>
      </w:r>
      <w:r w:rsidRPr="001F0A7A">
        <w:rPr>
          <w:rFonts w:asciiTheme="minorHAnsi" w:hAnsiTheme="minorHAnsi"/>
        </w:rPr>
        <w:t>41 (Rév. Guadalajara, 2010).</w:t>
      </w:r>
    </w:p>
    <w:p w:rsidR="00863306" w:rsidRPr="00FE4485" w:rsidRDefault="00863306" w:rsidP="00863306">
      <w:pPr>
        <w:pStyle w:val="listitem"/>
        <w:tabs>
          <w:tab w:val="clear" w:pos="794"/>
          <w:tab w:val="clear" w:pos="1191"/>
          <w:tab w:val="clear" w:pos="1588"/>
          <w:tab w:val="clear" w:pos="1985"/>
        </w:tabs>
        <w:spacing w:before="160" w:after="120"/>
        <w:rPr>
          <w:rFonts w:asciiTheme="minorHAnsi" w:hAnsiTheme="minorHAnsi"/>
        </w:rPr>
      </w:pPr>
      <w:r w:rsidRPr="00FE4485">
        <w:rPr>
          <w:rFonts w:asciiTheme="minorHAnsi" w:hAnsiTheme="minorHAnsi"/>
        </w:rPr>
        <w:t>1.</w:t>
      </w:r>
      <w:r>
        <w:rPr>
          <w:rFonts w:asciiTheme="minorHAnsi" w:hAnsiTheme="minorHAnsi"/>
        </w:rPr>
        <w:t>4</w:t>
      </w:r>
      <w:r w:rsidRPr="00FE4485">
        <w:rPr>
          <w:rFonts w:asciiTheme="minorHAnsi" w:hAnsiTheme="minorHAnsi"/>
        </w:rPr>
        <w:tab/>
        <w:t>La Conférence a en conséquence autorisé le Secrétaire général à négocier et à élaborer, d’un commun accord avec tous les Etats Membres en retard dans leurs paiements, en particulier ceux pour lesquels des comptes spéciaux ont été supprimés, et avec les Membres des Secteurs</w:t>
      </w:r>
      <w:r>
        <w:rPr>
          <w:rFonts w:asciiTheme="minorHAnsi" w:hAnsiTheme="minorHAnsi"/>
        </w:rPr>
        <w:t xml:space="preserve"> et les </w:t>
      </w:r>
      <w:r w:rsidRPr="00FE4485">
        <w:rPr>
          <w:rFonts w:asciiTheme="minorHAnsi" w:hAnsiTheme="minorHAnsi"/>
        </w:rPr>
        <w:t>Associés en retard dans leurs paiements, des plan</w:t>
      </w:r>
      <w:r>
        <w:rPr>
          <w:rFonts w:asciiTheme="minorHAnsi" w:hAnsiTheme="minorHAnsi"/>
        </w:rPr>
        <w:t xml:space="preserve">s d’amortissement de leur dette </w:t>
      </w:r>
      <w:r w:rsidRPr="00FE4485">
        <w:rPr>
          <w:rFonts w:asciiTheme="minorHAnsi" w:hAnsiTheme="minorHAnsi"/>
        </w:rPr>
        <w:t>conformément aux lignes directrices fixées par le Conseil.</w:t>
      </w:r>
    </w:p>
    <w:p w:rsidR="00863306" w:rsidRPr="00FE4485" w:rsidRDefault="00863306" w:rsidP="00863306">
      <w:pPr>
        <w:pStyle w:val="toc0"/>
        <w:tabs>
          <w:tab w:val="clear" w:pos="9781"/>
        </w:tabs>
        <w:spacing w:before="360" w:after="120"/>
        <w:ind w:left="709" w:hanging="709"/>
        <w:rPr>
          <w:rFonts w:asciiTheme="minorHAnsi" w:hAnsiTheme="minorHAnsi"/>
        </w:rPr>
      </w:pPr>
      <w:r w:rsidRPr="00FE4485">
        <w:rPr>
          <w:rFonts w:asciiTheme="minorHAnsi" w:hAnsiTheme="minorHAnsi"/>
        </w:rPr>
        <w:t>2</w:t>
      </w:r>
      <w:r w:rsidRPr="00FE4485">
        <w:rPr>
          <w:rFonts w:asciiTheme="minorHAnsi" w:hAnsiTheme="minorHAnsi"/>
        </w:rPr>
        <w:tab/>
        <w:t xml:space="preserve">Mesures prises pour obtenir le règlement des arriérés et comptes spéciaux d’arriérés </w:t>
      </w:r>
      <w:r w:rsidRPr="00FE4485">
        <w:rPr>
          <w:rFonts w:asciiTheme="minorHAnsi" w:hAnsiTheme="minorHAnsi"/>
        </w:rPr>
        <w:tab/>
        <w:t xml:space="preserve">et mise en application </w:t>
      </w:r>
      <w:r>
        <w:rPr>
          <w:rFonts w:asciiTheme="minorHAnsi" w:hAnsiTheme="minorHAnsi"/>
        </w:rPr>
        <w:t>de la Résolution 41 (Rév. Guadalajara, 2010</w:t>
      </w:r>
      <w:r w:rsidRPr="00FE4485">
        <w:rPr>
          <w:rFonts w:asciiTheme="minorHAnsi" w:hAnsiTheme="minorHAnsi"/>
        </w:rPr>
        <w:t>)</w:t>
      </w:r>
    </w:p>
    <w:p w:rsidR="00863306" w:rsidRPr="00FE4485" w:rsidRDefault="00863306" w:rsidP="00863306">
      <w:pPr>
        <w:tabs>
          <w:tab w:val="clear" w:pos="567"/>
          <w:tab w:val="clear" w:pos="1134"/>
          <w:tab w:val="clear" w:pos="1701"/>
          <w:tab w:val="clear" w:pos="2268"/>
          <w:tab w:val="clear" w:pos="2835"/>
        </w:tabs>
        <w:spacing w:before="160" w:after="120"/>
        <w:rPr>
          <w:rFonts w:asciiTheme="minorHAnsi" w:eastAsia="SimSun" w:hAnsiTheme="minorHAnsi"/>
          <w:lang w:eastAsia="zh-CN"/>
        </w:rPr>
      </w:pPr>
      <w:r w:rsidRPr="00FE4485">
        <w:rPr>
          <w:rFonts w:asciiTheme="minorHAnsi" w:eastAsia="SimSun" w:hAnsiTheme="minorHAnsi"/>
          <w:lang w:eastAsia="zh-CN"/>
        </w:rPr>
        <w:t>2.1</w:t>
      </w:r>
      <w:r w:rsidRPr="00FE4485">
        <w:rPr>
          <w:rFonts w:asciiTheme="minorHAnsi" w:eastAsia="SimSun" w:hAnsiTheme="minorHAnsi"/>
          <w:lang w:eastAsia="zh-CN"/>
        </w:rPr>
        <w:tab/>
        <w:t>Conformément au No 169 de la Constitution, un «</w:t>
      </w:r>
      <w:r w:rsidRPr="00FE4485">
        <w:rPr>
          <w:rFonts w:asciiTheme="minorHAnsi" w:eastAsia="SimSun" w:hAnsiTheme="minorHAnsi"/>
          <w:i/>
          <w:lang w:eastAsia="zh-CN"/>
        </w:rPr>
        <w:t>Etat Membre en retard dans ses paiements à l'Union perd son droit de vote […] tant que le montant de ses arriérés est égal ou supérieur au montant des contributions dues pour les deux années précédentes</w:t>
      </w:r>
      <w:r w:rsidRPr="00FE4485">
        <w:rPr>
          <w:rFonts w:asciiTheme="minorHAnsi" w:eastAsia="SimSun" w:hAnsiTheme="minorHAnsi"/>
          <w:lang w:eastAsia="zh-CN"/>
        </w:rPr>
        <w:t>».</w:t>
      </w:r>
    </w:p>
    <w:p w:rsidR="00863306" w:rsidRPr="009B4B09" w:rsidRDefault="00863306" w:rsidP="00863306">
      <w:pPr>
        <w:tabs>
          <w:tab w:val="clear" w:pos="567"/>
          <w:tab w:val="clear" w:pos="1134"/>
          <w:tab w:val="clear" w:pos="1701"/>
          <w:tab w:val="clear" w:pos="2268"/>
          <w:tab w:val="clear" w:pos="2835"/>
        </w:tabs>
        <w:spacing w:before="160" w:after="120"/>
        <w:rPr>
          <w:rFonts w:asciiTheme="minorHAnsi" w:eastAsia="SimSun" w:hAnsiTheme="minorHAnsi"/>
          <w:lang w:eastAsia="zh-CN"/>
        </w:rPr>
      </w:pPr>
      <w:r w:rsidRPr="00FE4485">
        <w:rPr>
          <w:rFonts w:asciiTheme="minorHAnsi" w:eastAsia="SimSun" w:hAnsiTheme="minorHAnsi"/>
          <w:lang w:eastAsia="zh-CN"/>
        </w:rPr>
        <w:t>2.2</w:t>
      </w:r>
      <w:r w:rsidRPr="00FE4485">
        <w:rPr>
          <w:rFonts w:asciiTheme="minorHAnsi" w:eastAsia="SimSun" w:hAnsiTheme="minorHAnsi"/>
          <w:lang w:eastAsia="zh-CN"/>
        </w:rPr>
        <w:tab/>
        <w:t>En outre</w:t>
      </w:r>
      <w:r w:rsidRPr="00830696">
        <w:rPr>
          <w:rFonts w:asciiTheme="minorHAnsi" w:eastAsia="SimSun" w:hAnsiTheme="minorHAnsi"/>
          <w:lang w:eastAsia="zh-CN"/>
        </w:rPr>
        <w:t xml:space="preserve">, la </w:t>
      </w:r>
      <w:hyperlink r:id="rId14" w:anchor="res152" w:history="1">
        <w:r w:rsidRPr="00A10D73">
          <w:rPr>
            <w:rStyle w:val="Hyperlink"/>
            <w:rFonts w:asciiTheme="minorHAnsi" w:eastAsia="SimSun" w:hAnsiTheme="minorHAnsi"/>
            <w:lang w:eastAsia="zh-CN"/>
          </w:rPr>
          <w:t>Résolution 152</w:t>
        </w:r>
      </w:hyperlink>
      <w:r w:rsidRPr="00830696">
        <w:rPr>
          <w:rFonts w:asciiTheme="minorHAnsi" w:eastAsia="SimSun" w:hAnsiTheme="minorHAnsi"/>
          <w:lang w:eastAsia="zh-CN"/>
        </w:rPr>
        <w:t xml:space="preserve"> (Rév. Guadalajara, 2010), dispose qu’en cas de retard de paiement, la participation aux travaux de l’UIT d’un Membre de Secteur ou d’un Associé «</w:t>
      </w:r>
      <w:r w:rsidRPr="00830696">
        <w:rPr>
          <w:rFonts w:asciiTheme="minorHAnsi" w:eastAsia="SimSun" w:hAnsiTheme="minorHAnsi"/>
          <w:i/>
          <w:lang w:eastAsia="zh-CN"/>
        </w:rPr>
        <w:t>sera suspendue six mois (180 jours) après l’expiration de l’échéance fixée pour le paiement de la contribution annuelle, et qu’en l’absence d’un plan d’amortissement négocié et convenu, l’exclusion d’un Membre de Secteur</w:t>
      </w:r>
      <w:r>
        <w:rPr>
          <w:rFonts w:asciiTheme="minorHAnsi" w:eastAsia="SimSun" w:hAnsiTheme="minorHAnsi"/>
          <w:i/>
          <w:lang w:eastAsia="zh-CN"/>
        </w:rPr>
        <w:t xml:space="preserve"> ou</w:t>
      </w:r>
      <w:r w:rsidRPr="00830696">
        <w:rPr>
          <w:rFonts w:asciiTheme="minorHAnsi" w:eastAsia="SimSun" w:hAnsiTheme="minorHAnsi"/>
          <w:i/>
          <w:lang w:eastAsia="zh-CN"/>
        </w:rPr>
        <w:t xml:space="preserve"> d’un Associé pour défaut de paiement interviendra trois mois (90 jours) après la date de réception de la notification de sa suspension</w:t>
      </w:r>
      <w:r w:rsidRPr="009B4B09">
        <w:rPr>
          <w:rFonts w:asciiTheme="minorHAnsi" w:eastAsia="SimSun" w:hAnsiTheme="minorHAnsi"/>
          <w:lang w:eastAsia="zh-CN"/>
        </w:rPr>
        <w:t>».</w:t>
      </w:r>
    </w:p>
    <w:p w:rsidR="00863306" w:rsidRPr="00FE4485" w:rsidRDefault="00863306" w:rsidP="00863306">
      <w:pPr>
        <w:tabs>
          <w:tab w:val="clear" w:pos="567"/>
          <w:tab w:val="clear" w:pos="1134"/>
          <w:tab w:val="clear" w:pos="1701"/>
          <w:tab w:val="clear" w:pos="2268"/>
          <w:tab w:val="clear" w:pos="2835"/>
        </w:tabs>
        <w:spacing w:before="160" w:after="120"/>
        <w:rPr>
          <w:rFonts w:asciiTheme="minorHAnsi" w:eastAsia="SimSun" w:hAnsiTheme="minorHAnsi"/>
          <w:szCs w:val="24"/>
          <w:lang w:eastAsia="zh-CN"/>
        </w:rPr>
      </w:pPr>
      <w:r w:rsidRPr="00FE4485">
        <w:rPr>
          <w:rFonts w:asciiTheme="minorHAnsi" w:eastAsia="SimSun" w:hAnsiTheme="minorHAnsi"/>
          <w:lang w:eastAsia="zh-CN"/>
        </w:rPr>
        <w:t>2.3</w:t>
      </w:r>
      <w:r w:rsidRPr="00FE4485">
        <w:rPr>
          <w:rFonts w:asciiTheme="minorHAnsi" w:eastAsia="SimSun" w:hAnsiTheme="minorHAnsi"/>
          <w:lang w:eastAsia="zh-CN"/>
        </w:rPr>
        <w:tab/>
        <w:t xml:space="preserve">Enfin, conformément au </w:t>
      </w:r>
      <w:hyperlink r:id="rId15" w:anchor="cv474" w:history="1">
        <w:r w:rsidRPr="00972A32">
          <w:rPr>
            <w:rStyle w:val="Hyperlink"/>
            <w:rFonts w:asciiTheme="minorHAnsi" w:eastAsia="SimSun" w:hAnsiTheme="minorHAnsi"/>
            <w:lang w:eastAsia="zh-CN"/>
          </w:rPr>
          <w:t>No 474</w:t>
        </w:r>
      </w:hyperlink>
      <w:r w:rsidRPr="00FE4485">
        <w:rPr>
          <w:rFonts w:asciiTheme="minorHAnsi" w:eastAsia="SimSun" w:hAnsiTheme="minorHAnsi"/>
          <w:lang w:eastAsia="zh-CN"/>
        </w:rPr>
        <w:t xml:space="preserve"> de la Convention, les «</w:t>
      </w:r>
      <w:r w:rsidRPr="00FE4485">
        <w:rPr>
          <w:rFonts w:asciiTheme="minorHAnsi" w:eastAsia="SimSun" w:hAnsiTheme="minorHAnsi"/>
          <w:i/>
          <w:lang w:eastAsia="zh-CN"/>
        </w:rPr>
        <w:t xml:space="preserve">sommes dues </w:t>
      </w:r>
      <w:r w:rsidRPr="00FE4485">
        <w:rPr>
          <w:rFonts w:asciiTheme="minorHAnsi" w:eastAsia="SimSun" w:hAnsiTheme="minorHAnsi"/>
          <w:lang w:eastAsia="zh-CN"/>
        </w:rPr>
        <w:t>[au titre des contributions de l'Union,]</w:t>
      </w:r>
      <w:r w:rsidRPr="00FE4485">
        <w:rPr>
          <w:rFonts w:asciiTheme="minorHAnsi" w:eastAsia="SimSun" w:hAnsiTheme="minorHAnsi"/>
          <w:i/>
          <w:lang w:eastAsia="zh-CN"/>
        </w:rPr>
        <w:t xml:space="preserve"> portent intérêt à partir du début du quatrième mois de chaque année financière de l'Union. Cet intérêt est fixé au taux de 3% (trois pour cent) par an pendant les trois mois qui suivent et au taux de 6% (six pour cent) par an à partir du début du septième mois</w:t>
      </w:r>
      <w:r w:rsidRPr="00FE4485">
        <w:rPr>
          <w:rFonts w:asciiTheme="minorHAnsi" w:eastAsia="SimSun" w:hAnsiTheme="minorHAnsi"/>
          <w:lang w:eastAsia="zh-CN"/>
        </w:rPr>
        <w:t>».</w:t>
      </w:r>
    </w:p>
    <w:p w:rsidR="00863306" w:rsidRPr="00FE4485" w:rsidRDefault="00863306" w:rsidP="00863306">
      <w:pPr>
        <w:pStyle w:val="listitem"/>
        <w:tabs>
          <w:tab w:val="clear" w:pos="794"/>
          <w:tab w:val="clear" w:pos="1191"/>
          <w:tab w:val="clear" w:pos="1588"/>
          <w:tab w:val="clear" w:pos="1985"/>
        </w:tabs>
        <w:spacing w:before="160" w:after="120"/>
        <w:rPr>
          <w:rFonts w:asciiTheme="minorHAnsi" w:hAnsiTheme="minorHAnsi"/>
        </w:rPr>
      </w:pPr>
      <w:r w:rsidRPr="00FE4485">
        <w:rPr>
          <w:rFonts w:asciiTheme="minorHAnsi" w:hAnsiTheme="minorHAnsi"/>
        </w:rPr>
        <w:t>2.4</w:t>
      </w:r>
      <w:r w:rsidRPr="00FE4485">
        <w:rPr>
          <w:rFonts w:asciiTheme="minorHAnsi" w:hAnsiTheme="minorHAnsi"/>
        </w:rPr>
        <w:tab/>
        <w:t>Le Secrétaire général a notif</w:t>
      </w:r>
      <w:r>
        <w:rPr>
          <w:rFonts w:asciiTheme="minorHAnsi" w:hAnsiTheme="minorHAnsi"/>
        </w:rPr>
        <w:t>ié la Résolution 41 (Rév. Guadalajara, 2010</w:t>
      </w:r>
      <w:r w:rsidRPr="00FE4485">
        <w:rPr>
          <w:rFonts w:asciiTheme="minorHAnsi" w:hAnsiTheme="minorHAnsi"/>
        </w:rPr>
        <w:t>) à tous les Etats Membres</w:t>
      </w:r>
      <w:r>
        <w:rPr>
          <w:rFonts w:asciiTheme="minorHAnsi" w:hAnsiTheme="minorHAnsi"/>
        </w:rPr>
        <w:t xml:space="preserve">, </w:t>
      </w:r>
      <w:r w:rsidRPr="00FE4485">
        <w:rPr>
          <w:rFonts w:asciiTheme="minorHAnsi" w:hAnsiTheme="minorHAnsi"/>
        </w:rPr>
        <w:t>Membres des Secteurs</w:t>
      </w:r>
      <w:r>
        <w:rPr>
          <w:rFonts w:asciiTheme="minorHAnsi" w:hAnsiTheme="minorHAnsi"/>
        </w:rPr>
        <w:t xml:space="preserve"> et Associés</w:t>
      </w:r>
      <w:r w:rsidRPr="00FE4485">
        <w:rPr>
          <w:rFonts w:asciiTheme="minorHAnsi" w:hAnsiTheme="minorHAnsi"/>
        </w:rPr>
        <w:t xml:space="preserve"> concernés et a également pris les mesures ci-après.</w:t>
      </w:r>
    </w:p>
    <w:p w:rsidR="00863306" w:rsidRPr="00FE4485" w:rsidRDefault="00863306" w:rsidP="00863306">
      <w:pPr>
        <w:tabs>
          <w:tab w:val="clear" w:pos="567"/>
          <w:tab w:val="clear" w:pos="1134"/>
          <w:tab w:val="clear" w:pos="1701"/>
          <w:tab w:val="clear" w:pos="2268"/>
          <w:tab w:val="clear" w:pos="2835"/>
        </w:tabs>
        <w:spacing w:before="160" w:after="120"/>
        <w:rPr>
          <w:rFonts w:asciiTheme="minorHAnsi" w:hAnsiTheme="minorHAnsi"/>
        </w:rPr>
      </w:pPr>
      <w:r w:rsidRPr="00FE4485">
        <w:rPr>
          <w:rFonts w:asciiTheme="minorHAnsi" w:hAnsiTheme="minorHAnsi"/>
        </w:rPr>
        <w:t>2.5</w:t>
      </w:r>
      <w:r w:rsidRPr="00FE4485">
        <w:rPr>
          <w:rFonts w:asciiTheme="minorHAnsi" w:hAnsiTheme="minorHAnsi"/>
        </w:rPr>
        <w:tab/>
        <w:t xml:space="preserve">Un relevé de compte est envoyé quatre fois par an à chaque débiteur et les montants dus figurent dans la Lettre Circulaire publiée par le Département </w:t>
      </w:r>
      <w:r>
        <w:rPr>
          <w:rFonts w:asciiTheme="minorHAnsi" w:hAnsiTheme="minorHAnsi"/>
        </w:rPr>
        <w:t xml:space="preserve">de la gestion </w:t>
      </w:r>
      <w:r w:rsidRPr="00FE4485">
        <w:rPr>
          <w:rFonts w:asciiTheme="minorHAnsi" w:hAnsiTheme="minorHAnsi"/>
        </w:rPr>
        <w:t>des</w:t>
      </w:r>
      <w:r>
        <w:rPr>
          <w:rFonts w:asciiTheme="minorHAnsi" w:hAnsiTheme="minorHAnsi"/>
        </w:rPr>
        <w:t xml:space="preserve"> ressources</w:t>
      </w:r>
      <w:r w:rsidRPr="00FE4485">
        <w:rPr>
          <w:rFonts w:asciiTheme="minorHAnsi" w:hAnsiTheme="minorHAnsi"/>
        </w:rPr>
        <w:t xml:space="preserve"> financ</w:t>
      </w:r>
      <w:r>
        <w:rPr>
          <w:rFonts w:asciiTheme="minorHAnsi" w:hAnsiTheme="minorHAnsi"/>
        </w:rPr>
        <w:t>ièr</w:t>
      </w:r>
      <w:r w:rsidRPr="00FE4485">
        <w:rPr>
          <w:rFonts w:asciiTheme="minorHAnsi" w:hAnsiTheme="minorHAnsi"/>
        </w:rPr>
        <w:t>es quatre fois par an également.</w:t>
      </w:r>
    </w:p>
    <w:p w:rsidR="00863306" w:rsidRPr="00FE4485" w:rsidRDefault="00863306" w:rsidP="00863306">
      <w:pPr>
        <w:tabs>
          <w:tab w:val="clear" w:pos="567"/>
          <w:tab w:val="clear" w:pos="1134"/>
          <w:tab w:val="clear" w:pos="1701"/>
          <w:tab w:val="clear" w:pos="2268"/>
          <w:tab w:val="clear" w:pos="2835"/>
        </w:tabs>
        <w:spacing w:before="160" w:after="120"/>
        <w:rPr>
          <w:rFonts w:asciiTheme="minorHAnsi" w:hAnsiTheme="minorHAnsi"/>
        </w:rPr>
      </w:pPr>
      <w:r w:rsidRPr="00FE4485">
        <w:rPr>
          <w:rFonts w:asciiTheme="minorHAnsi" w:hAnsiTheme="minorHAnsi"/>
        </w:rPr>
        <w:t>2.6</w:t>
      </w:r>
      <w:r w:rsidRPr="00FE4485">
        <w:rPr>
          <w:rFonts w:asciiTheme="minorHAnsi" w:hAnsiTheme="minorHAnsi"/>
        </w:rPr>
        <w:tab/>
        <w:t>Chaque année, un rappel est envoyé aux Etats Membres qui ont perdu le droit de vote et aux Etats qui sont susceptibles de le perdre l’année suivante s’ils ne règlent pas leurs arriérés. Il est également rappelé aux Etats Membres en retard dans le paiement des publications que s’ils ne règlent pas leurs arriérés, les publications ne leur seront envoyées que contre prépaiement.</w:t>
      </w:r>
    </w:p>
    <w:p w:rsidR="00863306" w:rsidRPr="00FE4485" w:rsidRDefault="00863306" w:rsidP="00863306">
      <w:pPr>
        <w:tabs>
          <w:tab w:val="clear" w:pos="567"/>
          <w:tab w:val="clear" w:pos="1134"/>
          <w:tab w:val="clear" w:pos="1701"/>
          <w:tab w:val="clear" w:pos="2268"/>
          <w:tab w:val="clear" w:pos="2835"/>
        </w:tabs>
        <w:spacing w:before="160" w:after="120"/>
        <w:rPr>
          <w:rFonts w:asciiTheme="minorHAnsi" w:hAnsiTheme="minorHAnsi"/>
        </w:rPr>
      </w:pPr>
      <w:r w:rsidRPr="00FE4485">
        <w:rPr>
          <w:rFonts w:asciiTheme="minorHAnsi" w:hAnsiTheme="minorHAnsi"/>
        </w:rPr>
        <w:t>2.7</w:t>
      </w:r>
      <w:r w:rsidRPr="00FE4485">
        <w:rPr>
          <w:rFonts w:asciiTheme="minorHAnsi" w:hAnsiTheme="minorHAnsi"/>
        </w:rPr>
        <w:tab/>
        <w:t>Le Secrétaire général a pris toutes les mesures possibles en vue de réduire les sommes impayées, notamment par des rappels spéciaux, par des contacts lors de conférences, assemblées et réunions ainsi que par une action permanente de tous les bureaux régionaux de l’Union.</w:t>
      </w:r>
    </w:p>
    <w:p w:rsidR="00863306" w:rsidRPr="00FE4485" w:rsidRDefault="00863306" w:rsidP="00863306">
      <w:pPr>
        <w:tabs>
          <w:tab w:val="clear" w:pos="567"/>
          <w:tab w:val="clear" w:pos="1134"/>
          <w:tab w:val="clear" w:pos="1701"/>
          <w:tab w:val="clear" w:pos="2268"/>
          <w:tab w:val="clear" w:pos="2835"/>
        </w:tabs>
        <w:spacing w:before="160" w:after="120"/>
        <w:rPr>
          <w:rFonts w:asciiTheme="minorHAnsi" w:hAnsiTheme="minorHAnsi"/>
        </w:rPr>
      </w:pPr>
      <w:r w:rsidRPr="00FE4485">
        <w:rPr>
          <w:rFonts w:asciiTheme="minorHAnsi" w:hAnsiTheme="minorHAnsi"/>
        </w:rPr>
        <w:lastRenderedPageBreak/>
        <w:t>2.8</w:t>
      </w:r>
      <w:r w:rsidRPr="00FE4485">
        <w:rPr>
          <w:rFonts w:asciiTheme="minorHAnsi" w:hAnsiTheme="minorHAnsi"/>
        </w:rPr>
        <w:tab/>
        <w:t>Les Etats Membres ayant des comptes spéciaux d'arriérés ont été priés de soumettre au Secrétaire général et d’arrêter avec lui un plan d'amortissement ainsi que d'observer strictement les modalités de remboursement convenues. Ceux qui ne les ont pas respectées ont été informés des sanctions prévues, entre autres, de la suppression du compte spécial d’arriérés avec l’obligation de négocier un nouveau plan d’amortissement selon les lignes directrices fixées par le Conseil.</w:t>
      </w:r>
    </w:p>
    <w:p w:rsidR="00863306" w:rsidRPr="00FE4485" w:rsidRDefault="00863306" w:rsidP="00863306">
      <w:pPr>
        <w:pStyle w:val="listitem"/>
        <w:tabs>
          <w:tab w:val="clear" w:pos="794"/>
          <w:tab w:val="clear" w:pos="1191"/>
          <w:tab w:val="clear" w:pos="1588"/>
          <w:tab w:val="clear" w:pos="1985"/>
        </w:tabs>
        <w:spacing w:before="160" w:after="120"/>
        <w:rPr>
          <w:rFonts w:asciiTheme="minorHAnsi" w:hAnsiTheme="minorHAnsi"/>
        </w:rPr>
      </w:pPr>
      <w:r w:rsidRPr="00FE4485">
        <w:rPr>
          <w:rFonts w:asciiTheme="minorHAnsi" w:hAnsiTheme="minorHAnsi"/>
        </w:rPr>
        <w:t>2.9</w:t>
      </w:r>
      <w:r w:rsidRPr="00FE4485">
        <w:rPr>
          <w:rFonts w:asciiTheme="minorHAnsi" w:hAnsiTheme="minorHAnsi"/>
        </w:rPr>
        <w:tab/>
        <w:t>Les Membres des Secteurs</w:t>
      </w:r>
      <w:r>
        <w:rPr>
          <w:rFonts w:asciiTheme="minorHAnsi" w:hAnsiTheme="minorHAnsi"/>
        </w:rPr>
        <w:t>,</w:t>
      </w:r>
      <w:r w:rsidRPr="00FE4485">
        <w:rPr>
          <w:rFonts w:asciiTheme="minorHAnsi" w:hAnsiTheme="minorHAnsi"/>
        </w:rPr>
        <w:t xml:space="preserve"> les Associés</w:t>
      </w:r>
      <w:r>
        <w:rPr>
          <w:rFonts w:asciiTheme="minorHAnsi" w:hAnsiTheme="minorHAnsi"/>
        </w:rPr>
        <w:t xml:space="preserve"> et le</w:t>
      </w:r>
      <w:r w:rsidRPr="00830696">
        <w:rPr>
          <w:rFonts w:asciiTheme="minorHAnsi" w:hAnsiTheme="minorHAnsi"/>
        </w:rPr>
        <w:t xml:space="preserve">s </w:t>
      </w:r>
      <w:r>
        <w:rPr>
          <w:rFonts w:asciiTheme="minorHAnsi" w:hAnsiTheme="minorHAnsi"/>
        </w:rPr>
        <w:t>Etablissements universitaires</w:t>
      </w:r>
      <w:r w:rsidRPr="00FE4485">
        <w:rPr>
          <w:rFonts w:asciiTheme="minorHAnsi" w:hAnsiTheme="minorHAnsi"/>
        </w:rPr>
        <w:t>, en retard dans leurs paiements</w:t>
      </w:r>
      <w:r>
        <w:rPr>
          <w:rFonts w:asciiTheme="minorHAnsi" w:hAnsiTheme="minorHAnsi"/>
        </w:rPr>
        <w:t>,</w:t>
      </w:r>
      <w:r w:rsidRPr="00FE4485">
        <w:rPr>
          <w:rFonts w:asciiTheme="minorHAnsi" w:hAnsiTheme="minorHAnsi"/>
        </w:rPr>
        <w:t xml:space="preserve"> ont été priés de soumettre et de négocier des plans d'amortissement. Ceux qui ne l’ont pas fait ou qui n’ont pas respecté les modalités convenues ont été informés de la suspension et, le cas échéant s’ils n’ont pas régularisé leur situation, de la suppression de leur participation aux travaux des Secteurs dont ils sont membres. Ceux-ci reçoivent régulièrement des rappels des paiements qu'ils doivent effectuer pour retrouver le droit de participer aux travaux des Secteurs.</w:t>
      </w:r>
    </w:p>
    <w:p w:rsidR="00863306" w:rsidRPr="00FE4485" w:rsidRDefault="00863306" w:rsidP="00863306">
      <w:pPr>
        <w:tabs>
          <w:tab w:val="clear" w:pos="567"/>
          <w:tab w:val="clear" w:pos="1134"/>
          <w:tab w:val="clear" w:pos="1701"/>
          <w:tab w:val="clear" w:pos="2268"/>
          <w:tab w:val="clear" w:pos="2835"/>
        </w:tabs>
        <w:spacing w:before="360" w:after="120"/>
        <w:rPr>
          <w:rFonts w:asciiTheme="minorHAnsi" w:hAnsiTheme="minorHAnsi"/>
        </w:rPr>
      </w:pPr>
      <w:r w:rsidRPr="00FE4485">
        <w:rPr>
          <w:rFonts w:asciiTheme="minorHAnsi" w:hAnsiTheme="minorHAnsi"/>
          <w:b/>
        </w:rPr>
        <w:t>3</w:t>
      </w:r>
      <w:r w:rsidRPr="00FE4485">
        <w:rPr>
          <w:rFonts w:asciiTheme="minorHAnsi" w:hAnsiTheme="minorHAnsi"/>
          <w:b/>
        </w:rPr>
        <w:tab/>
        <w:t xml:space="preserve">Résultats obtenus en application de la Résolution 41 (Rév. </w:t>
      </w:r>
      <w:r>
        <w:rPr>
          <w:rFonts w:asciiTheme="minorHAnsi" w:hAnsiTheme="minorHAnsi"/>
          <w:b/>
        </w:rPr>
        <w:t>Guadalajara, 2010</w:t>
      </w:r>
      <w:r w:rsidRPr="00FE4485">
        <w:rPr>
          <w:rFonts w:asciiTheme="minorHAnsi" w:hAnsiTheme="minorHAnsi"/>
          <w:b/>
        </w:rPr>
        <w:t>)</w:t>
      </w:r>
    </w:p>
    <w:p w:rsidR="00863306" w:rsidRPr="00CD3D9F" w:rsidRDefault="00863306" w:rsidP="00863306">
      <w:pPr>
        <w:tabs>
          <w:tab w:val="clear" w:pos="567"/>
          <w:tab w:val="clear" w:pos="1134"/>
          <w:tab w:val="clear" w:pos="1701"/>
          <w:tab w:val="clear" w:pos="2268"/>
          <w:tab w:val="clear" w:pos="2835"/>
        </w:tabs>
        <w:snapToGrid w:val="0"/>
        <w:spacing w:before="160" w:after="120"/>
        <w:rPr>
          <w:rFonts w:asciiTheme="minorHAnsi" w:hAnsiTheme="minorHAnsi"/>
        </w:rPr>
      </w:pPr>
      <w:r w:rsidRPr="00CD3D9F">
        <w:rPr>
          <w:rFonts w:asciiTheme="minorHAnsi" w:hAnsiTheme="minorHAnsi"/>
        </w:rPr>
        <w:t>3.1</w:t>
      </w:r>
      <w:r w:rsidRPr="00CD3D9F">
        <w:rPr>
          <w:rFonts w:asciiTheme="minorHAnsi" w:hAnsiTheme="minorHAnsi"/>
        </w:rPr>
        <w:tab/>
        <w:t>Bien que le montant des arriérés reste élevé, il faut souligner que ceux-ci ont connu une évolution favorable depuis la Conférence de plénipotentiaires de Guadalajara (2010). Les sanctions prises et les efforts consentis pour apurer les dettes irrécupérables ainsi que pour recouvrer les montants dus se sont traduits par une sensible et constante réduction des arriérés dans les dernières ann</w:t>
      </w:r>
      <w:r>
        <w:rPr>
          <w:rFonts w:asciiTheme="minorHAnsi" w:hAnsiTheme="minorHAnsi"/>
        </w:rPr>
        <w:t xml:space="preserve">ées. Ainsi, dans l’annexe A, laquelle </w:t>
      </w:r>
      <w:r>
        <w:rPr>
          <w:rFonts w:asciiTheme="minorHAnsi" w:hAnsiTheme="minorHAnsi"/>
          <w:lang w:val="fr-CH"/>
        </w:rPr>
        <w:t xml:space="preserve">montre l’évolution sur les 9 dernières années, on remarque que </w:t>
      </w:r>
      <w:r w:rsidRPr="00CD3D9F">
        <w:rPr>
          <w:rFonts w:asciiTheme="minorHAnsi" w:hAnsiTheme="minorHAnsi"/>
        </w:rPr>
        <w:t>depuis 2006, le total des arriérés</w:t>
      </w:r>
      <w:r>
        <w:rPr>
          <w:rFonts w:asciiTheme="minorHAnsi" w:hAnsiTheme="minorHAnsi"/>
        </w:rPr>
        <w:t xml:space="preserve"> </w:t>
      </w:r>
      <w:r w:rsidRPr="00CD3D9F">
        <w:rPr>
          <w:rFonts w:asciiTheme="minorHAnsi" w:hAnsiTheme="minorHAnsi"/>
        </w:rPr>
        <w:t>est passé de CHF 69,4 millions au 31</w:t>
      </w:r>
      <w:r>
        <w:rPr>
          <w:rFonts w:asciiTheme="minorHAnsi" w:hAnsiTheme="minorHAnsi"/>
        </w:rPr>
        <w:t> </w:t>
      </w:r>
      <w:r w:rsidRPr="00CD3D9F">
        <w:rPr>
          <w:rFonts w:asciiTheme="minorHAnsi" w:hAnsiTheme="minorHAnsi"/>
        </w:rPr>
        <w:t>décembre 2006 à CHF 50,3 millions au 30 juin 2014, soit une diminution de 28%.</w:t>
      </w:r>
    </w:p>
    <w:p w:rsidR="00863306" w:rsidRPr="00765ADE" w:rsidRDefault="00863306" w:rsidP="00863306">
      <w:pPr>
        <w:tabs>
          <w:tab w:val="clear" w:pos="567"/>
          <w:tab w:val="clear" w:pos="1134"/>
          <w:tab w:val="clear" w:pos="1701"/>
          <w:tab w:val="clear" w:pos="2268"/>
          <w:tab w:val="clear" w:pos="2835"/>
        </w:tabs>
        <w:snapToGrid w:val="0"/>
        <w:spacing w:before="160" w:after="120"/>
        <w:rPr>
          <w:rFonts w:asciiTheme="minorHAnsi" w:hAnsiTheme="minorHAnsi"/>
        </w:rPr>
      </w:pPr>
      <w:r>
        <w:rPr>
          <w:rFonts w:asciiTheme="minorHAnsi" w:hAnsiTheme="minorHAnsi"/>
        </w:rPr>
        <w:t>3.2</w:t>
      </w:r>
      <w:r w:rsidRPr="00765ADE">
        <w:rPr>
          <w:rFonts w:asciiTheme="minorHAnsi" w:hAnsiTheme="minorHAnsi"/>
        </w:rPr>
        <w:tab/>
        <w:t>D’autre part, sur les 9 dernières années, d</w:t>
      </w:r>
      <w:r>
        <w:rPr>
          <w:rFonts w:asciiTheme="minorHAnsi" w:hAnsiTheme="minorHAnsi"/>
        </w:rPr>
        <w:t xml:space="preserve">urant </w:t>
      </w:r>
      <w:r w:rsidRPr="00765ADE">
        <w:rPr>
          <w:rFonts w:asciiTheme="minorHAnsi" w:hAnsiTheme="minorHAnsi"/>
        </w:rPr>
        <w:t>la période du 31 décembre 2006 au 30</w:t>
      </w:r>
      <w:r>
        <w:rPr>
          <w:rFonts w:asciiTheme="minorHAnsi" w:hAnsiTheme="minorHAnsi"/>
        </w:rPr>
        <w:t> </w:t>
      </w:r>
      <w:r w:rsidRPr="00765ADE">
        <w:rPr>
          <w:rFonts w:asciiTheme="minorHAnsi" w:hAnsiTheme="minorHAnsi"/>
        </w:rPr>
        <w:t>juin 2014, le total des arriérés des Etats Membres a connu une considérable diminution de 44%, en passant de CHF 14,2 millions au 31 décembre 2006 à CHF 8 millions au 30 juin 2014.</w:t>
      </w:r>
      <w:r>
        <w:rPr>
          <w:rFonts w:asciiTheme="minorHAnsi" w:hAnsiTheme="minorHAnsi"/>
        </w:rPr>
        <w:t xml:space="preserve"> De même</w:t>
      </w:r>
      <w:r w:rsidRPr="00765ADE">
        <w:rPr>
          <w:rFonts w:asciiTheme="minorHAnsi" w:hAnsiTheme="minorHAnsi"/>
        </w:rPr>
        <w:t>, les arriérés des Membres des Secteurs</w:t>
      </w:r>
      <w:r>
        <w:rPr>
          <w:rFonts w:asciiTheme="minorHAnsi" w:hAnsiTheme="minorHAnsi"/>
        </w:rPr>
        <w:t xml:space="preserve"> </w:t>
      </w:r>
      <w:r w:rsidRPr="00765ADE">
        <w:rPr>
          <w:rFonts w:asciiTheme="minorHAnsi" w:hAnsiTheme="minorHAnsi"/>
        </w:rPr>
        <w:t>ont aussi connu une se</w:t>
      </w:r>
      <w:r>
        <w:rPr>
          <w:rFonts w:asciiTheme="minorHAnsi" w:hAnsiTheme="minorHAnsi"/>
        </w:rPr>
        <w:t>nsible diminution de 29</w:t>
      </w:r>
      <w:r w:rsidRPr="00765ADE">
        <w:rPr>
          <w:rFonts w:asciiTheme="minorHAnsi" w:hAnsiTheme="minorHAnsi"/>
        </w:rPr>
        <w:t>%, en passant de CHF 22 million</w:t>
      </w:r>
      <w:r>
        <w:rPr>
          <w:rFonts w:asciiTheme="minorHAnsi" w:hAnsiTheme="minorHAnsi"/>
        </w:rPr>
        <w:t>s au 31 décembre 2006 à CHF 15,7</w:t>
      </w:r>
      <w:r w:rsidRPr="00765ADE">
        <w:rPr>
          <w:rFonts w:asciiTheme="minorHAnsi" w:hAnsiTheme="minorHAnsi"/>
        </w:rPr>
        <w:t xml:space="preserve"> millions au 30 juin 2014.</w:t>
      </w:r>
    </w:p>
    <w:p w:rsidR="00863306" w:rsidRDefault="00863306" w:rsidP="00863306">
      <w:pPr>
        <w:tabs>
          <w:tab w:val="clear" w:pos="567"/>
          <w:tab w:val="clear" w:pos="1134"/>
          <w:tab w:val="clear" w:pos="1701"/>
          <w:tab w:val="clear" w:pos="2268"/>
          <w:tab w:val="clear" w:pos="2835"/>
        </w:tabs>
        <w:snapToGrid w:val="0"/>
        <w:spacing w:before="160" w:after="120"/>
        <w:rPr>
          <w:rFonts w:asciiTheme="minorHAnsi" w:eastAsia="SimSun" w:hAnsiTheme="minorHAnsi"/>
          <w:lang w:eastAsia="zh-CN"/>
        </w:rPr>
      </w:pPr>
      <w:r>
        <w:rPr>
          <w:rFonts w:asciiTheme="minorHAnsi" w:hAnsiTheme="minorHAnsi"/>
        </w:rPr>
        <w:t>3.3</w:t>
      </w:r>
      <w:r>
        <w:rPr>
          <w:rFonts w:asciiTheme="minorHAnsi" w:hAnsiTheme="minorHAnsi"/>
        </w:rPr>
        <w:tab/>
      </w:r>
      <w:r w:rsidRPr="00765ADE">
        <w:rPr>
          <w:rFonts w:asciiTheme="minorHAnsi" w:hAnsiTheme="minorHAnsi"/>
        </w:rPr>
        <w:t xml:space="preserve">Force est de constater que la mise en œuvre de la Résolution 152 (Rév. Guadalajara, 2010) </w:t>
      </w:r>
      <w:r w:rsidRPr="00765ADE">
        <w:rPr>
          <w:rFonts w:asciiTheme="minorHAnsi" w:eastAsia="SimSun" w:hAnsiTheme="minorHAnsi"/>
          <w:lang w:eastAsia="zh-CN"/>
        </w:rPr>
        <w:t xml:space="preserve">a </w:t>
      </w:r>
      <w:r>
        <w:rPr>
          <w:rFonts w:asciiTheme="minorHAnsi" w:eastAsia="SimSun" w:hAnsiTheme="minorHAnsi"/>
          <w:lang w:eastAsia="zh-CN"/>
        </w:rPr>
        <w:t xml:space="preserve">eu des conséquences positives sur le paiement des contributions, qui se sont traduites par un meilleur taux de recouvrement de celles-ci et, de ce fait, une diminution de la dette des </w:t>
      </w:r>
      <w:r w:rsidRPr="00765ADE">
        <w:rPr>
          <w:rFonts w:asciiTheme="minorHAnsi" w:eastAsia="SimSun" w:hAnsiTheme="minorHAnsi"/>
          <w:lang w:eastAsia="zh-CN"/>
        </w:rPr>
        <w:t>Membres de Secteurs</w:t>
      </w:r>
      <w:r>
        <w:rPr>
          <w:rFonts w:asciiTheme="minorHAnsi" w:eastAsia="SimSun" w:hAnsiTheme="minorHAnsi"/>
          <w:lang w:eastAsia="zh-CN"/>
        </w:rPr>
        <w:t xml:space="preserve"> et des </w:t>
      </w:r>
      <w:r w:rsidRPr="00765ADE">
        <w:rPr>
          <w:rFonts w:asciiTheme="minorHAnsi" w:eastAsia="SimSun" w:hAnsiTheme="minorHAnsi"/>
          <w:lang w:eastAsia="zh-CN"/>
        </w:rPr>
        <w:t>Associés</w:t>
      </w:r>
      <w:r>
        <w:rPr>
          <w:rFonts w:asciiTheme="minorHAnsi" w:eastAsia="SimSun" w:hAnsiTheme="minorHAnsi"/>
          <w:lang w:eastAsia="zh-CN"/>
        </w:rPr>
        <w:t xml:space="preserve">. </w:t>
      </w:r>
      <w:r w:rsidRPr="00765ADE">
        <w:rPr>
          <w:rFonts w:asciiTheme="minorHAnsi" w:eastAsia="SimSun" w:hAnsiTheme="minorHAnsi"/>
          <w:lang w:eastAsia="zh-CN"/>
        </w:rPr>
        <w:t xml:space="preserve">Néanmoins, </w:t>
      </w:r>
      <w:r>
        <w:rPr>
          <w:rFonts w:asciiTheme="minorHAnsi" w:eastAsia="SimSun" w:hAnsiTheme="minorHAnsi"/>
          <w:lang w:eastAsia="zh-CN"/>
        </w:rPr>
        <w:t xml:space="preserve">depuis que la Résolution 152 </w:t>
      </w:r>
      <w:r w:rsidRPr="00765ADE">
        <w:rPr>
          <w:rFonts w:asciiTheme="minorHAnsi" w:eastAsia="SimSun" w:hAnsiTheme="minorHAnsi"/>
          <w:lang w:eastAsia="zh-CN"/>
        </w:rPr>
        <w:t>est entrée en vigueur</w:t>
      </w:r>
      <w:r>
        <w:rPr>
          <w:rFonts w:asciiTheme="minorHAnsi" w:eastAsia="SimSun" w:hAnsiTheme="minorHAnsi"/>
          <w:lang w:eastAsia="zh-CN"/>
        </w:rPr>
        <w:t xml:space="preserve"> </w:t>
      </w:r>
      <w:r w:rsidRPr="00EA4D5C">
        <w:rPr>
          <w:rFonts w:asciiTheme="minorHAnsi" w:eastAsia="SimSun" w:hAnsiTheme="minorHAnsi"/>
          <w:lang w:eastAsia="zh-CN"/>
        </w:rPr>
        <w:t>jusqu’au 30 juin 2014, 162</w:t>
      </w:r>
      <w:r>
        <w:rPr>
          <w:rFonts w:asciiTheme="minorHAnsi" w:eastAsia="SimSun" w:hAnsiTheme="minorHAnsi"/>
          <w:lang w:eastAsia="zh-CN"/>
        </w:rPr>
        <w:t xml:space="preserve"> entités (Membres de Secteurs, Associés et Etablissements universitaires), </w:t>
      </w:r>
      <w:r w:rsidRPr="00EA4D5C">
        <w:rPr>
          <w:rFonts w:asciiTheme="minorHAnsi" w:eastAsia="SimSun" w:hAnsiTheme="minorHAnsi"/>
          <w:lang w:eastAsia="zh-CN"/>
        </w:rPr>
        <w:t xml:space="preserve">ont été radiés pour non-paiement de leurs contributions. </w:t>
      </w:r>
      <w:r>
        <w:rPr>
          <w:rFonts w:asciiTheme="minorHAnsi" w:eastAsia="SimSun" w:hAnsiTheme="minorHAnsi"/>
          <w:lang w:eastAsia="zh-CN"/>
        </w:rPr>
        <w:t xml:space="preserve">Le Secrétariat tient toutefois à souligner les difficultés rencontrées pour recouvrer les dettes pour les entités </w:t>
      </w:r>
      <w:r w:rsidRPr="004903B3">
        <w:rPr>
          <w:rFonts w:asciiTheme="minorHAnsi" w:eastAsia="SimSun" w:hAnsiTheme="minorHAnsi"/>
          <w:lang w:eastAsia="zh-CN"/>
        </w:rPr>
        <w:t>radiées faute de mécanismes incitatifs à travers des solutions de négociation.</w:t>
      </w:r>
    </w:p>
    <w:p w:rsidR="00863306" w:rsidRPr="004903B3" w:rsidRDefault="00863306" w:rsidP="00863306">
      <w:pPr>
        <w:tabs>
          <w:tab w:val="clear" w:pos="567"/>
          <w:tab w:val="clear" w:pos="1134"/>
          <w:tab w:val="clear" w:pos="1701"/>
          <w:tab w:val="clear" w:pos="2268"/>
          <w:tab w:val="clear" w:pos="2835"/>
        </w:tabs>
        <w:snapToGrid w:val="0"/>
        <w:spacing w:before="160" w:after="120"/>
        <w:rPr>
          <w:rFonts w:asciiTheme="minorHAnsi" w:eastAsia="SimSun" w:hAnsiTheme="minorHAnsi"/>
          <w:lang w:eastAsia="zh-CN"/>
        </w:rPr>
      </w:pPr>
      <w:r>
        <w:rPr>
          <w:rFonts w:eastAsia="SimSun"/>
          <w:lang w:eastAsia="zh-CN"/>
        </w:rPr>
        <w:t>3.4</w:t>
      </w:r>
      <w:r>
        <w:rPr>
          <w:rFonts w:eastAsia="SimSun"/>
          <w:lang w:eastAsia="zh-CN"/>
        </w:rPr>
        <w:tab/>
      </w:r>
      <w:r w:rsidRPr="001B6FFA">
        <w:rPr>
          <w:rFonts w:eastAsia="SimSun"/>
          <w:lang w:eastAsia="zh-CN"/>
        </w:rPr>
        <w:t>A cet égard, le Secrétariat de l’Union demande aux Administrations de continuer à lui fournir un</w:t>
      </w:r>
      <w:r w:rsidRPr="004903B3">
        <w:rPr>
          <w:rFonts w:asciiTheme="minorHAnsi" w:eastAsia="SimSun" w:hAnsiTheme="minorHAnsi"/>
          <w:lang w:eastAsia="zh-CN"/>
        </w:rPr>
        <w:t xml:space="preserve"> appui continu pour recouvrer les dettes</w:t>
      </w:r>
      <w:r>
        <w:rPr>
          <w:rFonts w:asciiTheme="minorHAnsi" w:eastAsia="SimSun" w:hAnsiTheme="minorHAnsi"/>
          <w:lang w:eastAsia="zh-CN"/>
        </w:rPr>
        <w:t xml:space="preserve">. </w:t>
      </w:r>
      <w:r w:rsidRPr="004903B3">
        <w:rPr>
          <w:lang w:val="fr-CH"/>
        </w:rPr>
        <w:t>L’expérience démontre que l’intervention des Administrations joue un rôle clé et déterminant au niveau des entités ayant des arriérés envers l’Union.</w:t>
      </w:r>
    </w:p>
    <w:p w:rsidR="00863306" w:rsidRPr="00FE4485" w:rsidRDefault="00863306" w:rsidP="00863306">
      <w:pPr>
        <w:pStyle w:val="listitem"/>
        <w:tabs>
          <w:tab w:val="clear" w:pos="794"/>
          <w:tab w:val="clear" w:pos="1191"/>
          <w:tab w:val="clear" w:pos="1588"/>
          <w:tab w:val="clear" w:pos="1985"/>
        </w:tabs>
        <w:snapToGrid w:val="0"/>
        <w:spacing w:before="160" w:after="120"/>
        <w:rPr>
          <w:rFonts w:asciiTheme="minorHAnsi" w:hAnsiTheme="minorHAnsi"/>
        </w:rPr>
      </w:pPr>
      <w:r w:rsidRPr="00FE4485">
        <w:rPr>
          <w:rFonts w:asciiTheme="minorHAnsi" w:hAnsiTheme="minorHAnsi"/>
        </w:rPr>
        <w:t>3.</w:t>
      </w:r>
      <w:r>
        <w:rPr>
          <w:rFonts w:asciiTheme="minorHAnsi" w:hAnsiTheme="minorHAnsi"/>
        </w:rPr>
        <w:t>5</w:t>
      </w:r>
      <w:r w:rsidRPr="00FE4485">
        <w:rPr>
          <w:rFonts w:asciiTheme="minorHAnsi" w:hAnsiTheme="minorHAnsi"/>
        </w:rPr>
        <w:tab/>
        <w:t>On trouvera aux Annexes A, B, C, D et E des précisions sur l’évolution et sur l’état des arriérés, des comptes spéciaux d’arriérés et comptes spéciaux d’arriérés supprimés.</w:t>
      </w:r>
    </w:p>
    <w:p w:rsidR="00863306" w:rsidRPr="00C3715C" w:rsidRDefault="00863306" w:rsidP="00A10D73">
      <w:pPr>
        <w:tabs>
          <w:tab w:val="clear" w:pos="567"/>
          <w:tab w:val="clear" w:pos="1134"/>
          <w:tab w:val="clear" w:pos="1701"/>
          <w:tab w:val="clear" w:pos="2268"/>
          <w:tab w:val="clear" w:pos="2835"/>
        </w:tabs>
        <w:snapToGrid w:val="0"/>
        <w:spacing w:before="160" w:after="120"/>
        <w:rPr>
          <w:rFonts w:asciiTheme="minorHAnsi" w:hAnsiTheme="minorHAnsi"/>
        </w:rPr>
      </w:pPr>
      <w:r w:rsidRPr="00C3715C">
        <w:rPr>
          <w:rFonts w:asciiTheme="minorHAnsi" w:hAnsiTheme="minorHAnsi"/>
        </w:rPr>
        <w:t>3.</w:t>
      </w:r>
      <w:r>
        <w:rPr>
          <w:rFonts w:asciiTheme="minorHAnsi" w:hAnsiTheme="minorHAnsi"/>
        </w:rPr>
        <w:t>6</w:t>
      </w:r>
      <w:r w:rsidRPr="00C3715C">
        <w:rPr>
          <w:rFonts w:asciiTheme="minorHAnsi" w:hAnsiTheme="minorHAnsi"/>
        </w:rPr>
        <w:tab/>
        <w:t>En application des dispositions de la Résolution 41 (Rév. Guadalajara, 2010), au 30</w:t>
      </w:r>
      <w:r w:rsidR="00A10D73">
        <w:rPr>
          <w:rFonts w:asciiTheme="minorHAnsi" w:hAnsiTheme="minorHAnsi"/>
        </w:rPr>
        <w:t> </w:t>
      </w:r>
      <w:r w:rsidRPr="00C3715C">
        <w:rPr>
          <w:rFonts w:asciiTheme="minorHAnsi" w:hAnsiTheme="minorHAnsi"/>
        </w:rPr>
        <w:t>juin 2014, onze comptes spéciaux ont été supprimés</w:t>
      </w:r>
      <w:r>
        <w:rPr>
          <w:rFonts w:asciiTheme="minorHAnsi" w:hAnsiTheme="minorHAnsi"/>
        </w:rPr>
        <w:t xml:space="preserve"> (cf. Annexe E, No 2)</w:t>
      </w:r>
      <w:r w:rsidRPr="00C3715C">
        <w:rPr>
          <w:rFonts w:asciiTheme="minorHAnsi" w:hAnsiTheme="minorHAnsi"/>
        </w:rPr>
        <w:t>. Les sept Etats Membres concernés (Centrafricaine</w:t>
      </w:r>
      <w:r>
        <w:rPr>
          <w:rFonts w:asciiTheme="minorHAnsi" w:hAnsiTheme="minorHAnsi"/>
        </w:rPr>
        <w:t xml:space="preserve"> (Rép.)</w:t>
      </w:r>
      <w:r w:rsidRPr="00C3715C">
        <w:rPr>
          <w:rFonts w:asciiTheme="minorHAnsi" w:hAnsiTheme="minorHAnsi"/>
        </w:rPr>
        <w:t xml:space="preserve">, </w:t>
      </w:r>
      <w:r w:rsidRPr="004F23F3">
        <w:rPr>
          <w:rFonts w:asciiTheme="minorHAnsi" w:hAnsiTheme="minorHAnsi"/>
        </w:rPr>
        <w:t>Congo (Rép. du), Gam</w:t>
      </w:r>
      <w:r w:rsidRPr="00C3715C">
        <w:rPr>
          <w:rFonts w:asciiTheme="minorHAnsi" w:hAnsiTheme="minorHAnsi"/>
        </w:rPr>
        <w:t xml:space="preserve">bie, Honduras, Libéria, Nicaragua et Somalie) ainsi que les quatre Compagnies/Organisations concernées (Bay Microsystems et </w:t>
      </w:r>
      <w:r w:rsidRPr="00C3715C">
        <w:rPr>
          <w:rFonts w:asciiTheme="minorHAnsi" w:hAnsiTheme="minorHAnsi"/>
        </w:rPr>
        <w:lastRenderedPageBreak/>
        <w:t>TranSwitch Corporation des Etats-Unis, Vodafone Omnitel N.V. de l’Italie et TIT du Liban) sont donc dans l’obligation de négocier un plan d’amortissement de leurs dettes conformément aux lignes directrices fixées par le Conseil.</w:t>
      </w:r>
    </w:p>
    <w:p w:rsidR="00863306" w:rsidRPr="00A852F0" w:rsidRDefault="00863306" w:rsidP="00A10D73">
      <w:pPr>
        <w:tabs>
          <w:tab w:val="clear" w:pos="567"/>
          <w:tab w:val="clear" w:pos="1134"/>
          <w:tab w:val="clear" w:pos="1701"/>
          <w:tab w:val="clear" w:pos="2268"/>
          <w:tab w:val="clear" w:pos="2835"/>
        </w:tabs>
        <w:snapToGrid w:val="0"/>
        <w:spacing w:before="160" w:after="120"/>
        <w:rPr>
          <w:rFonts w:asciiTheme="minorHAnsi" w:hAnsiTheme="minorHAnsi"/>
          <w:szCs w:val="24"/>
        </w:rPr>
      </w:pPr>
      <w:r w:rsidRPr="00A852F0">
        <w:rPr>
          <w:rFonts w:asciiTheme="minorHAnsi" w:hAnsiTheme="minorHAnsi"/>
          <w:szCs w:val="24"/>
        </w:rPr>
        <w:t>3.</w:t>
      </w:r>
      <w:r>
        <w:rPr>
          <w:rFonts w:asciiTheme="minorHAnsi" w:hAnsiTheme="minorHAnsi"/>
          <w:szCs w:val="24"/>
        </w:rPr>
        <w:t>7</w:t>
      </w:r>
      <w:r w:rsidRPr="00A852F0">
        <w:rPr>
          <w:rFonts w:asciiTheme="minorHAnsi" w:hAnsiTheme="minorHAnsi"/>
          <w:szCs w:val="24"/>
        </w:rPr>
        <w:tab/>
        <w:t xml:space="preserve">De nombreux plans d’amortissement ont été signés depuis la Conférence de plénipotentiaires de 2010. Au 30 juin 2014, </w:t>
      </w:r>
      <w:r>
        <w:rPr>
          <w:rFonts w:asciiTheme="minorHAnsi" w:hAnsiTheme="minorHAnsi"/>
          <w:szCs w:val="24"/>
        </w:rPr>
        <w:t xml:space="preserve">(cf. Annexe E, No 1), </w:t>
      </w:r>
      <w:r w:rsidRPr="00A852F0">
        <w:rPr>
          <w:rFonts w:asciiTheme="minorHAnsi" w:hAnsiTheme="minorHAnsi"/>
          <w:szCs w:val="24"/>
        </w:rPr>
        <w:t xml:space="preserve">il y avait neuf plans d’amortissement signés entre l’UIT et des Etats Membres (Bénin, Bolivie, Cambodge, Comores, Grenade, Guinée-Bissau, Sierra Leone, Soudan et Tadjikistan), et quatre plans signés avec des Membres de Secteurs et des Associés (CYNAPSYS (Turquie), Cameroon Telecommunications (Cameroun), Ellipsat (Etats-Unis) et IMPACT (Malaisie). Parmi les 9 plans d’amortissement signés avec des Etats Membres, six appartiennent à </w:t>
      </w:r>
      <w:r>
        <w:rPr>
          <w:rFonts w:asciiTheme="minorHAnsi" w:hAnsiTheme="minorHAnsi"/>
          <w:szCs w:val="24"/>
        </w:rPr>
        <w:t xml:space="preserve">la catégorie </w:t>
      </w:r>
      <w:r w:rsidRPr="00A852F0">
        <w:rPr>
          <w:rFonts w:asciiTheme="minorHAnsi" w:hAnsiTheme="minorHAnsi"/>
          <w:szCs w:val="24"/>
        </w:rPr>
        <w:t>des Pays</w:t>
      </w:r>
      <w:r>
        <w:rPr>
          <w:rFonts w:asciiTheme="minorHAnsi" w:hAnsiTheme="minorHAnsi"/>
          <w:szCs w:val="24"/>
        </w:rPr>
        <w:t xml:space="preserve"> les</w:t>
      </w:r>
      <w:r w:rsidRPr="00A852F0">
        <w:rPr>
          <w:rFonts w:asciiTheme="minorHAnsi" w:hAnsiTheme="minorHAnsi"/>
          <w:szCs w:val="24"/>
        </w:rPr>
        <w:t xml:space="preserve"> moins avancés (PMAs), lesquels peuvent bénéficier d’un délai maximum de quinze ans pour régler leur dette. En application des dispositions de la Résolution 41 (Rév. Guadalajara</w:t>
      </w:r>
      <w:r>
        <w:rPr>
          <w:rFonts w:asciiTheme="minorHAnsi" w:hAnsiTheme="minorHAnsi"/>
          <w:szCs w:val="24"/>
        </w:rPr>
        <w:t>,</w:t>
      </w:r>
      <w:r w:rsidRPr="00A852F0">
        <w:rPr>
          <w:rFonts w:asciiTheme="minorHAnsi" w:hAnsiTheme="minorHAnsi"/>
          <w:szCs w:val="24"/>
        </w:rPr>
        <w:t xml:space="preserve"> 2010), le Bénin et le Tadjikistan ont signé des plans d’amortissement d’une durée de dix ans en 2011. Tandis que le</w:t>
      </w:r>
      <w:r w:rsidR="000D31EE">
        <w:rPr>
          <w:rFonts w:asciiTheme="minorHAnsi" w:hAnsiTheme="minorHAnsi"/>
          <w:szCs w:val="24"/>
        </w:rPr>
        <w:t>s</w:t>
      </w:r>
      <w:r w:rsidRPr="00A852F0">
        <w:rPr>
          <w:rFonts w:asciiTheme="minorHAnsi" w:hAnsiTheme="minorHAnsi"/>
          <w:szCs w:val="24"/>
        </w:rPr>
        <w:t xml:space="preserve"> Comores, la Guinée-Bissau et la Sierra Leone ont signé des plans d’une durée de quinze ans en 2012. Le</w:t>
      </w:r>
      <w:r w:rsidR="00A10D73">
        <w:rPr>
          <w:rFonts w:asciiTheme="minorHAnsi" w:hAnsiTheme="minorHAnsi"/>
          <w:szCs w:val="24"/>
        </w:rPr>
        <w:t> </w:t>
      </w:r>
      <w:r w:rsidRPr="00A852F0">
        <w:rPr>
          <w:rFonts w:asciiTheme="minorHAnsi" w:hAnsiTheme="minorHAnsi"/>
        </w:rPr>
        <w:t>Secrétaire général a également signé deux plans d</w:t>
      </w:r>
      <w:r w:rsidRPr="00A852F0">
        <w:rPr>
          <w:rFonts w:asciiTheme="minorHAnsi" w:hAnsiTheme="minorHAnsi"/>
          <w:lang w:val="fr-CH"/>
        </w:rPr>
        <w:t>’amortissement d’une durée de cinq ans avec CYNAPSYS (Turquie) et NARSDA (Nigéria) en 2012 ; deux plans d’amortissement de cinq ans avec Cameroon Telecommunications (Cameroun) et Ellipsat (Etats-Unis) en 2013 ; et un plan d’</w:t>
      </w:r>
      <w:r>
        <w:rPr>
          <w:rFonts w:asciiTheme="minorHAnsi" w:hAnsiTheme="minorHAnsi"/>
          <w:lang w:val="fr-CH"/>
        </w:rPr>
        <w:t>amortissement de six mois</w:t>
      </w:r>
      <w:r w:rsidRPr="00A852F0">
        <w:rPr>
          <w:rFonts w:asciiTheme="minorHAnsi" w:hAnsiTheme="minorHAnsi"/>
          <w:lang w:val="fr-CH"/>
        </w:rPr>
        <w:t xml:space="preserve"> avec IMPACT (Malaisie) en 2014. La compagnie NARSDA du Nigéria a terminé de payer la totalité du capital de sa dette avant le délai fixé de cinq ans. De ce fait, une demande de passation par pertes et profits des intérêts moratoires a été présentée au Conseil de 2014</w:t>
      </w:r>
      <w:r>
        <w:rPr>
          <w:rFonts w:asciiTheme="minorHAnsi" w:hAnsiTheme="minorHAnsi"/>
          <w:lang w:val="fr-CH"/>
        </w:rPr>
        <w:t xml:space="preserve"> et acceptée par ce dernier</w:t>
      </w:r>
      <w:r w:rsidRPr="00A852F0">
        <w:rPr>
          <w:rFonts w:asciiTheme="minorHAnsi" w:hAnsiTheme="minorHAnsi"/>
          <w:lang w:val="fr-CH"/>
        </w:rPr>
        <w:t>.</w:t>
      </w:r>
    </w:p>
    <w:p w:rsidR="00863306" w:rsidRPr="00E047AB" w:rsidRDefault="00863306" w:rsidP="00863306">
      <w:pPr>
        <w:tabs>
          <w:tab w:val="clear" w:pos="567"/>
          <w:tab w:val="clear" w:pos="1134"/>
          <w:tab w:val="clear" w:pos="1701"/>
          <w:tab w:val="clear" w:pos="2268"/>
          <w:tab w:val="clear" w:pos="2835"/>
        </w:tabs>
        <w:overflowPunct/>
        <w:snapToGrid w:val="0"/>
        <w:spacing w:before="160" w:after="120"/>
        <w:ind w:right="-266"/>
        <w:textAlignment w:val="auto"/>
        <w:rPr>
          <w:rFonts w:asciiTheme="minorHAnsi" w:eastAsia="SimSun" w:hAnsiTheme="minorHAnsi"/>
          <w:szCs w:val="24"/>
          <w:lang w:eastAsia="zh-CN"/>
        </w:rPr>
      </w:pPr>
      <w:r w:rsidRPr="00E047AB">
        <w:rPr>
          <w:rFonts w:asciiTheme="minorHAnsi" w:hAnsiTheme="minorHAnsi"/>
        </w:rPr>
        <w:t>3.</w:t>
      </w:r>
      <w:r>
        <w:rPr>
          <w:rFonts w:asciiTheme="minorHAnsi" w:hAnsiTheme="minorHAnsi"/>
        </w:rPr>
        <w:t>8</w:t>
      </w:r>
      <w:r w:rsidRPr="00E047AB">
        <w:rPr>
          <w:rFonts w:asciiTheme="minorHAnsi" w:hAnsiTheme="minorHAnsi"/>
        </w:rPr>
        <w:tab/>
      </w:r>
      <w:r w:rsidRPr="00E047AB">
        <w:rPr>
          <w:rFonts w:asciiTheme="minorHAnsi" w:eastAsia="SimSun" w:hAnsiTheme="minorHAnsi"/>
          <w:szCs w:val="24"/>
          <w:lang w:eastAsia="zh-CN"/>
        </w:rPr>
        <w:t xml:space="preserve">Concernant les fiches de notification des réseaux </w:t>
      </w:r>
      <w:r w:rsidRPr="00E047AB">
        <w:rPr>
          <w:rFonts w:asciiTheme="minorHAnsi" w:eastAsia="SimSun" w:hAnsiTheme="minorHAnsi"/>
          <w:szCs w:val="24"/>
          <w:lang w:val="fr-CH" w:eastAsia="zh-CN"/>
        </w:rPr>
        <w:t xml:space="preserve">à satellite, conformément à la </w:t>
      </w:r>
      <w:hyperlink r:id="rId16" w:history="1">
        <w:r w:rsidRPr="00A461A2">
          <w:rPr>
            <w:rStyle w:val="Hyperlink"/>
            <w:rFonts w:asciiTheme="minorHAnsi" w:eastAsia="SimSun" w:hAnsiTheme="minorHAnsi"/>
            <w:szCs w:val="24"/>
            <w:lang w:eastAsia="zh-CN"/>
          </w:rPr>
          <w:t>Décision 545</w:t>
        </w:r>
      </w:hyperlink>
      <w:r w:rsidRPr="00E047AB">
        <w:rPr>
          <w:rFonts w:asciiTheme="minorHAnsi" w:eastAsia="SimSun" w:hAnsiTheme="minorHAnsi"/>
          <w:szCs w:val="24"/>
          <w:lang w:eastAsia="zh-CN"/>
        </w:rPr>
        <w:t xml:space="preserve"> du Conseil (2007), sur les 28 Administrations/opérateurs qui ont eu droit à une révision de leurs factures, 23 ont réglé leur dette et une entité a signé un accord d’</w:t>
      </w:r>
      <w:r>
        <w:rPr>
          <w:rFonts w:asciiTheme="minorHAnsi" w:eastAsia="SimSun" w:hAnsiTheme="minorHAnsi"/>
          <w:szCs w:val="24"/>
          <w:lang w:eastAsia="zh-CN"/>
        </w:rPr>
        <w:t>amortissement en 2013 (Ellip</w:t>
      </w:r>
      <w:r w:rsidRPr="00E047AB">
        <w:rPr>
          <w:rFonts w:asciiTheme="minorHAnsi" w:eastAsia="SimSun" w:hAnsiTheme="minorHAnsi"/>
          <w:szCs w:val="24"/>
          <w:lang w:eastAsia="zh-CN"/>
        </w:rPr>
        <w:t>sat, Etats-Unis). Néanmoins, trois administrations/opérateurs restent toujours redevables de leur dette au 30 juin 2014: Global Information Systems GIS, Fédération de Russie (CHF 281 003,01) ; General Radio Frequency Centre, Fédération de Russie (CHF 14 894,45) et Commission on Information and Communications Technology-CICT, Philippines (CHF 9 188,45).</w:t>
      </w:r>
    </w:p>
    <w:p w:rsidR="00863306" w:rsidRPr="00AE2AC3" w:rsidRDefault="00863306" w:rsidP="00863306">
      <w:pPr>
        <w:tabs>
          <w:tab w:val="clear" w:pos="567"/>
          <w:tab w:val="clear" w:pos="1134"/>
          <w:tab w:val="clear" w:pos="1701"/>
          <w:tab w:val="clear" w:pos="2268"/>
          <w:tab w:val="clear" w:pos="2835"/>
        </w:tabs>
        <w:snapToGrid w:val="0"/>
        <w:spacing w:before="160" w:after="120"/>
      </w:pPr>
      <w:r w:rsidRPr="00C93D67">
        <w:rPr>
          <w:rFonts w:asciiTheme="minorHAnsi" w:hAnsiTheme="minorHAnsi"/>
        </w:rPr>
        <w:t>3.</w:t>
      </w:r>
      <w:r>
        <w:rPr>
          <w:rFonts w:asciiTheme="minorHAnsi" w:hAnsiTheme="minorHAnsi"/>
        </w:rPr>
        <w:t>9</w:t>
      </w:r>
      <w:r w:rsidRPr="00C93D67">
        <w:rPr>
          <w:rFonts w:asciiTheme="minorHAnsi" w:hAnsiTheme="minorHAnsi"/>
        </w:rPr>
        <w:tab/>
      </w:r>
      <w:r w:rsidRPr="00C93D67">
        <w:t xml:space="preserve">Selon la Résolution 41 (Rév. Guadalajara, 2010), le Conseil a été chargé d'examiner le niveau </w:t>
      </w:r>
      <w:r w:rsidRPr="00AE6B88">
        <w:t>de la Provision pour comptes débiteurs, d'en assurer la couverture appropriée et de faire rapport à la prochaine Conférence de plénipotentiaires sur les résultats obtenus en application de cette Résolution. A partir de 2009, suite à l'introduction des normes IPSAS, de nouveaux principes d'établissement de la Provision pour comptes débiteurs ont été mis en p</w:t>
      </w:r>
      <w:r>
        <w:t>lace. Au 31 décembre 2013</w:t>
      </w:r>
      <w:r w:rsidRPr="00AE6B88">
        <w:t xml:space="preserve">, le montant de la Provision se chiffrait </w:t>
      </w:r>
      <w:r w:rsidRPr="00CF7EF8">
        <w:t>à</w:t>
      </w:r>
      <w:r>
        <w:t xml:space="preserve"> CHF </w:t>
      </w:r>
      <w:r w:rsidRPr="00CF7EF8">
        <w:t xml:space="preserve"> 56,9 millions et </w:t>
      </w:r>
      <w:r w:rsidRPr="00AE6B88">
        <w:t xml:space="preserve">couvrait 100% des montants qui devaient être pris en compte dans la Provision selon les nouveaux principes mentionnés ci-dessus. Dorénavant, le montant de la Provision pour comptes débiteurs </w:t>
      </w:r>
      <w:r>
        <w:t>est</w:t>
      </w:r>
      <w:r w:rsidRPr="00AE6B88">
        <w:t xml:space="preserve"> systématiquement réévalué au 31 décembre de chaque année. Il convient de noter que cette couverture à 100% n'exonère pas les Etats Membres, les Membres de Secteur</w:t>
      </w:r>
      <w:r>
        <w:t>,</w:t>
      </w:r>
      <w:r w:rsidRPr="00AE6B88">
        <w:t xml:space="preserve"> les Associés </w:t>
      </w:r>
      <w:r>
        <w:t xml:space="preserve">et les Etablissements universitaires </w:t>
      </w:r>
      <w:r w:rsidRPr="00AE6B88">
        <w:t>de leurs engagements envers l'Union.</w:t>
      </w:r>
    </w:p>
    <w:p w:rsidR="00863306" w:rsidRDefault="00863306" w:rsidP="0086330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rPr>
      </w:pPr>
      <w:r>
        <w:rPr>
          <w:rFonts w:asciiTheme="minorHAnsi" w:hAnsiTheme="minorHAnsi"/>
        </w:rPr>
        <w:br w:type="page"/>
      </w:r>
    </w:p>
    <w:p w:rsidR="00863306" w:rsidRPr="00247549" w:rsidRDefault="00863306" w:rsidP="00863306">
      <w:pPr>
        <w:pStyle w:val="Heading2"/>
        <w:keepLines w:val="0"/>
        <w:tabs>
          <w:tab w:val="clear" w:pos="567"/>
          <w:tab w:val="clear" w:pos="1134"/>
          <w:tab w:val="clear" w:pos="1701"/>
          <w:tab w:val="clear" w:pos="2268"/>
          <w:tab w:val="clear" w:pos="2835"/>
        </w:tabs>
        <w:spacing w:before="0"/>
        <w:ind w:left="0" w:firstLine="0"/>
        <w:rPr>
          <w:rFonts w:asciiTheme="minorHAnsi" w:hAnsiTheme="minorHAnsi"/>
        </w:rPr>
      </w:pPr>
      <w:r w:rsidRPr="00247549">
        <w:rPr>
          <w:rFonts w:asciiTheme="minorHAnsi" w:hAnsiTheme="minorHAnsi"/>
        </w:rPr>
        <w:lastRenderedPageBreak/>
        <w:t>4</w:t>
      </w:r>
      <w:r w:rsidRPr="00247549">
        <w:rPr>
          <w:rFonts w:asciiTheme="minorHAnsi" w:hAnsiTheme="minorHAnsi"/>
        </w:rPr>
        <w:tab/>
        <w:t>Recommandations</w:t>
      </w:r>
    </w:p>
    <w:p w:rsidR="00863306" w:rsidRPr="00FE4485" w:rsidRDefault="00863306" w:rsidP="00863306">
      <w:pPr>
        <w:tabs>
          <w:tab w:val="clear" w:pos="567"/>
          <w:tab w:val="clear" w:pos="1134"/>
          <w:tab w:val="clear" w:pos="1701"/>
          <w:tab w:val="clear" w:pos="2268"/>
          <w:tab w:val="clear" w:pos="2835"/>
        </w:tabs>
        <w:spacing w:before="160" w:after="120"/>
        <w:rPr>
          <w:rFonts w:asciiTheme="minorHAnsi" w:hAnsiTheme="minorHAnsi"/>
        </w:rPr>
      </w:pPr>
      <w:r w:rsidRPr="00FE4485">
        <w:rPr>
          <w:rFonts w:asciiTheme="minorHAnsi" w:hAnsiTheme="minorHAnsi"/>
        </w:rPr>
        <w:t>4.1</w:t>
      </w:r>
      <w:r w:rsidRPr="00FE4485">
        <w:rPr>
          <w:rFonts w:asciiTheme="minorHAnsi" w:hAnsiTheme="minorHAnsi"/>
        </w:rPr>
        <w:tab/>
        <w:t xml:space="preserve">La Conférence de plénipotentiaires est priée, </w:t>
      </w:r>
      <w:r w:rsidRPr="00863306">
        <w:rPr>
          <w:rFonts w:asciiTheme="minorHAnsi" w:hAnsiTheme="minorHAnsi"/>
          <w:spacing w:val="-2"/>
        </w:rPr>
        <w:t>à la lumière du contenu du présent document :</w:t>
      </w:r>
    </w:p>
    <w:p w:rsidR="00863306" w:rsidRPr="004D5B18" w:rsidRDefault="00863306" w:rsidP="00863306">
      <w:pPr>
        <w:pStyle w:val="RefText0"/>
        <w:tabs>
          <w:tab w:val="clear" w:pos="794"/>
          <w:tab w:val="clear" w:pos="1191"/>
          <w:tab w:val="clear" w:pos="1588"/>
          <w:tab w:val="clear" w:pos="1985"/>
        </w:tabs>
        <w:spacing w:after="120"/>
        <w:ind w:left="1276" w:hanging="567"/>
        <w:rPr>
          <w:rFonts w:asciiTheme="minorHAnsi" w:hAnsiTheme="minorHAnsi"/>
        </w:rPr>
      </w:pPr>
      <w:r w:rsidRPr="00FE4485">
        <w:rPr>
          <w:rFonts w:asciiTheme="minorHAnsi" w:hAnsiTheme="minorHAnsi"/>
        </w:rPr>
        <w:t>1)</w:t>
      </w:r>
      <w:r w:rsidRPr="00FE4485">
        <w:rPr>
          <w:rFonts w:asciiTheme="minorHAnsi" w:hAnsiTheme="minorHAnsi"/>
        </w:rPr>
        <w:tab/>
      </w:r>
      <w:r w:rsidRPr="004D5B18">
        <w:rPr>
          <w:rFonts w:asciiTheme="minorHAnsi" w:hAnsiTheme="minorHAnsi"/>
        </w:rPr>
        <w:t>de modifier la Résolution 41 en ce qui concerne le niveau de la provision des débiteurs. Depuis la mise en place des normes IPSAS au 1</w:t>
      </w:r>
      <w:r w:rsidRPr="004D5B18">
        <w:rPr>
          <w:rFonts w:asciiTheme="minorHAnsi" w:hAnsiTheme="minorHAnsi"/>
          <w:vertAlign w:val="superscript"/>
        </w:rPr>
        <w:t>er</w:t>
      </w:r>
      <w:r w:rsidRPr="004D5B18">
        <w:rPr>
          <w:rFonts w:asciiTheme="minorHAnsi" w:hAnsiTheme="minorHAnsi"/>
        </w:rPr>
        <w:t xml:space="preserve"> janvier 2010, le niveau de la Provision des débiteurs </w:t>
      </w:r>
      <w:r>
        <w:rPr>
          <w:rFonts w:asciiTheme="minorHAnsi" w:hAnsiTheme="minorHAnsi"/>
        </w:rPr>
        <w:t xml:space="preserve">est </w:t>
      </w:r>
      <w:r w:rsidRPr="004D5B18">
        <w:rPr>
          <w:rFonts w:asciiTheme="minorHAnsi" w:hAnsiTheme="minorHAnsi"/>
        </w:rPr>
        <w:t xml:space="preserve">maintenu </w:t>
      </w:r>
      <w:r>
        <w:rPr>
          <w:rFonts w:asciiTheme="minorHAnsi" w:hAnsiTheme="minorHAnsi"/>
          <w:lang w:bidi="ar-EG"/>
        </w:rPr>
        <w:t xml:space="preserve">à </w:t>
      </w:r>
      <w:r w:rsidRPr="004D5B18">
        <w:rPr>
          <w:rFonts w:asciiTheme="minorHAnsi" w:hAnsiTheme="minorHAnsi"/>
        </w:rPr>
        <w:t>100%</w:t>
      </w:r>
      <w:r>
        <w:rPr>
          <w:rFonts w:asciiTheme="minorHAnsi" w:hAnsiTheme="minorHAnsi"/>
        </w:rPr>
        <w:t> ;</w:t>
      </w:r>
    </w:p>
    <w:p w:rsidR="00863306" w:rsidRPr="00FE4485" w:rsidRDefault="00863306" w:rsidP="00863306">
      <w:pPr>
        <w:pStyle w:val="RefText0"/>
        <w:tabs>
          <w:tab w:val="clear" w:pos="794"/>
          <w:tab w:val="clear" w:pos="1191"/>
          <w:tab w:val="clear" w:pos="1588"/>
          <w:tab w:val="clear" w:pos="1985"/>
        </w:tabs>
        <w:spacing w:after="120"/>
        <w:ind w:left="1276" w:hanging="567"/>
        <w:rPr>
          <w:rFonts w:asciiTheme="minorHAnsi" w:hAnsiTheme="minorHAnsi"/>
        </w:rPr>
      </w:pPr>
      <w:r w:rsidRPr="00FE4485">
        <w:rPr>
          <w:rFonts w:asciiTheme="minorHAnsi" w:hAnsiTheme="minorHAnsi"/>
        </w:rPr>
        <w:t>2)</w:t>
      </w:r>
      <w:r w:rsidRPr="00FE4485">
        <w:rPr>
          <w:rFonts w:asciiTheme="minorHAnsi" w:hAnsiTheme="minorHAnsi"/>
        </w:rPr>
        <w:tab/>
        <w:t>de confirmer l’autorisation octroyée au Conseil de réviser, si nécessaire, les conditions d’établissement des plans d’amortissement</w:t>
      </w:r>
      <w:r w:rsidRPr="007070F5">
        <w:rPr>
          <w:rFonts w:asciiTheme="minorHAnsi" w:hAnsiTheme="minorHAnsi"/>
        </w:rPr>
        <w:t xml:space="preserve">, y compris des mesures telles que la réduction temporaire de la classe de contribution, </w:t>
      </w:r>
      <w:r w:rsidRPr="00FE4485">
        <w:rPr>
          <w:rFonts w:asciiTheme="minorHAnsi" w:hAnsiTheme="minorHAnsi"/>
        </w:rPr>
        <w:t>la durée maximale de la période d’amortissement</w:t>
      </w:r>
      <w:r>
        <w:rPr>
          <w:rFonts w:asciiTheme="minorHAnsi" w:hAnsiTheme="minorHAnsi"/>
        </w:rPr>
        <w:t>,</w:t>
      </w:r>
      <w:r w:rsidRPr="00FE4485">
        <w:rPr>
          <w:rFonts w:asciiTheme="minorHAnsi" w:hAnsiTheme="minorHAnsi"/>
        </w:rPr>
        <w:t xml:space="preserve"> </w:t>
      </w:r>
      <w:r>
        <w:rPr>
          <w:rFonts w:asciiTheme="minorHAnsi" w:hAnsiTheme="minorHAnsi"/>
        </w:rPr>
        <w:t xml:space="preserve">des ajustements du montant des versements annuels dans la phase initiale des plans </w:t>
      </w:r>
      <w:r w:rsidRPr="00FE4485">
        <w:rPr>
          <w:rFonts w:asciiTheme="minorHAnsi" w:hAnsiTheme="minorHAnsi"/>
        </w:rPr>
        <w:t xml:space="preserve">ou la passation par pertes et profits des intérêts moratoires, en vue d’accélérer le règlement des montants à payer ; </w:t>
      </w:r>
    </w:p>
    <w:p w:rsidR="00863306" w:rsidRPr="00FE4485" w:rsidRDefault="00863306" w:rsidP="00863306">
      <w:pPr>
        <w:pStyle w:val="RefText0"/>
        <w:tabs>
          <w:tab w:val="clear" w:pos="794"/>
          <w:tab w:val="clear" w:pos="1191"/>
          <w:tab w:val="clear" w:pos="1588"/>
          <w:tab w:val="clear" w:pos="1985"/>
        </w:tabs>
        <w:spacing w:after="120"/>
        <w:ind w:left="1276" w:hanging="567"/>
        <w:rPr>
          <w:rFonts w:asciiTheme="minorHAnsi" w:hAnsiTheme="minorHAnsi"/>
        </w:rPr>
      </w:pPr>
      <w:r w:rsidRPr="00FE4485">
        <w:rPr>
          <w:rFonts w:asciiTheme="minorHAnsi" w:hAnsiTheme="minorHAnsi"/>
        </w:rPr>
        <w:t>3)</w:t>
      </w:r>
      <w:r w:rsidRPr="00FE4485">
        <w:rPr>
          <w:rFonts w:asciiTheme="minorHAnsi" w:hAnsiTheme="minorHAnsi"/>
        </w:rPr>
        <w:tab/>
        <w:t>de confirmer la décision de ne pas ouvrir de nouveaux comptes spéciaux d’arriérés pendant les Conférences de plénipotentiaires du fait que le Secrétaire général est lui-même autorisé à ouvrir de nouveaux comptes spéciaux selon les lignes directrices approuvées par le Conseil.</w:t>
      </w:r>
    </w:p>
    <w:p w:rsidR="00863306" w:rsidRPr="00FE4485" w:rsidRDefault="00863306" w:rsidP="00863306">
      <w:pPr>
        <w:pStyle w:val="Index1"/>
        <w:tabs>
          <w:tab w:val="clear" w:pos="794"/>
          <w:tab w:val="clear" w:pos="1191"/>
          <w:tab w:val="left" w:pos="-426"/>
          <w:tab w:val="left" w:pos="851"/>
        </w:tabs>
        <w:spacing w:before="0"/>
        <w:jc w:val="center"/>
        <w:rPr>
          <w:rFonts w:asciiTheme="minorHAnsi" w:hAnsiTheme="minorHAnsi"/>
          <w:sz w:val="28"/>
          <w:szCs w:val="28"/>
        </w:rPr>
      </w:pPr>
      <w:r w:rsidRPr="00FE4485">
        <w:rPr>
          <w:rFonts w:asciiTheme="minorHAnsi" w:hAnsiTheme="minorHAnsi"/>
        </w:rPr>
        <w:br w:type="page"/>
      </w:r>
      <w:r w:rsidRPr="00FE4485">
        <w:rPr>
          <w:rFonts w:asciiTheme="minorHAnsi" w:hAnsiTheme="minorHAnsi"/>
          <w:sz w:val="28"/>
          <w:szCs w:val="28"/>
        </w:rPr>
        <w:lastRenderedPageBreak/>
        <w:t>ANNEXE A</w:t>
      </w:r>
    </w:p>
    <w:p w:rsidR="00863306" w:rsidRPr="00FE4485" w:rsidRDefault="00863306" w:rsidP="00863306">
      <w:pPr>
        <w:spacing w:before="0"/>
        <w:rPr>
          <w:rFonts w:asciiTheme="minorHAnsi" w:hAnsiTheme="minorHAnsi"/>
        </w:rPr>
      </w:pPr>
    </w:p>
    <w:p w:rsidR="00863306" w:rsidRPr="00FE4485" w:rsidRDefault="00863306" w:rsidP="00863306">
      <w:pPr>
        <w:pStyle w:val="Tablehead"/>
        <w:overflowPunct/>
        <w:autoSpaceDE/>
        <w:autoSpaceDN/>
        <w:adjustRightInd/>
        <w:spacing w:before="0" w:after="0"/>
        <w:textAlignment w:val="auto"/>
        <w:rPr>
          <w:rFonts w:asciiTheme="minorHAnsi" w:hAnsiTheme="minorHAnsi"/>
          <w:bCs/>
          <w:szCs w:val="22"/>
        </w:rPr>
      </w:pPr>
      <w:r w:rsidRPr="00FE4485">
        <w:rPr>
          <w:rFonts w:asciiTheme="minorHAnsi" w:hAnsiTheme="minorHAnsi"/>
          <w:bCs/>
          <w:szCs w:val="22"/>
        </w:rPr>
        <w:t>EVOLUTION DES ARRIERES ET COMPTES SPECIAUX D’ARRIERES</w:t>
      </w:r>
    </w:p>
    <w:p w:rsidR="00863306" w:rsidRDefault="00863306" w:rsidP="00863306">
      <w:pPr>
        <w:pStyle w:val="Tablehead"/>
        <w:overflowPunct/>
        <w:autoSpaceDE/>
        <w:autoSpaceDN/>
        <w:adjustRightInd/>
        <w:spacing w:before="60" w:after="60"/>
        <w:textAlignment w:val="auto"/>
        <w:rPr>
          <w:rFonts w:asciiTheme="minorHAnsi" w:hAnsiTheme="minorHAnsi"/>
          <w:bCs/>
          <w:i/>
          <w:iCs/>
          <w:szCs w:val="24"/>
        </w:rPr>
      </w:pPr>
      <w:r w:rsidRPr="00FE4485">
        <w:rPr>
          <w:rFonts w:asciiTheme="minorHAnsi" w:hAnsiTheme="minorHAnsi"/>
          <w:bCs/>
          <w:i/>
          <w:iCs/>
          <w:szCs w:val="24"/>
        </w:rPr>
        <w:t>Montant</w:t>
      </w:r>
      <w:r>
        <w:rPr>
          <w:rFonts w:asciiTheme="minorHAnsi" w:hAnsiTheme="minorHAnsi"/>
          <w:bCs/>
          <w:i/>
          <w:iCs/>
          <w:szCs w:val="24"/>
        </w:rPr>
        <w:t>s</w:t>
      </w:r>
      <w:r w:rsidRPr="00FE4485">
        <w:rPr>
          <w:rFonts w:asciiTheme="minorHAnsi" w:hAnsiTheme="minorHAnsi"/>
          <w:bCs/>
          <w:i/>
          <w:iCs/>
          <w:szCs w:val="24"/>
        </w:rPr>
        <w:t xml:space="preserve"> en milliers de francs suisses</w:t>
      </w:r>
    </w:p>
    <w:tbl>
      <w:tblPr>
        <w:tblW w:w="10207" w:type="dxa"/>
        <w:tblInd w:w="-269" w:type="dxa"/>
        <w:tblLayout w:type="fixed"/>
        <w:tblCellMar>
          <w:left w:w="0" w:type="dxa"/>
          <w:right w:w="0" w:type="dxa"/>
        </w:tblCellMar>
        <w:tblLook w:val="0000" w:firstRow="0" w:lastRow="0" w:firstColumn="0" w:lastColumn="0" w:noHBand="0" w:noVBand="0"/>
      </w:tblPr>
      <w:tblGrid>
        <w:gridCol w:w="2714"/>
        <w:gridCol w:w="849"/>
        <w:gridCol w:w="816"/>
        <w:gridCol w:w="815"/>
        <w:gridCol w:w="815"/>
        <w:gridCol w:w="815"/>
        <w:gridCol w:w="815"/>
        <w:gridCol w:w="843"/>
        <w:gridCol w:w="843"/>
        <w:gridCol w:w="843"/>
        <w:gridCol w:w="39"/>
      </w:tblGrid>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rFonts w:eastAsia="Arial Unicode MS"/>
                <w:b/>
                <w:bCs/>
                <w:sz w:val="22"/>
                <w:szCs w:val="22"/>
              </w:rPr>
            </w:pPr>
            <w:r w:rsidRPr="00AE6B88">
              <w:rPr>
                <w:b/>
                <w:bCs/>
                <w:sz w:val="22"/>
                <w:szCs w:val="22"/>
              </w:rPr>
              <w:t xml:space="preserve">Situation au 31 décembre </w:t>
            </w:r>
          </w:p>
        </w:tc>
        <w:tc>
          <w:tcPr>
            <w:tcW w:w="851" w:type="dxa"/>
            <w:tcBorders>
              <w:top w:val="nil"/>
              <w:left w:val="nil"/>
              <w:bottom w:val="nil"/>
              <w:right w:val="nil"/>
            </w:tcBorders>
          </w:tcPr>
          <w:p w:rsidR="00863306" w:rsidRPr="00AE6B88" w:rsidRDefault="00863306" w:rsidP="00972A32">
            <w:pPr>
              <w:spacing w:before="0"/>
              <w:jc w:val="center"/>
              <w:rPr>
                <w:rFonts w:eastAsia="Arial Unicode MS"/>
                <w:b/>
                <w:bCs/>
                <w:sz w:val="22"/>
                <w:szCs w:val="22"/>
              </w:rPr>
            </w:pPr>
            <w:r w:rsidRPr="00AE6B88">
              <w:rPr>
                <w:rFonts w:eastAsia="Arial Unicode MS"/>
                <w:b/>
                <w:bCs/>
                <w:sz w:val="22"/>
                <w:szCs w:val="22"/>
              </w:rPr>
              <w:t>2006</w:t>
            </w:r>
          </w:p>
        </w:tc>
        <w:tc>
          <w:tcPr>
            <w:tcW w:w="818" w:type="dxa"/>
            <w:tcBorders>
              <w:top w:val="nil"/>
              <w:left w:val="nil"/>
              <w:bottom w:val="nil"/>
              <w:right w:val="nil"/>
            </w:tcBorders>
          </w:tcPr>
          <w:p w:rsidR="00863306" w:rsidRPr="00AE6B88" w:rsidRDefault="00863306" w:rsidP="00972A32">
            <w:pPr>
              <w:spacing w:before="0"/>
              <w:jc w:val="center"/>
              <w:rPr>
                <w:rFonts w:eastAsia="Arial Unicode MS"/>
                <w:b/>
                <w:bCs/>
                <w:sz w:val="22"/>
                <w:szCs w:val="22"/>
              </w:rPr>
            </w:pPr>
            <w:r w:rsidRPr="00AE6B88">
              <w:rPr>
                <w:rFonts w:eastAsia="Arial Unicode MS"/>
                <w:b/>
                <w:bCs/>
                <w:sz w:val="22"/>
                <w:szCs w:val="22"/>
              </w:rPr>
              <w:t>2007</w:t>
            </w:r>
          </w:p>
        </w:tc>
        <w:tc>
          <w:tcPr>
            <w:tcW w:w="818" w:type="dxa"/>
            <w:tcBorders>
              <w:top w:val="nil"/>
              <w:left w:val="nil"/>
              <w:bottom w:val="nil"/>
              <w:right w:val="nil"/>
            </w:tcBorders>
          </w:tcPr>
          <w:p w:rsidR="00863306" w:rsidRPr="00AE6B88" w:rsidRDefault="00863306" w:rsidP="00972A32">
            <w:pPr>
              <w:spacing w:before="0"/>
              <w:jc w:val="center"/>
              <w:rPr>
                <w:rFonts w:eastAsia="Arial Unicode MS"/>
                <w:b/>
                <w:bCs/>
                <w:sz w:val="22"/>
                <w:szCs w:val="22"/>
              </w:rPr>
            </w:pPr>
            <w:r w:rsidRPr="00AE6B88">
              <w:rPr>
                <w:rFonts w:eastAsia="Arial Unicode MS"/>
                <w:b/>
                <w:bCs/>
                <w:sz w:val="22"/>
                <w:szCs w:val="22"/>
              </w:rPr>
              <w:t>2008</w:t>
            </w:r>
          </w:p>
        </w:tc>
        <w:tc>
          <w:tcPr>
            <w:tcW w:w="818" w:type="dxa"/>
            <w:tcBorders>
              <w:top w:val="nil"/>
              <w:left w:val="nil"/>
              <w:bottom w:val="nil"/>
              <w:right w:val="nil"/>
            </w:tcBorders>
          </w:tcPr>
          <w:p w:rsidR="00863306" w:rsidRPr="00AE6B88" w:rsidRDefault="00863306" w:rsidP="00972A32">
            <w:pPr>
              <w:spacing w:before="0"/>
              <w:jc w:val="center"/>
              <w:rPr>
                <w:rFonts w:eastAsia="Arial Unicode MS"/>
                <w:b/>
                <w:bCs/>
                <w:sz w:val="22"/>
                <w:szCs w:val="22"/>
              </w:rPr>
            </w:pPr>
            <w:r w:rsidRPr="00AE6B88">
              <w:rPr>
                <w:rFonts w:eastAsia="Arial Unicode MS"/>
                <w:b/>
                <w:bCs/>
                <w:sz w:val="22"/>
                <w:szCs w:val="22"/>
              </w:rPr>
              <w:t xml:space="preserve">2009 </w:t>
            </w:r>
          </w:p>
        </w:tc>
        <w:tc>
          <w:tcPr>
            <w:tcW w:w="818" w:type="dxa"/>
            <w:tcBorders>
              <w:top w:val="nil"/>
              <w:left w:val="nil"/>
              <w:bottom w:val="nil"/>
              <w:right w:val="nil"/>
            </w:tcBorders>
          </w:tcPr>
          <w:p w:rsidR="00863306" w:rsidRPr="00AE6B88" w:rsidRDefault="00863306" w:rsidP="00972A32">
            <w:pPr>
              <w:spacing w:before="0"/>
              <w:jc w:val="center"/>
              <w:rPr>
                <w:rFonts w:eastAsia="Arial Unicode MS"/>
                <w:b/>
                <w:bCs/>
                <w:sz w:val="22"/>
                <w:szCs w:val="22"/>
              </w:rPr>
            </w:pPr>
            <w:r w:rsidRPr="00AE6B88">
              <w:rPr>
                <w:rFonts w:eastAsia="Arial Unicode MS"/>
                <w:b/>
                <w:bCs/>
                <w:sz w:val="22"/>
                <w:szCs w:val="22"/>
              </w:rPr>
              <w:t xml:space="preserve">2010 </w:t>
            </w: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center"/>
              <w:rPr>
                <w:rFonts w:eastAsia="Arial Unicode MS"/>
                <w:b/>
                <w:bCs/>
                <w:sz w:val="22"/>
                <w:szCs w:val="22"/>
              </w:rPr>
            </w:pPr>
            <w:r w:rsidRPr="00AE6B88">
              <w:rPr>
                <w:rFonts w:eastAsia="Arial Unicode MS"/>
                <w:b/>
                <w:bCs/>
                <w:sz w:val="22"/>
                <w:szCs w:val="22"/>
              </w:rPr>
              <w:t xml:space="preserve">2011 </w:t>
            </w:r>
          </w:p>
        </w:tc>
        <w:tc>
          <w:tcPr>
            <w:tcW w:w="846" w:type="dxa"/>
          </w:tcPr>
          <w:p w:rsidR="00863306" w:rsidRPr="00AE6B88" w:rsidRDefault="00863306" w:rsidP="00972A32">
            <w:pPr>
              <w:spacing w:before="0"/>
              <w:jc w:val="center"/>
              <w:rPr>
                <w:rFonts w:eastAsia="Arial Unicode MS"/>
                <w:b/>
                <w:bCs/>
                <w:sz w:val="22"/>
                <w:szCs w:val="22"/>
              </w:rPr>
            </w:pPr>
            <w:r w:rsidRPr="00AE6B88">
              <w:rPr>
                <w:rFonts w:eastAsia="Arial Unicode MS"/>
                <w:b/>
                <w:bCs/>
                <w:sz w:val="22"/>
                <w:szCs w:val="22"/>
              </w:rPr>
              <w:t xml:space="preserve">2012 </w:t>
            </w:r>
          </w:p>
        </w:tc>
        <w:tc>
          <w:tcPr>
            <w:tcW w:w="846" w:type="dxa"/>
          </w:tcPr>
          <w:p w:rsidR="00863306" w:rsidRPr="00AE6B88" w:rsidRDefault="00863306" w:rsidP="00972A32">
            <w:pPr>
              <w:spacing w:before="0"/>
              <w:jc w:val="center"/>
              <w:rPr>
                <w:rFonts w:eastAsia="Arial Unicode MS"/>
                <w:b/>
                <w:bCs/>
                <w:sz w:val="22"/>
                <w:szCs w:val="22"/>
              </w:rPr>
            </w:pPr>
            <w:r>
              <w:rPr>
                <w:rFonts w:eastAsia="Arial Unicode MS"/>
                <w:b/>
                <w:bCs/>
                <w:sz w:val="22"/>
                <w:szCs w:val="22"/>
              </w:rPr>
              <w:t xml:space="preserve">2013 </w:t>
            </w:r>
            <w:r w:rsidRPr="00AE6B88">
              <w:rPr>
                <w:rFonts w:eastAsia="Arial Unicode MS"/>
                <w:b/>
                <w:bCs/>
                <w:sz w:val="22"/>
                <w:szCs w:val="22"/>
              </w:rPr>
              <w:t xml:space="preserve"> </w:t>
            </w:r>
          </w:p>
        </w:tc>
        <w:tc>
          <w:tcPr>
            <w:tcW w:w="846" w:type="dxa"/>
          </w:tcPr>
          <w:p w:rsidR="00863306" w:rsidRPr="00AE6B88" w:rsidRDefault="00863306" w:rsidP="00972A32">
            <w:pPr>
              <w:spacing w:before="0"/>
              <w:jc w:val="center"/>
              <w:rPr>
                <w:rFonts w:eastAsia="Arial Unicode MS"/>
                <w:b/>
                <w:bCs/>
                <w:sz w:val="22"/>
                <w:szCs w:val="22"/>
              </w:rPr>
            </w:pPr>
            <w:r>
              <w:rPr>
                <w:rFonts w:eastAsia="Arial Unicode MS"/>
                <w:b/>
                <w:bCs/>
                <w:sz w:val="22"/>
                <w:szCs w:val="22"/>
              </w:rPr>
              <w:t>2014</w:t>
            </w:r>
            <w:r w:rsidRPr="00AE6B88">
              <w:rPr>
                <w:rFonts w:eastAsia="Arial Unicode MS"/>
                <w:b/>
                <w:bCs/>
                <w:sz w:val="22"/>
                <w:szCs w:val="22"/>
              </w:rPr>
              <w:t xml:space="preserve"> </w:t>
            </w:r>
          </w:p>
        </w:tc>
        <w:tc>
          <w:tcPr>
            <w:tcW w:w="39" w:type="dxa"/>
          </w:tcPr>
          <w:p w:rsidR="00863306" w:rsidRPr="008729E1" w:rsidRDefault="00863306" w:rsidP="00972A32">
            <w:pPr>
              <w:spacing w:before="0"/>
              <w:jc w:val="center"/>
              <w:rPr>
                <w:rFonts w:eastAsia="Arial Unicode MS"/>
                <w:b/>
                <w:bCs/>
                <w:sz w:val="22"/>
                <w:szCs w:val="22"/>
              </w:rPr>
            </w:pPr>
            <w:r>
              <w:rPr>
                <w:rFonts w:eastAsia="Arial Unicode MS"/>
                <w:b/>
                <w:bCs/>
                <w:sz w:val="22"/>
                <w:szCs w:val="22"/>
              </w:rPr>
              <w:t xml:space="preserve">   </w:t>
            </w: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jc w:val="both"/>
              <w:rPr>
                <w:b/>
                <w:bCs/>
                <w:sz w:val="22"/>
                <w:szCs w:val="22"/>
              </w:rPr>
            </w:pPr>
            <w:r w:rsidRPr="00AE6B88">
              <w:rPr>
                <w:b/>
                <w:bCs/>
                <w:sz w:val="22"/>
                <w:szCs w:val="22"/>
              </w:rPr>
              <w:t>ARRI</w:t>
            </w:r>
            <w:r>
              <w:rPr>
                <w:b/>
                <w:bCs/>
                <w:sz w:val="22"/>
                <w:szCs w:val="22"/>
              </w:rPr>
              <w:t>É</w:t>
            </w:r>
            <w:r w:rsidRPr="00AE6B88">
              <w:rPr>
                <w:b/>
                <w:bCs/>
                <w:sz w:val="22"/>
                <w:szCs w:val="22"/>
              </w:rPr>
              <w:t>R</w:t>
            </w:r>
            <w:r>
              <w:rPr>
                <w:b/>
                <w:bCs/>
                <w:sz w:val="22"/>
                <w:szCs w:val="22"/>
              </w:rPr>
              <w:t>É</w:t>
            </w:r>
            <w:r w:rsidRPr="00AE6B88">
              <w:rPr>
                <w:b/>
                <w:bCs/>
                <w:sz w:val="22"/>
                <w:szCs w:val="22"/>
              </w:rPr>
              <w:t>S</w:t>
            </w:r>
          </w:p>
        </w:tc>
        <w:tc>
          <w:tcPr>
            <w:tcW w:w="851" w:type="dxa"/>
            <w:tcBorders>
              <w:top w:val="nil"/>
              <w:left w:val="nil"/>
              <w:bottom w:val="nil"/>
              <w:right w:val="nil"/>
            </w:tcBorders>
          </w:tcPr>
          <w:p w:rsidR="00863306" w:rsidRPr="00AE6B88" w:rsidRDefault="00863306" w:rsidP="00972A32">
            <w:pPr>
              <w:jc w:val="both"/>
              <w:rPr>
                <w:rFonts w:eastAsia="Arial Unicode MS"/>
                <w:sz w:val="22"/>
                <w:szCs w:val="22"/>
              </w:rPr>
            </w:pPr>
          </w:p>
        </w:tc>
        <w:tc>
          <w:tcPr>
            <w:tcW w:w="818" w:type="dxa"/>
            <w:tcBorders>
              <w:top w:val="nil"/>
              <w:left w:val="nil"/>
              <w:bottom w:val="nil"/>
              <w:right w:val="nil"/>
            </w:tcBorders>
          </w:tcPr>
          <w:p w:rsidR="00863306" w:rsidRPr="00AE6B88" w:rsidRDefault="00863306" w:rsidP="00972A32">
            <w:pPr>
              <w:jc w:val="both"/>
              <w:rPr>
                <w:rFonts w:eastAsia="Arial Unicode MS"/>
                <w:sz w:val="22"/>
                <w:szCs w:val="22"/>
              </w:rPr>
            </w:pPr>
          </w:p>
        </w:tc>
        <w:tc>
          <w:tcPr>
            <w:tcW w:w="818" w:type="dxa"/>
            <w:tcBorders>
              <w:top w:val="nil"/>
              <w:left w:val="nil"/>
              <w:bottom w:val="nil"/>
              <w:right w:val="nil"/>
            </w:tcBorders>
          </w:tcPr>
          <w:p w:rsidR="00863306" w:rsidRPr="00AE6B88" w:rsidRDefault="00863306" w:rsidP="00972A32">
            <w:pPr>
              <w:jc w:val="both"/>
              <w:rPr>
                <w:rFonts w:eastAsia="Arial Unicode MS"/>
                <w:sz w:val="22"/>
                <w:szCs w:val="22"/>
              </w:rPr>
            </w:pPr>
          </w:p>
        </w:tc>
        <w:tc>
          <w:tcPr>
            <w:tcW w:w="818" w:type="dxa"/>
            <w:tcBorders>
              <w:top w:val="nil"/>
              <w:left w:val="nil"/>
              <w:bottom w:val="nil"/>
              <w:right w:val="nil"/>
            </w:tcBorders>
          </w:tcPr>
          <w:p w:rsidR="00863306" w:rsidRPr="00AE6B88" w:rsidRDefault="00863306" w:rsidP="00972A32">
            <w:pPr>
              <w:jc w:val="both"/>
              <w:rPr>
                <w:rFonts w:eastAsia="Arial Unicode MS"/>
                <w:sz w:val="22"/>
                <w:szCs w:val="22"/>
              </w:rPr>
            </w:pPr>
          </w:p>
        </w:tc>
        <w:tc>
          <w:tcPr>
            <w:tcW w:w="818" w:type="dxa"/>
            <w:tcBorders>
              <w:top w:val="nil"/>
              <w:left w:val="nil"/>
              <w:bottom w:val="nil"/>
              <w:right w:val="nil"/>
            </w:tcBorders>
          </w:tcPr>
          <w:p w:rsidR="00863306" w:rsidRPr="00AE6B88" w:rsidRDefault="00863306" w:rsidP="00972A32">
            <w:pPr>
              <w:jc w:val="both"/>
              <w:rPr>
                <w:rFonts w:eastAsia="Arial Unicode MS"/>
                <w:sz w:val="22"/>
                <w:szCs w:val="22"/>
              </w:rPr>
            </w:pP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jc w:val="both"/>
              <w:rPr>
                <w:rFonts w:eastAsia="Arial Unicode MS"/>
                <w:sz w:val="22"/>
                <w:szCs w:val="22"/>
              </w:rPr>
            </w:pPr>
          </w:p>
        </w:tc>
        <w:tc>
          <w:tcPr>
            <w:tcW w:w="846" w:type="dxa"/>
          </w:tcPr>
          <w:p w:rsidR="00863306" w:rsidRPr="00AE6B88" w:rsidRDefault="00863306" w:rsidP="00972A32">
            <w:pPr>
              <w:jc w:val="both"/>
              <w:rPr>
                <w:rFonts w:eastAsia="Arial Unicode MS"/>
                <w:sz w:val="22"/>
                <w:szCs w:val="22"/>
              </w:rPr>
            </w:pPr>
          </w:p>
        </w:tc>
        <w:tc>
          <w:tcPr>
            <w:tcW w:w="846" w:type="dxa"/>
          </w:tcPr>
          <w:p w:rsidR="00863306" w:rsidRPr="00AE6B88" w:rsidRDefault="00863306" w:rsidP="00972A32">
            <w:pPr>
              <w:jc w:val="both"/>
              <w:rPr>
                <w:rFonts w:eastAsia="Arial Unicode MS"/>
                <w:sz w:val="22"/>
                <w:szCs w:val="22"/>
              </w:rPr>
            </w:pPr>
          </w:p>
        </w:tc>
        <w:tc>
          <w:tcPr>
            <w:tcW w:w="846" w:type="dxa"/>
          </w:tcPr>
          <w:p w:rsidR="00863306" w:rsidRPr="008729E1" w:rsidRDefault="00863306" w:rsidP="00972A32">
            <w:pPr>
              <w:spacing w:before="0"/>
              <w:jc w:val="both"/>
              <w:rPr>
                <w:rFonts w:eastAsia="Arial Unicode MS"/>
                <w:b/>
                <w:bCs/>
                <w:sz w:val="20"/>
              </w:rPr>
            </w:pPr>
            <w:r w:rsidRPr="008729E1">
              <w:rPr>
                <w:rFonts w:eastAsia="Arial Unicode MS"/>
                <w:b/>
                <w:bCs/>
                <w:sz w:val="20"/>
              </w:rPr>
              <w:t>(30 juin)</w:t>
            </w:r>
          </w:p>
        </w:tc>
        <w:tc>
          <w:tcPr>
            <w:tcW w:w="39" w:type="dxa"/>
          </w:tcPr>
          <w:p w:rsidR="00863306" w:rsidRPr="008729E1" w:rsidRDefault="00863306" w:rsidP="00972A32">
            <w:pPr>
              <w:spacing w:before="100" w:beforeAutospacing="1"/>
              <w:jc w:val="center"/>
              <w:rPr>
                <w:rFonts w:eastAsia="Arial Unicode MS"/>
                <w:b/>
                <w:bCs/>
                <w:sz w:val="20"/>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jc w:val="both"/>
              <w:rPr>
                <w:rFonts w:eastAsia="Arial Unicode MS"/>
                <w:b/>
                <w:bCs/>
                <w:sz w:val="22"/>
                <w:szCs w:val="22"/>
              </w:rPr>
            </w:pPr>
            <w:r w:rsidRPr="00AE6B88">
              <w:rPr>
                <w:b/>
                <w:bCs/>
                <w:sz w:val="22"/>
                <w:szCs w:val="22"/>
              </w:rPr>
              <w:t>Etat Membres</w:t>
            </w:r>
          </w:p>
        </w:tc>
        <w:tc>
          <w:tcPr>
            <w:tcW w:w="851" w:type="dxa"/>
            <w:tcBorders>
              <w:top w:val="nil"/>
              <w:left w:val="nil"/>
              <w:bottom w:val="nil"/>
              <w:right w:val="nil"/>
            </w:tcBorders>
          </w:tcPr>
          <w:p w:rsidR="00863306" w:rsidRPr="00AE6B88" w:rsidRDefault="00863306" w:rsidP="00972A32">
            <w:pPr>
              <w:spacing w:before="0"/>
              <w:jc w:val="both"/>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both"/>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both"/>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both"/>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both"/>
              <w:rPr>
                <w:rFonts w:eastAsia="Arial Unicode MS"/>
                <w:sz w:val="22"/>
                <w:szCs w:val="22"/>
              </w:rPr>
            </w:pP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both"/>
              <w:rPr>
                <w:rFonts w:eastAsia="Arial Unicode MS"/>
                <w:sz w:val="22"/>
                <w:szCs w:val="22"/>
              </w:rPr>
            </w:pPr>
          </w:p>
        </w:tc>
        <w:tc>
          <w:tcPr>
            <w:tcW w:w="846" w:type="dxa"/>
          </w:tcPr>
          <w:p w:rsidR="00863306" w:rsidRPr="00AE6B88" w:rsidRDefault="00863306" w:rsidP="00972A32">
            <w:pPr>
              <w:spacing w:before="0"/>
              <w:jc w:val="both"/>
              <w:rPr>
                <w:rFonts w:eastAsia="Arial Unicode MS"/>
                <w:sz w:val="22"/>
                <w:szCs w:val="22"/>
              </w:rPr>
            </w:pPr>
          </w:p>
        </w:tc>
        <w:tc>
          <w:tcPr>
            <w:tcW w:w="846" w:type="dxa"/>
          </w:tcPr>
          <w:p w:rsidR="00863306" w:rsidRPr="00AE6B88" w:rsidRDefault="00863306" w:rsidP="00972A32">
            <w:pPr>
              <w:spacing w:before="0"/>
              <w:jc w:val="both"/>
              <w:rPr>
                <w:rFonts w:eastAsia="Arial Unicode MS"/>
                <w:sz w:val="22"/>
                <w:szCs w:val="22"/>
              </w:rPr>
            </w:pPr>
          </w:p>
        </w:tc>
        <w:tc>
          <w:tcPr>
            <w:tcW w:w="846" w:type="dxa"/>
          </w:tcPr>
          <w:p w:rsidR="00863306" w:rsidRPr="00AE6B88" w:rsidRDefault="00863306" w:rsidP="00972A32">
            <w:pPr>
              <w:spacing w:before="0"/>
              <w:jc w:val="both"/>
              <w:rPr>
                <w:rFonts w:eastAsia="Arial Unicode MS"/>
                <w:sz w:val="22"/>
                <w:szCs w:val="22"/>
              </w:rPr>
            </w:pPr>
          </w:p>
        </w:tc>
        <w:tc>
          <w:tcPr>
            <w:tcW w:w="39" w:type="dxa"/>
          </w:tcPr>
          <w:p w:rsidR="00863306" w:rsidRPr="00AE6B88" w:rsidRDefault="00863306" w:rsidP="00972A32">
            <w:pPr>
              <w:spacing w:before="0"/>
              <w:jc w:val="both"/>
              <w:rPr>
                <w:rFonts w:eastAsia="Arial Unicode MS"/>
                <w:sz w:val="22"/>
                <w:szCs w:val="22"/>
              </w:rPr>
            </w:pPr>
          </w:p>
        </w:tc>
      </w:tr>
      <w:tr w:rsidR="00863306" w:rsidRPr="00AE6B88" w:rsidTr="00863306">
        <w:trPr>
          <w:trHeight w:val="248"/>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rFonts w:eastAsia="Arial Unicode MS"/>
                <w:sz w:val="22"/>
                <w:szCs w:val="22"/>
              </w:rPr>
            </w:pPr>
            <w:r w:rsidRPr="00AE6B88">
              <w:rPr>
                <w:sz w:val="22"/>
                <w:szCs w:val="22"/>
              </w:rPr>
              <w:t>Contributions</w:t>
            </w:r>
          </w:p>
        </w:tc>
        <w:tc>
          <w:tcPr>
            <w:tcW w:w="851"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p w:rsidR="00863306" w:rsidRPr="00AE6B88" w:rsidRDefault="00863306" w:rsidP="00951843">
            <w:pPr>
              <w:spacing w:before="0"/>
              <w:jc w:val="right"/>
              <w:rPr>
                <w:rFonts w:eastAsia="Arial Unicode MS"/>
                <w:sz w:val="22"/>
                <w:szCs w:val="22"/>
              </w:rPr>
            </w:pPr>
            <w:r w:rsidRPr="00AE6B88">
              <w:rPr>
                <w:rFonts w:eastAsia="Arial Unicode MS"/>
                <w:sz w:val="22"/>
                <w:szCs w:val="22"/>
              </w:rPr>
              <w:t>14</w:t>
            </w:r>
            <w:r w:rsidR="00951843">
              <w:rPr>
                <w:rFonts w:eastAsia="Arial Unicode MS"/>
                <w:sz w:val="22"/>
                <w:szCs w:val="22"/>
              </w:rPr>
              <w:t>,</w:t>
            </w:r>
            <w:r w:rsidRPr="00AE6B88">
              <w:rPr>
                <w:rFonts w:eastAsia="Arial Unicode MS"/>
                <w:sz w:val="22"/>
                <w:szCs w:val="22"/>
              </w:rPr>
              <w:t>095</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p w:rsidR="00863306" w:rsidRPr="00AE6B88" w:rsidRDefault="00863306" w:rsidP="00951843">
            <w:pPr>
              <w:spacing w:before="0"/>
              <w:jc w:val="right"/>
              <w:rPr>
                <w:rFonts w:eastAsia="Arial Unicode MS"/>
                <w:sz w:val="22"/>
                <w:szCs w:val="22"/>
              </w:rPr>
            </w:pPr>
            <w:r w:rsidRPr="00AE6B88">
              <w:rPr>
                <w:rFonts w:eastAsia="Arial Unicode MS"/>
                <w:sz w:val="22"/>
                <w:szCs w:val="22"/>
              </w:rPr>
              <w:t>15</w:t>
            </w:r>
            <w:r w:rsidR="00951843">
              <w:rPr>
                <w:rFonts w:eastAsia="Arial Unicode MS"/>
                <w:sz w:val="22"/>
                <w:szCs w:val="22"/>
              </w:rPr>
              <w:t>,</w:t>
            </w:r>
            <w:r w:rsidRPr="00AE6B88">
              <w:rPr>
                <w:rFonts w:eastAsia="Arial Unicode MS"/>
                <w:sz w:val="22"/>
                <w:szCs w:val="22"/>
              </w:rPr>
              <w:t>714</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p w:rsidR="00863306" w:rsidRPr="00AE6B88" w:rsidRDefault="00863306" w:rsidP="00951843">
            <w:pPr>
              <w:spacing w:before="0"/>
              <w:jc w:val="right"/>
              <w:rPr>
                <w:rFonts w:eastAsia="Arial Unicode MS"/>
                <w:sz w:val="22"/>
                <w:szCs w:val="22"/>
              </w:rPr>
            </w:pPr>
            <w:r w:rsidRPr="00AE6B88">
              <w:rPr>
                <w:rFonts w:eastAsia="Arial Unicode MS"/>
                <w:sz w:val="22"/>
                <w:szCs w:val="22"/>
              </w:rPr>
              <w:t>16</w:t>
            </w:r>
            <w:r w:rsidR="00951843">
              <w:rPr>
                <w:rFonts w:eastAsia="Arial Unicode MS"/>
                <w:sz w:val="22"/>
                <w:szCs w:val="22"/>
              </w:rPr>
              <w:t>,</w:t>
            </w:r>
            <w:r w:rsidRPr="00AE6B88">
              <w:rPr>
                <w:rFonts w:eastAsia="Arial Unicode MS"/>
                <w:sz w:val="22"/>
                <w:szCs w:val="22"/>
              </w:rPr>
              <w:t>359</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p w:rsidR="00863306" w:rsidRPr="00AE6B88" w:rsidRDefault="00951843" w:rsidP="00972A32">
            <w:pPr>
              <w:spacing w:before="0"/>
              <w:jc w:val="right"/>
              <w:rPr>
                <w:rFonts w:eastAsia="Arial Unicode MS"/>
                <w:sz w:val="22"/>
                <w:szCs w:val="22"/>
              </w:rPr>
            </w:pPr>
            <w:r>
              <w:rPr>
                <w:rFonts w:eastAsia="Arial Unicode MS"/>
                <w:sz w:val="22"/>
                <w:szCs w:val="22"/>
              </w:rPr>
              <w:t>12,</w:t>
            </w:r>
            <w:r w:rsidR="00863306" w:rsidRPr="00AE6B88">
              <w:rPr>
                <w:rFonts w:eastAsia="Arial Unicode MS"/>
                <w:sz w:val="22"/>
                <w:szCs w:val="22"/>
              </w:rPr>
              <w:t>534</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p w:rsidR="00863306" w:rsidRPr="00AE6B88" w:rsidRDefault="00863306" w:rsidP="00951843">
            <w:pPr>
              <w:spacing w:before="0"/>
              <w:jc w:val="right"/>
              <w:rPr>
                <w:rFonts w:eastAsia="Arial Unicode MS"/>
                <w:sz w:val="22"/>
                <w:szCs w:val="22"/>
              </w:rPr>
            </w:pPr>
            <w:r w:rsidRPr="00AE6B88">
              <w:rPr>
                <w:rFonts w:eastAsia="Arial Unicode MS"/>
                <w:sz w:val="22"/>
                <w:szCs w:val="22"/>
              </w:rPr>
              <w:t>12</w:t>
            </w:r>
            <w:r w:rsidR="00951843">
              <w:rPr>
                <w:rFonts w:eastAsia="Arial Unicode MS"/>
                <w:sz w:val="22"/>
                <w:szCs w:val="22"/>
              </w:rPr>
              <w:t>,</w:t>
            </w:r>
            <w:r w:rsidRPr="00AE6B88">
              <w:rPr>
                <w:rFonts w:eastAsia="Arial Unicode MS"/>
                <w:sz w:val="22"/>
                <w:szCs w:val="22"/>
              </w:rPr>
              <w:t>801</w:t>
            </w: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right"/>
              <w:rPr>
                <w:rFonts w:eastAsia="Arial Unicode MS"/>
                <w:sz w:val="22"/>
                <w:szCs w:val="22"/>
              </w:rPr>
            </w:pPr>
          </w:p>
          <w:p w:rsidR="00863306" w:rsidRPr="00AE6B88" w:rsidRDefault="00863306" w:rsidP="00951843">
            <w:pPr>
              <w:spacing w:before="0"/>
              <w:jc w:val="right"/>
              <w:rPr>
                <w:rFonts w:eastAsia="Arial Unicode MS"/>
                <w:sz w:val="22"/>
                <w:szCs w:val="22"/>
              </w:rPr>
            </w:pPr>
            <w:r w:rsidRPr="00AE6B88">
              <w:rPr>
                <w:rFonts w:eastAsia="Arial Unicode MS"/>
                <w:sz w:val="22"/>
                <w:szCs w:val="22"/>
              </w:rPr>
              <w:t>12</w:t>
            </w:r>
            <w:r w:rsidR="00951843">
              <w:rPr>
                <w:rFonts w:eastAsia="Arial Unicode MS"/>
                <w:sz w:val="22"/>
                <w:szCs w:val="22"/>
              </w:rPr>
              <w:t>,</w:t>
            </w:r>
            <w:r w:rsidRPr="00AE6B88">
              <w:rPr>
                <w:rFonts w:eastAsia="Arial Unicode MS"/>
                <w:sz w:val="22"/>
                <w:szCs w:val="22"/>
              </w:rPr>
              <w:t>917</w:t>
            </w:r>
          </w:p>
        </w:tc>
        <w:tc>
          <w:tcPr>
            <w:tcW w:w="846" w:type="dxa"/>
          </w:tcPr>
          <w:p w:rsidR="00863306" w:rsidRPr="00AE6B88" w:rsidRDefault="00863306" w:rsidP="00972A32">
            <w:pPr>
              <w:spacing w:before="0"/>
              <w:jc w:val="right"/>
              <w:rPr>
                <w:rFonts w:eastAsia="Arial Unicode MS"/>
                <w:sz w:val="22"/>
                <w:szCs w:val="22"/>
              </w:rPr>
            </w:pPr>
          </w:p>
          <w:p w:rsidR="00863306" w:rsidRPr="00AE6B88" w:rsidRDefault="00951843" w:rsidP="00972A32">
            <w:pPr>
              <w:tabs>
                <w:tab w:val="left" w:pos="1050"/>
              </w:tabs>
              <w:spacing w:before="0"/>
              <w:jc w:val="right"/>
              <w:rPr>
                <w:rFonts w:eastAsia="Arial Unicode MS"/>
                <w:sz w:val="22"/>
                <w:szCs w:val="22"/>
              </w:rPr>
            </w:pPr>
            <w:r>
              <w:rPr>
                <w:rFonts w:eastAsia="Arial Unicode MS"/>
                <w:sz w:val="22"/>
                <w:szCs w:val="22"/>
              </w:rPr>
              <w:t>10,</w:t>
            </w:r>
            <w:r w:rsidR="00863306" w:rsidRPr="00AE6B88">
              <w:rPr>
                <w:rFonts w:eastAsia="Arial Unicode MS"/>
                <w:sz w:val="22"/>
                <w:szCs w:val="22"/>
              </w:rPr>
              <w:t>542</w:t>
            </w:r>
          </w:p>
        </w:tc>
        <w:tc>
          <w:tcPr>
            <w:tcW w:w="846" w:type="dxa"/>
          </w:tcPr>
          <w:p w:rsidR="00863306" w:rsidRPr="00AE6B88" w:rsidRDefault="00863306" w:rsidP="00972A32">
            <w:pPr>
              <w:spacing w:before="0"/>
              <w:jc w:val="right"/>
              <w:rPr>
                <w:rFonts w:eastAsia="Arial Unicode MS"/>
                <w:sz w:val="22"/>
                <w:szCs w:val="22"/>
              </w:rPr>
            </w:pPr>
          </w:p>
          <w:p w:rsidR="00863306" w:rsidRPr="00AE6B88" w:rsidRDefault="00863306" w:rsidP="00951843">
            <w:pPr>
              <w:tabs>
                <w:tab w:val="left" w:pos="1050"/>
              </w:tabs>
              <w:spacing w:before="0"/>
              <w:jc w:val="right"/>
              <w:rPr>
                <w:rFonts w:eastAsia="Arial Unicode MS"/>
                <w:sz w:val="22"/>
                <w:szCs w:val="22"/>
              </w:rPr>
            </w:pPr>
            <w:r w:rsidRPr="00AE6B88">
              <w:rPr>
                <w:rFonts w:eastAsia="Arial Unicode MS"/>
                <w:sz w:val="22"/>
                <w:szCs w:val="22"/>
              </w:rPr>
              <w:t>10</w:t>
            </w:r>
            <w:r w:rsidR="00951843">
              <w:rPr>
                <w:rFonts w:eastAsia="Arial Unicode MS"/>
                <w:sz w:val="22"/>
                <w:szCs w:val="22"/>
              </w:rPr>
              <w:t>,</w:t>
            </w:r>
            <w:r>
              <w:rPr>
                <w:rFonts w:eastAsia="Arial Unicode MS"/>
                <w:sz w:val="22"/>
                <w:szCs w:val="22"/>
              </w:rPr>
              <w:t>141</w:t>
            </w:r>
          </w:p>
        </w:tc>
        <w:tc>
          <w:tcPr>
            <w:tcW w:w="846" w:type="dxa"/>
          </w:tcPr>
          <w:p w:rsidR="00863306" w:rsidRPr="00AE6B88" w:rsidRDefault="00863306" w:rsidP="00972A32">
            <w:pPr>
              <w:spacing w:before="0"/>
              <w:jc w:val="right"/>
              <w:rPr>
                <w:rFonts w:eastAsia="Arial Unicode MS"/>
                <w:sz w:val="22"/>
                <w:szCs w:val="22"/>
              </w:rPr>
            </w:pPr>
          </w:p>
          <w:p w:rsidR="00863306" w:rsidRPr="00AE6B88" w:rsidRDefault="00951843" w:rsidP="00972A32">
            <w:pPr>
              <w:tabs>
                <w:tab w:val="left" w:pos="1050"/>
              </w:tabs>
              <w:spacing w:before="0"/>
              <w:jc w:val="right"/>
              <w:rPr>
                <w:rFonts w:eastAsia="Arial Unicode MS"/>
                <w:sz w:val="22"/>
                <w:szCs w:val="22"/>
              </w:rPr>
            </w:pPr>
            <w:r>
              <w:rPr>
                <w:rFonts w:eastAsia="Arial Unicode MS"/>
                <w:sz w:val="22"/>
                <w:szCs w:val="22"/>
              </w:rPr>
              <w:t>7,</w:t>
            </w:r>
            <w:r w:rsidR="00863306">
              <w:rPr>
                <w:rFonts w:eastAsia="Arial Unicode MS"/>
                <w:sz w:val="22"/>
                <w:szCs w:val="22"/>
              </w:rPr>
              <w:t>934</w:t>
            </w:r>
          </w:p>
        </w:tc>
        <w:tc>
          <w:tcPr>
            <w:tcW w:w="39" w:type="dxa"/>
          </w:tcPr>
          <w:p w:rsidR="00863306" w:rsidRPr="00AE6B88" w:rsidRDefault="00863306" w:rsidP="00972A32">
            <w:pPr>
              <w:spacing w:before="0"/>
              <w:jc w:val="right"/>
              <w:rPr>
                <w:rFonts w:eastAsia="Arial Unicode MS"/>
                <w:sz w:val="22"/>
                <w:szCs w:val="22"/>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rFonts w:eastAsia="Arial Unicode MS"/>
                <w:sz w:val="22"/>
                <w:szCs w:val="22"/>
              </w:rPr>
            </w:pPr>
            <w:r w:rsidRPr="00AE6B88">
              <w:rPr>
                <w:sz w:val="22"/>
                <w:szCs w:val="22"/>
              </w:rPr>
              <w:t>Publications</w:t>
            </w:r>
          </w:p>
        </w:tc>
        <w:tc>
          <w:tcPr>
            <w:tcW w:w="851" w:type="dxa"/>
            <w:tcBorders>
              <w:top w:val="nil"/>
              <w:left w:val="nil"/>
              <w:bottom w:val="nil"/>
              <w:right w:val="nil"/>
            </w:tcBorders>
          </w:tcPr>
          <w:p w:rsidR="00863306" w:rsidRPr="00AE6B88" w:rsidRDefault="00863306" w:rsidP="00972A32">
            <w:pPr>
              <w:spacing w:before="0"/>
              <w:jc w:val="right"/>
              <w:rPr>
                <w:rFonts w:eastAsia="Arial Unicode MS"/>
                <w:sz w:val="22"/>
                <w:szCs w:val="22"/>
                <w:u w:val="single"/>
              </w:rPr>
            </w:pP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124</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u w:val="single"/>
              </w:rPr>
            </w:pP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134</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u w:val="single"/>
              </w:rPr>
            </w:pP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122</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 xml:space="preserve"> </w:t>
            </w: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121</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 xml:space="preserve"> </w:t>
            </w: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127</w:t>
            </w: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 xml:space="preserve"> </w:t>
            </w: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140</w:t>
            </w:r>
          </w:p>
        </w:tc>
        <w:tc>
          <w:tcPr>
            <w:tcW w:w="846" w:type="dxa"/>
          </w:tcPr>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 xml:space="preserve"> </w:t>
            </w: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49</w:t>
            </w:r>
          </w:p>
        </w:tc>
        <w:tc>
          <w:tcPr>
            <w:tcW w:w="846" w:type="dxa"/>
          </w:tcPr>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 xml:space="preserve"> </w:t>
            </w: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49</w:t>
            </w:r>
          </w:p>
        </w:tc>
        <w:tc>
          <w:tcPr>
            <w:tcW w:w="846" w:type="dxa"/>
          </w:tcPr>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 xml:space="preserve"> </w:t>
            </w: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4</w:t>
            </w:r>
            <w:r>
              <w:rPr>
                <w:rFonts w:eastAsia="Arial Unicode MS"/>
                <w:sz w:val="22"/>
                <w:szCs w:val="22"/>
                <w:u w:val="single"/>
              </w:rPr>
              <w:t>6</w:t>
            </w:r>
          </w:p>
        </w:tc>
        <w:tc>
          <w:tcPr>
            <w:tcW w:w="39" w:type="dxa"/>
          </w:tcPr>
          <w:p w:rsidR="00863306" w:rsidRPr="00AE6B88" w:rsidRDefault="00863306" w:rsidP="00972A32">
            <w:pPr>
              <w:spacing w:before="0"/>
              <w:jc w:val="right"/>
              <w:rPr>
                <w:rFonts w:eastAsia="Arial Unicode MS"/>
                <w:sz w:val="22"/>
                <w:szCs w:val="22"/>
                <w:u w:val="single"/>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240"/>
              <w:jc w:val="both"/>
              <w:rPr>
                <w:rFonts w:eastAsia="Arial Unicode MS"/>
                <w:sz w:val="22"/>
                <w:szCs w:val="22"/>
              </w:rPr>
            </w:pPr>
            <w:r w:rsidRPr="00AE6B88">
              <w:rPr>
                <w:sz w:val="22"/>
                <w:szCs w:val="22"/>
              </w:rPr>
              <w:t>Total</w:t>
            </w:r>
          </w:p>
        </w:tc>
        <w:tc>
          <w:tcPr>
            <w:tcW w:w="851" w:type="dxa"/>
            <w:tcBorders>
              <w:top w:val="nil"/>
              <w:left w:val="nil"/>
              <w:bottom w:val="nil"/>
              <w:right w:val="nil"/>
            </w:tcBorders>
          </w:tcPr>
          <w:p w:rsidR="00863306" w:rsidRPr="00AE6B88" w:rsidRDefault="00951843" w:rsidP="00972A32">
            <w:pPr>
              <w:spacing w:before="240"/>
              <w:jc w:val="right"/>
              <w:rPr>
                <w:rFonts w:eastAsia="Arial Unicode MS"/>
                <w:sz w:val="22"/>
                <w:szCs w:val="22"/>
              </w:rPr>
            </w:pPr>
            <w:r>
              <w:rPr>
                <w:rFonts w:eastAsia="Arial Unicode MS"/>
                <w:sz w:val="22"/>
                <w:szCs w:val="22"/>
              </w:rPr>
              <w:t>14,</w:t>
            </w:r>
            <w:r w:rsidR="00863306" w:rsidRPr="00AE6B88">
              <w:rPr>
                <w:rFonts w:eastAsia="Arial Unicode MS"/>
                <w:sz w:val="22"/>
                <w:szCs w:val="22"/>
              </w:rPr>
              <w:t>219</w:t>
            </w:r>
          </w:p>
        </w:tc>
        <w:tc>
          <w:tcPr>
            <w:tcW w:w="818" w:type="dxa"/>
            <w:tcBorders>
              <w:top w:val="nil"/>
              <w:left w:val="nil"/>
              <w:bottom w:val="nil"/>
              <w:right w:val="nil"/>
            </w:tcBorders>
          </w:tcPr>
          <w:p w:rsidR="00863306" w:rsidRPr="00AE6B88" w:rsidRDefault="00951843" w:rsidP="00972A32">
            <w:pPr>
              <w:spacing w:before="240"/>
              <w:jc w:val="right"/>
              <w:rPr>
                <w:rFonts w:eastAsia="Arial Unicode MS"/>
                <w:sz w:val="22"/>
                <w:szCs w:val="22"/>
              </w:rPr>
            </w:pPr>
            <w:r>
              <w:rPr>
                <w:rFonts w:eastAsia="Arial Unicode MS"/>
                <w:sz w:val="22"/>
                <w:szCs w:val="22"/>
              </w:rPr>
              <w:t>15,</w:t>
            </w:r>
            <w:r w:rsidR="00863306" w:rsidRPr="00AE6B88">
              <w:rPr>
                <w:rFonts w:eastAsia="Arial Unicode MS"/>
                <w:sz w:val="22"/>
                <w:szCs w:val="22"/>
              </w:rPr>
              <w:t>848</w:t>
            </w:r>
          </w:p>
        </w:tc>
        <w:tc>
          <w:tcPr>
            <w:tcW w:w="818" w:type="dxa"/>
            <w:tcBorders>
              <w:top w:val="nil"/>
              <w:left w:val="nil"/>
              <w:bottom w:val="nil"/>
              <w:right w:val="nil"/>
            </w:tcBorders>
          </w:tcPr>
          <w:p w:rsidR="00863306" w:rsidRPr="00AE6B88" w:rsidRDefault="00951843" w:rsidP="00972A32">
            <w:pPr>
              <w:spacing w:before="240"/>
              <w:jc w:val="right"/>
              <w:rPr>
                <w:rFonts w:eastAsia="Arial Unicode MS"/>
                <w:sz w:val="22"/>
                <w:szCs w:val="22"/>
              </w:rPr>
            </w:pPr>
            <w:r>
              <w:rPr>
                <w:rFonts w:eastAsia="Arial Unicode MS"/>
                <w:sz w:val="22"/>
                <w:szCs w:val="22"/>
              </w:rPr>
              <w:t>16,</w:t>
            </w:r>
            <w:r w:rsidR="00863306" w:rsidRPr="00AE6B88">
              <w:rPr>
                <w:rFonts w:eastAsia="Arial Unicode MS"/>
                <w:sz w:val="22"/>
                <w:szCs w:val="22"/>
              </w:rPr>
              <w:t>481</w:t>
            </w:r>
          </w:p>
        </w:tc>
        <w:tc>
          <w:tcPr>
            <w:tcW w:w="818" w:type="dxa"/>
            <w:tcBorders>
              <w:top w:val="nil"/>
              <w:left w:val="nil"/>
              <w:bottom w:val="nil"/>
              <w:right w:val="nil"/>
            </w:tcBorders>
          </w:tcPr>
          <w:p w:rsidR="00863306" w:rsidRPr="00AE6B88" w:rsidRDefault="00951843" w:rsidP="00972A32">
            <w:pPr>
              <w:spacing w:before="240"/>
              <w:jc w:val="right"/>
              <w:rPr>
                <w:rFonts w:eastAsia="Arial Unicode MS"/>
                <w:sz w:val="22"/>
                <w:szCs w:val="22"/>
              </w:rPr>
            </w:pPr>
            <w:r>
              <w:rPr>
                <w:rFonts w:eastAsia="Arial Unicode MS"/>
                <w:sz w:val="22"/>
                <w:szCs w:val="22"/>
              </w:rPr>
              <w:t>12,</w:t>
            </w:r>
            <w:r w:rsidR="00863306" w:rsidRPr="00AE6B88">
              <w:rPr>
                <w:rFonts w:eastAsia="Arial Unicode MS"/>
                <w:sz w:val="22"/>
                <w:szCs w:val="22"/>
              </w:rPr>
              <w:t>655</w:t>
            </w:r>
          </w:p>
        </w:tc>
        <w:tc>
          <w:tcPr>
            <w:tcW w:w="818" w:type="dxa"/>
            <w:tcBorders>
              <w:top w:val="nil"/>
              <w:left w:val="nil"/>
              <w:bottom w:val="nil"/>
              <w:right w:val="nil"/>
            </w:tcBorders>
          </w:tcPr>
          <w:p w:rsidR="00863306" w:rsidRPr="00AE6B88" w:rsidRDefault="00863306" w:rsidP="00951843">
            <w:pPr>
              <w:spacing w:before="240"/>
              <w:jc w:val="right"/>
              <w:rPr>
                <w:rFonts w:eastAsia="Arial Unicode MS"/>
                <w:sz w:val="22"/>
                <w:szCs w:val="22"/>
              </w:rPr>
            </w:pPr>
            <w:r w:rsidRPr="00AE6B88">
              <w:rPr>
                <w:rFonts w:eastAsia="Arial Unicode MS"/>
                <w:sz w:val="22"/>
                <w:szCs w:val="22"/>
              </w:rPr>
              <w:t>12</w:t>
            </w:r>
            <w:r w:rsidR="00951843">
              <w:rPr>
                <w:rFonts w:eastAsia="Arial Unicode MS"/>
                <w:sz w:val="22"/>
                <w:szCs w:val="22"/>
              </w:rPr>
              <w:t>,</w:t>
            </w:r>
            <w:r w:rsidRPr="00AE6B88">
              <w:rPr>
                <w:rFonts w:eastAsia="Arial Unicode MS"/>
                <w:sz w:val="22"/>
                <w:szCs w:val="22"/>
              </w:rPr>
              <w:t>928</w:t>
            </w: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51843">
            <w:pPr>
              <w:spacing w:before="240"/>
              <w:jc w:val="right"/>
              <w:rPr>
                <w:rFonts w:eastAsia="Arial Unicode MS"/>
                <w:sz w:val="22"/>
                <w:szCs w:val="22"/>
              </w:rPr>
            </w:pPr>
            <w:r w:rsidRPr="00AE6B88">
              <w:rPr>
                <w:rFonts w:eastAsia="Arial Unicode MS"/>
                <w:sz w:val="22"/>
                <w:szCs w:val="22"/>
              </w:rPr>
              <w:t>13</w:t>
            </w:r>
            <w:r w:rsidR="00951843">
              <w:rPr>
                <w:rFonts w:eastAsia="Arial Unicode MS"/>
                <w:sz w:val="22"/>
                <w:szCs w:val="22"/>
              </w:rPr>
              <w:t>,</w:t>
            </w:r>
            <w:r w:rsidRPr="00AE6B88">
              <w:rPr>
                <w:rFonts w:eastAsia="Arial Unicode MS"/>
                <w:sz w:val="22"/>
                <w:szCs w:val="22"/>
              </w:rPr>
              <w:t>057</w:t>
            </w:r>
          </w:p>
        </w:tc>
        <w:tc>
          <w:tcPr>
            <w:tcW w:w="846" w:type="dxa"/>
          </w:tcPr>
          <w:p w:rsidR="00863306" w:rsidRPr="00AE6B88" w:rsidRDefault="00863306" w:rsidP="00972A32">
            <w:pPr>
              <w:spacing w:before="240"/>
              <w:jc w:val="right"/>
              <w:rPr>
                <w:rFonts w:eastAsia="Arial Unicode MS"/>
                <w:sz w:val="22"/>
                <w:szCs w:val="22"/>
              </w:rPr>
            </w:pPr>
            <w:r w:rsidRPr="00AE6B88">
              <w:rPr>
                <w:rFonts w:eastAsia="Arial Unicode MS"/>
                <w:sz w:val="22"/>
                <w:szCs w:val="22"/>
              </w:rPr>
              <w:t>1</w:t>
            </w:r>
            <w:r w:rsidR="00951843">
              <w:rPr>
                <w:rFonts w:eastAsia="Arial Unicode MS"/>
                <w:sz w:val="22"/>
                <w:szCs w:val="22"/>
              </w:rPr>
              <w:t>0,</w:t>
            </w:r>
            <w:r w:rsidRPr="00AE6B88">
              <w:rPr>
                <w:rFonts w:eastAsia="Arial Unicode MS"/>
                <w:sz w:val="22"/>
                <w:szCs w:val="22"/>
              </w:rPr>
              <w:t>592</w:t>
            </w:r>
          </w:p>
        </w:tc>
        <w:tc>
          <w:tcPr>
            <w:tcW w:w="846" w:type="dxa"/>
          </w:tcPr>
          <w:p w:rsidR="00863306" w:rsidRPr="00AE6B88" w:rsidRDefault="00951843" w:rsidP="00972A32">
            <w:pPr>
              <w:spacing w:before="240"/>
              <w:jc w:val="right"/>
              <w:rPr>
                <w:rFonts w:eastAsia="Arial Unicode MS"/>
                <w:sz w:val="22"/>
                <w:szCs w:val="22"/>
              </w:rPr>
            </w:pPr>
            <w:r>
              <w:rPr>
                <w:rFonts w:eastAsia="Arial Unicode MS"/>
                <w:sz w:val="22"/>
                <w:szCs w:val="22"/>
              </w:rPr>
              <w:t>10,</w:t>
            </w:r>
            <w:r w:rsidR="00863306">
              <w:rPr>
                <w:rFonts w:eastAsia="Arial Unicode MS"/>
                <w:sz w:val="22"/>
                <w:szCs w:val="22"/>
              </w:rPr>
              <w:t>190</w:t>
            </w:r>
          </w:p>
        </w:tc>
        <w:tc>
          <w:tcPr>
            <w:tcW w:w="846" w:type="dxa"/>
          </w:tcPr>
          <w:p w:rsidR="00863306" w:rsidRPr="00AE6B88" w:rsidRDefault="00951843" w:rsidP="00972A32">
            <w:pPr>
              <w:spacing w:before="240"/>
              <w:jc w:val="right"/>
              <w:rPr>
                <w:rFonts w:eastAsia="Arial Unicode MS"/>
                <w:sz w:val="22"/>
                <w:szCs w:val="22"/>
              </w:rPr>
            </w:pPr>
            <w:r>
              <w:rPr>
                <w:rFonts w:eastAsia="Arial Unicode MS"/>
                <w:sz w:val="22"/>
                <w:szCs w:val="22"/>
              </w:rPr>
              <w:t>7,</w:t>
            </w:r>
            <w:r w:rsidR="00863306">
              <w:rPr>
                <w:rFonts w:eastAsia="Arial Unicode MS"/>
                <w:sz w:val="22"/>
                <w:szCs w:val="22"/>
              </w:rPr>
              <w:t>980</w:t>
            </w:r>
          </w:p>
        </w:tc>
        <w:tc>
          <w:tcPr>
            <w:tcW w:w="39" w:type="dxa"/>
          </w:tcPr>
          <w:p w:rsidR="00863306" w:rsidRPr="00AE6B88" w:rsidRDefault="00863306" w:rsidP="00972A32">
            <w:pPr>
              <w:spacing w:before="240"/>
              <w:jc w:val="right"/>
              <w:rPr>
                <w:rFonts w:eastAsia="Arial Unicode MS"/>
                <w:sz w:val="22"/>
                <w:szCs w:val="22"/>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rFonts w:eastAsia="Arial Unicode MS"/>
                <w:sz w:val="22"/>
                <w:szCs w:val="22"/>
              </w:rPr>
            </w:pPr>
          </w:p>
        </w:tc>
        <w:tc>
          <w:tcPr>
            <w:tcW w:w="851" w:type="dxa"/>
            <w:tcBorders>
              <w:top w:val="nil"/>
              <w:left w:val="nil"/>
              <w:bottom w:val="nil"/>
              <w:right w:val="nil"/>
            </w:tcBorders>
          </w:tcPr>
          <w:p w:rsidR="00863306" w:rsidRPr="00AE6B88" w:rsidRDefault="00863306" w:rsidP="00972A32">
            <w:pPr>
              <w:spacing w:before="0"/>
              <w:jc w:val="both"/>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both"/>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both"/>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both"/>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both"/>
              <w:rPr>
                <w:rFonts w:eastAsia="Arial Unicode MS"/>
                <w:sz w:val="22"/>
                <w:szCs w:val="22"/>
              </w:rPr>
            </w:pP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both"/>
              <w:rPr>
                <w:rFonts w:eastAsia="Arial Unicode MS"/>
                <w:sz w:val="22"/>
                <w:szCs w:val="22"/>
              </w:rPr>
            </w:pPr>
          </w:p>
        </w:tc>
        <w:tc>
          <w:tcPr>
            <w:tcW w:w="846" w:type="dxa"/>
          </w:tcPr>
          <w:p w:rsidR="00863306" w:rsidRPr="00AE6B88" w:rsidRDefault="00863306" w:rsidP="00972A32">
            <w:pPr>
              <w:spacing w:before="0"/>
              <w:jc w:val="both"/>
              <w:rPr>
                <w:rFonts w:eastAsia="Arial Unicode MS"/>
                <w:sz w:val="22"/>
                <w:szCs w:val="22"/>
              </w:rPr>
            </w:pPr>
          </w:p>
        </w:tc>
        <w:tc>
          <w:tcPr>
            <w:tcW w:w="846" w:type="dxa"/>
          </w:tcPr>
          <w:p w:rsidR="00863306" w:rsidRPr="00AE6B88" w:rsidRDefault="00863306" w:rsidP="00972A32">
            <w:pPr>
              <w:spacing w:before="0"/>
              <w:jc w:val="both"/>
              <w:rPr>
                <w:rFonts w:eastAsia="Arial Unicode MS"/>
                <w:sz w:val="22"/>
                <w:szCs w:val="22"/>
              </w:rPr>
            </w:pPr>
          </w:p>
        </w:tc>
        <w:tc>
          <w:tcPr>
            <w:tcW w:w="846" w:type="dxa"/>
          </w:tcPr>
          <w:p w:rsidR="00863306" w:rsidRPr="00AE6B88" w:rsidRDefault="00863306" w:rsidP="00972A32">
            <w:pPr>
              <w:spacing w:before="0"/>
              <w:jc w:val="both"/>
              <w:rPr>
                <w:rFonts w:eastAsia="Arial Unicode MS"/>
                <w:sz w:val="22"/>
                <w:szCs w:val="22"/>
              </w:rPr>
            </w:pPr>
          </w:p>
        </w:tc>
        <w:tc>
          <w:tcPr>
            <w:tcW w:w="39" w:type="dxa"/>
          </w:tcPr>
          <w:p w:rsidR="00863306" w:rsidRPr="00AE6B88" w:rsidRDefault="00863306" w:rsidP="00972A32">
            <w:pPr>
              <w:spacing w:before="0"/>
              <w:jc w:val="both"/>
              <w:rPr>
                <w:rFonts w:eastAsia="Arial Unicode MS"/>
                <w:sz w:val="22"/>
                <w:szCs w:val="22"/>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rFonts w:eastAsia="Arial Unicode MS"/>
                <w:b/>
                <w:bCs/>
                <w:sz w:val="22"/>
                <w:szCs w:val="22"/>
              </w:rPr>
            </w:pPr>
            <w:r w:rsidRPr="00AE6B88">
              <w:rPr>
                <w:b/>
                <w:bCs/>
                <w:sz w:val="22"/>
                <w:szCs w:val="22"/>
              </w:rPr>
              <w:t>Membres des Secteurs et</w:t>
            </w:r>
            <w:r w:rsidRPr="00AE6B88">
              <w:rPr>
                <w:b/>
                <w:bCs/>
                <w:sz w:val="22"/>
                <w:szCs w:val="22"/>
              </w:rPr>
              <w:br/>
              <w:t>autres</w:t>
            </w:r>
          </w:p>
        </w:tc>
        <w:tc>
          <w:tcPr>
            <w:tcW w:w="851" w:type="dxa"/>
            <w:tcBorders>
              <w:top w:val="nil"/>
              <w:left w:val="nil"/>
              <w:bottom w:val="nil"/>
              <w:right w:val="nil"/>
            </w:tcBorders>
          </w:tcPr>
          <w:p w:rsidR="00863306" w:rsidRPr="00AE6B88" w:rsidRDefault="00863306" w:rsidP="00972A32">
            <w:pPr>
              <w:spacing w:before="0"/>
              <w:jc w:val="both"/>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both"/>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both"/>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both"/>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both"/>
              <w:rPr>
                <w:rFonts w:eastAsia="Arial Unicode MS"/>
                <w:sz w:val="22"/>
                <w:szCs w:val="22"/>
              </w:rPr>
            </w:pP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both"/>
              <w:rPr>
                <w:rFonts w:eastAsia="Arial Unicode MS"/>
                <w:sz w:val="22"/>
                <w:szCs w:val="22"/>
              </w:rPr>
            </w:pPr>
          </w:p>
        </w:tc>
        <w:tc>
          <w:tcPr>
            <w:tcW w:w="846" w:type="dxa"/>
          </w:tcPr>
          <w:p w:rsidR="00863306" w:rsidRPr="00AE6B88" w:rsidRDefault="00863306" w:rsidP="00972A32">
            <w:pPr>
              <w:spacing w:before="0"/>
              <w:jc w:val="both"/>
              <w:rPr>
                <w:rFonts w:eastAsia="Arial Unicode MS"/>
                <w:sz w:val="22"/>
                <w:szCs w:val="22"/>
              </w:rPr>
            </w:pPr>
          </w:p>
        </w:tc>
        <w:tc>
          <w:tcPr>
            <w:tcW w:w="846" w:type="dxa"/>
          </w:tcPr>
          <w:p w:rsidR="00863306" w:rsidRPr="00AE6B88" w:rsidRDefault="00863306" w:rsidP="00972A32">
            <w:pPr>
              <w:spacing w:before="0"/>
              <w:jc w:val="both"/>
              <w:rPr>
                <w:rFonts w:eastAsia="Arial Unicode MS"/>
                <w:sz w:val="22"/>
                <w:szCs w:val="22"/>
              </w:rPr>
            </w:pPr>
          </w:p>
        </w:tc>
        <w:tc>
          <w:tcPr>
            <w:tcW w:w="846" w:type="dxa"/>
          </w:tcPr>
          <w:p w:rsidR="00863306" w:rsidRPr="00AE6B88" w:rsidRDefault="00863306" w:rsidP="00972A32">
            <w:pPr>
              <w:spacing w:before="0"/>
              <w:jc w:val="both"/>
              <w:rPr>
                <w:rFonts w:eastAsia="Arial Unicode MS"/>
                <w:sz w:val="22"/>
                <w:szCs w:val="22"/>
              </w:rPr>
            </w:pPr>
          </w:p>
        </w:tc>
        <w:tc>
          <w:tcPr>
            <w:tcW w:w="39" w:type="dxa"/>
          </w:tcPr>
          <w:p w:rsidR="00863306" w:rsidRPr="00AE6B88" w:rsidRDefault="00863306" w:rsidP="00972A32">
            <w:pPr>
              <w:spacing w:before="0"/>
              <w:jc w:val="both"/>
              <w:rPr>
                <w:rFonts w:eastAsia="Arial Unicode MS"/>
                <w:sz w:val="22"/>
                <w:szCs w:val="22"/>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rFonts w:eastAsia="Arial Unicode MS"/>
                <w:sz w:val="22"/>
                <w:szCs w:val="22"/>
              </w:rPr>
            </w:pPr>
            <w:r w:rsidRPr="00AE6B88">
              <w:rPr>
                <w:sz w:val="22"/>
                <w:szCs w:val="22"/>
              </w:rPr>
              <w:t>Contributions</w:t>
            </w:r>
          </w:p>
        </w:tc>
        <w:tc>
          <w:tcPr>
            <w:tcW w:w="851"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p w:rsidR="00863306" w:rsidRPr="00AE6B88" w:rsidRDefault="00951843" w:rsidP="00972A32">
            <w:pPr>
              <w:spacing w:before="0"/>
              <w:jc w:val="right"/>
              <w:rPr>
                <w:rFonts w:eastAsia="Arial Unicode MS"/>
                <w:sz w:val="22"/>
                <w:szCs w:val="22"/>
              </w:rPr>
            </w:pPr>
            <w:r>
              <w:rPr>
                <w:rFonts w:eastAsia="Arial Unicode MS"/>
                <w:sz w:val="22"/>
                <w:szCs w:val="22"/>
              </w:rPr>
              <w:t>21,</w:t>
            </w:r>
            <w:r w:rsidR="00863306" w:rsidRPr="00AE6B88">
              <w:rPr>
                <w:rFonts w:eastAsia="Arial Unicode MS"/>
                <w:sz w:val="22"/>
                <w:szCs w:val="22"/>
              </w:rPr>
              <w:t>940</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p w:rsidR="00863306" w:rsidRPr="00AE6B88" w:rsidRDefault="00951843" w:rsidP="00972A32">
            <w:pPr>
              <w:spacing w:before="0"/>
              <w:jc w:val="right"/>
              <w:rPr>
                <w:rFonts w:eastAsia="Arial Unicode MS"/>
                <w:sz w:val="22"/>
                <w:szCs w:val="22"/>
              </w:rPr>
            </w:pPr>
            <w:r>
              <w:rPr>
                <w:rFonts w:eastAsia="Arial Unicode MS"/>
                <w:sz w:val="22"/>
                <w:szCs w:val="22"/>
              </w:rPr>
              <w:t>18,</w:t>
            </w:r>
            <w:r w:rsidR="00863306" w:rsidRPr="00AE6B88">
              <w:rPr>
                <w:rFonts w:eastAsia="Arial Unicode MS"/>
                <w:sz w:val="22"/>
                <w:szCs w:val="22"/>
              </w:rPr>
              <w:t>443</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p w:rsidR="00863306" w:rsidRPr="00AE6B88" w:rsidRDefault="00951843" w:rsidP="00972A32">
            <w:pPr>
              <w:spacing w:before="0"/>
              <w:jc w:val="right"/>
              <w:rPr>
                <w:rFonts w:eastAsia="Arial Unicode MS"/>
                <w:sz w:val="22"/>
                <w:szCs w:val="22"/>
              </w:rPr>
            </w:pPr>
            <w:r>
              <w:rPr>
                <w:rFonts w:eastAsia="Arial Unicode MS"/>
                <w:sz w:val="22"/>
                <w:szCs w:val="22"/>
              </w:rPr>
              <w:t>18,</w:t>
            </w:r>
            <w:r w:rsidR="00863306" w:rsidRPr="00AE6B88">
              <w:rPr>
                <w:rFonts w:eastAsia="Arial Unicode MS"/>
                <w:sz w:val="22"/>
                <w:szCs w:val="22"/>
              </w:rPr>
              <w:t>284</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p w:rsidR="00863306" w:rsidRPr="00AE6B88" w:rsidRDefault="00951843" w:rsidP="00972A32">
            <w:pPr>
              <w:spacing w:before="0"/>
              <w:jc w:val="right"/>
              <w:rPr>
                <w:rFonts w:eastAsia="Arial Unicode MS"/>
                <w:sz w:val="22"/>
                <w:szCs w:val="22"/>
              </w:rPr>
            </w:pPr>
            <w:r>
              <w:rPr>
                <w:rFonts w:eastAsia="Arial Unicode MS"/>
                <w:sz w:val="22"/>
                <w:szCs w:val="22"/>
              </w:rPr>
              <w:t>18,</w:t>
            </w:r>
            <w:r w:rsidR="00863306" w:rsidRPr="00AE6B88">
              <w:rPr>
                <w:rFonts w:eastAsia="Arial Unicode MS"/>
                <w:sz w:val="22"/>
                <w:szCs w:val="22"/>
              </w:rPr>
              <w:t>580</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p w:rsidR="00863306" w:rsidRPr="00AE6B88" w:rsidRDefault="00863306" w:rsidP="00951843">
            <w:pPr>
              <w:spacing w:before="0"/>
              <w:jc w:val="right"/>
              <w:rPr>
                <w:rFonts w:eastAsia="Arial Unicode MS"/>
                <w:sz w:val="22"/>
                <w:szCs w:val="22"/>
              </w:rPr>
            </w:pPr>
            <w:r w:rsidRPr="00AE6B88">
              <w:rPr>
                <w:rFonts w:eastAsia="Arial Unicode MS"/>
                <w:sz w:val="22"/>
                <w:szCs w:val="22"/>
              </w:rPr>
              <w:t>19</w:t>
            </w:r>
            <w:r w:rsidR="00951843">
              <w:rPr>
                <w:rFonts w:eastAsia="Arial Unicode MS"/>
                <w:sz w:val="22"/>
                <w:szCs w:val="22"/>
              </w:rPr>
              <w:t>,</w:t>
            </w:r>
            <w:r w:rsidRPr="00AE6B88">
              <w:rPr>
                <w:rFonts w:eastAsia="Arial Unicode MS"/>
                <w:sz w:val="22"/>
                <w:szCs w:val="22"/>
              </w:rPr>
              <w:t>679</w:t>
            </w: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right"/>
              <w:rPr>
                <w:rFonts w:eastAsia="Arial Unicode MS"/>
                <w:sz w:val="22"/>
                <w:szCs w:val="22"/>
              </w:rPr>
            </w:pPr>
          </w:p>
          <w:p w:rsidR="00863306" w:rsidRPr="00AE6B88" w:rsidRDefault="00951843" w:rsidP="00972A32">
            <w:pPr>
              <w:spacing w:before="0"/>
              <w:jc w:val="right"/>
              <w:rPr>
                <w:rFonts w:eastAsia="Arial Unicode MS"/>
                <w:sz w:val="22"/>
                <w:szCs w:val="22"/>
              </w:rPr>
            </w:pPr>
            <w:r>
              <w:rPr>
                <w:rFonts w:eastAsia="Arial Unicode MS"/>
                <w:sz w:val="22"/>
                <w:szCs w:val="22"/>
              </w:rPr>
              <w:t>19,</w:t>
            </w:r>
            <w:r w:rsidR="00863306" w:rsidRPr="00AE6B88">
              <w:rPr>
                <w:rFonts w:eastAsia="Arial Unicode MS"/>
                <w:sz w:val="22"/>
                <w:szCs w:val="22"/>
              </w:rPr>
              <w:t>149</w:t>
            </w:r>
          </w:p>
        </w:tc>
        <w:tc>
          <w:tcPr>
            <w:tcW w:w="846" w:type="dxa"/>
          </w:tcPr>
          <w:p w:rsidR="00863306" w:rsidRPr="00AE6B88" w:rsidRDefault="00863306" w:rsidP="00972A32">
            <w:pPr>
              <w:spacing w:before="0"/>
              <w:jc w:val="right"/>
              <w:rPr>
                <w:rFonts w:eastAsia="Arial Unicode MS"/>
                <w:sz w:val="22"/>
                <w:szCs w:val="22"/>
              </w:rPr>
            </w:pPr>
          </w:p>
          <w:p w:rsidR="00863306" w:rsidRPr="00AE6B88" w:rsidRDefault="00951843" w:rsidP="00972A32">
            <w:pPr>
              <w:spacing w:before="0"/>
              <w:jc w:val="right"/>
              <w:rPr>
                <w:rFonts w:eastAsia="Arial Unicode MS"/>
                <w:sz w:val="22"/>
                <w:szCs w:val="22"/>
              </w:rPr>
            </w:pPr>
            <w:r>
              <w:rPr>
                <w:rFonts w:eastAsia="Arial Unicode MS"/>
                <w:sz w:val="22"/>
                <w:szCs w:val="22"/>
              </w:rPr>
              <w:t>17,</w:t>
            </w:r>
            <w:r w:rsidR="00863306" w:rsidRPr="00AE6B88">
              <w:rPr>
                <w:rFonts w:eastAsia="Arial Unicode MS"/>
                <w:sz w:val="22"/>
                <w:szCs w:val="22"/>
              </w:rPr>
              <w:t>758</w:t>
            </w:r>
          </w:p>
        </w:tc>
        <w:tc>
          <w:tcPr>
            <w:tcW w:w="846" w:type="dxa"/>
          </w:tcPr>
          <w:p w:rsidR="00863306" w:rsidRPr="00AE6B88" w:rsidRDefault="00863306" w:rsidP="00972A32">
            <w:pPr>
              <w:spacing w:before="0"/>
              <w:jc w:val="right"/>
              <w:rPr>
                <w:rFonts w:eastAsia="Arial Unicode MS"/>
                <w:sz w:val="22"/>
                <w:szCs w:val="22"/>
              </w:rPr>
            </w:pPr>
          </w:p>
          <w:p w:rsidR="00863306" w:rsidRPr="00AE6B88" w:rsidRDefault="00863306" w:rsidP="00951843">
            <w:pPr>
              <w:spacing w:before="0"/>
              <w:jc w:val="right"/>
              <w:rPr>
                <w:rFonts w:eastAsia="Arial Unicode MS"/>
                <w:sz w:val="22"/>
                <w:szCs w:val="22"/>
              </w:rPr>
            </w:pPr>
            <w:r>
              <w:rPr>
                <w:rFonts w:eastAsia="Arial Unicode MS"/>
                <w:sz w:val="22"/>
                <w:szCs w:val="22"/>
              </w:rPr>
              <w:t>16</w:t>
            </w:r>
            <w:r w:rsidR="00951843">
              <w:rPr>
                <w:rFonts w:eastAsia="Arial Unicode MS"/>
                <w:sz w:val="22"/>
                <w:szCs w:val="22"/>
              </w:rPr>
              <w:t>,</w:t>
            </w:r>
            <w:r>
              <w:rPr>
                <w:rFonts w:eastAsia="Arial Unicode MS"/>
                <w:sz w:val="22"/>
                <w:szCs w:val="22"/>
              </w:rPr>
              <w:t>484</w:t>
            </w:r>
          </w:p>
        </w:tc>
        <w:tc>
          <w:tcPr>
            <w:tcW w:w="846" w:type="dxa"/>
          </w:tcPr>
          <w:p w:rsidR="00863306" w:rsidRPr="00AE6B88" w:rsidRDefault="00863306" w:rsidP="00972A32">
            <w:pPr>
              <w:spacing w:before="0"/>
              <w:jc w:val="right"/>
              <w:rPr>
                <w:rFonts w:eastAsia="Arial Unicode MS"/>
                <w:sz w:val="22"/>
                <w:szCs w:val="22"/>
              </w:rPr>
            </w:pPr>
          </w:p>
          <w:p w:rsidR="00863306" w:rsidRPr="00AE6B88" w:rsidRDefault="00863306" w:rsidP="00951843">
            <w:pPr>
              <w:spacing w:before="0"/>
              <w:jc w:val="right"/>
              <w:rPr>
                <w:rFonts w:eastAsia="Arial Unicode MS"/>
                <w:sz w:val="22"/>
                <w:szCs w:val="22"/>
              </w:rPr>
            </w:pPr>
            <w:r>
              <w:rPr>
                <w:rFonts w:eastAsia="Arial Unicode MS"/>
                <w:sz w:val="22"/>
                <w:szCs w:val="22"/>
              </w:rPr>
              <w:t>15</w:t>
            </w:r>
            <w:r w:rsidR="00951843">
              <w:rPr>
                <w:rFonts w:eastAsia="Arial Unicode MS"/>
                <w:sz w:val="22"/>
                <w:szCs w:val="22"/>
              </w:rPr>
              <w:t>,</w:t>
            </w:r>
            <w:r>
              <w:rPr>
                <w:rFonts w:eastAsia="Arial Unicode MS"/>
                <w:sz w:val="22"/>
                <w:szCs w:val="22"/>
              </w:rPr>
              <w:t>732</w:t>
            </w:r>
          </w:p>
        </w:tc>
        <w:tc>
          <w:tcPr>
            <w:tcW w:w="39" w:type="dxa"/>
          </w:tcPr>
          <w:p w:rsidR="00863306" w:rsidRPr="00AE6B88" w:rsidRDefault="00863306" w:rsidP="00972A32">
            <w:pPr>
              <w:spacing w:before="0"/>
              <w:jc w:val="right"/>
              <w:rPr>
                <w:rFonts w:eastAsia="Arial Unicode MS"/>
                <w:sz w:val="22"/>
                <w:szCs w:val="22"/>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rFonts w:eastAsia="Arial Unicode MS"/>
                <w:sz w:val="22"/>
                <w:szCs w:val="22"/>
              </w:rPr>
            </w:pPr>
            <w:r w:rsidRPr="00AE6B88">
              <w:rPr>
                <w:sz w:val="22"/>
                <w:szCs w:val="22"/>
              </w:rPr>
              <w:t>Publications</w:t>
            </w:r>
          </w:p>
        </w:tc>
        <w:tc>
          <w:tcPr>
            <w:tcW w:w="851" w:type="dxa"/>
            <w:tcBorders>
              <w:top w:val="nil"/>
              <w:left w:val="nil"/>
              <w:bottom w:val="nil"/>
              <w:right w:val="nil"/>
            </w:tcBorders>
          </w:tcPr>
          <w:p w:rsidR="00863306" w:rsidRPr="00AE6B88" w:rsidRDefault="00863306" w:rsidP="00951843">
            <w:pPr>
              <w:spacing w:before="0"/>
              <w:jc w:val="center"/>
              <w:rPr>
                <w:rFonts w:eastAsia="Arial Unicode MS"/>
                <w:sz w:val="22"/>
                <w:szCs w:val="22"/>
                <w:u w:val="single"/>
              </w:rPr>
            </w:pP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98</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u w:val="single"/>
              </w:rPr>
            </w:pP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89</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u w:val="single"/>
              </w:rPr>
            </w:pP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42</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u w:val="single"/>
              </w:rPr>
            </w:pP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44</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u w:val="single"/>
              </w:rPr>
            </w:pP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48</w:t>
            </w: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right"/>
              <w:rPr>
                <w:rFonts w:eastAsia="Arial Unicode MS"/>
                <w:sz w:val="22"/>
                <w:szCs w:val="22"/>
                <w:u w:val="single"/>
              </w:rPr>
            </w:pP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2</w:t>
            </w:r>
          </w:p>
        </w:tc>
        <w:tc>
          <w:tcPr>
            <w:tcW w:w="846" w:type="dxa"/>
          </w:tcPr>
          <w:p w:rsidR="00863306" w:rsidRPr="00AE6B88" w:rsidRDefault="00863306" w:rsidP="00972A32">
            <w:pPr>
              <w:spacing w:before="0"/>
              <w:jc w:val="right"/>
              <w:rPr>
                <w:rFonts w:eastAsia="Arial Unicode MS"/>
                <w:sz w:val="22"/>
                <w:szCs w:val="22"/>
                <w:u w:val="single"/>
              </w:rPr>
            </w:pP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4</w:t>
            </w:r>
          </w:p>
        </w:tc>
        <w:tc>
          <w:tcPr>
            <w:tcW w:w="846" w:type="dxa"/>
          </w:tcPr>
          <w:p w:rsidR="00863306" w:rsidRPr="00AE6B88" w:rsidRDefault="00863306" w:rsidP="00972A32">
            <w:pPr>
              <w:spacing w:before="0"/>
              <w:jc w:val="right"/>
              <w:rPr>
                <w:rFonts w:eastAsia="Arial Unicode MS"/>
                <w:sz w:val="22"/>
                <w:szCs w:val="22"/>
                <w:u w:val="single"/>
              </w:rPr>
            </w:pPr>
          </w:p>
          <w:p w:rsidR="00863306" w:rsidRPr="00AE6B88" w:rsidRDefault="00863306" w:rsidP="00972A32">
            <w:pPr>
              <w:spacing w:before="0"/>
              <w:jc w:val="right"/>
              <w:rPr>
                <w:rFonts w:eastAsia="Arial Unicode MS"/>
                <w:sz w:val="22"/>
                <w:szCs w:val="22"/>
                <w:u w:val="single"/>
              </w:rPr>
            </w:pPr>
            <w:r>
              <w:rPr>
                <w:rFonts w:eastAsia="Arial Unicode MS"/>
                <w:sz w:val="22"/>
                <w:szCs w:val="22"/>
                <w:u w:val="single"/>
              </w:rPr>
              <w:t>5</w:t>
            </w:r>
          </w:p>
        </w:tc>
        <w:tc>
          <w:tcPr>
            <w:tcW w:w="846" w:type="dxa"/>
          </w:tcPr>
          <w:p w:rsidR="00863306" w:rsidRPr="00AE6B88" w:rsidRDefault="00863306" w:rsidP="00972A32">
            <w:pPr>
              <w:spacing w:before="0"/>
              <w:jc w:val="right"/>
              <w:rPr>
                <w:rFonts w:eastAsia="Arial Unicode MS"/>
                <w:sz w:val="22"/>
                <w:szCs w:val="22"/>
                <w:u w:val="single"/>
              </w:rPr>
            </w:pPr>
          </w:p>
          <w:p w:rsidR="00863306" w:rsidRPr="00AE6B88" w:rsidRDefault="00863306" w:rsidP="00972A32">
            <w:pPr>
              <w:spacing w:before="0"/>
              <w:jc w:val="right"/>
              <w:rPr>
                <w:rFonts w:eastAsia="Arial Unicode MS"/>
                <w:sz w:val="22"/>
                <w:szCs w:val="22"/>
                <w:u w:val="single"/>
              </w:rPr>
            </w:pPr>
            <w:r w:rsidRPr="00AE6B88">
              <w:rPr>
                <w:rFonts w:eastAsia="Arial Unicode MS"/>
                <w:sz w:val="22"/>
                <w:szCs w:val="22"/>
                <w:u w:val="single"/>
              </w:rPr>
              <w:t>4</w:t>
            </w:r>
          </w:p>
        </w:tc>
        <w:tc>
          <w:tcPr>
            <w:tcW w:w="39" w:type="dxa"/>
          </w:tcPr>
          <w:p w:rsidR="00863306" w:rsidRPr="00AE6B88" w:rsidRDefault="00863306" w:rsidP="00972A32">
            <w:pPr>
              <w:spacing w:before="0"/>
              <w:jc w:val="right"/>
              <w:rPr>
                <w:rFonts w:eastAsia="Arial Unicode MS"/>
                <w:sz w:val="22"/>
                <w:szCs w:val="22"/>
                <w:u w:val="single"/>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rFonts w:eastAsia="Arial Unicode MS"/>
                <w:sz w:val="22"/>
                <w:szCs w:val="22"/>
              </w:rPr>
            </w:pPr>
            <w:r w:rsidRPr="00AE6B88">
              <w:rPr>
                <w:sz w:val="22"/>
                <w:szCs w:val="22"/>
              </w:rPr>
              <w:t>Total</w:t>
            </w:r>
          </w:p>
        </w:tc>
        <w:tc>
          <w:tcPr>
            <w:tcW w:w="851"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p w:rsidR="00863306" w:rsidRPr="00AE6B88" w:rsidRDefault="00951843" w:rsidP="00972A32">
            <w:pPr>
              <w:spacing w:before="0"/>
              <w:jc w:val="right"/>
              <w:rPr>
                <w:rFonts w:eastAsia="Arial Unicode MS"/>
                <w:sz w:val="22"/>
                <w:szCs w:val="22"/>
              </w:rPr>
            </w:pPr>
            <w:r>
              <w:rPr>
                <w:rFonts w:eastAsia="Arial Unicode MS"/>
                <w:sz w:val="22"/>
                <w:szCs w:val="22"/>
              </w:rPr>
              <w:t>22,</w:t>
            </w:r>
            <w:r w:rsidR="00863306" w:rsidRPr="00AE6B88">
              <w:rPr>
                <w:rFonts w:eastAsia="Arial Unicode MS"/>
                <w:sz w:val="22"/>
                <w:szCs w:val="22"/>
              </w:rPr>
              <w:t>038</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p w:rsidR="00863306" w:rsidRPr="00AE6B88" w:rsidRDefault="00951843" w:rsidP="00972A32">
            <w:pPr>
              <w:spacing w:before="0"/>
              <w:jc w:val="right"/>
              <w:rPr>
                <w:rFonts w:eastAsia="Arial Unicode MS"/>
                <w:sz w:val="22"/>
                <w:szCs w:val="22"/>
              </w:rPr>
            </w:pPr>
            <w:r>
              <w:rPr>
                <w:rFonts w:eastAsia="Arial Unicode MS"/>
                <w:sz w:val="22"/>
                <w:szCs w:val="22"/>
              </w:rPr>
              <w:t>18,</w:t>
            </w:r>
            <w:r w:rsidR="00863306" w:rsidRPr="00AE6B88">
              <w:rPr>
                <w:rFonts w:eastAsia="Arial Unicode MS"/>
                <w:sz w:val="22"/>
                <w:szCs w:val="22"/>
              </w:rPr>
              <w:t>532</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p w:rsidR="00863306" w:rsidRPr="00AE6B88" w:rsidRDefault="00951843" w:rsidP="00972A32">
            <w:pPr>
              <w:spacing w:before="0"/>
              <w:jc w:val="right"/>
              <w:rPr>
                <w:rFonts w:eastAsia="Arial Unicode MS"/>
                <w:sz w:val="22"/>
                <w:szCs w:val="22"/>
              </w:rPr>
            </w:pPr>
            <w:r>
              <w:rPr>
                <w:rFonts w:eastAsia="Arial Unicode MS"/>
                <w:sz w:val="22"/>
                <w:szCs w:val="22"/>
              </w:rPr>
              <w:t>18,</w:t>
            </w:r>
            <w:r w:rsidR="00863306" w:rsidRPr="00AE6B88">
              <w:rPr>
                <w:rFonts w:eastAsia="Arial Unicode MS"/>
                <w:sz w:val="22"/>
                <w:szCs w:val="22"/>
              </w:rPr>
              <w:t>326</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p w:rsidR="00863306" w:rsidRPr="00AE6B88" w:rsidRDefault="00951843" w:rsidP="00972A32">
            <w:pPr>
              <w:spacing w:before="0"/>
              <w:jc w:val="right"/>
              <w:rPr>
                <w:rFonts w:eastAsia="Arial Unicode MS"/>
                <w:sz w:val="22"/>
                <w:szCs w:val="22"/>
              </w:rPr>
            </w:pPr>
            <w:r>
              <w:rPr>
                <w:rFonts w:eastAsia="Arial Unicode MS"/>
                <w:sz w:val="22"/>
                <w:szCs w:val="22"/>
              </w:rPr>
              <w:t>18,</w:t>
            </w:r>
            <w:r w:rsidR="00863306" w:rsidRPr="00AE6B88">
              <w:rPr>
                <w:rFonts w:eastAsia="Arial Unicode MS"/>
                <w:sz w:val="22"/>
                <w:szCs w:val="22"/>
              </w:rPr>
              <w:t>624</w:t>
            </w: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p w:rsidR="00863306" w:rsidRPr="00AE6B88" w:rsidRDefault="00863306" w:rsidP="00951843">
            <w:pPr>
              <w:spacing w:before="0"/>
              <w:jc w:val="right"/>
              <w:rPr>
                <w:rFonts w:eastAsia="Arial Unicode MS"/>
                <w:sz w:val="22"/>
                <w:szCs w:val="22"/>
              </w:rPr>
            </w:pPr>
            <w:r w:rsidRPr="00AE6B88">
              <w:rPr>
                <w:rFonts w:eastAsia="Arial Unicode MS"/>
                <w:sz w:val="22"/>
                <w:szCs w:val="22"/>
              </w:rPr>
              <w:t>19</w:t>
            </w:r>
            <w:r w:rsidR="00951843">
              <w:rPr>
                <w:rFonts w:eastAsia="Arial Unicode MS"/>
                <w:sz w:val="22"/>
                <w:szCs w:val="22"/>
              </w:rPr>
              <w:t>,</w:t>
            </w:r>
            <w:r w:rsidRPr="00AE6B88">
              <w:rPr>
                <w:rFonts w:eastAsia="Arial Unicode MS"/>
                <w:sz w:val="22"/>
                <w:szCs w:val="22"/>
              </w:rPr>
              <w:t>727</w:t>
            </w: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right"/>
              <w:rPr>
                <w:rFonts w:eastAsia="Arial Unicode MS"/>
                <w:sz w:val="22"/>
                <w:szCs w:val="22"/>
              </w:rPr>
            </w:pPr>
          </w:p>
          <w:p w:rsidR="00863306" w:rsidRPr="00AE6B88" w:rsidRDefault="00863306" w:rsidP="00951843">
            <w:pPr>
              <w:spacing w:before="0"/>
              <w:jc w:val="right"/>
              <w:rPr>
                <w:rFonts w:eastAsia="Arial Unicode MS"/>
                <w:sz w:val="22"/>
                <w:szCs w:val="22"/>
              </w:rPr>
            </w:pPr>
            <w:r w:rsidRPr="00AE6B88">
              <w:rPr>
                <w:rFonts w:eastAsia="Arial Unicode MS"/>
                <w:sz w:val="22"/>
                <w:szCs w:val="22"/>
              </w:rPr>
              <w:t>19</w:t>
            </w:r>
            <w:r w:rsidR="00951843">
              <w:rPr>
                <w:rFonts w:eastAsia="Arial Unicode MS"/>
                <w:sz w:val="22"/>
                <w:szCs w:val="22"/>
              </w:rPr>
              <w:t>,</w:t>
            </w:r>
            <w:r w:rsidRPr="00AE6B88">
              <w:rPr>
                <w:rFonts w:eastAsia="Arial Unicode MS"/>
                <w:sz w:val="22"/>
                <w:szCs w:val="22"/>
              </w:rPr>
              <w:t>151</w:t>
            </w:r>
          </w:p>
        </w:tc>
        <w:tc>
          <w:tcPr>
            <w:tcW w:w="846" w:type="dxa"/>
          </w:tcPr>
          <w:p w:rsidR="00863306" w:rsidRPr="00AE6B88" w:rsidRDefault="00863306" w:rsidP="00972A32">
            <w:pPr>
              <w:spacing w:before="0"/>
              <w:jc w:val="right"/>
              <w:rPr>
                <w:rFonts w:eastAsia="Arial Unicode MS"/>
                <w:sz w:val="22"/>
                <w:szCs w:val="22"/>
              </w:rPr>
            </w:pPr>
          </w:p>
          <w:p w:rsidR="00863306" w:rsidRPr="00AE6B88" w:rsidRDefault="00951843" w:rsidP="00972A32">
            <w:pPr>
              <w:spacing w:before="0"/>
              <w:jc w:val="right"/>
              <w:rPr>
                <w:rFonts w:eastAsia="Arial Unicode MS"/>
                <w:sz w:val="22"/>
                <w:szCs w:val="22"/>
              </w:rPr>
            </w:pPr>
            <w:r>
              <w:rPr>
                <w:rFonts w:eastAsia="Arial Unicode MS"/>
                <w:sz w:val="22"/>
                <w:szCs w:val="22"/>
              </w:rPr>
              <w:t>17,</w:t>
            </w:r>
            <w:r w:rsidR="00863306" w:rsidRPr="00AE6B88">
              <w:rPr>
                <w:rFonts w:eastAsia="Arial Unicode MS"/>
                <w:sz w:val="22"/>
                <w:szCs w:val="22"/>
              </w:rPr>
              <w:t>762</w:t>
            </w:r>
          </w:p>
        </w:tc>
        <w:tc>
          <w:tcPr>
            <w:tcW w:w="846" w:type="dxa"/>
          </w:tcPr>
          <w:p w:rsidR="00863306" w:rsidRPr="00AE6B88" w:rsidRDefault="00863306" w:rsidP="00972A32">
            <w:pPr>
              <w:spacing w:before="0"/>
              <w:jc w:val="right"/>
              <w:rPr>
                <w:rFonts w:eastAsia="Arial Unicode MS"/>
                <w:sz w:val="22"/>
                <w:szCs w:val="22"/>
              </w:rPr>
            </w:pPr>
          </w:p>
          <w:p w:rsidR="00863306" w:rsidRPr="00AE6B88" w:rsidRDefault="00863306" w:rsidP="00951843">
            <w:pPr>
              <w:spacing w:before="0"/>
              <w:jc w:val="right"/>
              <w:rPr>
                <w:rFonts w:eastAsia="Arial Unicode MS"/>
                <w:sz w:val="22"/>
                <w:szCs w:val="22"/>
              </w:rPr>
            </w:pPr>
            <w:r>
              <w:rPr>
                <w:rFonts w:eastAsia="Arial Unicode MS"/>
                <w:sz w:val="22"/>
                <w:szCs w:val="22"/>
              </w:rPr>
              <w:t>16</w:t>
            </w:r>
            <w:r w:rsidR="00951843">
              <w:rPr>
                <w:rFonts w:eastAsia="Arial Unicode MS"/>
                <w:sz w:val="22"/>
                <w:szCs w:val="22"/>
              </w:rPr>
              <w:t>,</w:t>
            </w:r>
            <w:r>
              <w:rPr>
                <w:rFonts w:eastAsia="Arial Unicode MS"/>
                <w:sz w:val="22"/>
                <w:szCs w:val="22"/>
              </w:rPr>
              <w:t>489</w:t>
            </w:r>
          </w:p>
        </w:tc>
        <w:tc>
          <w:tcPr>
            <w:tcW w:w="846" w:type="dxa"/>
          </w:tcPr>
          <w:p w:rsidR="00863306" w:rsidRPr="00AE6B88" w:rsidRDefault="00863306" w:rsidP="00972A32">
            <w:pPr>
              <w:spacing w:before="0"/>
              <w:jc w:val="right"/>
              <w:rPr>
                <w:rFonts w:eastAsia="Arial Unicode MS"/>
                <w:sz w:val="22"/>
                <w:szCs w:val="22"/>
              </w:rPr>
            </w:pPr>
          </w:p>
          <w:p w:rsidR="00863306" w:rsidRPr="00AE6B88" w:rsidRDefault="00863306" w:rsidP="00951843">
            <w:pPr>
              <w:spacing w:before="0"/>
              <w:jc w:val="right"/>
              <w:rPr>
                <w:rFonts w:eastAsia="Arial Unicode MS"/>
                <w:sz w:val="22"/>
                <w:szCs w:val="22"/>
              </w:rPr>
            </w:pPr>
            <w:r>
              <w:rPr>
                <w:rFonts w:eastAsia="Arial Unicode MS"/>
                <w:sz w:val="22"/>
                <w:szCs w:val="22"/>
              </w:rPr>
              <w:t>15</w:t>
            </w:r>
            <w:r w:rsidR="00951843">
              <w:rPr>
                <w:rFonts w:eastAsia="Arial Unicode MS"/>
                <w:sz w:val="22"/>
                <w:szCs w:val="22"/>
              </w:rPr>
              <w:t>,</w:t>
            </w:r>
            <w:r>
              <w:rPr>
                <w:rFonts w:eastAsia="Arial Unicode MS"/>
                <w:sz w:val="22"/>
                <w:szCs w:val="22"/>
              </w:rPr>
              <w:t>736</w:t>
            </w:r>
          </w:p>
        </w:tc>
        <w:tc>
          <w:tcPr>
            <w:tcW w:w="39" w:type="dxa"/>
          </w:tcPr>
          <w:p w:rsidR="00863306" w:rsidRPr="00AE6B88" w:rsidRDefault="00863306" w:rsidP="00972A32">
            <w:pPr>
              <w:spacing w:before="0"/>
              <w:jc w:val="right"/>
              <w:rPr>
                <w:rFonts w:eastAsia="Arial Unicode MS"/>
                <w:sz w:val="22"/>
                <w:szCs w:val="22"/>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rFonts w:eastAsia="Arial Unicode MS"/>
                <w:b/>
                <w:bCs/>
                <w:i/>
                <w:iCs/>
                <w:sz w:val="22"/>
                <w:szCs w:val="22"/>
              </w:rPr>
            </w:pPr>
            <w:r w:rsidRPr="00AE6B88">
              <w:rPr>
                <w:b/>
                <w:bCs/>
                <w:i/>
                <w:iCs/>
                <w:sz w:val="22"/>
                <w:szCs w:val="22"/>
              </w:rPr>
              <w:t>Contributions</w:t>
            </w:r>
          </w:p>
        </w:tc>
        <w:tc>
          <w:tcPr>
            <w:tcW w:w="851" w:type="dxa"/>
            <w:tcBorders>
              <w:top w:val="nil"/>
              <w:left w:val="nil"/>
              <w:bottom w:val="nil"/>
              <w:right w:val="nil"/>
            </w:tcBorders>
          </w:tcPr>
          <w:p w:rsidR="00863306" w:rsidRPr="00AE6B88" w:rsidRDefault="00863306" w:rsidP="00972A32">
            <w:pPr>
              <w:spacing w:before="0"/>
              <w:jc w:val="right"/>
              <w:rPr>
                <w:rFonts w:eastAsia="Arial Unicode MS"/>
                <w:b/>
                <w:bCs/>
                <w:i/>
                <w:iCs/>
                <w:sz w:val="22"/>
                <w:szCs w:val="22"/>
              </w:rPr>
            </w:pPr>
          </w:p>
          <w:p w:rsidR="00863306" w:rsidRPr="00AE6B88" w:rsidRDefault="00863306" w:rsidP="00951843">
            <w:pPr>
              <w:spacing w:before="0"/>
              <w:jc w:val="right"/>
              <w:rPr>
                <w:rFonts w:eastAsia="Arial Unicode MS"/>
                <w:b/>
                <w:bCs/>
                <w:i/>
                <w:iCs/>
                <w:sz w:val="22"/>
                <w:szCs w:val="22"/>
              </w:rPr>
            </w:pPr>
            <w:r w:rsidRPr="00AE6B88">
              <w:rPr>
                <w:rFonts w:eastAsia="Arial Unicode MS"/>
                <w:b/>
                <w:bCs/>
                <w:i/>
                <w:iCs/>
                <w:sz w:val="22"/>
                <w:szCs w:val="22"/>
              </w:rPr>
              <w:t>36</w:t>
            </w:r>
            <w:r w:rsidR="00951843">
              <w:rPr>
                <w:rFonts w:eastAsia="Arial Unicode MS"/>
                <w:b/>
                <w:bCs/>
                <w:i/>
                <w:iCs/>
                <w:sz w:val="22"/>
                <w:szCs w:val="22"/>
              </w:rPr>
              <w:t>,</w:t>
            </w:r>
            <w:r w:rsidRPr="00AE6B88">
              <w:rPr>
                <w:rFonts w:eastAsia="Arial Unicode MS"/>
                <w:b/>
                <w:bCs/>
                <w:i/>
                <w:iCs/>
                <w:sz w:val="22"/>
                <w:szCs w:val="22"/>
              </w:rPr>
              <w:t>035</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i/>
                <w:iCs/>
                <w:sz w:val="22"/>
                <w:szCs w:val="22"/>
              </w:rPr>
            </w:pPr>
          </w:p>
          <w:p w:rsidR="00863306" w:rsidRPr="00AE6B88" w:rsidRDefault="00863306" w:rsidP="00951843">
            <w:pPr>
              <w:spacing w:before="0"/>
              <w:jc w:val="right"/>
              <w:rPr>
                <w:rFonts w:eastAsia="Arial Unicode MS"/>
                <w:b/>
                <w:bCs/>
                <w:i/>
                <w:iCs/>
                <w:sz w:val="22"/>
                <w:szCs w:val="22"/>
              </w:rPr>
            </w:pPr>
            <w:r w:rsidRPr="00AE6B88">
              <w:rPr>
                <w:rFonts w:eastAsia="Arial Unicode MS"/>
                <w:b/>
                <w:bCs/>
                <w:i/>
                <w:iCs/>
                <w:sz w:val="22"/>
                <w:szCs w:val="22"/>
              </w:rPr>
              <w:t xml:space="preserve"> 34</w:t>
            </w:r>
            <w:r w:rsidR="00951843">
              <w:rPr>
                <w:rFonts w:eastAsia="Arial Unicode MS"/>
                <w:b/>
                <w:bCs/>
                <w:i/>
                <w:iCs/>
                <w:sz w:val="22"/>
                <w:szCs w:val="22"/>
              </w:rPr>
              <w:t>,</w:t>
            </w:r>
            <w:r w:rsidRPr="00AE6B88">
              <w:rPr>
                <w:rFonts w:eastAsia="Arial Unicode MS"/>
                <w:b/>
                <w:bCs/>
                <w:i/>
                <w:iCs/>
                <w:sz w:val="22"/>
                <w:szCs w:val="22"/>
              </w:rPr>
              <w:t>157</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i/>
                <w:iCs/>
                <w:sz w:val="22"/>
                <w:szCs w:val="22"/>
              </w:rPr>
            </w:pPr>
          </w:p>
          <w:p w:rsidR="00863306" w:rsidRPr="00AE6B88" w:rsidRDefault="00863306" w:rsidP="00951843">
            <w:pPr>
              <w:spacing w:before="0"/>
              <w:jc w:val="right"/>
              <w:rPr>
                <w:rFonts w:eastAsia="Arial Unicode MS"/>
                <w:b/>
                <w:bCs/>
                <w:i/>
                <w:iCs/>
                <w:sz w:val="22"/>
                <w:szCs w:val="22"/>
              </w:rPr>
            </w:pPr>
            <w:r w:rsidRPr="00AE6B88">
              <w:rPr>
                <w:rFonts w:eastAsia="Arial Unicode MS"/>
                <w:b/>
                <w:bCs/>
                <w:i/>
                <w:iCs/>
                <w:sz w:val="22"/>
                <w:szCs w:val="22"/>
              </w:rPr>
              <w:t>34</w:t>
            </w:r>
            <w:r w:rsidR="00951843">
              <w:rPr>
                <w:rFonts w:eastAsia="Arial Unicode MS"/>
                <w:b/>
                <w:bCs/>
                <w:i/>
                <w:iCs/>
                <w:sz w:val="22"/>
                <w:szCs w:val="22"/>
              </w:rPr>
              <w:t>,</w:t>
            </w:r>
            <w:r w:rsidRPr="00AE6B88">
              <w:rPr>
                <w:rFonts w:eastAsia="Arial Unicode MS"/>
                <w:b/>
                <w:bCs/>
                <w:i/>
                <w:iCs/>
                <w:sz w:val="22"/>
                <w:szCs w:val="22"/>
              </w:rPr>
              <w:t>643</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i/>
                <w:iCs/>
                <w:sz w:val="22"/>
                <w:szCs w:val="22"/>
              </w:rPr>
            </w:pPr>
          </w:p>
          <w:p w:rsidR="00863306" w:rsidRPr="00AE6B88" w:rsidRDefault="00863306" w:rsidP="00951843">
            <w:pPr>
              <w:spacing w:before="0"/>
              <w:jc w:val="right"/>
              <w:rPr>
                <w:rFonts w:eastAsia="Arial Unicode MS"/>
                <w:b/>
                <w:bCs/>
                <w:i/>
                <w:iCs/>
                <w:sz w:val="22"/>
                <w:szCs w:val="22"/>
              </w:rPr>
            </w:pPr>
            <w:r w:rsidRPr="00AE6B88">
              <w:rPr>
                <w:rFonts w:eastAsia="Arial Unicode MS"/>
                <w:b/>
                <w:bCs/>
                <w:i/>
                <w:iCs/>
                <w:sz w:val="22"/>
                <w:szCs w:val="22"/>
              </w:rPr>
              <w:t>31</w:t>
            </w:r>
            <w:r w:rsidR="00951843">
              <w:rPr>
                <w:rFonts w:eastAsia="Arial Unicode MS"/>
                <w:b/>
                <w:bCs/>
                <w:i/>
                <w:iCs/>
                <w:sz w:val="22"/>
                <w:szCs w:val="22"/>
              </w:rPr>
              <w:t>,</w:t>
            </w:r>
            <w:r w:rsidRPr="00AE6B88">
              <w:rPr>
                <w:rFonts w:eastAsia="Arial Unicode MS"/>
                <w:b/>
                <w:bCs/>
                <w:i/>
                <w:iCs/>
                <w:sz w:val="22"/>
                <w:szCs w:val="22"/>
              </w:rPr>
              <w:t>114</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i/>
                <w:iCs/>
                <w:sz w:val="22"/>
                <w:szCs w:val="22"/>
              </w:rPr>
            </w:pPr>
          </w:p>
          <w:p w:rsidR="00863306" w:rsidRPr="00AE6B88" w:rsidRDefault="00863306" w:rsidP="00951843">
            <w:pPr>
              <w:spacing w:before="0"/>
              <w:jc w:val="right"/>
              <w:rPr>
                <w:rFonts w:eastAsia="Arial Unicode MS"/>
                <w:b/>
                <w:bCs/>
                <w:i/>
                <w:iCs/>
                <w:sz w:val="22"/>
                <w:szCs w:val="22"/>
              </w:rPr>
            </w:pPr>
            <w:r w:rsidRPr="00AE6B88">
              <w:rPr>
                <w:rFonts w:eastAsia="Arial Unicode MS"/>
                <w:b/>
                <w:bCs/>
                <w:i/>
                <w:iCs/>
                <w:sz w:val="22"/>
                <w:szCs w:val="22"/>
              </w:rPr>
              <w:t>32</w:t>
            </w:r>
            <w:r w:rsidR="00951843">
              <w:rPr>
                <w:rFonts w:eastAsia="Arial Unicode MS"/>
                <w:b/>
                <w:bCs/>
                <w:i/>
                <w:iCs/>
                <w:sz w:val="22"/>
                <w:szCs w:val="22"/>
              </w:rPr>
              <w:t>,</w:t>
            </w:r>
            <w:r w:rsidRPr="00AE6B88">
              <w:rPr>
                <w:rFonts w:eastAsia="Arial Unicode MS"/>
                <w:b/>
                <w:bCs/>
                <w:i/>
                <w:iCs/>
                <w:sz w:val="22"/>
                <w:szCs w:val="22"/>
              </w:rPr>
              <w:t>480</w:t>
            </w: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right"/>
              <w:rPr>
                <w:rFonts w:eastAsia="Arial Unicode MS"/>
                <w:b/>
                <w:bCs/>
                <w:i/>
                <w:iCs/>
                <w:sz w:val="22"/>
                <w:szCs w:val="22"/>
              </w:rPr>
            </w:pPr>
          </w:p>
          <w:p w:rsidR="00863306" w:rsidRPr="00AE6B88" w:rsidRDefault="00951843" w:rsidP="00972A32">
            <w:pPr>
              <w:spacing w:before="0"/>
              <w:jc w:val="right"/>
              <w:rPr>
                <w:rFonts w:eastAsia="Arial Unicode MS"/>
                <w:b/>
                <w:bCs/>
                <w:i/>
                <w:iCs/>
                <w:sz w:val="22"/>
                <w:szCs w:val="22"/>
              </w:rPr>
            </w:pPr>
            <w:r>
              <w:rPr>
                <w:rFonts w:eastAsia="Arial Unicode MS"/>
                <w:b/>
                <w:bCs/>
                <w:i/>
                <w:iCs/>
                <w:sz w:val="22"/>
                <w:szCs w:val="22"/>
              </w:rPr>
              <w:t>32,</w:t>
            </w:r>
            <w:r w:rsidR="00863306" w:rsidRPr="00AE6B88">
              <w:rPr>
                <w:rFonts w:eastAsia="Arial Unicode MS"/>
                <w:b/>
                <w:bCs/>
                <w:i/>
                <w:iCs/>
                <w:sz w:val="22"/>
                <w:szCs w:val="22"/>
              </w:rPr>
              <w:t>066</w:t>
            </w:r>
          </w:p>
        </w:tc>
        <w:tc>
          <w:tcPr>
            <w:tcW w:w="846" w:type="dxa"/>
          </w:tcPr>
          <w:p w:rsidR="00863306" w:rsidRPr="00AE6B88" w:rsidRDefault="00863306" w:rsidP="00972A32">
            <w:pPr>
              <w:spacing w:before="0"/>
              <w:jc w:val="right"/>
              <w:rPr>
                <w:rFonts w:eastAsia="Arial Unicode MS"/>
                <w:b/>
                <w:bCs/>
                <w:i/>
                <w:iCs/>
                <w:sz w:val="22"/>
                <w:szCs w:val="22"/>
              </w:rPr>
            </w:pPr>
          </w:p>
          <w:p w:rsidR="00863306" w:rsidRPr="00AE6B88" w:rsidRDefault="00951843" w:rsidP="00972A32">
            <w:pPr>
              <w:spacing w:before="0"/>
              <w:jc w:val="right"/>
              <w:rPr>
                <w:rFonts w:eastAsia="Arial Unicode MS"/>
                <w:b/>
                <w:bCs/>
                <w:i/>
                <w:iCs/>
                <w:sz w:val="22"/>
                <w:szCs w:val="22"/>
              </w:rPr>
            </w:pPr>
            <w:r>
              <w:rPr>
                <w:rFonts w:eastAsia="Arial Unicode MS"/>
                <w:b/>
                <w:bCs/>
                <w:i/>
                <w:iCs/>
                <w:sz w:val="22"/>
                <w:szCs w:val="22"/>
              </w:rPr>
              <w:t>28,</w:t>
            </w:r>
            <w:r w:rsidR="00863306" w:rsidRPr="00AE6B88">
              <w:rPr>
                <w:rFonts w:eastAsia="Arial Unicode MS"/>
                <w:b/>
                <w:bCs/>
                <w:i/>
                <w:iCs/>
                <w:sz w:val="22"/>
                <w:szCs w:val="22"/>
              </w:rPr>
              <w:t>300</w:t>
            </w:r>
          </w:p>
        </w:tc>
        <w:tc>
          <w:tcPr>
            <w:tcW w:w="846" w:type="dxa"/>
          </w:tcPr>
          <w:p w:rsidR="00863306" w:rsidRPr="00AE6B88" w:rsidRDefault="00863306" w:rsidP="00972A32">
            <w:pPr>
              <w:spacing w:before="0"/>
              <w:jc w:val="right"/>
              <w:rPr>
                <w:rFonts w:eastAsia="Arial Unicode MS"/>
                <w:b/>
                <w:bCs/>
                <w:i/>
                <w:iCs/>
                <w:sz w:val="22"/>
                <w:szCs w:val="22"/>
              </w:rPr>
            </w:pPr>
          </w:p>
          <w:p w:rsidR="00863306" w:rsidRPr="00AE6B88" w:rsidRDefault="00863306" w:rsidP="00951843">
            <w:pPr>
              <w:spacing w:before="0"/>
              <w:jc w:val="right"/>
              <w:rPr>
                <w:rFonts w:eastAsia="Arial Unicode MS"/>
                <w:b/>
                <w:bCs/>
                <w:i/>
                <w:iCs/>
                <w:sz w:val="22"/>
                <w:szCs w:val="22"/>
              </w:rPr>
            </w:pPr>
            <w:r>
              <w:rPr>
                <w:rFonts w:eastAsia="Arial Unicode MS"/>
                <w:b/>
                <w:bCs/>
                <w:i/>
                <w:iCs/>
                <w:sz w:val="22"/>
                <w:szCs w:val="22"/>
              </w:rPr>
              <w:t>26</w:t>
            </w:r>
            <w:r w:rsidR="00951843">
              <w:rPr>
                <w:rFonts w:eastAsia="Arial Unicode MS"/>
                <w:b/>
                <w:bCs/>
                <w:i/>
                <w:iCs/>
                <w:sz w:val="22"/>
                <w:szCs w:val="22"/>
              </w:rPr>
              <w:t>,</w:t>
            </w:r>
            <w:r>
              <w:rPr>
                <w:rFonts w:eastAsia="Arial Unicode MS"/>
                <w:b/>
                <w:bCs/>
                <w:i/>
                <w:iCs/>
                <w:sz w:val="22"/>
                <w:szCs w:val="22"/>
              </w:rPr>
              <w:t>625</w:t>
            </w:r>
          </w:p>
        </w:tc>
        <w:tc>
          <w:tcPr>
            <w:tcW w:w="846" w:type="dxa"/>
          </w:tcPr>
          <w:p w:rsidR="00863306" w:rsidRPr="00AE6B88" w:rsidRDefault="00863306" w:rsidP="00972A32">
            <w:pPr>
              <w:spacing w:before="0"/>
              <w:jc w:val="right"/>
              <w:rPr>
                <w:rFonts w:eastAsia="Arial Unicode MS"/>
                <w:b/>
                <w:bCs/>
                <w:i/>
                <w:iCs/>
                <w:sz w:val="22"/>
                <w:szCs w:val="22"/>
              </w:rPr>
            </w:pPr>
          </w:p>
          <w:p w:rsidR="00863306" w:rsidRPr="00AE6B88" w:rsidRDefault="00863306" w:rsidP="00951843">
            <w:pPr>
              <w:spacing w:before="0"/>
              <w:jc w:val="right"/>
              <w:rPr>
                <w:rFonts w:eastAsia="Arial Unicode MS"/>
                <w:b/>
                <w:bCs/>
                <w:i/>
                <w:iCs/>
                <w:sz w:val="22"/>
                <w:szCs w:val="22"/>
              </w:rPr>
            </w:pPr>
            <w:r>
              <w:rPr>
                <w:rFonts w:eastAsia="Arial Unicode MS"/>
                <w:b/>
                <w:bCs/>
                <w:i/>
                <w:iCs/>
                <w:sz w:val="22"/>
                <w:szCs w:val="22"/>
              </w:rPr>
              <w:t>23</w:t>
            </w:r>
            <w:r w:rsidR="00951843">
              <w:rPr>
                <w:rFonts w:eastAsia="Arial Unicode MS"/>
                <w:b/>
                <w:bCs/>
                <w:i/>
                <w:iCs/>
                <w:sz w:val="22"/>
                <w:szCs w:val="22"/>
              </w:rPr>
              <w:t>,</w:t>
            </w:r>
            <w:r>
              <w:rPr>
                <w:rFonts w:eastAsia="Arial Unicode MS"/>
                <w:b/>
                <w:bCs/>
                <w:i/>
                <w:iCs/>
                <w:sz w:val="22"/>
                <w:szCs w:val="22"/>
              </w:rPr>
              <w:t>666</w:t>
            </w:r>
          </w:p>
        </w:tc>
        <w:tc>
          <w:tcPr>
            <w:tcW w:w="39" w:type="dxa"/>
          </w:tcPr>
          <w:p w:rsidR="00863306" w:rsidRPr="00AE6B88" w:rsidRDefault="00863306" w:rsidP="00972A32">
            <w:pPr>
              <w:spacing w:before="0"/>
              <w:jc w:val="right"/>
              <w:rPr>
                <w:rFonts w:eastAsia="Arial Unicode MS"/>
                <w:b/>
                <w:bCs/>
                <w:i/>
                <w:iCs/>
                <w:sz w:val="22"/>
                <w:szCs w:val="22"/>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rFonts w:eastAsia="Arial Unicode MS"/>
                <w:b/>
                <w:bCs/>
                <w:i/>
                <w:iCs/>
                <w:sz w:val="22"/>
                <w:szCs w:val="22"/>
              </w:rPr>
            </w:pPr>
            <w:r w:rsidRPr="00AE6B88">
              <w:rPr>
                <w:b/>
                <w:bCs/>
                <w:i/>
                <w:iCs/>
                <w:sz w:val="22"/>
                <w:szCs w:val="22"/>
              </w:rPr>
              <w:t>Publications</w:t>
            </w:r>
          </w:p>
        </w:tc>
        <w:tc>
          <w:tcPr>
            <w:tcW w:w="851" w:type="dxa"/>
            <w:tcBorders>
              <w:top w:val="nil"/>
              <w:left w:val="nil"/>
              <w:bottom w:val="nil"/>
              <w:right w:val="nil"/>
            </w:tcBorders>
          </w:tcPr>
          <w:p w:rsidR="00863306" w:rsidRPr="00AE6B88" w:rsidRDefault="00863306" w:rsidP="00972A32">
            <w:pPr>
              <w:spacing w:before="0"/>
              <w:jc w:val="right"/>
              <w:rPr>
                <w:rFonts w:eastAsia="Arial Unicode MS"/>
                <w:b/>
                <w:bCs/>
                <w:i/>
                <w:iCs/>
                <w:sz w:val="22"/>
                <w:szCs w:val="22"/>
              </w:rPr>
            </w:pPr>
          </w:p>
          <w:p w:rsidR="00863306" w:rsidRPr="00AE6B88" w:rsidRDefault="00863306" w:rsidP="00972A32">
            <w:pPr>
              <w:spacing w:before="0"/>
              <w:jc w:val="right"/>
              <w:rPr>
                <w:rFonts w:eastAsia="Arial Unicode MS"/>
                <w:b/>
                <w:bCs/>
                <w:i/>
                <w:iCs/>
                <w:sz w:val="22"/>
                <w:szCs w:val="22"/>
              </w:rPr>
            </w:pPr>
            <w:r w:rsidRPr="00AE6B88">
              <w:rPr>
                <w:rFonts w:eastAsia="Arial Unicode MS"/>
                <w:b/>
                <w:bCs/>
                <w:i/>
                <w:iCs/>
                <w:sz w:val="22"/>
                <w:szCs w:val="22"/>
              </w:rPr>
              <w:t>222</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i/>
                <w:iCs/>
                <w:sz w:val="22"/>
                <w:szCs w:val="22"/>
              </w:rPr>
            </w:pPr>
          </w:p>
          <w:p w:rsidR="00863306" w:rsidRPr="00AE6B88" w:rsidRDefault="00863306" w:rsidP="00972A32">
            <w:pPr>
              <w:spacing w:before="0"/>
              <w:jc w:val="right"/>
              <w:rPr>
                <w:rFonts w:eastAsia="Arial Unicode MS"/>
                <w:b/>
                <w:bCs/>
                <w:i/>
                <w:iCs/>
                <w:sz w:val="22"/>
                <w:szCs w:val="22"/>
              </w:rPr>
            </w:pPr>
            <w:r w:rsidRPr="00AE6B88">
              <w:rPr>
                <w:rFonts w:eastAsia="Arial Unicode MS"/>
                <w:b/>
                <w:bCs/>
                <w:i/>
                <w:iCs/>
                <w:sz w:val="22"/>
                <w:szCs w:val="22"/>
              </w:rPr>
              <w:t>223</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i/>
                <w:iCs/>
                <w:sz w:val="22"/>
                <w:szCs w:val="22"/>
              </w:rPr>
            </w:pPr>
          </w:p>
          <w:p w:rsidR="00863306" w:rsidRPr="00AE6B88" w:rsidRDefault="00863306" w:rsidP="00972A32">
            <w:pPr>
              <w:spacing w:before="0"/>
              <w:ind w:right="110"/>
              <w:jc w:val="right"/>
              <w:rPr>
                <w:rFonts w:eastAsia="Arial Unicode MS"/>
                <w:b/>
                <w:bCs/>
                <w:i/>
                <w:iCs/>
                <w:sz w:val="22"/>
                <w:szCs w:val="22"/>
              </w:rPr>
            </w:pPr>
            <w:r w:rsidRPr="00AE6B88">
              <w:rPr>
                <w:rFonts w:eastAsia="Arial Unicode MS"/>
                <w:b/>
                <w:bCs/>
                <w:i/>
                <w:iCs/>
                <w:sz w:val="22"/>
                <w:szCs w:val="22"/>
              </w:rPr>
              <w:t>164</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i/>
                <w:iCs/>
                <w:sz w:val="22"/>
                <w:szCs w:val="22"/>
              </w:rPr>
            </w:pPr>
          </w:p>
          <w:p w:rsidR="00863306" w:rsidRPr="00AE6B88" w:rsidRDefault="00863306" w:rsidP="00972A32">
            <w:pPr>
              <w:spacing w:before="0"/>
              <w:jc w:val="right"/>
              <w:rPr>
                <w:rFonts w:eastAsia="Arial Unicode MS"/>
                <w:b/>
                <w:bCs/>
                <w:i/>
                <w:iCs/>
                <w:sz w:val="22"/>
                <w:szCs w:val="22"/>
              </w:rPr>
            </w:pPr>
            <w:r w:rsidRPr="00AE6B88">
              <w:rPr>
                <w:rFonts w:eastAsia="Arial Unicode MS"/>
                <w:b/>
                <w:bCs/>
                <w:i/>
                <w:iCs/>
                <w:sz w:val="22"/>
                <w:szCs w:val="22"/>
              </w:rPr>
              <w:t>165</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i/>
                <w:iCs/>
                <w:sz w:val="22"/>
                <w:szCs w:val="22"/>
              </w:rPr>
            </w:pPr>
          </w:p>
          <w:p w:rsidR="00863306" w:rsidRPr="00AE6B88" w:rsidRDefault="00863306" w:rsidP="00972A32">
            <w:pPr>
              <w:spacing w:before="0"/>
              <w:jc w:val="right"/>
              <w:rPr>
                <w:rFonts w:eastAsia="Arial Unicode MS"/>
                <w:b/>
                <w:bCs/>
                <w:i/>
                <w:iCs/>
                <w:sz w:val="22"/>
                <w:szCs w:val="22"/>
              </w:rPr>
            </w:pPr>
            <w:r w:rsidRPr="00AE6B88">
              <w:rPr>
                <w:rFonts w:eastAsia="Arial Unicode MS"/>
                <w:b/>
                <w:bCs/>
                <w:i/>
                <w:iCs/>
                <w:sz w:val="22"/>
                <w:szCs w:val="22"/>
              </w:rPr>
              <w:t>175</w:t>
            </w: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right"/>
              <w:rPr>
                <w:rFonts w:eastAsia="Arial Unicode MS"/>
                <w:b/>
                <w:bCs/>
                <w:i/>
                <w:iCs/>
                <w:sz w:val="22"/>
                <w:szCs w:val="22"/>
              </w:rPr>
            </w:pPr>
          </w:p>
          <w:p w:rsidR="00863306" w:rsidRPr="00AE6B88" w:rsidRDefault="00863306" w:rsidP="00972A32">
            <w:pPr>
              <w:spacing w:before="0"/>
              <w:jc w:val="right"/>
              <w:rPr>
                <w:rFonts w:eastAsia="Arial Unicode MS"/>
                <w:b/>
                <w:bCs/>
                <w:i/>
                <w:iCs/>
                <w:sz w:val="22"/>
                <w:szCs w:val="22"/>
              </w:rPr>
            </w:pPr>
            <w:r w:rsidRPr="00AE6B88">
              <w:rPr>
                <w:rFonts w:eastAsia="Arial Unicode MS"/>
                <w:b/>
                <w:bCs/>
                <w:i/>
                <w:iCs/>
                <w:sz w:val="22"/>
                <w:szCs w:val="22"/>
              </w:rPr>
              <w:t>142</w:t>
            </w:r>
          </w:p>
        </w:tc>
        <w:tc>
          <w:tcPr>
            <w:tcW w:w="846" w:type="dxa"/>
          </w:tcPr>
          <w:p w:rsidR="00863306" w:rsidRPr="00AE6B88" w:rsidRDefault="00863306" w:rsidP="00972A32">
            <w:pPr>
              <w:spacing w:before="0"/>
              <w:jc w:val="right"/>
              <w:rPr>
                <w:rFonts w:eastAsia="Arial Unicode MS"/>
                <w:b/>
                <w:bCs/>
                <w:i/>
                <w:iCs/>
                <w:sz w:val="22"/>
                <w:szCs w:val="22"/>
              </w:rPr>
            </w:pPr>
          </w:p>
          <w:p w:rsidR="00863306" w:rsidRPr="00AE6B88" w:rsidRDefault="00863306" w:rsidP="00972A32">
            <w:pPr>
              <w:spacing w:before="0"/>
              <w:jc w:val="right"/>
              <w:rPr>
                <w:rFonts w:eastAsia="Arial Unicode MS"/>
                <w:b/>
                <w:bCs/>
                <w:i/>
                <w:iCs/>
                <w:sz w:val="22"/>
                <w:szCs w:val="22"/>
              </w:rPr>
            </w:pPr>
            <w:r w:rsidRPr="00AE6B88">
              <w:rPr>
                <w:rFonts w:eastAsia="Arial Unicode MS"/>
                <w:b/>
                <w:bCs/>
                <w:i/>
                <w:iCs/>
                <w:sz w:val="22"/>
                <w:szCs w:val="22"/>
              </w:rPr>
              <w:t>53</w:t>
            </w:r>
          </w:p>
        </w:tc>
        <w:tc>
          <w:tcPr>
            <w:tcW w:w="846" w:type="dxa"/>
          </w:tcPr>
          <w:p w:rsidR="00863306" w:rsidRPr="00AE6B88" w:rsidRDefault="00863306" w:rsidP="00972A32">
            <w:pPr>
              <w:spacing w:before="0"/>
              <w:jc w:val="right"/>
              <w:rPr>
                <w:rFonts w:eastAsia="Arial Unicode MS"/>
                <w:b/>
                <w:bCs/>
                <w:i/>
                <w:iCs/>
                <w:sz w:val="22"/>
                <w:szCs w:val="22"/>
              </w:rPr>
            </w:pPr>
          </w:p>
          <w:p w:rsidR="00863306" w:rsidRPr="00AE6B88" w:rsidRDefault="00863306" w:rsidP="00972A32">
            <w:pPr>
              <w:spacing w:before="0"/>
              <w:jc w:val="right"/>
              <w:rPr>
                <w:rFonts w:eastAsia="Arial Unicode MS"/>
                <w:b/>
                <w:bCs/>
                <w:i/>
                <w:iCs/>
                <w:sz w:val="22"/>
                <w:szCs w:val="22"/>
              </w:rPr>
            </w:pPr>
            <w:r w:rsidRPr="00AE6B88">
              <w:rPr>
                <w:rFonts w:eastAsia="Arial Unicode MS"/>
                <w:b/>
                <w:bCs/>
                <w:i/>
                <w:iCs/>
                <w:sz w:val="22"/>
                <w:szCs w:val="22"/>
              </w:rPr>
              <w:t>5</w:t>
            </w:r>
            <w:r>
              <w:rPr>
                <w:rFonts w:eastAsia="Arial Unicode MS"/>
                <w:b/>
                <w:bCs/>
                <w:i/>
                <w:iCs/>
                <w:sz w:val="22"/>
                <w:szCs w:val="22"/>
              </w:rPr>
              <w:t>4</w:t>
            </w:r>
          </w:p>
        </w:tc>
        <w:tc>
          <w:tcPr>
            <w:tcW w:w="846" w:type="dxa"/>
          </w:tcPr>
          <w:p w:rsidR="00863306" w:rsidRPr="00AE6B88" w:rsidRDefault="00863306" w:rsidP="00972A32">
            <w:pPr>
              <w:spacing w:before="0"/>
              <w:jc w:val="right"/>
              <w:rPr>
                <w:rFonts w:eastAsia="Arial Unicode MS"/>
                <w:b/>
                <w:bCs/>
                <w:i/>
                <w:iCs/>
                <w:sz w:val="22"/>
                <w:szCs w:val="22"/>
              </w:rPr>
            </w:pPr>
          </w:p>
          <w:p w:rsidR="00863306" w:rsidRPr="00AE6B88" w:rsidRDefault="00863306" w:rsidP="00972A32">
            <w:pPr>
              <w:spacing w:before="0"/>
              <w:jc w:val="right"/>
              <w:rPr>
                <w:rFonts w:eastAsia="Arial Unicode MS"/>
                <w:b/>
                <w:bCs/>
                <w:i/>
                <w:iCs/>
                <w:sz w:val="22"/>
                <w:szCs w:val="22"/>
              </w:rPr>
            </w:pPr>
            <w:r>
              <w:rPr>
                <w:rFonts w:eastAsia="Arial Unicode MS"/>
                <w:b/>
                <w:bCs/>
                <w:i/>
                <w:iCs/>
                <w:sz w:val="22"/>
                <w:szCs w:val="22"/>
              </w:rPr>
              <w:t>50</w:t>
            </w:r>
          </w:p>
        </w:tc>
        <w:tc>
          <w:tcPr>
            <w:tcW w:w="39" w:type="dxa"/>
          </w:tcPr>
          <w:p w:rsidR="00863306" w:rsidRPr="00AE6B88" w:rsidRDefault="00863306" w:rsidP="00972A32">
            <w:pPr>
              <w:spacing w:before="0"/>
              <w:jc w:val="right"/>
              <w:rPr>
                <w:rFonts w:eastAsia="Arial Unicode MS"/>
                <w:b/>
                <w:bCs/>
                <w:i/>
                <w:iCs/>
                <w:sz w:val="22"/>
                <w:szCs w:val="22"/>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rFonts w:eastAsia="Arial Unicode MS"/>
                <w:sz w:val="22"/>
                <w:szCs w:val="22"/>
              </w:rPr>
            </w:pPr>
          </w:p>
        </w:tc>
        <w:tc>
          <w:tcPr>
            <w:tcW w:w="851"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right"/>
              <w:rPr>
                <w:rFonts w:eastAsia="Arial Unicode MS"/>
                <w:sz w:val="22"/>
                <w:szCs w:val="22"/>
              </w:rPr>
            </w:pPr>
          </w:p>
        </w:tc>
        <w:tc>
          <w:tcPr>
            <w:tcW w:w="846" w:type="dxa"/>
          </w:tcPr>
          <w:p w:rsidR="00863306" w:rsidRPr="00AE6B88" w:rsidRDefault="00863306" w:rsidP="00972A32">
            <w:pPr>
              <w:spacing w:before="0"/>
              <w:jc w:val="right"/>
              <w:rPr>
                <w:rFonts w:eastAsia="Arial Unicode MS"/>
                <w:sz w:val="22"/>
                <w:szCs w:val="22"/>
              </w:rPr>
            </w:pPr>
          </w:p>
        </w:tc>
        <w:tc>
          <w:tcPr>
            <w:tcW w:w="846" w:type="dxa"/>
          </w:tcPr>
          <w:p w:rsidR="00863306" w:rsidRPr="00AE6B88" w:rsidRDefault="00863306" w:rsidP="00972A32">
            <w:pPr>
              <w:spacing w:before="0"/>
              <w:jc w:val="right"/>
              <w:rPr>
                <w:rFonts w:eastAsia="Arial Unicode MS"/>
                <w:sz w:val="22"/>
                <w:szCs w:val="22"/>
              </w:rPr>
            </w:pPr>
          </w:p>
        </w:tc>
        <w:tc>
          <w:tcPr>
            <w:tcW w:w="846" w:type="dxa"/>
          </w:tcPr>
          <w:p w:rsidR="00863306" w:rsidRPr="00AE6B88" w:rsidRDefault="00863306" w:rsidP="00972A32">
            <w:pPr>
              <w:spacing w:before="0"/>
              <w:jc w:val="right"/>
              <w:rPr>
                <w:rFonts w:eastAsia="Arial Unicode MS"/>
                <w:sz w:val="22"/>
                <w:szCs w:val="22"/>
              </w:rPr>
            </w:pPr>
          </w:p>
        </w:tc>
        <w:tc>
          <w:tcPr>
            <w:tcW w:w="39" w:type="dxa"/>
          </w:tcPr>
          <w:p w:rsidR="00863306" w:rsidRPr="00AE6B88" w:rsidRDefault="00863306" w:rsidP="00972A32">
            <w:pPr>
              <w:spacing w:before="0"/>
              <w:jc w:val="right"/>
              <w:rPr>
                <w:rFonts w:eastAsia="Arial Unicode MS"/>
                <w:sz w:val="22"/>
                <w:szCs w:val="22"/>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rFonts w:eastAsia="Arial Unicode MS"/>
                <w:b/>
                <w:bCs/>
                <w:sz w:val="22"/>
                <w:szCs w:val="22"/>
              </w:rPr>
            </w:pPr>
            <w:r>
              <w:rPr>
                <w:b/>
                <w:bCs/>
                <w:sz w:val="22"/>
                <w:szCs w:val="22"/>
              </w:rPr>
              <w:t>TOTAL CONTRIB. ET PUB.</w:t>
            </w:r>
          </w:p>
        </w:tc>
        <w:tc>
          <w:tcPr>
            <w:tcW w:w="851" w:type="dxa"/>
            <w:tcBorders>
              <w:top w:val="nil"/>
              <w:left w:val="nil"/>
              <w:bottom w:val="nil"/>
              <w:right w:val="nil"/>
            </w:tcBorders>
          </w:tcPr>
          <w:p w:rsidR="00863306" w:rsidRPr="00AE6B88" w:rsidRDefault="00863306" w:rsidP="00972A32">
            <w:pPr>
              <w:spacing w:before="0"/>
              <w:jc w:val="right"/>
              <w:rPr>
                <w:rFonts w:eastAsia="Arial Unicode MS"/>
                <w:b/>
                <w:bCs/>
                <w:sz w:val="22"/>
                <w:szCs w:val="22"/>
              </w:rPr>
            </w:pPr>
          </w:p>
          <w:p w:rsidR="00863306" w:rsidRPr="00AE6B88" w:rsidRDefault="00951843" w:rsidP="00972A32">
            <w:pPr>
              <w:spacing w:before="0"/>
              <w:jc w:val="right"/>
              <w:rPr>
                <w:rFonts w:eastAsia="Arial Unicode MS"/>
                <w:b/>
                <w:bCs/>
                <w:sz w:val="22"/>
                <w:szCs w:val="22"/>
              </w:rPr>
            </w:pPr>
            <w:r>
              <w:rPr>
                <w:rFonts w:eastAsia="Arial Unicode MS"/>
                <w:b/>
                <w:bCs/>
                <w:sz w:val="22"/>
                <w:szCs w:val="22"/>
              </w:rPr>
              <w:t>36,</w:t>
            </w:r>
            <w:r w:rsidR="00863306" w:rsidRPr="00AE6B88">
              <w:rPr>
                <w:rFonts w:eastAsia="Arial Unicode MS"/>
                <w:b/>
                <w:bCs/>
                <w:sz w:val="22"/>
                <w:szCs w:val="22"/>
              </w:rPr>
              <w:t>257</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rPr>
            </w:pPr>
          </w:p>
          <w:p w:rsidR="00863306" w:rsidRPr="00AE6B88" w:rsidRDefault="00951843" w:rsidP="00972A32">
            <w:pPr>
              <w:spacing w:before="0"/>
              <w:jc w:val="right"/>
              <w:rPr>
                <w:rFonts w:eastAsia="Arial Unicode MS"/>
                <w:b/>
                <w:bCs/>
                <w:sz w:val="22"/>
                <w:szCs w:val="22"/>
              </w:rPr>
            </w:pPr>
            <w:r>
              <w:rPr>
                <w:rFonts w:eastAsia="Arial Unicode MS"/>
                <w:b/>
                <w:bCs/>
                <w:sz w:val="22"/>
                <w:szCs w:val="22"/>
              </w:rPr>
              <w:t>34,</w:t>
            </w:r>
            <w:r w:rsidR="00863306" w:rsidRPr="00AE6B88">
              <w:rPr>
                <w:rFonts w:eastAsia="Arial Unicode MS"/>
                <w:b/>
                <w:bCs/>
                <w:sz w:val="22"/>
                <w:szCs w:val="22"/>
              </w:rPr>
              <w:t>380</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rPr>
            </w:pPr>
          </w:p>
          <w:p w:rsidR="00863306" w:rsidRPr="00AE6B88" w:rsidRDefault="00863306" w:rsidP="00951843">
            <w:pPr>
              <w:spacing w:before="0"/>
              <w:jc w:val="right"/>
              <w:rPr>
                <w:rFonts w:eastAsia="Arial Unicode MS"/>
                <w:b/>
                <w:bCs/>
                <w:sz w:val="22"/>
                <w:szCs w:val="22"/>
              </w:rPr>
            </w:pPr>
            <w:r w:rsidRPr="00AE6B88">
              <w:rPr>
                <w:rFonts w:eastAsia="Arial Unicode MS"/>
                <w:b/>
                <w:bCs/>
                <w:sz w:val="22"/>
                <w:szCs w:val="22"/>
              </w:rPr>
              <w:t>34</w:t>
            </w:r>
            <w:r w:rsidR="00951843">
              <w:rPr>
                <w:rFonts w:eastAsia="Arial Unicode MS"/>
                <w:b/>
                <w:bCs/>
                <w:sz w:val="22"/>
                <w:szCs w:val="22"/>
              </w:rPr>
              <w:t>,</w:t>
            </w:r>
            <w:r w:rsidRPr="00AE6B88">
              <w:rPr>
                <w:rFonts w:eastAsia="Arial Unicode MS"/>
                <w:b/>
                <w:bCs/>
                <w:sz w:val="22"/>
                <w:szCs w:val="22"/>
              </w:rPr>
              <w:t>807</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rPr>
            </w:pPr>
          </w:p>
          <w:p w:rsidR="00863306" w:rsidRPr="00AE6B88" w:rsidRDefault="00951843" w:rsidP="00972A32">
            <w:pPr>
              <w:spacing w:before="0"/>
              <w:jc w:val="right"/>
              <w:rPr>
                <w:rFonts w:eastAsia="Arial Unicode MS"/>
                <w:b/>
                <w:bCs/>
                <w:sz w:val="22"/>
                <w:szCs w:val="22"/>
              </w:rPr>
            </w:pPr>
            <w:r>
              <w:rPr>
                <w:rFonts w:eastAsia="Arial Unicode MS"/>
                <w:b/>
                <w:bCs/>
                <w:sz w:val="22"/>
                <w:szCs w:val="22"/>
              </w:rPr>
              <w:t>31,</w:t>
            </w:r>
            <w:r w:rsidR="00863306" w:rsidRPr="00AE6B88">
              <w:rPr>
                <w:rFonts w:eastAsia="Arial Unicode MS"/>
                <w:b/>
                <w:bCs/>
                <w:sz w:val="22"/>
                <w:szCs w:val="22"/>
              </w:rPr>
              <w:t>279</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rPr>
            </w:pPr>
          </w:p>
          <w:p w:rsidR="00863306" w:rsidRPr="00AE6B88" w:rsidRDefault="00863306" w:rsidP="00951843">
            <w:pPr>
              <w:spacing w:before="0"/>
              <w:jc w:val="right"/>
              <w:rPr>
                <w:rFonts w:eastAsia="Arial Unicode MS"/>
                <w:b/>
                <w:bCs/>
                <w:sz w:val="22"/>
                <w:szCs w:val="22"/>
              </w:rPr>
            </w:pPr>
            <w:r w:rsidRPr="00AE6B88">
              <w:rPr>
                <w:rFonts w:eastAsia="Arial Unicode MS"/>
                <w:b/>
                <w:bCs/>
                <w:sz w:val="22"/>
                <w:szCs w:val="22"/>
              </w:rPr>
              <w:t>32</w:t>
            </w:r>
            <w:r w:rsidR="00951843">
              <w:rPr>
                <w:rFonts w:eastAsia="Arial Unicode MS"/>
                <w:b/>
                <w:bCs/>
                <w:sz w:val="22"/>
                <w:szCs w:val="22"/>
              </w:rPr>
              <w:t>,</w:t>
            </w:r>
            <w:r w:rsidRPr="00AE6B88">
              <w:rPr>
                <w:rFonts w:eastAsia="Arial Unicode MS"/>
                <w:b/>
                <w:bCs/>
                <w:sz w:val="22"/>
                <w:szCs w:val="22"/>
              </w:rPr>
              <w:t>655</w:t>
            </w: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right"/>
              <w:rPr>
                <w:rFonts w:eastAsia="Arial Unicode MS"/>
                <w:b/>
                <w:bCs/>
                <w:sz w:val="22"/>
                <w:szCs w:val="22"/>
              </w:rPr>
            </w:pPr>
          </w:p>
          <w:p w:rsidR="00863306" w:rsidRPr="00AE6B88" w:rsidRDefault="00863306" w:rsidP="00951843">
            <w:pPr>
              <w:spacing w:before="0"/>
              <w:jc w:val="right"/>
              <w:rPr>
                <w:rFonts w:eastAsia="Arial Unicode MS"/>
                <w:b/>
                <w:bCs/>
                <w:sz w:val="22"/>
                <w:szCs w:val="22"/>
              </w:rPr>
            </w:pPr>
            <w:r w:rsidRPr="00AE6B88">
              <w:rPr>
                <w:rFonts w:eastAsia="Arial Unicode MS"/>
                <w:b/>
                <w:bCs/>
                <w:sz w:val="22"/>
                <w:szCs w:val="22"/>
              </w:rPr>
              <w:t>32</w:t>
            </w:r>
            <w:r w:rsidR="00951843">
              <w:rPr>
                <w:rFonts w:eastAsia="Arial Unicode MS"/>
                <w:b/>
                <w:bCs/>
                <w:sz w:val="22"/>
                <w:szCs w:val="22"/>
              </w:rPr>
              <w:t>,</w:t>
            </w:r>
            <w:r w:rsidRPr="00AE6B88">
              <w:rPr>
                <w:rFonts w:eastAsia="Arial Unicode MS"/>
                <w:b/>
                <w:bCs/>
                <w:sz w:val="22"/>
                <w:szCs w:val="22"/>
              </w:rPr>
              <w:t>208</w:t>
            </w:r>
          </w:p>
        </w:tc>
        <w:tc>
          <w:tcPr>
            <w:tcW w:w="846" w:type="dxa"/>
          </w:tcPr>
          <w:p w:rsidR="00863306" w:rsidRPr="00AE6B88" w:rsidRDefault="00863306" w:rsidP="00972A32">
            <w:pPr>
              <w:spacing w:before="0"/>
              <w:jc w:val="right"/>
              <w:rPr>
                <w:rFonts w:eastAsia="Arial Unicode MS"/>
                <w:b/>
                <w:bCs/>
                <w:sz w:val="22"/>
                <w:szCs w:val="22"/>
              </w:rPr>
            </w:pPr>
          </w:p>
          <w:p w:rsidR="00863306" w:rsidRPr="00AE6B88" w:rsidRDefault="00951843" w:rsidP="00972A32">
            <w:pPr>
              <w:spacing w:before="0"/>
              <w:jc w:val="right"/>
              <w:rPr>
                <w:rFonts w:eastAsia="Arial Unicode MS"/>
                <w:b/>
                <w:bCs/>
                <w:sz w:val="22"/>
                <w:szCs w:val="22"/>
              </w:rPr>
            </w:pPr>
            <w:r>
              <w:rPr>
                <w:rFonts w:eastAsia="Arial Unicode MS"/>
                <w:b/>
                <w:bCs/>
                <w:sz w:val="22"/>
                <w:szCs w:val="22"/>
              </w:rPr>
              <w:t>28,</w:t>
            </w:r>
            <w:r w:rsidR="00863306" w:rsidRPr="00AE6B88">
              <w:rPr>
                <w:rFonts w:eastAsia="Arial Unicode MS"/>
                <w:b/>
                <w:bCs/>
                <w:sz w:val="22"/>
                <w:szCs w:val="22"/>
              </w:rPr>
              <w:t>353</w:t>
            </w:r>
          </w:p>
        </w:tc>
        <w:tc>
          <w:tcPr>
            <w:tcW w:w="846" w:type="dxa"/>
          </w:tcPr>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r>
              <w:rPr>
                <w:rFonts w:eastAsia="Arial Unicode MS"/>
                <w:b/>
                <w:bCs/>
                <w:sz w:val="22"/>
                <w:szCs w:val="22"/>
              </w:rPr>
              <w:t>26</w:t>
            </w:r>
            <w:r w:rsidR="00951843">
              <w:rPr>
                <w:rFonts w:eastAsia="Arial Unicode MS"/>
                <w:b/>
                <w:bCs/>
                <w:sz w:val="22"/>
                <w:szCs w:val="22"/>
              </w:rPr>
              <w:t>,</w:t>
            </w:r>
            <w:r>
              <w:rPr>
                <w:rFonts w:eastAsia="Arial Unicode MS"/>
                <w:b/>
                <w:bCs/>
                <w:sz w:val="22"/>
                <w:szCs w:val="22"/>
              </w:rPr>
              <w:t>679</w:t>
            </w:r>
          </w:p>
        </w:tc>
        <w:tc>
          <w:tcPr>
            <w:tcW w:w="846" w:type="dxa"/>
          </w:tcPr>
          <w:p w:rsidR="00863306" w:rsidRPr="00AE6B88" w:rsidRDefault="00863306" w:rsidP="00972A32">
            <w:pPr>
              <w:spacing w:before="0"/>
              <w:jc w:val="right"/>
              <w:rPr>
                <w:rFonts w:eastAsia="Arial Unicode MS"/>
                <w:b/>
                <w:bCs/>
                <w:sz w:val="22"/>
                <w:szCs w:val="22"/>
              </w:rPr>
            </w:pPr>
          </w:p>
          <w:p w:rsidR="00863306" w:rsidRPr="00AE6B88" w:rsidRDefault="00863306" w:rsidP="00951843">
            <w:pPr>
              <w:spacing w:before="0"/>
              <w:jc w:val="right"/>
              <w:rPr>
                <w:rFonts w:eastAsia="Arial Unicode MS"/>
                <w:b/>
                <w:bCs/>
                <w:sz w:val="22"/>
                <w:szCs w:val="22"/>
              </w:rPr>
            </w:pPr>
            <w:r>
              <w:rPr>
                <w:rFonts w:eastAsia="Arial Unicode MS"/>
                <w:b/>
                <w:bCs/>
                <w:sz w:val="22"/>
                <w:szCs w:val="22"/>
              </w:rPr>
              <w:t>23</w:t>
            </w:r>
            <w:r w:rsidR="00951843">
              <w:rPr>
                <w:rFonts w:eastAsia="Arial Unicode MS"/>
                <w:b/>
                <w:bCs/>
                <w:sz w:val="22"/>
                <w:szCs w:val="22"/>
              </w:rPr>
              <w:t>,</w:t>
            </w:r>
            <w:r>
              <w:rPr>
                <w:rFonts w:eastAsia="Arial Unicode MS"/>
                <w:b/>
                <w:bCs/>
                <w:sz w:val="22"/>
                <w:szCs w:val="22"/>
              </w:rPr>
              <w:t>716</w:t>
            </w:r>
          </w:p>
        </w:tc>
        <w:tc>
          <w:tcPr>
            <w:tcW w:w="39" w:type="dxa"/>
          </w:tcPr>
          <w:p w:rsidR="00863306" w:rsidRPr="00AE6B88" w:rsidRDefault="00863306" w:rsidP="00972A32">
            <w:pPr>
              <w:spacing w:before="0"/>
              <w:jc w:val="right"/>
              <w:rPr>
                <w:rFonts w:eastAsia="Arial Unicode MS"/>
                <w:b/>
                <w:bCs/>
                <w:sz w:val="22"/>
                <w:szCs w:val="22"/>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rFonts w:eastAsia="Arial Unicode MS"/>
                <w:sz w:val="22"/>
                <w:szCs w:val="22"/>
              </w:rPr>
            </w:pPr>
          </w:p>
        </w:tc>
        <w:tc>
          <w:tcPr>
            <w:tcW w:w="851"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tc>
        <w:tc>
          <w:tcPr>
            <w:tcW w:w="818" w:type="dxa"/>
            <w:tcBorders>
              <w:top w:val="nil"/>
              <w:left w:val="nil"/>
              <w:bottom w:val="nil"/>
              <w:right w:val="nil"/>
            </w:tcBorders>
          </w:tcPr>
          <w:p w:rsidR="00863306" w:rsidRPr="00AE6B88" w:rsidRDefault="00863306" w:rsidP="00972A32">
            <w:pPr>
              <w:spacing w:before="0"/>
              <w:jc w:val="right"/>
              <w:rPr>
                <w:rFonts w:eastAsia="Arial Unicode MS"/>
                <w:sz w:val="22"/>
                <w:szCs w:val="22"/>
              </w:rPr>
            </w:pP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right"/>
              <w:rPr>
                <w:rFonts w:eastAsia="Arial Unicode MS"/>
                <w:sz w:val="22"/>
                <w:szCs w:val="22"/>
              </w:rPr>
            </w:pPr>
          </w:p>
        </w:tc>
        <w:tc>
          <w:tcPr>
            <w:tcW w:w="846" w:type="dxa"/>
          </w:tcPr>
          <w:p w:rsidR="00863306" w:rsidRPr="00AE6B88" w:rsidRDefault="00863306" w:rsidP="00972A32">
            <w:pPr>
              <w:spacing w:before="0"/>
              <w:jc w:val="right"/>
              <w:rPr>
                <w:rFonts w:eastAsia="Arial Unicode MS"/>
                <w:sz w:val="22"/>
                <w:szCs w:val="22"/>
              </w:rPr>
            </w:pPr>
          </w:p>
        </w:tc>
        <w:tc>
          <w:tcPr>
            <w:tcW w:w="846" w:type="dxa"/>
          </w:tcPr>
          <w:p w:rsidR="00863306" w:rsidRPr="00AE6B88" w:rsidRDefault="00863306" w:rsidP="00972A32">
            <w:pPr>
              <w:spacing w:before="0"/>
              <w:jc w:val="right"/>
              <w:rPr>
                <w:rFonts w:eastAsia="Arial Unicode MS"/>
                <w:sz w:val="22"/>
                <w:szCs w:val="22"/>
              </w:rPr>
            </w:pPr>
          </w:p>
        </w:tc>
        <w:tc>
          <w:tcPr>
            <w:tcW w:w="846" w:type="dxa"/>
          </w:tcPr>
          <w:p w:rsidR="00863306" w:rsidRPr="00AE6B88" w:rsidRDefault="00863306" w:rsidP="00972A32">
            <w:pPr>
              <w:spacing w:before="0"/>
              <w:jc w:val="right"/>
              <w:rPr>
                <w:rFonts w:eastAsia="Arial Unicode MS"/>
                <w:sz w:val="22"/>
                <w:szCs w:val="22"/>
              </w:rPr>
            </w:pPr>
          </w:p>
        </w:tc>
        <w:tc>
          <w:tcPr>
            <w:tcW w:w="39" w:type="dxa"/>
          </w:tcPr>
          <w:p w:rsidR="00863306" w:rsidRPr="00AE6B88" w:rsidRDefault="00863306" w:rsidP="00972A32">
            <w:pPr>
              <w:spacing w:before="0"/>
              <w:jc w:val="right"/>
              <w:rPr>
                <w:rFonts w:eastAsia="Arial Unicode MS"/>
                <w:sz w:val="22"/>
                <w:szCs w:val="22"/>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b/>
                <w:bCs/>
                <w:sz w:val="22"/>
                <w:szCs w:val="22"/>
              </w:rPr>
            </w:pPr>
            <w:r w:rsidRPr="00AE6B88">
              <w:rPr>
                <w:b/>
                <w:bCs/>
                <w:sz w:val="22"/>
                <w:szCs w:val="22"/>
              </w:rPr>
              <w:t>COMPTES SP</w:t>
            </w:r>
            <w:r>
              <w:rPr>
                <w:b/>
                <w:bCs/>
                <w:sz w:val="22"/>
                <w:szCs w:val="22"/>
              </w:rPr>
              <w:t>É</w:t>
            </w:r>
            <w:r w:rsidRPr="00AE6B88">
              <w:rPr>
                <w:b/>
                <w:bCs/>
                <w:sz w:val="22"/>
                <w:szCs w:val="22"/>
              </w:rPr>
              <w:t xml:space="preserve">CIAUX </w:t>
            </w:r>
          </w:p>
          <w:p w:rsidR="00863306" w:rsidRPr="00AE6B88" w:rsidRDefault="00863306" w:rsidP="00972A32">
            <w:pPr>
              <w:spacing w:before="0"/>
              <w:jc w:val="both"/>
              <w:rPr>
                <w:rFonts w:eastAsia="Arial Unicode MS"/>
                <w:b/>
                <w:bCs/>
                <w:sz w:val="22"/>
                <w:szCs w:val="22"/>
              </w:rPr>
            </w:pPr>
            <w:r w:rsidRPr="00AE6B88">
              <w:rPr>
                <w:b/>
                <w:bCs/>
                <w:sz w:val="22"/>
                <w:szCs w:val="22"/>
              </w:rPr>
              <w:t>D'ARRI</w:t>
            </w:r>
            <w:r>
              <w:rPr>
                <w:b/>
                <w:bCs/>
                <w:sz w:val="22"/>
                <w:szCs w:val="22"/>
              </w:rPr>
              <w:t>É</w:t>
            </w:r>
            <w:r w:rsidRPr="00AE6B88">
              <w:rPr>
                <w:b/>
                <w:bCs/>
                <w:sz w:val="22"/>
                <w:szCs w:val="22"/>
              </w:rPr>
              <w:t>R</w:t>
            </w:r>
            <w:r>
              <w:rPr>
                <w:b/>
                <w:bCs/>
                <w:sz w:val="22"/>
                <w:szCs w:val="22"/>
              </w:rPr>
              <w:t>É</w:t>
            </w:r>
            <w:r w:rsidRPr="00AE6B88">
              <w:rPr>
                <w:b/>
                <w:bCs/>
                <w:sz w:val="22"/>
                <w:szCs w:val="22"/>
              </w:rPr>
              <w:t>S</w:t>
            </w:r>
          </w:p>
        </w:tc>
        <w:tc>
          <w:tcPr>
            <w:tcW w:w="851" w:type="dxa"/>
            <w:tcBorders>
              <w:top w:val="nil"/>
              <w:left w:val="nil"/>
              <w:bottom w:val="nil"/>
              <w:right w:val="nil"/>
            </w:tcBorders>
          </w:tcPr>
          <w:p w:rsidR="00863306" w:rsidRPr="00AE6B88" w:rsidRDefault="00863306" w:rsidP="00972A32">
            <w:pPr>
              <w:spacing w:before="0"/>
              <w:jc w:val="right"/>
              <w:rPr>
                <w:rFonts w:eastAsia="Arial Unicode MS"/>
                <w:b/>
                <w:bCs/>
                <w:sz w:val="22"/>
                <w:szCs w:val="22"/>
              </w:rPr>
            </w:pPr>
          </w:p>
          <w:p w:rsidR="00863306" w:rsidRPr="00AE6B88" w:rsidRDefault="00951843" w:rsidP="00972A32">
            <w:pPr>
              <w:spacing w:before="0"/>
              <w:jc w:val="right"/>
              <w:rPr>
                <w:rFonts w:eastAsia="Arial Unicode MS"/>
                <w:b/>
                <w:bCs/>
                <w:sz w:val="22"/>
                <w:szCs w:val="22"/>
              </w:rPr>
            </w:pPr>
            <w:r>
              <w:rPr>
                <w:rFonts w:eastAsia="Arial Unicode MS"/>
                <w:b/>
                <w:bCs/>
                <w:sz w:val="22"/>
                <w:szCs w:val="22"/>
              </w:rPr>
              <w:t>23,</w:t>
            </w:r>
            <w:r w:rsidR="00863306" w:rsidRPr="00AE6B88">
              <w:rPr>
                <w:rFonts w:eastAsia="Arial Unicode MS"/>
                <w:b/>
                <w:bCs/>
                <w:sz w:val="22"/>
                <w:szCs w:val="22"/>
              </w:rPr>
              <w:t>943</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rPr>
            </w:pPr>
          </w:p>
          <w:p w:rsidR="00863306" w:rsidRPr="00AE6B88" w:rsidRDefault="00951843" w:rsidP="00972A32">
            <w:pPr>
              <w:spacing w:before="0"/>
              <w:jc w:val="right"/>
              <w:rPr>
                <w:rFonts w:eastAsia="Arial Unicode MS"/>
                <w:b/>
                <w:bCs/>
                <w:sz w:val="22"/>
                <w:szCs w:val="22"/>
              </w:rPr>
            </w:pPr>
            <w:r>
              <w:rPr>
                <w:rFonts w:eastAsia="Arial Unicode MS"/>
                <w:b/>
                <w:bCs/>
                <w:sz w:val="22"/>
                <w:szCs w:val="22"/>
              </w:rPr>
              <w:t>11,</w:t>
            </w:r>
            <w:r w:rsidR="00863306" w:rsidRPr="00AE6B88">
              <w:rPr>
                <w:rFonts w:eastAsia="Arial Unicode MS"/>
                <w:b/>
                <w:bCs/>
                <w:sz w:val="22"/>
                <w:szCs w:val="22"/>
              </w:rPr>
              <w:t>418</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rPr>
            </w:pPr>
          </w:p>
          <w:p w:rsidR="00863306" w:rsidRPr="00AE6B88" w:rsidRDefault="00951843" w:rsidP="00972A32">
            <w:pPr>
              <w:spacing w:before="0"/>
              <w:jc w:val="right"/>
              <w:rPr>
                <w:rFonts w:eastAsia="Arial Unicode MS"/>
                <w:b/>
                <w:bCs/>
                <w:sz w:val="22"/>
                <w:szCs w:val="22"/>
              </w:rPr>
            </w:pPr>
            <w:r>
              <w:rPr>
                <w:rFonts w:eastAsia="Arial Unicode MS"/>
                <w:b/>
                <w:bCs/>
                <w:sz w:val="22"/>
                <w:szCs w:val="22"/>
              </w:rPr>
              <w:t>15,</w:t>
            </w:r>
            <w:r w:rsidR="00863306" w:rsidRPr="00AE6B88">
              <w:rPr>
                <w:rFonts w:eastAsia="Arial Unicode MS"/>
                <w:b/>
                <w:bCs/>
                <w:sz w:val="22"/>
                <w:szCs w:val="22"/>
              </w:rPr>
              <w:t>416</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rPr>
            </w:pPr>
          </w:p>
          <w:p w:rsidR="00863306" w:rsidRPr="00AE6B88" w:rsidRDefault="00951843" w:rsidP="00972A32">
            <w:pPr>
              <w:spacing w:before="0"/>
              <w:jc w:val="right"/>
              <w:rPr>
                <w:rFonts w:eastAsia="Arial Unicode MS"/>
                <w:b/>
                <w:bCs/>
                <w:sz w:val="22"/>
                <w:szCs w:val="22"/>
              </w:rPr>
            </w:pPr>
            <w:r>
              <w:rPr>
                <w:rFonts w:eastAsia="Arial Unicode MS"/>
                <w:b/>
                <w:bCs/>
                <w:sz w:val="22"/>
                <w:szCs w:val="22"/>
              </w:rPr>
              <w:t>19,</w:t>
            </w:r>
            <w:r w:rsidR="00863306" w:rsidRPr="00AE6B88">
              <w:rPr>
                <w:rFonts w:eastAsia="Arial Unicode MS"/>
                <w:b/>
                <w:bCs/>
                <w:sz w:val="22"/>
                <w:szCs w:val="22"/>
              </w:rPr>
              <w:t>251</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rPr>
            </w:pPr>
          </w:p>
          <w:p w:rsidR="00863306" w:rsidRPr="00AE6B88" w:rsidRDefault="00863306" w:rsidP="00951843">
            <w:pPr>
              <w:spacing w:before="0"/>
              <w:jc w:val="right"/>
              <w:rPr>
                <w:rFonts w:eastAsia="Arial Unicode MS"/>
                <w:b/>
                <w:bCs/>
                <w:sz w:val="22"/>
                <w:szCs w:val="22"/>
              </w:rPr>
            </w:pPr>
            <w:r w:rsidRPr="00AE6B88">
              <w:rPr>
                <w:rFonts w:eastAsia="Arial Unicode MS"/>
                <w:b/>
                <w:bCs/>
                <w:sz w:val="22"/>
                <w:szCs w:val="22"/>
              </w:rPr>
              <w:t>11</w:t>
            </w:r>
            <w:r w:rsidR="00951843">
              <w:rPr>
                <w:rFonts w:eastAsia="Arial Unicode MS"/>
                <w:b/>
                <w:bCs/>
                <w:sz w:val="22"/>
                <w:szCs w:val="22"/>
              </w:rPr>
              <w:t>,</w:t>
            </w:r>
            <w:r w:rsidRPr="00AE6B88">
              <w:rPr>
                <w:rFonts w:eastAsia="Arial Unicode MS"/>
                <w:b/>
                <w:bCs/>
                <w:sz w:val="22"/>
                <w:szCs w:val="22"/>
              </w:rPr>
              <w:t>548</w:t>
            </w: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right"/>
              <w:rPr>
                <w:rFonts w:eastAsia="Arial Unicode MS"/>
                <w:b/>
                <w:bCs/>
                <w:sz w:val="22"/>
                <w:szCs w:val="22"/>
              </w:rPr>
            </w:pPr>
          </w:p>
          <w:p w:rsidR="00863306" w:rsidRPr="00AE6B88" w:rsidRDefault="00863306" w:rsidP="00951843">
            <w:pPr>
              <w:spacing w:before="0"/>
              <w:jc w:val="right"/>
              <w:rPr>
                <w:rFonts w:eastAsia="Arial Unicode MS"/>
                <w:b/>
                <w:bCs/>
                <w:sz w:val="22"/>
                <w:szCs w:val="22"/>
              </w:rPr>
            </w:pPr>
            <w:r w:rsidRPr="00AE6B88">
              <w:rPr>
                <w:rFonts w:eastAsia="Arial Unicode MS"/>
                <w:b/>
                <w:bCs/>
                <w:sz w:val="22"/>
                <w:szCs w:val="22"/>
              </w:rPr>
              <w:t>9</w:t>
            </w:r>
            <w:r w:rsidR="00951843">
              <w:rPr>
                <w:rFonts w:eastAsia="Arial Unicode MS"/>
                <w:b/>
                <w:bCs/>
                <w:sz w:val="22"/>
                <w:szCs w:val="22"/>
              </w:rPr>
              <w:t>,</w:t>
            </w:r>
            <w:r w:rsidRPr="00AE6B88">
              <w:rPr>
                <w:rFonts w:eastAsia="Arial Unicode MS"/>
                <w:b/>
                <w:bCs/>
                <w:sz w:val="22"/>
                <w:szCs w:val="22"/>
              </w:rPr>
              <w:t>686</w:t>
            </w:r>
          </w:p>
        </w:tc>
        <w:tc>
          <w:tcPr>
            <w:tcW w:w="846" w:type="dxa"/>
          </w:tcPr>
          <w:p w:rsidR="00863306" w:rsidRPr="00AE6B88" w:rsidRDefault="00863306" w:rsidP="00972A32">
            <w:pPr>
              <w:spacing w:before="0"/>
              <w:jc w:val="right"/>
              <w:rPr>
                <w:rFonts w:eastAsia="Arial Unicode MS"/>
                <w:b/>
                <w:bCs/>
                <w:sz w:val="22"/>
                <w:szCs w:val="22"/>
              </w:rPr>
            </w:pPr>
          </w:p>
          <w:p w:rsidR="00863306" w:rsidRPr="00AE6B88" w:rsidRDefault="00951843" w:rsidP="00972A32">
            <w:pPr>
              <w:spacing w:before="0"/>
              <w:jc w:val="right"/>
              <w:rPr>
                <w:rFonts w:eastAsia="Arial Unicode MS"/>
                <w:b/>
                <w:bCs/>
                <w:sz w:val="22"/>
                <w:szCs w:val="22"/>
              </w:rPr>
            </w:pPr>
            <w:r>
              <w:rPr>
                <w:rFonts w:eastAsia="Arial Unicode MS"/>
                <w:b/>
                <w:bCs/>
                <w:sz w:val="22"/>
                <w:szCs w:val="22"/>
              </w:rPr>
              <w:t>15,</w:t>
            </w:r>
            <w:r w:rsidR="00863306" w:rsidRPr="00AE6B88">
              <w:rPr>
                <w:rFonts w:eastAsia="Arial Unicode MS"/>
                <w:b/>
                <w:bCs/>
                <w:sz w:val="22"/>
                <w:szCs w:val="22"/>
              </w:rPr>
              <w:t>919</w:t>
            </w:r>
          </w:p>
        </w:tc>
        <w:tc>
          <w:tcPr>
            <w:tcW w:w="846" w:type="dxa"/>
          </w:tcPr>
          <w:p w:rsidR="00863306" w:rsidRPr="00AE6B88" w:rsidRDefault="00863306" w:rsidP="00972A32">
            <w:pPr>
              <w:spacing w:before="0"/>
              <w:jc w:val="right"/>
              <w:rPr>
                <w:rFonts w:eastAsia="Arial Unicode MS"/>
                <w:b/>
                <w:bCs/>
                <w:sz w:val="22"/>
                <w:szCs w:val="22"/>
              </w:rPr>
            </w:pPr>
          </w:p>
          <w:p w:rsidR="00863306" w:rsidRPr="00AE6B88" w:rsidRDefault="00951843" w:rsidP="00972A32">
            <w:pPr>
              <w:spacing w:before="0"/>
              <w:jc w:val="right"/>
              <w:rPr>
                <w:rFonts w:eastAsia="Arial Unicode MS"/>
                <w:b/>
                <w:bCs/>
                <w:sz w:val="22"/>
                <w:szCs w:val="22"/>
              </w:rPr>
            </w:pPr>
            <w:r>
              <w:rPr>
                <w:rFonts w:eastAsia="Arial Unicode MS"/>
                <w:b/>
                <w:bCs/>
                <w:sz w:val="22"/>
                <w:szCs w:val="22"/>
              </w:rPr>
              <w:t>10,</w:t>
            </w:r>
            <w:r w:rsidR="00863306">
              <w:rPr>
                <w:rFonts w:eastAsia="Arial Unicode MS"/>
                <w:b/>
                <w:bCs/>
                <w:sz w:val="22"/>
                <w:szCs w:val="22"/>
              </w:rPr>
              <w:t>0</w:t>
            </w:r>
            <w:r w:rsidR="00863306" w:rsidRPr="00AE6B88">
              <w:rPr>
                <w:rFonts w:eastAsia="Arial Unicode MS"/>
                <w:b/>
                <w:bCs/>
                <w:sz w:val="22"/>
                <w:szCs w:val="22"/>
              </w:rPr>
              <w:t>19</w:t>
            </w:r>
          </w:p>
        </w:tc>
        <w:tc>
          <w:tcPr>
            <w:tcW w:w="846" w:type="dxa"/>
          </w:tcPr>
          <w:p w:rsidR="00863306" w:rsidRPr="00AE6B88" w:rsidRDefault="00863306" w:rsidP="00972A32">
            <w:pPr>
              <w:spacing w:before="0"/>
              <w:jc w:val="right"/>
              <w:rPr>
                <w:rFonts w:eastAsia="Arial Unicode MS"/>
                <w:b/>
                <w:bCs/>
                <w:sz w:val="22"/>
                <w:szCs w:val="22"/>
              </w:rPr>
            </w:pPr>
          </w:p>
          <w:p w:rsidR="00863306" w:rsidRPr="00AE6B88" w:rsidRDefault="00863306" w:rsidP="00951843">
            <w:pPr>
              <w:spacing w:before="0"/>
              <w:jc w:val="right"/>
              <w:rPr>
                <w:rFonts w:eastAsia="Arial Unicode MS"/>
                <w:b/>
                <w:bCs/>
                <w:sz w:val="22"/>
                <w:szCs w:val="22"/>
              </w:rPr>
            </w:pPr>
            <w:r>
              <w:rPr>
                <w:rFonts w:eastAsia="Arial Unicode MS"/>
                <w:b/>
                <w:bCs/>
                <w:sz w:val="22"/>
                <w:szCs w:val="22"/>
              </w:rPr>
              <w:t>19</w:t>
            </w:r>
            <w:r w:rsidR="00951843">
              <w:rPr>
                <w:rFonts w:eastAsia="Arial Unicode MS"/>
                <w:b/>
                <w:bCs/>
                <w:sz w:val="22"/>
                <w:szCs w:val="22"/>
              </w:rPr>
              <w:t>,</w:t>
            </w:r>
            <w:r>
              <w:rPr>
                <w:rFonts w:eastAsia="Arial Unicode MS"/>
                <w:b/>
                <w:bCs/>
                <w:sz w:val="22"/>
                <w:szCs w:val="22"/>
              </w:rPr>
              <w:t>276</w:t>
            </w:r>
          </w:p>
        </w:tc>
        <w:tc>
          <w:tcPr>
            <w:tcW w:w="39" w:type="dxa"/>
          </w:tcPr>
          <w:p w:rsidR="00863306" w:rsidRPr="00AE6B88" w:rsidRDefault="00863306" w:rsidP="00972A32">
            <w:pPr>
              <w:spacing w:before="0"/>
              <w:jc w:val="right"/>
              <w:rPr>
                <w:rFonts w:eastAsia="Arial Unicode MS"/>
                <w:b/>
                <w:bCs/>
                <w:sz w:val="22"/>
                <w:szCs w:val="22"/>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rFonts w:eastAsia="Arial Unicode MS"/>
                <w:b/>
                <w:bCs/>
                <w:sz w:val="22"/>
                <w:szCs w:val="22"/>
              </w:rPr>
            </w:pPr>
          </w:p>
        </w:tc>
        <w:tc>
          <w:tcPr>
            <w:tcW w:w="851" w:type="dxa"/>
            <w:tcBorders>
              <w:top w:val="nil"/>
              <w:left w:val="nil"/>
              <w:bottom w:val="nil"/>
              <w:right w:val="nil"/>
            </w:tcBorders>
          </w:tcPr>
          <w:p w:rsidR="00863306" w:rsidRPr="00AE6B88" w:rsidRDefault="00863306" w:rsidP="00972A32">
            <w:pPr>
              <w:spacing w:before="0"/>
              <w:jc w:val="both"/>
              <w:rPr>
                <w:rFonts w:eastAsia="Arial Unicode MS"/>
                <w:b/>
                <w:bCs/>
                <w:sz w:val="22"/>
                <w:szCs w:val="22"/>
              </w:rPr>
            </w:pPr>
          </w:p>
        </w:tc>
        <w:tc>
          <w:tcPr>
            <w:tcW w:w="818" w:type="dxa"/>
            <w:tcBorders>
              <w:top w:val="nil"/>
              <w:left w:val="nil"/>
              <w:bottom w:val="nil"/>
              <w:right w:val="nil"/>
            </w:tcBorders>
          </w:tcPr>
          <w:p w:rsidR="00863306" w:rsidRPr="00AE6B88" w:rsidRDefault="00863306" w:rsidP="00972A32">
            <w:pPr>
              <w:spacing w:before="0"/>
              <w:jc w:val="both"/>
              <w:rPr>
                <w:rFonts w:eastAsia="Arial Unicode MS"/>
                <w:b/>
                <w:bCs/>
                <w:sz w:val="22"/>
                <w:szCs w:val="22"/>
              </w:rPr>
            </w:pPr>
          </w:p>
        </w:tc>
        <w:tc>
          <w:tcPr>
            <w:tcW w:w="818" w:type="dxa"/>
            <w:tcBorders>
              <w:top w:val="nil"/>
              <w:left w:val="nil"/>
              <w:bottom w:val="nil"/>
              <w:right w:val="nil"/>
            </w:tcBorders>
          </w:tcPr>
          <w:p w:rsidR="00863306" w:rsidRPr="00AE6B88" w:rsidRDefault="00863306" w:rsidP="00972A32">
            <w:pPr>
              <w:spacing w:before="0"/>
              <w:jc w:val="both"/>
              <w:rPr>
                <w:rFonts w:eastAsia="Arial Unicode MS"/>
                <w:b/>
                <w:bCs/>
                <w:sz w:val="22"/>
                <w:szCs w:val="22"/>
              </w:rPr>
            </w:pPr>
          </w:p>
        </w:tc>
        <w:tc>
          <w:tcPr>
            <w:tcW w:w="818" w:type="dxa"/>
            <w:tcBorders>
              <w:top w:val="nil"/>
              <w:left w:val="nil"/>
              <w:bottom w:val="nil"/>
              <w:right w:val="nil"/>
            </w:tcBorders>
          </w:tcPr>
          <w:p w:rsidR="00863306" w:rsidRPr="00AE6B88" w:rsidRDefault="00863306" w:rsidP="00972A32">
            <w:pPr>
              <w:spacing w:before="0"/>
              <w:jc w:val="both"/>
              <w:rPr>
                <w:rFonts w:eastAsia="Arial Unicode MS"/>
                <w:b/>
                <w:bCs/>
                <w:sz w:val="22"/>
                <w:szCs w:val="22"/>
              </w:rPr>
            </w:pPr>
          </w:p>
        </w:tc>
        <w:tc>
          <w:tcPr>
            <w:tcW w:w="818" w:type="dxa"/>
            <w:tcBorders>
              <w:top w:val="nil"/>
              <w:left w:val="nil"/>
              <w:bottom w:val="nil"/>
              <w:right w:val="nil"/>
            </w:tcBorders>
          </w:tcPr>
          <w:p w:rsidR="00863306" w:rsidRPr="00AE6B88" w:rsidRDefault="00863306" w:rsidP="00972A32">
            <w:pPr>
              <w:spacing w:before="0"/>
              <w:jc w:val="both"/>
              <w:rPr>
                <w:rFonts w:eastAsia="Arial Unicode MS"/>
                <w:b/>
                <w:bCs/>
                <w:sz w:val="22"/>
                <w:szCs w:val="22"/>
              </w:rPr>
            </w:pP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both"/>
              <w:rPr>
                <w:rFonts w:eastAsia="Arial Unicode MS"/>
                <w:b/>
                <w:bCs/>
                <w:sz w:val="22"/>
                <w:szCs w:val="22"/>
              </w:rPr>
            </w:pPr>
          </w:p>
        </w:tc>
        <w:tc>
          <w:tcPr>
            <w:tcW w:w="846" w:type="dxa"/>
          </w:tcPr>
          <w:p w:rsidR="00863306" w:rsidRPr="00AE6B88" w:rsidRDefault="00863306" w:rsidP="00972A32">
            <w:pPr>
              <w:spacing w:before="0"/>
              <w:jc w:val="both"/>
              <w:rPr>
                <w:rFonts w:eastAsia="Arial Unicode MS"/>
                <w:b/>
                <w:bCs/>
                <w:sz w:val="22"/>
                <w:szCs w:val="22"/>
              </w:rPr>
            </w:pPr>
          </w:p>
        </w:tc>
        <w:tc>
          <w:tcPr>
            <w:tcW w:w="846" w:type="dxa"/>
          </w:tcPr>
          <w:p w:rsidR="00863306" w:rsidRPr="00AE6B88" w:rsidRDefault="00863306" w:rsidP="00972A32">
            <w:pPr>
              <w:spacing w:before="0"/>
              <w:jc w:val="both"/>
              <w:rPr>
                <w:rFonts w:eastAsia="Arial Unicode MS"/>
                <w:b/>
                <w:bCs/>
                <w:sz w:val="22"/>
                <w:szCs w:val="22"/>
              </w:rPr>
            </w:pPr>
          </w:p>
        </w:tc>
        <w:tc>
          <w:tcPr>
            <w:tcW w:w="846" w:type="dxa"/>
          </w:tcPr>
          <w:p w:rsidR="00863306" w:rsidRPr="00AE6B88" w:rsidRDefault="00863306" w:rsidP="00972A32">
            <w:pPr>
              <w:spacing w:before="0"/>
              <w:jc w:val="both"/>
              <w:rPr>
                <w:rFonts w:eastAsia="Arial Unicode MS"/>
                <w:b/>
                <w:bCs/>
                <w:sz w:val="22"/>
                <w:szCs w:val="22"/>
              </w:rPr>
            </w:pPr>
          </w:p>
        </w:tc>
        <w:tc>
          <w:tcPr>
            <w:tcW w:w="39" w:type="dxa"/>
          </w:tcPr>
          <w:p w:rsidR="00863306" w:rsidRPr="00AE6B88" w:rsidRDefault="00863306" w:rsidP="00972A32">
            <w:pPr>
              <w:spacing w:before="0"/>
              <w:jc w:val="both"/>
              <w:rPr>
                <w:rFonts w:eastAsia="Arial Unicode MS"/>
                <w:b/>
                <w:bCs/>
                <w:sz w:val="22"/>
                <w:szCs w:val="22"/>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rPr>
                <w:rFonts w:eastAsia="Arial Unicode MS"/>
                <w:b/>
                <w:bCs/>
                <w:sz w:val="22"/>
                <w:szCs w:val="22"/>
              </w:rPr>
            </w:pPr>
            <w:r w:rsidRPr="00AE6B88">
              <w:rPr>
                <w:rFonts w:eastAsia="Arial Unicode MS"/>
                <w:b/>
                <w:bCs/>
                <w:sz w:val="22"/>
                <w:szCs w:val="22"/>
              </w:rPr>
              <w:t>COMPTES SP</w:t>
            </w:r>
            <w:r>
              <w:rPr>
                <w:b/>
                <w:bCs/>
                <w:sz w:val="22"/>
                <w:szCs w:val="22"/>
              </w:rPr>
              <w:t>É</w:t>
            </w:r>
            <w:r w:rsidRPr="00AE6B88">
              <w:rPr>
                <w:rFonts w:eastAsia="Arial Unicode MS"/>
                <w:b/>
                <w:bCs/>
                <w:sz w:val="22"/>
                <w:szCs w:val="22"/>
              </w:rPr>
              <w:t>CIAUX D'ARRI</w:t>
            </w:r>
            <w:r>
              <w:rPr>
                <w:b/>
                <w:bCs/>
                <w:sz w:val="22"/>
                <w:szCs w:val="22"/>
              </w:rPr>
              <w:t>É</w:t>
            </w:r>
            <w:r w:rsidRPr="00AE6B88">
              <w:rPr>
                <w:rFonts w:eastAsia="Arial Unicode MS"/>
                <w:b/>
                <w:bCs/>
                <w:sz w:val="22"/>
                <w:szCs w:val="22"/>
              </w:rPr>
              <w:t>R</w:t>
            </w:r>
            <w:r>
              <w:rPr>
                <w:b/>
                <w:bCs/>
                <w:sz w:val="22"/>
                <w:szCs w:val="22"/>
              </w:rPr>
              <w:t>É</w:t>
            </w:r>
            <w:r w:rsidRPr="00AE6B88">
              <w:rPr>
                <w:rFonts w:eastAsia="Arial Unicode MS"/>
                <w:b/>
                <w:bCs/>
                <w:sz w:val="22"/>
                <w:szCs w:val="22"/>
              </w:rPr>
              <w:t>S SUPPRIM</w:t>
            </w:r>
            <w:r>
              <w:rPr>
                <w:b/>
                <w:bCs/>
                <w:sz w:val="22"/>
                <w:szCs w:val="22"/>
              </w:rPr>
              <w:t>É</w:t>
            </w:r>
            <w:r w:rsidRPr="00AE6B88">
              <w:rPr>
                <w:rFonts w:eastAsia="Arial Unicode MS"/>
                <w:b/>
                <w:bCs/>
                <w:sz w:val="22"/>
                <w:szCs w:val="22"/>
              </w:rPr>
              <w:t>S</w:t>
            </w:r>
          </w:p>
        </w:tc>
        <w:tc>
          <w:tcPr>
            <w:tcW w:w="851" w:type="dxa"/>
            <w:tcBorders>
              <w:top w:val="nil"/>
              <w:left w:val="nil"/>
              <w:bottom w:val="nil"/>
              <w:right w:val="nil"/>
            </w:tcBorders>
          </w:tcPr>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r w:rsidRPr="00AE6B88">
              <w:rPr>
                <w:rFonts w:eastAsia="Arial Unicode MS"/>
                <w:b/>
                <w:bCs/>
                <w:sz w:val="22"/>
                <w:szCs w:val="22"/>
              </w:rPr>
              <w:t>9 232</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r w:rsidRPr="00AE6B88">
              <w:rPr>
                <w:rFonts w:eastAsia="Arial Unicode MS"/>
                <w:b/>
                <w:bCs/>
                <w:sz w:val="22"/>
                <w:szCs w:val="22"/>
              </w:rPr>
              <w:t>21 370</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r w:rsidRPr="00AE6B88">
              <w:rPr>
                <w:rFonts w:eastAsia="Arial Unicode MS"/>
                <w:b/>
                <w:bCs/>
                <w:sz w:val="22"/>
                <w:szCs w:val="22"/>
              </w:rPr>
              <w:t>16 973</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r w:rsidRPr="00AE6B88">
              <w:rPr>
                <w:rFonts w:eastAsia="Arial Unicode MS"/>
                <w:b/>
                <w:bCs/>
                <w:sz w:val="22"/>
                <w:szCs w:val="22"/>
              </w:rPr>
              <w:t>15 412</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r w:rsidRPr="00AE6B88">
              <w:rPr>
                <w:rFonts w:eastAsia="Arial Unicode MS"/>
                <w:b/>
                <w:bCs/>
                <w:sz w:val="22"/>
                <w:szCs w:val="22"/>
              </w:rPr>
              <w:t>17 711</w:t>
            </w: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r w:rsidRPr="00AE6B88">
              <w:rPr>
                <w:rFonts w:eastAsia="Arial Unicode MS"/>
                <w:b/>
                <w:bCs/>
                <w:sz w:val="22"/>
                <w:szCs w:val="22"/>
              </w:rPr>
              <w:t xml:space="preserve">18 932 </w:t>
            </w:r>
          </w:p>
        </w:tc>
        <w:tc>
          <w:tcPr>
            <w:tcW w:w="846" w:type="dxa"/>
          </w:tcPr>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r w:rsidRPr="00AE6B88">
              <w:rPr>
                <w:rFonts w:eastAsia="Arial Unicode MS"/>
                <w:b/>
                <w:bCs/>
                <w:sz w:val="22"/>
                <w:szCs w:val="22"/>
              </w:rPr>
              <w:t xml:space="preserve">15 587 </w:t>
            </w:r>
          </w:p>
        </w:tc>
        <w:tc>
          <w:tcPr>
            <w:tcW w:w="846" w:type="dxa"/>
          </w:tcPr>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r>
              <w:rPr>
                <w:rFonts w:eastAsia="Arial Unicode MS"/>
                <w:b/>
                <w:bCs/>
                <w:sz w:val="22"/>
                <w:szCs w:val="22"/>
              </w:rPr>
              <w:t>17 768</w:t>
            </w:r>
            <w:r w:rsidRPr="00AE6B88">
              <w:rPr>
                <w:rFonts w:eastAsia="Arial Unicode MS"/>
                <w:b/>
                <w:bCs/>
                <w:sz w:val="22"/>
                <w:szCs w:val="22"/>
              </w:rPr>
              <w:t xml:space="preserve"> </w:t>
            </w:r>
          </w:p>
        </w:tc>
        <w:tc>
          <w:tcPr>
            <w:tcW w:w="846" w:type="dxa"/>
          </w:tcPr>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p>
          <w:p w:rsidR="00863306" w:rsidRPr="00AE6B88" w:rsidRDefault="00863306" w:rsidP="00972A32">
            <w:pPr>
              <w:spacing w:before="0"/>
              <w:jc w:val="right"/>
              <w:rPr>
                <w:rFonts w:eastAsia="Arial Unicode MS"/>
                <w:b/>
                <w:bCs/>
                <w:sz w:val="22"/>
                <w:szCs w:val="22"/>
              </w:rPr>
            </w:pPr>
            <w:r>
              <w:rPr>
                <w:rFonts w:eastAsia="Arial Unicode MS"/>
                <w:b/>
                <w:bCs/>
                <w:sz w:val="22"/>
                <w:szCs w:val="22"/>
              </w:rPr>
              <w:t>6 707</w:t>
            </w:r>
            <w:r w:rsidRPr="00AE6B88">
              <w:rPr>
                <w:rFonts w:eastAsia="Arial Unicode MS"/>
                <w:b/>
                <w:bCs/>
                <w:sz w:val="22"/>
                <w:szCs w:val="22"/>
              </w:rPr>
              <w:t xml:space="preserve"> </w:t>
            </w:r>
          </w:p>
        </w:tc>
        <w:tc>
          <w:tcPr>
            <w:tcW w:w="39" w:type="dxa"/>
          </w:tcPr>
          <w:p w:rsidR="00863306" w:rsidRPr="00AE6B88" w:rsidRDefault="00863306" w:rsidP="00972A32">
            <w:pPr>
              <w:spacing w:before="0"/>
              <w:jc w:val="right"/>
              <w:rPr>
                <w:rFonts w:eastAsia="Arial Unicode MS"/>
                <w:b/>
                <w:bCs/>
                <w:sz w:val="22"/>
                <w:szCs w:val="22"/>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b/>
                <w:bCs/>
                <w:sz w:val="22"/>
                <w:szCs w:val="22"/>
              </w:rPr>
            </w:pPr>
          </w:p>
        </w:tc>
        <w:tc>
          <w:tcPr>
            <w:tcW w:w="851"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right"/>
              <w:rPr>
                <w:rFonts w:eastAsia="Arial Unicode MS"/>
                <w:b/>
                <w:bCs/>
                <w:sz w:val="22"/>
                <w:szCs w:val="22"/>
                <w:u w:val="double"/>
              </w:rPr>
            </w:pPr>
          </w:p>
        </w:tc>
        <w:tc>
          <w:tcPr>
            <w:tcW w:w="846" w:type="dxa"/>
          </w:tcPr>
          <w:p w:rsidR="00863306" w:rsidRPr="00AE6B88" w:rsidRDefault="00863306" w:rsidP="00972A32">
            <w:pPr>
              <w:spacing w:before="0"/>
              <w:jc w:val="right"/>
              <w:rPr>
                <w:rFonts w:eastAsia="Arial Unicode MS"/>
                <w:b/>
                <w:bCs/>
                <w:sz w:val="22"/>
                <w:szCs w:val="22"/>
                <w:u w:val="double"/>
              </w:rPr>
            </w:pPr>
          </w:p>
        </w:tc>
        <w:tc>
          <w:tcPr>
            <w:tcW w:w="846" w:type="dxa"/>
          </w:tcPr>
          <w:p w:rsidR="00863306" w:rsidRPr="00AE6B88" w:rsidRDefault="00863306" w:rsidP="00972A32">
            <w:pPr>
              <w:spacing w:before="0"/>
              <w:jc w:val="right"/>
              <w:rPr>
                <w:rFonts w:eastAsia="Arial Unicode MS"/>
                <w:b/>
                <w:bCs/>
                <w:sz w:val="22"/>
                <w:szCs w:val="22"/>
                <w:u w:val="double"/>
              </w:rPr>
            </w:pPr>
          </w:p>
        </w:tc>
        <w:tc>
          <w:tcPr>
            <w:tcW w:w="846" w:type="dxa"/>
          </w:tcPr>
          <w:p w:rsidR="00863306" w:rsidRPr="00AE6B88" w:rsidRDefault="00863306" w:rsidP="00972A32">
            <w:pPr>
              <w:spacing w:before="0"/>
              <w:jc w:val="right"/>
              <w:rPr>
                <w:rFonts w:eastAsia="Arial Unicode MS"/>
                <w:b/>
                <w:bCs/>
                <w:sz w:val="22"/>
                <w:szCs w:val="22"/>
                <w:u w:val="double"/>
              </w:rPr>
            </w:pPr>
          </w:p>
        </w:tc>
        <w:tc>
          <w:tcPr>
            <w:tcW w:w="39" w:type="dxa"/>
          </w:tcPr>
          <w:p w:rsidR="00863306" w:rsidRPr="00AE6B88" w:rsidRDefault="00863306" w:rsidP="00972A32">
            <w:pPr>
              <w:spacing w:before="0"/>
              <w:jc w:val="right"/>
              <w:rPr>
                <w:rFonts w:eastAsia="Arial Unicode MS"/>
                <w:b/>
                <w:bCs/>
                <w:sz w:val="22"/>
                <w:szCs w:val="22"/>
                <w:u w:val="double"/>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b/>
                <w:bCs/>
                <w:sz w:val="22"/>
                <w:szCs w:val="22"/>
              </w:rPr>
            </w:pPr>
            <w:r w:rsidRPr="00AE6B88">
              <w:rPr>
                <w:b/>
                <w:bCs/>
                <w:sz w:val="22"/>
                <w:szCs w:val="22"/>
              </w:rPr>
              <w:t>R</w:t>
            </w:r>
            <w:r>
              <w:rPr>
                <w:b/>
                <w:bCs/>
                <w:sz w:val="22"/>
                <w:szCs w:val="22"/>
              </w:rPr>
              <w:t>É</w:t>
            </w:r>
            <w:r w:rsidRPr="00AE6B88">
              <w:rPr>
                <w:b/>
                <w:bCs/>
                <w:sz w:val="22"/>
                <w:szCs w:val="22"/>
              </w:rPr>
              <w:t>SEAUX SATELLITE</w:t>
            </w:r>
          </w:p>
        </w:tc>
        <w:tc>
          <w:tcPr>
            <w:tcW w:w="851"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r w:rsidRPr="00AE6B88">
              <w:rPr>
                <w:rFonts w:eastAsia="Arial Unicode MS"/>
                <w:b/>
                <w:bCs/>
                <w:sz w:val="22"/>
                <w:szCs w:val="22"/>
                <w:u w:val="double"/>
              </w:rPr>
              <w:t xml:space="preserve"> </w:t>
            </w:r>
          </w:p>
        </w:tc>
        <w:tc>
          <w:tcPr>
            <w:tcW w:w="818" w:type="dxa"/>
            <w:tcBorders>
              <w:top w:val="nil"/>
              <w:left w:val="nil"/>
              <w:bottom w:val="nil"/>
              <w:right w:val="nil"/>
            </w:tcBorders>
          </w:tcPr>
          <w:p w:rsidR="00863306" w:rsidRPr="00AE6B88" w:rsidRDefault="00863306" w:rsidP="00972A32">
            <w:pPr>
              <w:spacing w:before="0"/>
              <w:jc w:val="right"/>
              <w:rPr>
                <w:rFonts w:eastAsia="Arial Unicode MS" w:cs="Arial"/>
                <w:b/>
                <w:bCs/>
                <w:sz w:val="22"/>
                <w:szCs w:val="22"/>
              </w:rPr>
            </w:pPr>
            <w:r w:rsidRPr="00AE6B88">
              <w:rPr>
                <w:rFonts w:eastAsia="Arial Unicode MS" w:cs="Arial"/>
                <w:b/>
                <w:bCs/>
                <w:sz w:val="22"/>
                <w:szCs w:val="22"/>
              </w:rPr>
              <w:t>2 218</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r w:rsidRPr="00AE6B88">
              <w:rPr>
                <w:rFonts w:eastAsia="Arial Unicode MS" w:cs="Arial"/>
                <w:b/>
                <w:bCs/>
                <w:sz w:val="22"/>
                <w:szCs w:val="22"/>
              </w:rPr>
              <w:t xml:space="preserve"> 589</w:t>
            </w:r>
          </w:p>
        </w:tc>
        <w:tc>
          <w:tcPr>
            <w:tcW w:w="818" w:type="dxa"/>
            <w:tcBorders>
              <w:top w:val="nil"/>
              <w:left w:val="nil"/>
              <w:bottom w:val="nil"/>
              <w:right w:val="nil"/>
            </w:tcBorders>
          </w:tcPr>
          <w:p w:rsidR="00863306" w:rsidRPr="00AE6B88" w:rsidRDefault="00863306" w:rsidP="00972A32">
            <w:pPr>
              <w:spacing w:before="0"/>
              <w:jc w:val="right"/>
              <w:rPr>
                <w:rFonts w:eastAsia="Arial Unicode MS" w:cs="Arial"/>
                <w:b/>
                <w:bCs/>
                <w:sz w:val="22"/>
                <w:szCs w:val="22"/>
              </w:rPr>
            </w:pPr>
            <w:r w:rsidRPr="00AE6B88">
              <w:rPr>
                <w:rFonts w:eastAsia="Arial Unicode MS" w:cs="Arial"/>
                <w:b/>
                <w:bCs/>
                <w:sz w:val="22"/>
                <w:szCs w:val="22"/>
              </w:rPr>
              <w:t>621</w:t>
            </w:r>
          </w:p>
        </w:tc>
        <w:tc>
          <w:tcPr>
            <w:tcW w:w="818" w:type="dxa"/>
            <w:tcBorders>
              <w:top w:val="nil"/>
              <w:left w:val="nil"/>
              <w:bottom w:val="nil"/>
              <w:right w:val="nil"/>
            </w:tcBorders>
          </w:tcPr>
          <w:p w:rsidR="00863306" w:rsidRPr="00AE6B88" w:rsidRDefault="00863306" w:rsidP="00972A32">
            <w:pPr>
              <w:spacing w:before="0"/>
              <w:jc w:val="right"/>
              <w:rPr>
                <w:rFonts w:eastAsia="Arial Unicode MS" w:cs="Arial"/>
                <w:b/>
                <w:bCs/>
                <w:sz w:val="22"/>
                <w:szCs w:val="22"/>
              </w:rPr>
            </w:pPr>
            <w:r w:rsidRPr="00AE6B88">
              <w:rPr>
                <w:rFonts w:eastAsia="Arial Unicode MS" w:cs="Arial"/>
                <w:b/>
                <w:bCs/>
                <w:sz w:val="22"/>
                <w:szCs w:val="22"/>
              </w:rPr>
              <w:t>533</w:t>
            </w: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right"/>
              <w:rPr>
                <w:rFonts w:eastAsia="Arial Unicode MS" w:cs="Arial"/>
                <w:b/>
                <w:bCs/>
                <w:sz w:val="22"/>
                <w:szCs w:val="22"/>
              </w:rPr>
            </w:pPr>
            <w:r w:rsidRPr="00AE6B88">
              <w:rPr>
                <w:rFonts w:eastAsia="Arial Unicode MS" w:cs="Arial"/>
                <w:b/>
                <w:bCs/>
                <w:sz w:val="22"/>
                <w:szCs w:val="22"/>
              </w:rPr>
              <w:t>620</w:t>
            </w:r>
          </w:p>
        </w:tc>
        <w:tc>
          <w:tcPr>
            <w:tcW w:w="846" w:type="dxa"/>
          </w:tcPr>
          <w:p w:rsidR="00863306" w:rsidRPr="00AE6B88" w:rsidRDefault="00863306" w:rsidP="00972A32">
            <w:pPr>
              <w:spacing w:before="0"/>
              <w:jc w:val="right"/>
              <w:rPr>
                <w:rFonts w:eastAsia="Arial Unicode MS" w:cs="Arial"/>
                <w:b/>
                <w:bCs/>
                <w:sz w:val="22"/>
                <w:szCs w:val="22"/>
              </w:rPr>
            </w:pPr>
            <w:r w:rsidRPr="00AE6B88">
              <w:rPr>
                <w:rFonts w:eastAsia="Arial Unicode MS" w:cs="Arial"/>
                <w:b/>
                <w:bCs/>
                <w:sz w:val="22"/>
                <w:szCs w:val="22"/>
              </w:rPr>
              <w:t>641</w:t>
            </w:r>
          </w:p>
        </w:tc>
        <w:tc>
          <w:tcPr>
            <w:tcW w:w="846" w:type="dxa"/>
          </w:tcPr>
          <w:p w:rsidR="00863306" w:rsidRPr="00AE6B88" w:rsidRDefault="00863306" w:rsidP="00972A32">
            <w:pPr>
              <w:spacing w:before="0"/>
              <w:jc w:val="right"/>
              <w:rPr>
                <w:rFonts w:eastAsia="Arial Unicode MS" w:cs="Arial"/>
                <w:b/>
                <w:bCs/>
                <w:sz w:val="22"/>
                <w:szCs w:val="22"/>
              </w:rPr>
            </w:pPr>
            <w:r>
              <w:rPr>
                <w:rFonts w:eastAsia="Arial Unicode MS" w:cs="Arial"/>
                <w:b/>
                <w:bCs/>
                <w:sz w:val="22"/>
                <w:szCs w:val="22"/>
              </w:rPr>
              <w:t>571</w:t>
            </w:r>
          </w:p>
        </w:tc>
        <w:tc>
          <w:tcPr>
            <w:tcW w:w="846" w:type="dxa"/>
          </w:tcPr>
          <w:p w:rsidR="00863306" w:rsidRPr="00AE6B88" w:rsidRDefault="00863306" w:rsidP="00972A32">
            <w:pPr>
              <w:spacing w:before="0"/>
              <w:jc w:val="right"/>
              <w:rPr>
                <w:rFonts w:eastAsia="Arial Unicode MS" w:cs="Arial"/>
                <w:b/>
                <w:bCs/>
                <w:sz w:val="22"/>
                <w:szCs w:val="22"/>
              </w:rPr>
            </w:pPr>
            <w:r>
              <w:rPr>
                <w:rFonts w:eastAsia="Arial Unicode MS" w:cs="Arial"/>
                <w:b/>
                <w:bCs/>
                <w:sz w:val="22"/>
                <w:szCs w:val="22"/>
              </w:rPr>
              <w:t>57</w:t>
            </w:r>
            <w:r w:rsidRPr="00AE6B88">
              <w:rPr>
                <w:rFonts w:eastAsia="Arial Unicode MS" w:cs="Arial"/>
                <w:b/>
                <w:bCs/>
                <w:sz w:val="22"/>
                <w:szCs w:val="22"/>
              </w:rPr>
              <w:t>1</w:t>
            </w:r>
          </w:p>
        </w:tc>
        <w:tc>
          <w:tcPr>
            <w:tcW w:w="39" w:type="dxa"/>
          </w:tcPr>
          <w:p w:rsidR="00863306" w:rsidRDefault="00863306" w:rsidP="00972A32">
            <w:pPr>
              <w:spacing w:before="0"/>
              <w:jc w:val="right"/>
              <w:rPr>
                <w:rFonts w:eastAsia="Arial Unicode MS" w:cs="Arial"/>
                <w:b/>
                <w:bCs/>
                <w:sz w:val="22"/>
                <w:szCs w:val="22"/>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b/>
                <w:bCs/>
                <w:sz w:val="22"/>
                <w:szCs w:val="22"/>
              </w:rPr>
            </w:pPr>
            <w:r w:rsidRPr="00AE6B88">
              <w:rPr>
                <w:b/>
                <w:bCs/>
                <w:sz w:val="22"/>
                <w:szCs w:val="22"/>
              </w:rPr>
              <w:t>FACTURES DIVERSES</w:t>
            </w:r>
          </w:p>
        </w:tc>
        <w:tc>
          <w:tcPr>
            <w:tcW w:w="851"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p>
          <w:p w:rsidR="00863306" w:rsidRPr="00AE6B88" w:rsidRDefault="00863306" w:rsidP="00972A32">
            <w:pPr>
              <w:spacing w:before="0"/>
              <w:jc w:val="right"/>
              <w:rPr>
                <w:rFonts w:eastAsia="Arial Unicode MS"/>
                <w:b/>
                <w:bCs/>
                <w:sz w:val="22"/>
                <w:szCs w:val="22"/>
              </w:rPr>
            </w:pPr>
            <w:r w:rsidRPr="00AE6B88">
              <w:rPr>
                <w:rFonts w:eastAsia="Arial Unicode MS"/>
                <w:b/>
                <w:bCs/>
                <w:sz w:val="22"/>
                <w:szCs w:val="22"/>
              </w:rPr>
              <w:t>12</w:t>
            </w: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right"/>
              <w:rPr>
                <w:rFonts w:eastAsia="Arial Unicode MS"/>
                <w:b/>
                <w:bCs/>
                <w:sz w:val="22"/>
                <w:szCs w:val="22"/>
                <w:u w:val="double"/>
              </w:rPr>
            </w:pPr>
          </w:p>
          <w:p w:rsidR="00863306" w:rsidRPr="00AE6B88" w:rsidRDefault="00863306" w:rsidP="00972A32">
            <w:pPr>
              <w:spacing w:before="0"/>
              <w:jc w:val="right"/>
              <w:rPr>
                <w:rFonts w:eastAsia="Arial Unicode MS"/>
                <w:b/>
                <w:bCs/>
                <w:sz w:val="22"/>
                <w:szCs w:val="22"/>
              </w:rPr>
            </w:pPr>
            <w:r w:rsidRPr="00AE6B88">
              <w:rPr>
                <w:rFonts w:eastAsia="Arial Unicode MS"/>
                <w:b/>
                <w:bCs/>
                <w:sz w:val="22"/>
                <w:szCs w:val="22"/>
              </w:rPr>
              <w:t>92</w:t>
            </w:r>
          </w:p>
        </w:tc>
        <w:tc>
          <w:tcPr>
            <w:tcW w:w="846" w:type="dxa"/>
          </w:tcPr>
          <w:p w:rsidR="00863306" w:rsidRPr="00AE6B88" w:rsidRDefault="00863306" w:rsidP="00972A32">
            <w:pPr>
              <w:spacing w:before="0"/>
              <w:jc w:val="right"/>
              <w:rPr>
                <w:rFonts w:eastAsia="Arial Unicode MS"/>
                <w:b/>
                <w:bCs/>
                <w:sz w:val="22"/>
                <w:szCs w:val="22"/>
                <w:u w:val="double"/>
              </w:rPr>
            </w:pPr>
          </w:p>
          <w:p w:rsidR="00863306" w:rsidRPr="00AE6B88" w:rsidRDefault="00863306" w:rsidP="00972A32">
            <w:pPr>
              <w:spacing w:before="0"/>
              <w:jc w:val="right"/>
              <w:rPr>
                <w:rFonts w:eastAsia="Arial Unicode MS"/>
                <w:b/>
                <w:bCs/>
                <w:sz w:val="22"/>
                <w:szCs w:val="22"/>
              </w:rPr>
            </w:pPr>
            <w:r w:rsidRPr="00AE6B88">
              <w:rPr>
                <w:rFonts w:eastAsia="Arial Unicode MS"/>
                <w:b/>
                <w:bCs/>
                <w:sz w:val="22"/>
                <w:szCs w:val="22"/>
              </w:rPr>
              <w:t>76</w:t>
            </w:r>
          </w:p>
        </w:tc>
        <w:tc>
          <w:tcPr>
            <w:tcW w:w="846" w:type="dxa"/>
          </w:tcPr>
          <w:p w:rsidR="00863306" w:rsidRPr="00AE6B88" w:rsidRDefault="00863306" w:rsidP="00972A32">
            <w:pPr>
              <w:spacing w:before="0"/>
              <w:jc w:val="right"/>
              <w:rPr>
                <w:rFonts w:eastAsia="Arial Unicode MS"/>
                <w:b/>
                <w:bCs/>
                <w:sz w:val="22"/>
                <w:szCs w:val="22"/>
                <w:u w:val="double"/>
              </w:rPr>
            </w:pPr>
          </w:p>
          <w:p w:rsidR="00863306" w:rsidRPr="00AE6B88" w:rsidRDefault="00863306" w:rsidP="00972A32">
            <w:pPr>
              <w:spacing w:before="0"/>
              <w:jc w:val="right"/>
              <w:rPr>
                <w:rFonts w:eastAsia="Arial Unicode MS"/>
                <w:b/>
                <w:bCs/>
                <w:sz w:val="22"/>
                <w:szCs w:val="22"/>
              </w:rPr>
            </w:pPr>
            <w:r>
              <w:rPr>
                <w:rFonts w:eastAsia="Arial Unicode MS"/>
                <w:b/>
                <w:bCs/>
                <w:sz w:val="22"/>
                <w:szCs w:val="22"/>
              </w:rPr>
              <w:t>65</w:t>
            </w:r>
          </w:p>
        </w:tc>
        <w:tc>
          <w:tcPr>
            <w:tcW w:w="846" w:type="dxa"/>
          </w:tcPr>
          <w:p w:rsidR="00863306" w:rsidRPr="00AE6B88" w:rsidRDefault="00863306" w:rsidP="00972A32">
            <w:pPr>
              <w:spacing w:before="0"/>
              <w:jc w:val="right"/>
              <w:rPr>
                <w:rFonts w:eastAsia="Arial Unicode MS"/>
                <w:b/>
                <w:bCs/>
                <w:sz w:val="22"/>
                <w:szCs w:val="22"/>
                <w:u w:val="double"/>
              </w:rPr>
            </w:pPr>
          </w:p>
          <w:p w:rsidR="00863306" w:rsidRPr="00AE6B88" w:rsidRDefault="00863306" w:rsidP="00972A32">
            <w:pPr>
              <w:spacing w:before="0"/>
              <w:jc w:val="right"/>
              <w:rPr>
                <w:rFonts w:eastAsia="Arial Unicode MS"/>
                <w:b/>
                <w:bCs/>
                <w:sz w:val="22"/>
                <w:szCs w:val="22"/>
              </w:rPr>
            </w:pPr>
            <w:r>
              <w:rPr>
                <w:rFonts w:eastAsia="Arial Unicode MS"/>
                <w:b/>
                <w:bCs/>
                <w:sz w:val="22"/>
                <w:szCs w:val="22"/>
              </w:rPr>
              <w:t>65</w:t>
            </w:r>
          </w:p>
        </w:tc>
        <w:tc>
          <w:tcPr>
            <w:tcW w:w="39" w:type="dxa"/>
          </w:tcPr>
          <w:p w:rsidR="00863306" w:rsidRPr="00AE6B88" w:rsidRDefault="00863306" w:rsidP="00972A32">
            <w:pPr>
              <w:spacing w:before="0"/>
              <w:jc w:val="right"/>
              <w:rPr>
                <w:rFonts w:eastAsia="Arial Unicode MS"/>
                <w:b/>
                <w:bCs/>
                <w:sz w:val="22"/>
                <w:szCs w:val="22"/>
                <w:u w:val="double"/>
              </w:rPr>
            </w:pPr>
          </w:p>
        </w:tc>
      </w:tr>
      <w:tr w:rsidR="00863306" w:rsidRPr="00AE6B88" w:rsidTr="00863306">
        <w:trPr>
          <w:trHeight w:val="315"/>
        </w:trPr>
        <w:tc>
          <w:tcPr>
            <w:tcW w:w="2722" w:type="dxa"/>
            <w:tcBorders>
              <w:top w:val="nil"/>
              <w:left w:val="nil"/>
              <w:bottom w:val="nil"/>
              <w:right w:val="nil"/>
            </w:tcBorders>
            <w:noWrap/>
            <w:tcMar>
              <w:top w:w="15" w:type="dxa"/>
              <w:left w:w="15" w:type="dxa"/>
              <w:bottom w:w="0" w:type="dxa"/>
              <w:right w:w="15" w:type="dxa"/>
            </w:tcMar>
            <w:vAlign w:val="bottom"/>
          </w:tcPr>
          <w:p w:rsidR="00863306" w:rsidRPr="00AE6B88" w:rsidRDefault="00863306" w:rsidP="00972A32">
            <w:pPr>
              <w:spacing w:before="0"/>
              <w:jc w:val="both"/>
              <w:rPr>
                <w:b/>
                <w:bCs/>
                <w:sz w:val="22"/>
                <w:szCs w:val="22"/>
              </w:rPr>
            </w:pPr>
          </w:p>
          <w:p w:rsidR="00863306" w:rsidRPr="00AE6B88" w:rsidRDefault="00863306" w:rsidP="00972A32">
            <w:pPr>
              <w:spacing w:before="0"/>
              <w:jc w:val="both"/>
              <w:rPr>
                <w:rFonts w:eastAsia="Arial Unicode MS"/>
                <w:b/>
                <w:bCs/>
                <w:sz w:val="22"/>
                <w:szCs w:val="22"/>
              </w:rPr>
            </w:pPr>
            <w:r w:rsidRPr="00AE6B88">
              <w:rPr>
                <w:b/>
                <w:bCs/>
                <w:sz w:val="22"/>
                <w:szCs w:val="22"/>
              </w:rPr>
              <w:t>T</w:t>
            </w:r>
            <w:r>
              <w:rPr>
                <w:b/>
                <w:bCs/>
                <w:sz w:val="22"/>
                <w:szCs w:val="22"/>
              </w:rPr>
              <w:t xml:space="preserve">OTAL </w:t>
            </w:r>
          </w:p>
        </w:tc>
        <w:tc>
          <w:tcPr>
            <w:tcW w:w="851"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p>
          <w:p w:rsidR="00863306" w:rsidRPr="00AE6B88" w:rsidRDefault="00863306" w:rsidP="00972A32">
            <w:pPr>
              <w:spacing w:before="0"/>
              <w:jc w:val="right"/>
              <w:rPr>
                <w:rFonts w:eastAsia="Arial Unicode MS"/>
                <w:b/>
                <w:bCs/>
                <w:sz w:val="22"/>
                <w:szCs w:val="22"/>
                <w:u w:val="double"/>
              </w:rPr>
            </w:pPr>
            <w:r w:rsidRPr="00AE6B88">
              <w:rPr>
                <w:rFonts w:eastAsia="Arial Unicode MS"/>
                <w:b/>
                <w:bCs/>
                <w:sz w:val="22"/>
                <w:szCs w:val="22"/>
                <w:u w:val="double"/>
              </w:rPr>
              <w:t>69</w:t>
            </w:r>
            <w:r w:rsidR="00951843">
              <w:rPr>
                <w:rFonts w:eastAsia="Arial Unicode MS"/>
                <w:b/>
                <w:bCs/>
                <w:sz w:val="22"/>
                <w:szCs w:val="22"/>
                <w:u w:val="double"/>
              </w:rPr>
              <w:t>,</w:t>
            </w:r>
            <w:r w:rsidRPr="00AE6B88">
              <w:rPr>
                <w:rFonts w:eastAsia="Arial Unicode MS"/>
                <w:b/>
                <w:bCs/>
                <w:sz w:val="22"/>
                <w:szCs w:val="22"/>
                <w:u w:val="double"/>
              </w:rPr>
              <w:t>432</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p>
          <w:p w:rsidR="00863306" w:rsidRPr="00AE6B88" w:rsidRDefault="00863306" w:rsidP="00972A32">
            <w:pPr>
              <w:spacing w:before="0"/>
              <w:jc w:val="right"/>
              <w:rPr>
                <w:rFonts w:eastAsia="Arial Unicode MS"/>
                <w:b/>
                <w:bCs/>
                <w:sz w:val="22"/>
                <w:szCs w:val="22"/>
                <w:u w:val="double"/>
              </w:rPr>
            </w:pPr>
            <w:r w:rsidRPr="00AE6B88">
              <w:rPr>
                <w:rFonts w:eastAsia="Arial Unicode MS"/>
                <w:b/>
                <w:bCs/>
                <w:sz w:val="22"/>
                <w:szCs w:val="22"/>
                <w:u w:val="double"/>
              </w:rPr>
              <w:t>69</w:t>
            </w:r>
            <w:r w:rsidR="00951843">
              <w:rPr>
                <w:rFonts w:eastAsia="Arial Unicode MS"/>
                <w:b/>
                <w:bCs/>
                <w:sz w:val="22"/>
                <w:szCs w:val="22"/>
                <w:u w:val="double"/>
              </w:rPr>
              <w:t>,</w:t>
            </w:r>
            <w:r w:rsidRPr="00AE6B88">
              <w:rPr>
                <w:rFonts w:eastAsia="Arial Unicode MS"/>
                <w:b/>
                <w:bCs/>
                <w:sz w:val="22"/>
                <w:szCs w:val="22"/>
                <w:u w:val="double"/>
              </w:rPr>
              <w:t>386</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p>
          <w:p w:rsidR="00863306" w:rsidRPr="00AE6B88" w:rsidRDefault="00863306" w:rsidP="00972A32">
            <w:pPr>
              <w:spacing w:before="0"/>
              <w:jc w:val="right"/>
              <w:rPr>
                <w:rFonts w:eastAsia="Arial Unicode MS"/>
                <w:b/>
                <w:bCs/>
                <w:sz w:val="22"/>
                <w:szCs w:val="22"/>
                <w:u w:val="double"/>
              </w:rPr>
            </w:pPr>
            <w:r w:rsidRPr="00AE6B88">
              <w:rPr>
                <w:rFonts w:eastAsia="Arial Unicode MS"/>
                <w:b/>
                <w:bCs/>
                <w:sz w:val="22"/>
                <w:szCs w:val="22"/>
                <w:u w:val="double"/>
              </w:rPr>
              <w:t>67</w:t>
            </w:r>
            <w:r w:rsidR="00951843">
              <w:rPr>
                <w:rFonts w:eastAsia="Arial Unicode MS"/>
                <w:b/>
                <w:bCs/>
                <w:sz w:val="22"/>
                <w:szCs w:val="22"/>
                <w:u w:val="double"/>
              </w:rPr>
              <w:t>,</w:t>
            </w:r>
            <w:r w:rsidRPr="00AE6B88">
              <w:rPr>
                <w:rFonts w:eastAsia="Arial Unicode MS"/>
                <w:b/>
                <w:bCs/>
                <w:sz w:val="22"/>
                <w:szCs w:val="22"/>
                <w:u w:val="double"/>
              </w:rPr>
              <w:t>785</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p>
          <w:p w:rsidR="00863306" w:rsidRPr="00AE6B88" w:rsidRDefault="00863306" w:rsidP="00972A32">
            <w:pPr>
              <w:spacing w:before="0"/>
              <w:jc w:val="right"/>
              <w:rPr>
                <w:rFonts w:eastAsia="Arial Unicode MS"/>
                <w:b/>
                <w:bCs/>
                <w:sz w:val="22"/>
                <w:szCs w:val="22"/>
                <w:u w:val="double"/>
              </w:rPr>
            </w:pPr>
            <w:r w:rsidRPr="00AE6B88">
              <w:rPr>
                <w:rFonts w:eastAsia="Arial Unicode MS"/>
                <w:b/>
                <w:bCs/>
                <w:sz w:val="22"/>
                <w:szCs w:val="22"/>
                <w:u w:val="double"/>
              </w:rPr>
              <w:t>66</w:t>
            </w:r>
            <w:r w:rsidR="00951843">
              <w:rPr>
                <w:rFonts w:eastAsia="Arial Unicode MS"/>
                <w:b/>
                <w:bCs/>
                <w:sz w:val="22"/>
                <w:szCs w:val="22"/>
                <w:u w:val="double"/>
              </w:rPr>
              <w:t>,</w:t>
            </w:r>
            <w:r w:rsidRPr="00AE6B88">
              <w:rPr>
                <w:rFonts w:eastAsia="Arial Unicode MS"/>
                <w:b/>
                <w:bCs/>
                <w:sz w:val="22"/>
                <w:szCs w:val="22"/>
                <w:u w:val="double"/>
              </w:rPr>
              <w:t>563</w:t>
            </w:r>
          </w:p>
        </w:tc>
        <w:tc>
          <w:tcPr>
            <w:tcW w:w="818" w:type="dxa"/>
            <w:tcBorders>
              <w:top w:val="nil"/>
              <w:left w:val="nil"/>
              <w:bottom w:val="nil"/>
              <w:right w:val="nil"/>
            </w:tcBorders>
          </w:tcPr>
          <w:p w:rsidR="00863306" w:rsidRPr="00AE6B88" w:rsidRDefault="00863306" w:rsidP="00972A32">
            <w:pPr>
              <w:spacing w:before="0"/>
              <w:jc w:val="right"/>
              <w:rPr>
                <w:rFonts w:eastAsia="Arial Unicode MS"/>
                <w:b/>
                <w:bCs/>
                <w:sz w:val="22"/>
                <w:szCs w:val="22"/>
                <w:u w:val="double"/>
              </w:rPr>
            </w:pPr>
          </w:p>
          <w:p w:rsidR="00863306" w:rsidRPr="00AE6B88" w:rsidRDefault="00863306" w:rsidP="00972A32">
            <w:pPr>
              <w:spacing w:before="0"/>
              <w:jc w:val="right"/>
              <w:rPr>
                <w:rFonts w:eastAsia="Arial Unicode MS"/>
                <w:b/>
                <w:bCs/>
                <w:sz w:val="22"/>
                <w:szCs w:val="22"/>
                <w:u w:val="double"/>
              </w:rPr>
            </w:pPr>
            <w:r w:rsidRPr="00AE6B88">
              <w:rPr>
                <w:rFonts w:eastAsia="Arial Unicode MS"/>
                <w:b/>
                <w:bCs/>
                <w:sz w:val="22"/>
                <w:szCs w:val="22"/>
                <w:u w:val="double"/>
              </w:rPr>
              <w:t>62</w:t>
            </w:r>
            <w:r w:rsidR="00951843">
              <w:rPr>
                <w:rFonts w:eastAsia="Arial Unicode MS"/>
                <w:b/>
                <w:bCs/>
                <w:sz w:val="22"/>
                <w:szCs w:val="22"/>
                <w:u w:val="double"/>
              </w:rPr>
              <w:t>,</w:t>
            </w:r>
            <w:r w:rsidRPr="00AE6B88">
              <w:rPr>
                <w:rFonts w:eastAsia="Arial Unicode MS"/>
                <w:b/>
                <w:bCs/>
                <w:sz w:val="22"/>
                <w:szCs w:val="22"/>
                <w:u w:val="double"/>
              </w:rPr>
              <w:t>459</w:t>
            </w:r>
          </w:p>
        </w:tc>
        <w:tc>
          <w:tcPr>
            <w:tcW w:w="818" w:type="dxa"/>
            <w:tcBorders>
              <w:top w:val="nil"/>
              <w:left w:val="nil"/>
              <w:bottom w:val="nil"/>
              <w:right w:val="nil"/>
            </w:tcBorders>
            <w:noWrap/>
            <w:tcMar>
              <w:top w:w="15" w:type="dxa"/>
              <w:left w:w="15" w:type="dxa"/>
              <w:bottom w:w="0" w:type="dxa"/>
              <w:right w:w="15" w:type="dxa"/>
            </w:tcMar>
          </w:tcPr>
          <w:p w:rsidR="00863306" w:rsidRPr="00AE6B88" w:rsidRDefault="00863306" w:rsidP="00972A32">
            <w:pPr>
              <w:spacing w:before="0"/>
              <w:jc w:val="right"/>
              <w:rPr>
                <w:rFonts w:eastAsia="Arial Unicode MS"/>
                <w:b/>
                <w:bCs/>
                <w:sz w:val="22"/>
                <w:szCs w:val="22"/>
                <w:u w:val="double"/>
              </w:rPr>
            </w:pPr>
          </w:p>
          <w:p w:rsidR="00863306" w:rsidRPr="00AE6B88" w:rsidRDefault="00863306" w:rsidP="00972A32">
            <w:pPr>
              <w:spacing w:before="0"/>
              <w:jc w:val="right"/>
              <w:rPr>
                <w:rFonts w:eastAsia="Arial Unicode MS"/>
                <w:b/>
                <w:bCs/>
                <w:sz w:val="22"/>
                <w:szCs w:val="22"/>
                <w:u w:val="double"/>
              </w:rPr>
            </w:pPr>
            <w:r w:rsidRPr="00AE6B88">
              <w:rPr>
                <w:rFonts w:eastAsia="Arial Unicode MS"/>
                <w:b/>
                <w:bCs/>
                <w:sz w:val="22"/>
                <w:szCs w:val="22"/>
                <w:u w:val="double"/>
              </w:rPr>
              <w:t>61</w:t>
            </w:r>
            <w:r w:rsidR="00951843">
              <w:rPr>
                <w:rFonts w:eastAsia="Arial Unicode MS"/>
                <w:b/>
                <w:bCs/>
                <w:sz w:val="22"/>
                <w:szCs w:val="22"/>
                <w:u w:val="double"/>
              </w:rPr>
              <w:t>,</w:t>
            </w:r>
            <w:r w:rsidRPr="00AE6B88">
              <w:rPr>
                <w:rFonts w:eastAsia="Arial Unicode MS"/>
                <w:b/>
                <w:bCs/>
                <w:sz w:val="22"/>
                <w:szCs w:val="22"/>
                <w:u w:val="double"/>
              </w:rPr>
              <w:t>538</w:t>
            </w:r>
          </w:p>
        </w:tc>
        <w:tc>
          <w:tcPr>
            <w:tcW w:w="846" w:type="dxa"/>
          </w:tcPr>
          <w:p w:rsidR="00863306" w:rsidRPr="00AE6B88" w:rsidRDefault="00863306" w:rsidP="00972A32">
            <w:pPr>
              <w:spacing w:before="0"/>
              <w:jc w:val="right"/>
              <w:rPr>
                <w:rFonts w:eastAsia="Arial Unicode MS"/>
                <w:b/>
                <w:bCs/>
                <w:sz w:val="22"/>
                <w:szCs w:val="22"/>
                <w:u w:val="double"/>
              </w:rPr>
            </w:pPr>
          </w:p>
          <w:p w:rsidR="00863306" w:rsidRPr="00AE6B88" w:rsidRDefault="00863306" w:rsidP="00972A32">
            <w:pPr>
              <w:spacing w:before="0"/>
              <w:jc w:val="right"/>
              <w:rPr>
                <w:rFonts w:eastAsia="Arial Unicode MS"/>
                <w:b/>
                <w:bCs/>
                <w:sz w:val="22"/>
                <w:szCs w:val="22"/>
                <w:u w:val="double"/>
              </w:rPr>
            </w:pPr>
            <w:r w:rsidRPr="00AE6B88">
              <w:rPr>
                <w:rFonts w:eastAsia="Arial Unicode MS"/>
                <w:b/>
                <w:bCs/>
                <w:sz w:val="22"/>
                <w:szCs w:val="22"/>
                <w:u w:val="double"/>
              </w:rPr>
              <w:t>60</w:t>
            </w:r>
            <w:r w:rsidR="00951843">
              <w:rPr>
                <w:rFonts w:eastAsia="Arial Unicode MS"/>
                <w:b/>
                <w:bCs/>
                <w:sz w:val="22"/>
                <w:szCs w:val="22"/>
                <w:u w:val="double"/>
              </w:rPr>
              <w:t>,</w:t>
            </w:r>
            <w:r w:rsidRPr="00AE6B88">
              <w:rPr>
                <w:rFonts w:eastAsia="Arial Unicode MS"/>
                <w:b/>
                <w:bCs/>
                <w:sz w:val="22"/>
                <w:szCs w:val="22"/>
                <w:u w:val="double"/>
              </w:rPr>
              <w:t>576</w:t>
            </w:r>
          </w:p>
        </w:tc>
        <w:tc>
          <w:tcPr>
            <w:tcW w:w="846" w:type="dxa"/>
          </w:tcPr>
          <w:p w:rsidR="00863306" w:rsidRPr="00AE6B88" w:rsidRDefault="00863306" w:rsidP="00972A32">
            <w:pPr>
              <w:spacing w:before="0"/>
              <w:jc w:val="right"/>
              <w:rPr>
                <w:rFonts w:eastAsia="Arial Unicode MS"/>
                <w:b/>
                <w:bCs/>
                <w:sz w:val="22"/>
                <w:szCs w:val="22"/>
                <w:u w:val="double"/>
              </w:rPr>
            </w:pPr>
          </w:p>
          <w:p w:rsidR="00863306" w:rsidRPr="00AE6B88" w:rsidRDefault="00863306" w:rsidP="00972A32">
            <w:pPr>
              <w:spacing w:before="0"/>
              <w:jc w:val="right"/>
              <w:rPr>
                <w:rFonts w:eastAsia="Arial Unicode MS"/>
                <w:b/>
                <w:bCs/>
                <w:sz w:val="22"/>
                <w:szCs w:val="22"/>
                <w:u w:val="double"/>
              </w:rPr>
            </w:pPr>
            <w:r>
              <w:rPr>
                <w:rFonts w:eastAsia="Arial Unicode MS"/>
                <w:b/>
                <w:bCs/>
                <w:sz w:val="22"/>
                <w:szCs w:val="22"/>
                <w:u w:val="double"/>
              </w:rPr>
              <w:t>55</w:t>
            </w:r>
            <w:r w:rsidR="00951843">
              <w:rPr>
                <w:rFonts w:eastAsia="Arial Unicode MS"/>
                <w:b/>
                <w:bCs/>
                <w:sz w:val="22"/>
                <w:szCs w:val="22"/>
                <w:u w:val="double"/>
              </w:rPr>
              <w:t>,</w:t>
            </w:r>
            <w:r>
              <w:rPr>
                <w:rFonts w:eastAsia="Arial Unicode MS"/>
                <w:b/>
                <w:bCs/>
                <w:sz w:val="22"/>
                <w:szCs w:val="22"/>
                <w:u w:val="double"/>
              </w:rPr>
              <w:t>102</w:t>
            </w:r>
          </w:p>
        </w:tc>
        <w:tc>
          <w:tcPr>
            <w:tcW w:w="846" w:type="dxa"/>
          </w:tcPr>
          <w:p w:rsidR="00863306" w:rsidRPr="00AE6B88" w:rsidRDefault="00863306" w:rsidP="00972A32">
            <w:pPr>
              <w:spacing w:before="0"/>
              <w:jc w:val="right"/>
              <w:rPr>
                <w:rFonts w:eastAsia="Arial Unicode MS"/>
                <w:b/>
                <w:bCs/>
                <w:sz w:val="22"/>
                <w:szCs w:val="22"/>
                <w:u w:val="double"/>
              </w:rPr>
            </w:pPr>
          </w:p>
          <w:p w:rsidR="00863306" w:rsidRPr="00AE6B88" w:rsidRDefault="00863306" w:rsidP="00972A32">
            <w:pPr>
              <w:spacing w:before="0"/>
              <w:jc w:val="right"/>
              <w:rPr>
                <w:rFonts w:eastAsia="Arial Unicode MS"/>
                <w:b/>
                <w:bCs/>
                <w:sz w:val="22"/>
                <w:szCs w:val="22"/>
                <w:u w:val="double"/>
              </w:rPr>
            </w:pPr>
            <w:r>
              <w:rPr>
                <w:rFonts w:eastAsia="Arial Unicode MS"/>
                <w:b/>
                <w:bCs/>
                <w:sz w:val="22"/>
                <w:szCs w:val="22"/>
                <w:u w:val="double"/>
              </w:rPr>
              <w:t>50</w:t>
            </w:r>
            <w:r w:rsidR="00951843">
              <w:rPr>
                <w:rFonts w:eastAsia="Arial Unicode MS"/>
                <w:b/>
                <w:bCs/>
                <w:sz w:val="22"/>
                <w:szCs w:val="22"/>
                <w:u w:val="double"/>
              </w:rPr>
              <w:t>,</w:t>
            </w:r>
            <w:r>
              <w:rPr>
                <w:rFonts w:eastAsia="Arial Unicode MS"/>
                <w:b/>
                <w:bCs/>
                <w:sz w:val="22"/>
                <w:szCs w:val="22"/>
                <w:u w:val="double"/>
              </w:rPr>
              <w:t>335</w:t>
            </w:r>
          </w:p>
        </w:tc>
        <w:tc>
          <w:tcPr>
            <w:tcW w:w="39" w:type="dxa"/>
          </w:tcPr>
          <w:p w:rsidR="00863306" w:rsidRPr="00AE6B88" w:rsidRDefault="00863306" w:rsidP="00972A32">
            <w:pPr>
              <w:spacing w:before="0"/>
              <w:jc w:val="right"/>
              <w:rPr>
                <w:rFonts w:eastAsia="Arial Unicode MS"/>
                <w:b/>
                <w:bCs/>
                <w:sz w:val="22"/>
                <w:szCs w:val="22"/>
                <w:u w:val="double"/>
              </w:rPr>
            </w:pPr>
          </w:p>
        </w:tc>
      </w:tr>
    </w:tbl>
    <w:p w:rsidR="00863306" w:rsidRPr="00FE4485" w:rsidRDefault="00863306" w:rsidP="00863306">
      <w:pPr>
        <w:pStyle w:val="Tablehead"/>
        <w:overflowPunct/>
        <w:autoSpaceDE/>
        <w:autoSpaceDN/>
        <w:adjustRightInd/>
        <w:spacing w:before="60" w:after="60"/>
        <w:jc w:val="left"/>
        <w:textAlignment w:val="auto"/>
        <w:rPr>
          <w:rFonts w:asciiTheme="minorHAnsi" w:hAnsiTheme="minorHAnsi"/>
          <w:bCs/>
          <w:i/>
          <w:iCs/>
          <w:szCs w:val="24"/>
        </w:rPr>
      </w:pPr>
    </w:p>
    <w:p w:rsidR="00863306" w:rsidRPr="00FE4485" w:rsidRDefault="00863306" w:rsidP="00863306">
      <w:pPr>
        <w:tabs>
          <w:tab w:val="left" w:pos="-567"/>
          <w:tab w:val="left" w:pos="851"/>
        </w:tabs>
        <w:spacing w:before="0" w:line="0" w:lineRule="atLeast"/>
        <w:jc w:val="both"/>
        <w:rPr>
          <w:rFonts w:asciiTheme="minorHAnsi" w:hAnsiTheme="minorHAnsi"/>
          <w:sz w:val="22"/>
          <w:szCs w:val="22"/>
          <w:lang w:val="fr-CH"/>
        </w:rPr>
      </w:pPr>
    </w:p>
    <w:p w:rsidR="00863306" w:rsidRPr="00FE4485" w:rsidRDefault="00863306" w:rsidP="00951843">
      <w:pPr>
        <w:tabs>
          <w:tab w:val="left" w:pos="-567"/>
          <w:tab w:val="left" w:pos="851"/>
        </w:tabs>
        <w:spacing w:before="0" w:line="0" w:lineRule="atLeast"/>
        <w:ind w:left="-284"/>
        <w:rPr>
          <w:rFonts w:asciiTheme="minorHAnsi" w:hAnsiTheme="minorHAnsi"/>
          <w:lang w:val="fr-CH"/>
        </w:rPr>
      </w:pPr>
      <w:r w:rsidRPr="00DA1C32">
        <w:rPr>
          <w:rFonts w:asciiTheme="minorHAnsi" w:hAnsiTheme="minorHAnsi"/>
          <w:lang w:val="fr-CH"/>
        </w:rPr>
        <w:t>Non compris les débiteurs courants, c'est-à-dire de l'année 2013, dont le montant s'élève à CHF 1</w:t>
      </w:r>
      <w:r w:rsidR="00951843">
        <w:rPr>
          <w:rFonts w:asciiTheme="minorHAnsi" w:hAnsiTheme="minorHAnsi"/>
          <w:lang w:val="fr-CH"/>
        </w:rPr>
        <w:t>,</w:t>
      </w:r>
      <w:r w:rsidRPr="00DA1C32">
        <w:rPr>
          <w:rFonts w:asciiTheme="minorHAnsi" w:hAnsiTheme="minorHAnsi"/>
          <w:lang w:val="fr-CH"/>
        </w:rPr>
        <w:t>918</w:t>
      </w:r>
      <w:r w:rsidR="00951843">
        <w:rPr>
          <w:rFonts w:asciiTheme="minorHAnsi" w:hAnsiTheme="minorHAnsi"/>
          <w:lang w:val="fr-CH"/>
        </w:rPr>
        <w:t>,</w:t>
      </w:r>
      <w:r w:rsidRPr="00DA1C32">
        <w:rPr>
          <w:rFonts w:asciiTheme="minorHAnsi" w:hAnsiTheme="minorHAnsi"/>
          <w:lang w:val="fr-CH"/>
        </w:rPr>
        <w:t>000 au 30 juin 2014, ce qui porte le total des sommes dues à CHF 52</w:t>
      </w:r>
      <w:r w:rsidR="00951843">
        <w:rPr>
          <w:rFonts w:asciiTheme="minorHAnsi" w:hAnsiTheme="minorHAnsi"/>
          <w:lang w:val="fr-CH"/>
        </w:rPr>
        <w:t>,</w:t>
      </w:r>
      <w:r w:rsidRPr="00DA1C32">
        <w:rPr>
          <w:rFonts w:asciiTheme="minorHAnsi" w:hAnsiTheme="minorHAnsi"/>
          <w:lang w:val="fr-CH"/>
        </w:rPr>
        <w:t>253</w:t>
      </w:r>
      <w:r w:rsidR="00951843">
        <w:rPr>
          <w:rFonts w:asciiTheme="minorHAnsi" w:hAnsiTheme="minorHAnsi"/>
          <w:lang w:val="fr-CH"/>
        </w:rPr>
        <w:t>,</w:t>
      </w:r>
      <w:r w:rsidRPr="00DA1C32">
        <w:rPr>
          <w:rFonts w:asciiTheme="minorHAnsi" w:hAnsiTheme="minorHAnsi"/>
          <w:lang w:val="fr-CH"/>
        </w:rPr>
        <w:t>000</w:t>
      </w:r>
      <w:r w:rsidRPr="00FE4485">
        <w:rPr>
          <w:rFonts w:asciiTheme="minorHAnsi" w:hAnsiTheme="minorHAnsi"/>
          <w:lang w:val="fr-CH"/>
        </w:rPr>
        <w:t>.</w:t>
      </w:r>
    </w:p>
    <w:p w:rsidR="00863306" w:rsidRPr="00FE4485" w:rsidRDefault="00863306" w:rsidP="00863306">
      <w:pPr>
        <w:tabs>
          <w:tab w:val="left" w:pos="-567"/>
          <w:tab w:val="left" w:pos="851"/>
        </w:tabs>
        <w:spacing w:before="0" w:line="0" w:lineRule="atLeast"/>
        <w:ind w:left="-567"/>
        <w:jc w:val="both"/>
        <w:rPr>
          <w:rFonts w:asciiTheme="minorHAnsi" w:hAnsiTheme="minorHAnsi"/>
          <w:sz w:val="22"/>
          <w:szCs w:val="22"/>
          <w:lang w:val="fr-CH"/>
        </w:rPr>
      </w:pPr>
    </w:p>
    <w:p w:rsidR="00863306" w:rsidRPr="00C51B21" w:rsidRDefault="00863306" w:rsidP="00863306">
      <w:pPr>
        <w:pStyle w:val="TableTitle0"/>
        <w:spacing w:after="0"/>
        <w:rPr>
          <w:rFonts w:asciiTheme="minorHAnsi" w:hAnsiTheme="minorHAnsi"/>
          <w:b w:val="0"/>
          <w:bCs/>
          <w:caps/>
          <w:sz w:val="28"/>
          <w:szCs w:val="28"/>
          <w:lang w:val="fr-CH"/>
        </w:rPr>
      </w:pPr>
      <w:bookmarkStart w:id="7" w:name="RANGE!A1:E45"/>
      <w:bookmarkEnd w:id="7"/>
      <w:r>
        <w:rPr>
          <w:rFonts w:asciiTheme="minorHAnsi" w:hAnsiTheme="minorHAnsi"/>
          <w:b w:val="0"/>
          <w:bCs/>
          <w:caps/>
          <w:sz w:val="28"/>
          <w:szCs w:val="28"/>
          <w:lang w:val="fr-CH"/>
        </w:rPr>
        <w:lastRenderedPageBreak/>
        <w:t>ANNEXE B</w:t>
      </w:r>
    </w:p>
    <w:p w:rsidR="00863306" w:rsidRPr="00A262C5" w:rsidRDefault="00863306" w:rsidP="00863306">
      <w:pPr>
        <w:pStyle w:val="TableTitle0"/>
        <w:spacing w:after="0"/>
        <w:jc w:val="left"/>
        <w:rPr>
          <w:rFonts w:asciiTheme="minorHAnsi" w:hAnsiTheme="minorHAnsi"/>
          <w:sz w:val="20"/>
          <w:lang w:val="fr-CH"/>
        </w:rPr>
      </w:pPr>
    </w:p>
    <w:p w:rsidR="00863306" w:rsidRPr="00FE4485" w:rsidRDefault="00863306" w:rsidP="00863306">
      <w:pPr>
        <w:pStyle w:val="TableTitle0"/>
        <w:spacing w:after="40"/>
        <w:rPr>
          <w:rFonts w:asciiTheme="minorHAnsi" w:hAnsiTheme="minorHAnsi"/>
          <w:bCs/>
          <w:sz w:val="22"/>
          <w:szCs w:val="22"/>
          <w:lang w:val="fr-CH"/>
        </w:rPr>
      </w:pPr>
      <w:r w:rsidRPr="00FE4485">
        <w:rPr>
          <w:rFonts w:asciiTheme="minorHAnsi" w:hAnsiTheme="minorHAnsi"/>
          <w:bCs/>
          <w:sz w:val="22"/>
          <w:szCs w:val="22"/>
          <w:lang w:val="fr-CH"/>
        </w:rPr>
        <w:t xml:space="preserve">SITUATION DES ARRIERES </w:t>
      </w:r>
      <w:r>
        <w:rPr>
          <w:rFonts w:asciiTheme="minorHAnsi" w:hAnsiTheme="minorHAnsi"/>
          <w:bCs/>
          <w:sz w:val="22"/>
          <w:szCs w:val="22"/>
          <w:lang w:val="fr-CH"/>
        </w:rPr>
        <w:t>PAR ANNEE</w:t>
      </w:r>
    </w:p>
    <w:p w:rsidR="00863306" w:rsidRDefault="00863306" w:rsidP="00863306">
      <w:pPr>
        <w:pStyle w:val="TableText0"/>
        <w:spacing w:before="0"/>
        <w:jc w:val="center"/>
        <w:rPr>
          <w:rFonts w:asciiTheme="minorHAnsi" w:hAnsiTheme="minorHAnsi"/>
          <w:b/>
          <w:bCs/>
          <w:i/>
          <w:iCs/>
          <w:szCs w:val="22"/>
          <w:lang w:val="fr-CH"/>
        </w:rPr>
      </w:pPr>
      <w:r w:rsidRPr="00FE4485">
        <w:rPr>
          <w:rFonts w:asciiTheme="minorHAnsi" w:hAnsiTheme="minorHAnsi"/>
          <w:b/>
          <w:bCs/>
          <w:i/>
          <w:iCs/>
          <w:szCs w:val="22"/>
          <w:lang w:val="fr-CH"/>
        </w:rPr>
        <w:t>Montant</w:t>
      </w:r>
      <w:r>
        <w:rPr>
          <w:rFonts w:asciiTheme="minorHAnsi" w:hAnsiTheme="minorHAnsi"/>
          <w:b/>
          <w:bCs/>
          <w:i/>
          <w:iCs/>
          <w:szCs w:val="22"/>
          <w:lang w:val="fr-CH"/>
        </w:rPr>
        <w:t>s</w:t>
      </w:r>
      <w:r w:rsidRPr="00FE4485">
        <w:rPr>
          <w:rFonts w:asciiTheme="minorHAnsi" w:hAnsiTheme="minorHAnsi"/>
          <w:b/>
          <w:bCs/>
          <w:i/>
          <w:iCs/>
          <w:szCs w:val="22"/>
          <w:lang w:val="fr-CH"/>
        </w:rPr>
        <w:t xml:space="preserve"> en francs suisses</w:t>
      </w:r>
    </w:p>
    <w:p w:rsidR="00863306" w:rsidRDefault="00863306" w:rsidP="00863306">
      <w:pPr>
        <w:pStyle w:val="Table"/>
        <w:keepNext w:val="0"/>
        <w:spacing w:before="0" w:after="0"/>
        <w:jc w:val="left"/>
        <w:rPr>
          <w:rFonts w:asciiTheme="minorHAnsi" w:hAnsiTheme="minorHAnsi"/>
          <w:caps w:val="0"/>
          <w:sz w:val="28"/>
          <w:szCs w:val="28"/>
          <w:lang w:val="fr-CH"/>
        </w:rPr>
      </w:pPr>
    </w:p>
    <w:tbl>
      <w:tblPr>
        <w:tblW w:w="9923" w:type="dxa"/>
        <w:jc w:val="center"/>
        <w:tblLook w:val="04A0" w:firstRow="1" w:lastRow="0" w:firstColumn="1" w:lastColumn="0" w:noHBand="0" w:noVBand="1"/>
      </w:tblPr>
      <w:tblGrid>
        <w:gridCol w:w="1740"/>
        <w:gridCol w:w="222"/>
        <w:gridCol w:w="1600"/>
        <w:gridCol w:w="222"/>
        <w:gridCol w:w="1420"/>
        <w:gridCol w:w="222"/>
        <w:gridCol w:w="1418"/>
        <w:gridCol w:w="222"/>
        <w:gridCol w:w="1360"/>
        <w:gridCol w:w="222"/>
        <w:gridCol w:w="1600"/>
      </w:tblGrid>
      <w:tr w:rsidR="00863306" w:rsidRPr="00A35C9D" w:rsidTr="000D31EE">
        <w:trPr>
          <w:trHeight w:val="555"/>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5C9D">
              <w:rPr>
                <w:b/>
                <w:bCs/>
                <w:sz w:val="22"/>
                <w:szCs w:val="22"/>
                <w:lang w:val="en-US" w:eastAsia="zh-CN"/>
              </w:rPr>
              <w:t>Année</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5C9D">
              <w:rPr>
                <w:b/>
                <w:bCs/>
                <w:sz w:val="22"/>
                <w:szCs w:val="22"/>
                <w:lang w:val="en-US" w:eastAsia="zh-CN"/>
              </w:rPr>
              <w:t>Contributions</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5C9D">
              <w:rPr>
                <w:b/>
                <w:bCs/>
                <w:sz w:val="22"/>
                <w:szCs w:val="22"/>
                <w:lang w:val="en-US" w:eastAsia="zh-CN"/>
              </w:rPr>
              <w:t>Publications</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18" w:type="dxa"/>
            <w:tcBorders>
              <w:top w:val="nil"/>
              <w:left w:val="nil"/>
              <w:bottom w:val="nil"/>
              <w:right w:val="nil"/>
            </w:tcBorders>
            <w:shd w:val="clear" w:color="auto" w:fill="auto"/>
            <w:tcMar>
              <w:left w:w="85" w:type="dxa"/>
              <w:right w:w="85" w:type="dxa"/>
            </w:tcMar>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5C9D">
              <w:rPr>
                <w:b/>
                <w:bCs/>
                <w:sz w:val="22"/>
                <w:szCs w:val="22"/>
                <w:lang w:val="en-US" w:eastAsia="zh-CN"/>
              </w:rPr>
              <w:t>Notifications satellite</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5C9D">
              <w:rPr>
                <w:b/>
                <w:bCs/>
                <w:sz w:val="22"/>
                <w:szCs w:val="22"/>
                <w:lang w:val="en-US" w:eastAsia="zh-CN"/>
              </w:rPr>
              <w:t>Factures divers</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5C9D">
              <w:rPr>
                <w:b/>
                <w:bCs/>
                <w:sz w:val="22"/>
                <w:szCs w:val="22"/>
                <w:lang w:val="en-US" w:eastAsia="zh-CN"/>
              </w:rPr>
              <w:t>Total</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 xml:space="preserve"> </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1987</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109,405.40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109,405.40</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1988</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130,312.45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130,312.45</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1989</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218,691.60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218,691.60</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133,584.15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4,493.45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138,077.60</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1991</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71,734.80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10,196.45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81,931.25</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1992</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247,855.20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18,436.95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266,292.15</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1993</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233,792.40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233,792.40</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1994</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357,185.55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357,185.55</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705,119.65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705,119.65</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1996</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742,218.20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742,218.20</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1997</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764,345.55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764,345.55</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1998</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1,054,844.00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1,054,844.00</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1999</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1,051,966.55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1,051,986.55</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896,945.65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896,945.65</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2001</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1,346,506.72</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1,346,506.72</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2002</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2,246,300.50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2,246,300.50</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2003</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2,032,052.30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305,085.91</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2,337,138.21</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2004</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2,031,307.40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2,031,307.40</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2,099,006.98</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2,099,006.98</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2006</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2,302,681.36</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2,302,681.36</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2007</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1,391,908.42</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1,391,908.42</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2008</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789,249.57</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1,656.80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131,788.40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922,694.77</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2009</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974,850.40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109.25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30,197.60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1,005,157.25</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2010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631,508.30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7,473.05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41,358.31</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62,560.00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742,899.66</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2011</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481,357.58</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6,255.35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3,947.40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491,560.33</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5C9D">
              <w:rPr>
                <w:sz w:val="22"/>
                <w:szCs w:val="22"/>
                <w:lang w:val="en-US" w:eastAsia="zh-CN"/>
              </w:rPr>
              <w:t>2012</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621,773.21</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1,346.65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58,880.00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2,200.00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684,199.86</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5C9D">
              <w:rPr>
                <w:sz w:val="22"/>
                <w:szCs w:val="22"/>
                <w:lang w:val="en-US" w:eastAsia="zh-CN"/>
              </w:rPr>
              <w:t xml:space="preserve"> </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A35C9D" w:rsidTr="000D31EE">
        <w:trPr>
          <w:trHeight w:val="555"/>
          <w:jc w:val="center"/>
        </w:trPr>
        <w:tc>
          <w:tcPr>
            <w:tcW w:w="1740" w:type="dxa"/>
            <w:tcBorders>
              <w:top w:val="nil"/>
              <w:left w:val="nil"/>
              <w:bottom w:val="nil"/>
              <w:right w:val="nil"/>
            </w:tcBorders>
            <w:shd w:val="clear" w:color="auto" w:fill="auto"/>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5C9D">
              <w:rPr>
                <w:b/>
                <w:bCs/>
                <w:sz w:val="22"/>
                <w:szCs w:val="22"/>
                <w:lang w:val="en-US" w:eastAsia="zh-CN"/>
              </w:rPr>
              <w:t>Total arriérés au 30.06.2014</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23,666,503.89</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49,987.95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571,257.62</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64,760.00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24,352,509.46</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5C9D">
              <w:rPr>
                <w:b/>
                <w:bCs/>
                <w:sz w:val="22"/>
                <w:szCs w:val="22"/>
                <w:lang w:val="en-US" w:eastAsia="zh-CN"/>
              </w:rPr>
              <w:t>2013</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1,866,057.42</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20,508.00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17,420.00</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13,716.71</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1,917,702.13</w:t>
            </w:r>
          </w:p>
        </w:tc>
      </w:tr>
      <w:tr w:rsidR="00863306" w:rsidRPr="00A35C9D" w:rsidTr="000D31EE">
        <w:trPr>
          <w:trHeight w:val="282"/>
          <w:jc w:val="center"/>
        </w:trPr>
        <w:tc>
          <w:tcPr>
            <w:tcW w:w="174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A35C9D" w:rsidTr="000D31EE">
        <w:trPr>
          <w:trHeight w:val="282"/>
          <w:jc w:val="center"/>
        </w:trPr>
        <w:tc>
          <w:tcPr>
            <w:tcW w:w="1900" w:type="dxa"/>
            <w:gridSpan w:val="2"/>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5C9D">
              <w:rPr>
                <w:b/>
                <w:bCs/>
                <w:sz w:val="22"/>
                <w:szCs w:val="22"/>
                <w:lang w:val="en-US" w:eastAsia="zh-CN"/>
              </w:rPr>
              <w:t>Total au 30.06.2014</w:t>
            </w: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25,532,561.31</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70,495.95</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18"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588,677.62</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3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78,476.71</w:t>
            </w:r>
          </w:p>
        </w:tc>
        <w:tc>
          <w:tcPr>
            <w:tcW w:w="16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863306" w:rsidRPr="00A35C9D"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5C9D">
              <w:rPr>
                <w:sz w:val="22"/>
                <w:szCs w:val="22"/>
                <w:lang w:val="en-US" w:eastAsia="zh-CN"/>
              </w:rPr>
              <w:t>26,270,211.59</w:t>
            </w:r>
          </w:p>
        </w:tc>
      </w:tr>
    </w:tbl>
    <w:p w:rsidR="00863306" w:rsidRDefault="00863306" w:rsidP="00863306">
      <w:pPr>
        <w:pStyle w:val="TableTitle0"/>
        <w:rPr>
          <w:lang w:val="fr-CH"/>
        </w:rPr>
      </w:pPr>
    </w:p>
    <w:p w:rsidR="00863306" w:rsidRPr="00A35C9D" w:rsidRDefault="00863306" w:rsidP="00863306">
      <w:pPr>
        <w:pStyle w:val="TableText0"/>
        <w:rPr>
          <w:lang w:val="fr-CH"/>
        </w:rPr>
      </w:pPr>
    </w:p>
    <w:p w:rsidR="00863306" w:rsidRDefault="00863306" w:rsidP="00863306">
      <w:pPr>
        <w:pStyle w:val="TableText0"/>
        <w:spacing w:before="0"/>
        <w:jc w:val="center"/>
        <w:rPr>
          <w:rFonts w:asciiTheme="minorHAnsi" w:hAnsiTheme="minorHAnsi"/>
          <w:lang w:val="fr-CH"/>
        </w:rPr>
      </w:pPr>
      <w:r w:rsidRPr="00FE4485">
        <w:rPr>
          <w:rFonts w:asciiTheme="minorHAnsi" w:hAnsiTheme="minorHAnsi"/>
          <w:lang w:val="fr-CH"/>
        </w:rPr>
        <w:br w:type="page"/>
      </w:r>
    </w:p>
    <w:p w:rsidR="00863306" w:rsidRPr="00C51B21" w:rsidRDefault="00863306" w:rsidP="00863306">
      <w:pPr>
        <w:pStyle w:val="TableTitle0"/>
        <w:spacing w:after="0"/>
        <w:rPr>
          <w:rFonts w:asciiTheme="minorHAnsi" w:hAnsiTheme="minorHAnsi"/>
          <w:b w:val="0"/>
          <w:bCs/>
          <w:caps/>
          <w:sz w:val="28"/>
          <w:szCs w:val="28"/>
          <w:lang w:val="fr-CH"/>
        </w:rPr>
      </w:pPr>
      <w:r>
        <w:rPr>
          <w:rFonts w:asciiTheme="minorHAnsi" w:hAnsiTheme="minorHAnsi"/>
          <w:b w:val="0"/>
          <w:bCs/>
          <w:caps/>
          <w:sz w:val="28"/>
          <w:szCs w:val="28"/>
          <w:lang w:val="fr-CH"/>
        </w:rPr>
        <w:t>ANNEXE c</w:t>
      </w:r>
    </w:p>
    <w:p w:rsidR="00863306" w:rsidRPr="00A262C5" w:rsidRDefault="00863306" w:rsidP="00863306">
      <w:pPr>
        <w:pStyle w:val="TableTitle0"/>
        <w:spacing w:after="0"/>
        <w:jc w:val="left"/>
        <w:rPr>
          <w:rFonts w:asciiTheme="minorHAnsi" w:hAnsiTheme="minorHAnsi"/>
          <w:sz w:val="20"/>
          <w:lang w:val="fr-CH"/>
        </w:rPr>
      </w:pPr>
    </w:p>
    <w:p w:rsidR="00863306" w:rsidRPr="00FE4485" w:rsidRDefault="00863306" w:rsidP="00863306">
      <w:pPr>
        <w:pStyle w:val="TableTitle0"/>
        <w:spacing w:after="40"/>
        <w:rPr>
          <w:rFonts w:asciiTheme="minorHAnsi" w:hAnsiTheme="minorHAnsi"/>
          <w:bCs/>
          <w:sz w:val="22"/>
          <w:szCs w:val="22"/>
          <w:lang w:val="fr-CH"/>
        </w:rPr>
      </w:pPr>
      <w:r w:rsidRPr="00FE4485">
        <w:rPr>
          <w:rFonts w:asciiTheme="minorHAnsi" w:hAnsiTheme="minorHAnsi"/>
          <w:bCs/>
          <w:sz w:val="22"/>
          <w:szCs w:val="22"/>
          <w:lang w:val="fr-CH"/>
        </w:rPr>
        <w:t xml:space="preserve">SITUATION DES ARRIERES </w:t>
      </w:r>
      <w:r>
        <w:rPr>
          <w:rFonts w:asciiTheme="minorHAnsi" w:hAnsiTheme="minorHAnsi"/>
          <w:bCs/>
          <w:sz w:val="22"/>
          <w:szCs w:val="22"/>
          <w:lang w:val="fr-CH"/>
        </w:rPr>
        <w:t>AU 30 JUIN 2014</w:t>
      </w:r>
    </w:p>
    <w:p w:rsidR="00863306" w:rsidRDefault="00863306" w:rsidP="00863306">
      <w:pPr>
        <w:pStyle w:val="TableText0"/>
        <w:spacing w:before="0"/>
        <w:jc w:val="center"/>
        <w:rPr>
          <w:rFonts w:asciiTheme="minorHAnsi" w:hAnsiTheme="minorHAnsi"/>
          <w:b/>
          <w:bCs/>
          <w:i/>
          <w:iCs/>
          <w:szCs w:val="22"/>
          <w:lang w:val="fr-CH"/>
        </w:rPr>
      </w:pPr>
      <w:r w:rsidRPr="00FE4485">
        <w:rPr>
          <w:rFonts w:asciiTheme="minorHAnsi" w:hAnsiTheme="minorHAnsi"/>
          <w:b/>
          <w:bCs/>
          <w:i/>
          <w:iCs/>
          <w:szCs w:val="22"/>
          <w:lang w:val="fr-CH"/>
        </w:rPr>
        <w:t>Montant</w:t>
      </w:r>
      <w:r>
        <w:rPr>
          <w:rFonts w:asciiTheme="minorHAnsi" w:hAnsiTheme="minorHAnsi"/>
          <w:b/>
          <w:bCs/>
          <w:i/>
          <w:iCs/>
          <w:szCs w:val="22"/>
          <w:lang w:val="fr-CH"/>
        </w:rPr>
        <w:t>s</w:t>
      </w:r>
      <w:r w:rsidRPr="00FE4485">
        <w:rPr>
          <w:rFonts w:asciiTheme="minorHAnsi" w:hAnsiTheme="minorHAnsi"/>
          <w:b/>
          <w:bCs/>
          <w:i/>
          <w:iCs/>
          <w:szCs w:val="22"/>
          <w:lang w:val="fr-CH"/>
        </w:rPr>
        <w:t xml:space="preserve"> </w:t>
      </w:r>
      <w:r>
        <w:rPr>
          <w:rFonts w:asciiTheme="minorHAnsi" w:hAnsiTheme="minorHAnsi"/>
          <w:b/>
          <w:bCs/>
          <w:i/>
          <w:iCs/>
          <w:szCs w:val="22"/>
          <w:lang w:val="fr-CH"/>
        </w:rPr>
        <w:t xml:space="preserve">dus concernant les contributions et les publications </w:t>
      </w:r>
    </w:p>
    <w:p w:rsidR="00863306" w:rsidRDefault="00863306" w:rsidP="00863306">
      <w:pPr>
        <w:pStyle w:val="TableText0"/>
        <w:spacing w:before="0"/>
        <w:jc w:val="center"/>
        <w:rPr>
          <w:rFonts w:asciiTheme="minorHAnsi" w:hAnsiTheme="minorHAnsi"/>
          <w:b/>
          <w:bCs/>
          <w:i/>
          <w:iCs/>
          <w:szCs w:val="22"/>
          <w:lang w:val="fr-CH"/>
        </w:rPr>
      </w:pPr>
      <w:r w:rsidRPr="00FE4485">
        <w:rPr>
          <w:rFonts w:asciiTheme="minorHAnsi" w:hAnsiTheme="minorHAnsi"/>
          <w:b/>
          <w:bCs/>
          <w:i/>
          <w:iCs/>
          <w:szCs w:val="22"/>
          <w:lang w:val="fr-CH"/>
        </w:rPr>
        <w:t>en francs suisses</w:t>
      </w:r>
    </w:p>
    <w:p w:rsidR="00863306" w:rsidRDefault="00863306" w:rsidP="00863306">
      <w:pPr>
        <w:pStyle w:val="TableText0"/>
        <w:spacing w:before="0"/>
        <w:jc w:val="center"/>
        <w:rPr>
          <w:rFonts w:asciiTheme="minorHAnsi" w:hAnsiTheme="minorHAnsi"/>
          <w:b/>
          <w:bCs/>
          <w:i/>
          <w:iCs/>
          <w:szCs w:val="22"/>
          <w:lang w:val="fr-CH"/>
        </w:rPr>
      </w:pPr>
    </w:p>
    <w:tbl>
      <w:tblPr>
        <w:tblW w:w="10454" w:type="dxa"/>
        <w:jc w:val="center"/>
        <w:tblLook w:val="04A0" w:firstRow="1" w:lastRow="0" w:firstColumn="1" w:lastColumn="0" w:noHBand="0" w:noVBand="1"/>
      </w:tblPr>
      <w:tblGrid>
        <w:gridCol w:w="4780"/>
        <w:gridCol w:w="1260"/>
        <w:gridCol w:w="1497"/>
        <w:gridCol w:w="1420"/>
        <w:gridCol w:w="1497"/>
      </w:tblGrid>
      <w:tr w:rsidR="00863306" w:rsidRPr="000A5F34" w:rsidTr="003945DE">
        <w:trPr>
          <w:trHeight w:val="300"/>
          <w:jc w:val="center"/>
        </w:trPr>
        <w:tc>
          <w:tcPr>
            <w:tcW w:w="478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0A5F34">
              <w:rPr>
                <w:b/>
                <w:bCs/>
                <w:sz w:val="22"/>
                <w:szCs w:val="22"/>
                <w:lang w:val="fr-CH" w:eastAsia="zh-CN"/>
              </w:rPr>
              <w:t>A. Etats Membres de l'Union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A5F34">
              <w:rPr>
                <w:b/>
                <w:bCs/>
                <w:sz w:val="22"/>
                <w:szCs w:val="22"/>
                <w:lang w:val="en-US" w:eastAsia="zh-CN"/>
              </w:rPr>
              <w:t>Année</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A5F34">
              <w:rPr>
                <w:b/>
                <w:bCs/>
                <w:sz w:val="22"/>
                <w:szCs w:val="22"/>
                <w:lang w:val="en-US" w:eastAsia="zh-CN"/>
              </w:rPr>
              <w:t>Contributions</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A5F34">
              <w:rPr>
                <w:b/>
                <w:bCs/>
                <w:sz w:val="22"/>
                <w:szCs w:val="22"/>
                <w:lang w:val="en-US" w:eastAsia="zh-CN"/>
              </w:rPr>
              <w:t>Publications</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A5F34">
              <w:rPr>
                <w:b/>
                <w:bCs/>
                <w:sz w:val="22"/>
                <w:szCs w:val="22"/>
                <w:lang w:val="en-US" w:eastAsia="zh-CN"/>
              </w:rPr>
              <w:t>Total</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240"/>
              <w:textAlignment w:val="auto"/>
              <w:rPr>
                <w:sz w:val="22"/>
                <w:szCs w:val="22"/>
                <w:lang w:val="en-US" w:eastAsia="zh-CN"/>
              </w:rPr>
            </w:pPr>
            <w:r w:rsidRPr="000A5F34">
              <w:rPr>
                <w:sz w:val="22"/>
                <w:szCs w:val="22"/>
                <w:lang w:val="en-US" w:eastAsia="zh-CN"/>
              </w:rPr>
              <w:t>Antigua-et-Barbuda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1987-2012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1,329,341.60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29,008.45</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1,358,350.05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Centrafricaine (Rép.)</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14,596.60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14,596.60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Dominique (Commonwealth de la)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2001-2012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271,402.00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271,402.00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Honduras (Rép. du)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12,260.50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12,260.50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Lesotho (Royaume du)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2006-2012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5,656.45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5,656.45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Libéria (Rép. du)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1994-2012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1,673,064.97</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1,673,064.97</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Marshall (Rép. des Iles)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1998-2011</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1,298,451.42</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1,298,451.42</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Micronésie (Etats fédérés 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29,372.53</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29,372.53</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Nauru (Rép. 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1991-2012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1,086,125.90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1,086,125.90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Nicaragua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2007-2012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609,853.10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609,853.10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Pakistan (Rép. islamique du)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89,820.50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89,820.50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Saint-Kitts-et-Nevis (Fédération 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2007-2012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152,463.10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152,463.10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Saint-Vincent-et-les-Grenadines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34,543.58</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34,543.58</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Salomon (Iles)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1990-2012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900,234.08</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4,138.40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904,372.48</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Somalie (Rép. fédérale 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2006-2012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262,080.01</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262,080.01</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Sudafricaine (Rép.)</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10,176.00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10,586.95</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20,762.95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Tuvalu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137,013.22</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137,013.22</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Uruguay (Rép. orientale de l')</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5,485.50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5,485.50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7,921,941.06</w:t>
            </w:r>
          </w:p>
        </w:tc>
        <w:tc>
          <w:tcPr>
            <w:tcW w:w="1420" w:type="dxa"/>
            <w:tcBorders>
              <w:top w:val="single" w:sz="4" w:space="0" w:color="auto"/>
              <w:left w:val="nil"/>
              <w:bottom w:val="single" w:sz="4" w:space="0" w:color="auto"/>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43,733.80</w:t>
            </w:r>
          </w:p>
        </w:tc>
        <w:tc>
          <w:tcPr>
            <w:tcW w:w="1497" w:type="dxa"/>
            <w:tcBorders>
              <w:top w:val="single" w:sz="4" w:space="0" w:color="auto"/>
              <w:left w:val="nil"/>
              <w:bottom w:val="single" w:sz="4" w:space="0" w:color="auto"/>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7,965,674.86</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0A5F34">
              <w:rPr>
                <w:b/>
                <w:bCs/>
                <w:sz w:val="22"/>
                <w:szCs w:val="22"/>
                <w:lang w:val="fr-CH" w:eastAsia="zh-CN"/>
              </w:rPr>
              <w:t>B. Membres Secteurs et autres entités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A5F34">
              <w:rPr>
                <w:b/>
                <w:bCs/>
                <w:sz w:val="22"/>
                <w:szCs w:val="22"/>
                <w:lang w:val="en-US" w:eastAsia="zh-CN"/>
              </w:rPr>
              <w:t>Année</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A5F34">
              <w:rPr>
                <w:b/>
                <w:bCs/>
                <w:sz w:val="22"/>
                <w:szCs w:val="22"/>
                <w:lang w:val="en-US" w:eastAsia="zh-CN"/>
              </w:rPr>
              <w:t>Contributions</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A5F34">
              <w:rPr>
                <w:b/>
                <w:bCs/>
                <w:sz w:val="22"/>
                <w:szCs w:val="22"/>
                <w:lang w:val="en-US" w:eastAsia="zh-CN"/>
              </w:rPr>
              <w:t>Publications</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A5F34">
              <w:rPr>
                <w:b/>
                <w:bCs/>
                <w:sz w:val="22"/>
                <w:szCs w:val="22"/>
                <w:lang w:val="en-US" w:eastAsia="zh-CN"/>
              </w:rPr>
              <w:t>Total</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240"/>
              <w:textAlignment w:val="auto"/>
              <w:rPr>
                <w:b/>
                <w:bCs/>
                <w:sz w:val="22"/>
                <w:szCs w:val="22"/>
                <w:lang w:val="fr-CH" w:eastAsia="zh-CN"/>
              </w:rPr>
            </w:pPr>
            <w:r w:rsidRPr="000A5F34">
              <w:rPr>
                <w:b/>
                <w:bCs/>
                <w:sz w:val="22"/>
                <w:szCs w:val="22"/>
                <w:lang w:val="fr-CH" w:eastAsia="zh-CN"/>
              </w:rPr>
              <w:t>Algérie (Rép. démocratique et populaire)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E55604">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fr-CH" w:eastAsia="zh-CN"/>
              </w:rPr>
              <w:t xml:space="preserve"> </w:t>
            </w:r>
            <w:r w:rsidRPr="000A5F34">
              <w:rPr>
                <w:sz w:val="22"/>
                <w:szCs w:val="22"/>
                <w:lang w:val="en-US" w:eastAsia="zh-CN"/>
              </w:rPr>
              <w:t>- Alg</w:t>
            </w:r>
            <w:r w:rsidR="00E55604">
              <w:rPr>
                <w:sz w:val="22"/>
                <w:szCs w:val="22"/>
                <w:lang w:val="en-US" w:eastAsia="zh-CN"/>
              </w:rPr>
              <w:t>érie Telecom, Alg</w:t>
            </w:r>
            <w:r w:rsidRPr="000A5F34">
              <w:rPr>
                <w:sz w:val="22"/>
                <w:szCs w:val="22"/>
                <w:lang w:val="en-US" w:eastAsia="zh-CN"/>
              </w:rPr>
              <w:t>er</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2007-2009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2,712.25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2,712.25</w:t>
            </w:r>
          </w:p>
        </w:tc>
      </w:tr>
      <w:tr w:rsidR="00863306" w:rsidRPr="000A5F34" w:rsidTr="003945DE">
        <w:trPr>
          <w:trHeight w:val="555"/>
          <w:jc w:val="center"/>
        </w:trPr>
        <w:tc>
          <w:tcPr>
            <w:tcW w:w="4780" w:type="dxa"/>
            <w:tcBorders>
              <w:top w:val="nil"/>
              <w:left w:val="nil"/>
              <w:bottom w:val="nil"/>
              <w:right w:val="nil"/>
            </w:tcBorders>
            <w:shd w:val="clear" w:color="auto" w:fill="auto"/>
            <w:vAlign w:val="bottom"/>
            <w:hideMark/>
          </w:tcPr>
          <w:p w:rsidR="00863306" w:rsidRPr="000A5F34" w:rsidRDefault="00E55604" w:rsidP="00B83017">
            <w:pPr>
              <w:tabs>
                <w:tab w:val="clear" w:pos="567"/>
                <w:tab w:val="clear" w:pos="1134"/>
                <w:tab w:val="clear" w:pos="1701"/>
                <w:tab w:val="clear" w:pos="2268"/>
                <w:tab w:val="clear" w:pos="2835"/>
              </w:tabs>
              <w:overflowPunct/>
              <w:autoSpaceDE/>
              <w:autoSpaceDN/>
              <w:adjustRightInd/>
              <w:spacing w:before="0"/>
              <w:ind w:left="155" w:hanging="142"/>
              <w:textAlignment w:val="auto"/>
              <w:rPr>
                <w:sz w:val="22"/>
                <w:szCs w:val="22"/>
                <w:lang w:val="fr-CH" w:eastAsia="zh-CN"/>
              </w:rPr>
            </w:pPr>
            <w:r>
              <w:rPr>
                <w:sz w:val="22"/>
                <w:szCs w:val="22"/>
                <w:lang w:val="fr-CH" w:eastAsia="zh-CN"/>
              </w:rPr>
              <w:t xml:space="preserve"> - Institut National des Télé</w:t>
            </w:r>
            <w:r w:rsidR="00863306" w:rsidRPr="000A5F34">
              <w:rPr>
                <w:sz w:val="22"/>
                <w:szCs w:val="22"/>
                <w:lang w:val="fr-CH" w:eastAsia="zh-CN"/>
              </w:rPr>
              <w:t>comm</w:t>
            </w:r>
            <w:r>
              <w:rPr>
                <w:sz w:val="22"/>
                <w:szCs w:val="22"/>
                <w:lang w:val="fr-CH" w:eastAsia="zh-CN"/>
              </w:rPr>
              <w:t>unications</w:t>
            </w:r>
            <w:r w:rsidR="00863306" w:rsidRPr="000A5F34">
              <w:rPr>
                <w:sz w:val="22"/>
                <w:szCs w:val="22"/>
                <w:lang w:val="fr-CH" w:eastAsia="zh-CN"/>
              </w:rPr>
              <w:t xml:space="preserve"> et des Techn</w:t>
            </w:r>
            <w:r>
              <w:rPr>
                <w:sz w:val="22"/>
                <w:szCs w:val="22"/>
                <w:lang w:val="fr-CH" w:eastAsia="zh-CN"/>
              </w:rPr>
              <w:t xml:space="preserve">ologies  de l'Information, </w:t>
            </w:r>
            <w:r w:rsidRPr="00E55604">
              <w:rPr>
                <w:sz w:val="22"/>
                <w:szCs w:val="22"/>
                <w:lang w:val="fr-CH" w:eastAsia="zh-CN"/>
              </w:rPr>
              <w:t>Oran M'Nouer</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8,340.49</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8,340.49</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E55604">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Orascom Telecom Algérie, Alg</w:t>
            </w:r>
            <w:r w:rsidR="00E55604">
              <w:rPr>
                <w:sz w:val="22"/>
                <w:szCs w:val="22"/>
                <w:lang w:val="en-US" w:eastAsia="zh-CN"/>
              </w:rPr>
              <w:t>er</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4,911.85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4,911.85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E55604">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Wataniya Telecom Algérie Spa, Alg</w:t>
            </w:r>
            <w:r w:rsidR="00E55604">
              <w:rPr>
                <w:sz w:val="22"/>
                <w:szCs w:val="22"/>
                <w:lang w:val="es-ES_tradnl" w:eastAsia="zh-CN"/>
              </w:rPr>
              <w:t>er</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5,976.60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5,976.60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Afghanistan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Telecom Development Company, Kab</w:t>
            </w:r>
            <w:r w:rsidR="00E55604">
              <w:rPr>
                <w:sz w:val="22"/>
                <w:szCs w:val="22"/>
                <w:lang w:val="en-US" w:eastAsia="zh-CN"/>
              </w:rPr>
              <w:t>o</w:t>
            </w:r>
            <w:r w:rsidRPr="000A5F34">
              <w:rPr>
                <w:sz w:val="22"/>
                <w:szCs w:val="22"/>
                <w:lang w:val="en-US" w:eastAsia="zh-CN"/>
              </w:rPr>
              <w:t>ul</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5,547.75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5,547.75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Arabie saoudite (Royaume 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Bayanat Aloula for Network Services, Riyad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2005-2008</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5,772.05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5,772.05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Electronia, Ltd, Al Khubar</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4,932.55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4,932.55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E55604">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Saudi Telecom, Riyad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5,708.32</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5,708.32</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E55604">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Tuwaiq Communications Company, Riyad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55,585.60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55,585.60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E55604">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Zajoul for Advance Comm. Tech., Riyad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18,562.30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18,562.30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Argentine (Rép.)</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3945DE">
        <w:trPr>
          <w:trHeight w:val="600"/>
          <w:jc w:val="center"/>
        </w:trPr>
        <w:tc>
          <w:tcPr>
            <w:tcW w:w="4780" w:type="dxa"/>
            <w:tcBorders>
              <w:top w:val="nil"/>
              <w:left w:val="nil"/>
              <w:bottom w:val="nil"/>
              <w:right w:val="nil"/>
            </w:tcBorders>
            <w:shd w:val="clear" w:color="auto" w:fill="auto"/>
            <w:vAlign w:val="bottom"/>
            <w:hideMark/>
          </w:tcPr>
          <w:p w:rsidR="00863306" w:rsidRPr="000A5F34" w:rsidRDefault="00863306" w:rsidP="00B83017">
            <w:pPr>
              <w:tabs>
                <w:tab w:val="clear" w:pos="567"/>
                <w:tab w:val="clear" w:pos="1134"/>
                <w:tab w:val="clear" w:pos="1701"/>
                <w:tab w:val="clear" w:pos="2268"/>
                <w:tab w:val="clear" w:pos="2835"/>
              </w:tabs>
              <w:overflowPunct/>
              <w:autoSpaceDE/>
              <w:autoSpaceDN/>
              <w:adjustRightInd/>
              <w:spacing w:before="0"/>
              <w:ind w:left="155" w:hanging="155"/>
              <w:textAlignment w:val="auto"/>
              <w:rPr>
                <w:sz w:val="22"/>
                <w:szCs w:val="22"/>
                <w:lang w:val="es-ES_tradnl" w:eastAsia="zh-CN"/>
              </w:rPr>
            </w:pPr>
            <w:r w:rsidRPr="000A5F34">
              <w:rPr>
                <w:sz w:val="22"/>
                <w:szCs w:val="22"/>
                <w:lang w:val="es-ES_tradnl" w:eastAsia="zh-CN"/>
              </w:rPr>
              <w:t xml:space="preserve"> - Cooperativa Telefónica (COTELCAM), Buenos Aires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26,916.85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26,916.85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CICOMRA, Buenos Aires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9,565.15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9,565.15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IMPSAT Corp. S.A., Buenos Aires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1999-2006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43,036.40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43,036.40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Azerbaïdjan (Rép. 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AZ-EVRO TEL, Baku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8,743.05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8,743.05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Caspian American Telecomm. LLC, Bak</w:t>
            </w:r>
            <w:r w:rsidR="00E55604">
              <w:rPr>
                <w:sz w:val="22"/>
                <w:szCs w:val="22"/>
                <w:lang w:val="en-US" w:eastAsia="zh-CN"/>
              </w:rPr>
              <w:t>o</w:t>
            </w:r>
            <w:r w:rsidRPr="000A5F34">
              <w:rPr>
                <w:sz w:val="22"/>
                <w:szCs w:val="22"/>
                <w:lang w:val="en-US" w:eastAsia="zh-CN"/>
              </w:rPr>
              <w:t>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25,148.30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25,148.30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Bélarus (Rép. du)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Belarsat LLC, Minsk</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15,536.90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15,536.90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Belgique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AnSem, Heverlee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13,098.20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13,098.20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Cullen International S.A., Namur</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13,249.75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13,249.75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Bahreïn (Royaume 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Gateway Gulf LLC, Manama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4,911.85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4,911.85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Brésil (Rép. fédérative du)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Intelig Telecom. Ltda, Rio de Janeiro</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125,565.00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125,565.00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Oi (Tele Norte Leste Particip.), Rio de Janeiro</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298,872.75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298,872.75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Canada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In Motion Technology, New Westminster</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18,188.05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18,188.05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The Institute of Mobile Technologies, Toronto</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4,735.75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4,735.75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Chine (Rép. populaire 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PCCW Limited, Hong Kong</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757,713.10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757,713.10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Colombie  (Rép. 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Projects Consulting Group Ltda, Bogot</w:t>
            </w:r>
            <w:r w:rsidR="00B83017">
              <w:rPr>
                <w:sz w:val="22"/>
                <w:szCs w:val="22"/>
                <w:lang w:val="en-US" w:eastAsia="zh-CN"/>
              </w:rPr>
              <w:t>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18,806.40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18,806.40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Corée (Rép. 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B83017"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sz w:val="22"/>
                <w:szCs w:val="22"/>
                <w:lang w:val="en-US" w:eastAsia="zh-CN"/>
              </w:rPr>
              <w:t xml:space="preserve"> - Luxpert, Sé</w:t>
            </w:r>
            <w:r w:rsidR="00863306" w:rsidRPr="000A5F34">
              <w:rPr>
                <w:sz w:val="22"/>
                <w:szCs w:val="22"/>
                <w:lang w:val="en-US" w:eastAsia="zh-CN"/>
              </w:rPr>
              <w:t>oul</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15,691.10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15,691.10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Côte d'Ivoire (Rép. 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600"/>
          <w:jc w:val="center"/>
        </w:trPr>
        <w:tc>
          <w:tcPr>
            <w:tcW w:w="4780" w:type="dxa"/>
            <w:tcBorders>
              <w:top w:val="nil"/>
              <w:left w:val="nil"/>
              <w:bottom w:val="nil"/>
              <w:right w:val="nil"/>
            </w:tcBorders>
            <w:shd w:val="clear" w:color="auto" w:fill="auto"/>
            <w:vAlign w:val="bottom"/>
            <w:hideMark/>
          </w:tcPr>
          <w:p w:rsidR="00863306" w:rsidRPr="000A5F34" w:rsidRDefault="00B83017" w:rsidP="00B83017">
            <w:pPr>
              <w:tabs>
                <w:tab w:val="clear" w:pos="567"/>
                <w:tab w:val="clear" w:pos="1134"/>
                <w:tab w:val="clear" w:pos="1701"/>
                <w:tab w:val="clear" w:pos="2268"/>
                <w:tab w:val="clear" w:pos="2835"/>
              </w:tabs>
              <w:overflowPunct/>
              <w:autoSpaceDE/>
              <w:autoSpaceDN/>
              <w:adjustRightInd/>
              <w:spacing w:before="0"/>
              <w:ind w:left="155" w:hanging="142"/>
              <w:textAlignment w:val="auto"/>
              <w:rPr>
                <w:sz w:val="22"/>
                <w:szCs w:val="22"/>
                <w:lang w:val="fr-CH" w:eastAsia="zh-CN"/>
              </w:rPr>
            </w:pPr>
            <w:r>
              <w:rPr>
                <w:sz w:val="22"/>
                <w:szCs w:val="22"/>
                <w:lang w:val="fr-CH" w:eastAsia="zh-CN"/>
              </w:rPr>
              <w:t xml:space="preserve"> - Association</w:t>
            </w:r>
            <w:r w:rsidR="00863306" w:rsidRPr="000A5F34">
              <w:rPr>
                <w:sz w:val="22"/>
                <w:szCs w:val="22"/>
                <w:lang w:val="fr-CH" w:eastAsia="zh-CN"/>
              </w:rPr>
              <w:t xml:space="preserve"> des Consommat</w:t>
            </w:r>
            <w:r>
              <w:rPr>
                <w:sz w:val="22"/>
                <w:szCs w:val="22"/>
                <w:lang w:val="fr-CH" w:eastAsia="zh-CN"/>
              </w:rPr>
              <w:t>eurs</w:t>
            </w:r>
            <w:r w:rsidR="00863306" w:rsidRPr="000A5F34">
              <w:rPr>
                <w:sz w:val="22"/>
                <w:szCs w:val="22"/>
                <w:lang w:val="fr-CH" w:eastAsia="zh-CN"/>
              </w:rPr>
              <w:t xml:space="preserve"> de Télécomm., Abidjan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6,134.45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6,134.45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6B65FD">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Côte </w:t>
            </w:r>
            <w:r w:rsidRPr="00B83017">
              <w:rPr>
                <w:sz w:val="22"/>
                <w:szCs w:val="22"/>
                <w:lang w:val="fr-CH" w:eastAsia="zh-CN"/>
              </w:rPr>
              <w:t>d'</w:t>
            </w:r>
            <w:r w:rsidR="006B65FD">
              <w:rPr>
                <w:sz w:val="22"/>
                <w:szCs w:val="22"/>
                <w:lang w:val="fr-CH" w:eastAsia="zh-CN"/>
              </w:rPr>
              <w:t>I</w:t>
            </w:r>
            <w:r w:rsidRPr="00B83017">
              <w:rPr>
                <w:sz w:val="22"/>
                <w:szCs w:val="22"/>
                <w:lang w:val="fr-CH" w:eastAsia="zh-CN"/>
              </w:rPr>
              <w:t>voire</w:t>
            </w:r>
            <w:r w:rsidRPr="000A5F34">
              <w:rPr>
                <w:sz w:val="22"/>
                <w:szCs w:val="22"/>
                <w:lang w:val="en-US" w:eastAsia="zh-CN"/>
              </w:rPr>
              <w:t xml:space="preserve"> Telecom, Abidjan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582,503.55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582,503.55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Egypte (Rép. arabe 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B8301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Barkotel Communications, </w:t>
            </w:r>
            <w:r w:rsidR="00B83017">
              <w:rPr>
                <w:sz w:val="22"/>
                <w:szCs w:val="22"/>
                <w:lang w:val="en-US" w:eastAsia="zh-CN"/>
              </w:rPr>
              <w:t>Le Caire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33,181.75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33,181.75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Egyptian Company for Networks, </w:t>
            </w:r>
            <w:r w:rsidR="00B83017">
              <w:rPr>
                <w:sz w:val="22"/>
                <w:szCs w:val="22"/>
                <w:lang w:val="en-US" w:eastAsia="zh-CN"/>
              </w:rPr>
              <w:t>Le Caire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20,014.55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20,014.55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Egyptian High Tech. Ass. (EHITA), </w:t>
            </w:r>
            <w:r w:rsidR="00B83017">
              <w:rPr>
                <w:sz w:val="22"/>
                <w:szCs w:val="22"/>
                <w:lang w:val="en-US" w:eastAsia="zh-CN"/>
              </w:rPr>
              <w:t>Le Caire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1999-2002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18,920.95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18,920.95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LINKdoNET, </w:t>
            </w:r>
            <w:r w:rsidR="00B83017">
              <w:rPr>
                <w:sz w:val="22"/>
                <w:szCs w:val="22"/>
                <w:lang w:val="en-US" w:eastAsia="zh-CN"/>
              </w:rPr>
              <w:t>Le Caire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5,328.45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5,328.45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B83017"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B83017">
              <w:rPr>
                <w:sz w:val="22"/>
                <w:szCs w:val="22"/>
                <w:lang w:val="fr-CH" w:eastAsia="zh-CN"/>
              </w:rPr>
              <w:t xml:space="preserve"> - Sakhr Sotware Co., </w:t>
            </w:r>
            <w:r w:rsidR="00B83017" w:rsidRPr="00B83017">
              <w:rPr>
                <w:sz w:val="22"/>
                <w:szCs w:val="22"/>
                <w:lang w:val="fr-CH" w:eastAsia="zh-CN"/>
              </w:rPr>
              <w:t>Le Caire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7,836.90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7,836.90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Systel, </w:t>
            </w:r>
            <w:r w:rsidR="00B83017">
              <w:rPr>
                <w:sz w:val="22"/>
                <w:szCs w:val="22"/>
                <w:lang w:val="en-US" w:eastAsia="zh-CN"/>
              </w:rPr>
              <w:t>Le Caire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42,647.10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42,647.10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Telecom Consultants, </w:t>
            </w:r>
            <w:r w:rsidR="00B83017">
              <w:rPr>
                <w:sz w:val="22"/>
                <w:szCs w:val="22"/>
                <w:lang w:val="en-US" w:eastAsia="zh-CN"/>
              </w:rPr>
              <w:t>Le Caire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34,655.45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34,655.45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B83017"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B83017">
              <w:rPr>
                <w:sz w:val="22"/>
                <w:szCs w:val="22"/>
                <w:lang w:val="fr-CH" w:eastAsia="zh-CN"/>
              </w:rPr>
              <w:t xml:space="preserve"> - Trade Fairs International, </w:t>
            </w:r>
            <w:r w:rsidR="00B83017" w:rsidRPr="00B83017">
              <w:rPr>
                <w:sz w:val="22"/>
                <w:szCs w:val="22"/>
                <w:lang w:val="fr-CH" w:eastAsia="zh-CN"/>
              </w:rPr>
              <w:t>Le Caire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45,622.90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45,622.90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Etats-Unis d'Amérique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B8301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- 2Wire Inc., San Jos</w:t>
            </w:r>
            <w:r w:rsidR="00B83017">
              <w:rPr>
                <w:sz w:val="22"/>
                <w:szCs w:val="22"/>
                <w:lang w:val="en-US" w:eastAsia="zh-CN"/>
              </w:rPr>
              <w:t>é</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13,136.20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13,136.20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Actiontec Electronics, Inc., Sunnyvale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2008</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14,717.15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14,717.15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Animatele Inc., New York</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2011</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12,356.80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12,356.80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AOL, New York</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150,449.55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150,449.55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Bay Microsystems Inc., San José</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11,447.78</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11,447.78</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Calient Networks Inc., San José</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215,334.30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215,334.30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CDMA Development Group, Costa Mesa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10,685.60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10,685.60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Cirrus Logic Inc., Austin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1999-2003</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306,193.85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306,193.85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Compuware Corporation, Detroit</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10,002.85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10,002.85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Conexant Systems Inc. (Ex. Paxonet), NJ</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2002-2004</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126,562.30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126,562.30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Conversay, Redmon</w:t>
            </w:r>
            <w:r w:rsidR="0032716B">
              <w:rPr>
                <w:sz w:val="22"/>
                <w:szCs w:val="22"/>
                <w:lang w:val="en-US" w:eastAsia="zh-CN"/>
              </w:rPr>
              <w:t>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59,310.05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59,310.05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Covad Communications Company, San José</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94,220.15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94,220.15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Cypress Semiconductor Corp., San José</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2004-2005</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28,237.15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28,237.15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Delta Information Systems Inc., Horsham</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2001-2003</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142,093.05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142,093.05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Dilithium LLC, Mountain View</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8,847.15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8,847.15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E-MAC Corporation, Arlington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35,866.75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35,866.75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ESS Technology Inc., Fremont</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2001-2004</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55,186.00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55,186.00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Extreme Networks, Santa Clara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2,914.25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2,914.25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Ezenia Inc., Burlington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2000-2006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277,681.60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277,681.60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Forgent Networks Inc., Austin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331,177.35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331,177.35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Graphnet Inc., New York</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1987-2002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1,092,198.35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1,092,198.35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B8301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Integrated Device Technology, San Jos</w:t>
            </w:r>
            <w:r w:rsidR="00B83017">
              <w:rPr>
                <w:sz w:val="22"/>
                <w:szCs w:val="22"/>
                <w:lang w:val="en-US" w:eastAsia="zh-CN"/>
              </w:rPr>
              <w:t>é</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2001-2004</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190,529.95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190,529.95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ITXC Corporation, Princeton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50,921.05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50,921.05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Legerity Inc., Austin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96,005.00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96,005.00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Ligh</w:t>
            </w:r>
            <w:r w:rsidR="0032716B">
              <w:rPr>
                <w:sz w:val="22"/>
                <w:szCs w:val="22"/>
                <w:lang w:val="en-US" w:eastAsia="zh-CN"/>
              </w:rPr>
              <w:t>t</w:t>
            </w:r>
            <w:r w:rsidRPr="000A5F34">
              <w:rPr>
                <w:sz w:val="22"/>
                <w:szCs w:val="22"/>
                <w:lang w:val="en-US" w:eastAsia="zh-CN"/>
              </w:rPr>
              <w:t>sand Communications Inc., Plano</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14,687.25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14,687.25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Lightwaves Inc., Austin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13,884.10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13,884.10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Mitsubishi Electric Research, Cambridge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13,884.10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13,884.10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NetNumber.com Inc., Lowell</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2003-2005</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22,816.55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22,816.55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Nextwave Wireless Inc., San Diego</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23,418.95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23,418.95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Nortel Networks USA, Richardson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29,812.50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29,812.50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Orbital International Inc., Germantown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1998-1999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133,132.50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133,132.50</w:t>
            </w:r>
          </w:p>
        </w:tc>
      </w:tr>
      <w:tr w:rsidR="00863306" w:rsidRPr="000A5F34" w:rsidTr="00B83017">
        <w:trPr>
          <w:trHeight w:val="559"/>
          <w:jc w:val="center"/>
        </w:trPr>
        <w:tc>
          <w:tcPr>
            <w:tcW w:w="4780" w:type="dxa"/>
            <w:tcBorders>
              <w:top w:val="nil"/>
              <w:left w:val="nil"/>
              <w:bottom w:val="nil"/>
              <w:right w:val="nil"/>
            </w:tcBorders>
            <w:shd w:val="clear" w:color="auto" w:fill="auto"/>
            <w:vAlign w:val="bottom"/>
            <w:hideMark/>
          </w:tcPr>
          <w:p w:rsidR="00863306" w:rsidRPr="000A5F34" w:rsidRDefault="00863306" w:rsidP="00B83017">
            <w:pPr>
              <w:tabs>
                <w:tab w:val="clear" w:pos="567"/>
                <w:tab w:val="clear" w:pos="1134"/>
                <w:tab w:val="clear" w:pos="1701"/>
                <w:tab w:val="clear" w:pos="2268"/>
                <w:tab w:val="clear" w:pos="2835"/>
              </w:tabs>
              <w:overflowPunct/>
              <w:autoSpaceDE/>
              <w:autoSpaceDN/>
              <w:adjustRightInd/>
              <w:spacing w:before="0"/>
              <w:ind w:left="155" w:hanging="155"/>
              <w:textAlignment w:val="auto"/>
              <w:rPr>
                <w:sz w:val="22"/>
                <w:szCs w:val="22"/>
                <w:lang w:val="en-US" w:eastAsia="zh-CN"/>
              </w:rPr>
            </w:pPr>
            <w:r w:rsidRPr="000A5F34">
              <w:rPr>
                <w:sz w:val="22"/>
                <w:szCs w:val="22"/>
                <w:lang w:val="en-US" w:eastAsia="zh-CN"/>
              </w:rPr>
              <w:t xml:space="preserve"> - Overture Networks (Ex. Ceterus &amp; Hatteras Networks ), Richardson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28,165.70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28,165.70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Polycom Inc., Pleasanton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46,130.00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46,130.00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Puerto Rico Telephone Company, San Juan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1995-2002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614,480.70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614,480.70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Razoom Inc., Palo Alto</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13,098.20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13,098.20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Spirent Communications, Sunnyvale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45,472.95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45,472.95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B8301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Sunrise Telecom Incorporated, San Jos</w:t>
            </w:r>
            <w:r w:rsidR="00B83017">
              <w:rPr>
                <w:sz w:val="22"/>
                <w:szCs w:val="22"/>
                <w:lang w:val="en-US" w:eastAsia="zh-CN"/>
              </w:rPr>
              <w:t>é</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17,486.05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17,486.05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Syniverse Technologies Inc., Tampa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50,208.05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50,208.05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Teraburst Networks Inc., Sunnyvale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86,077.80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86,077.80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Texas Instruments, Dallas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2000-2001</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135,022.40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135,022.40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The Village Group Inc., Waltham</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11,074.90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11,074.90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UTStarcom, Inc., Fremont</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44,251.20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44,251.20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Visible Energy Inc., Palo Alto</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12,006.25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12,006.25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Vocal Technologies Ltd, Amherst</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336,958.40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336,958.40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Wave7 Optics, Alpharetta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14,717.15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14,717.15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Xerox, Washington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60,028.80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60,028.80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Zhone Technologies, Oakland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2002-2004</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216,124.25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216,124.25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Fédération de Russie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B8301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National Telemedicine Agency, Mosco</w:t>
            </w:r>
            <w:r w:rsidR="00B83017">
              <w:rPr>
                <w:sz w:val="22"/>
                <w:szCs w:val="22"/>
                <w:lang w:val="en-US" w:eastAsia="zh-CN"/>
              </w:rPr>
              <w:t>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3,278.65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3,278.65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B83017">
            <w:pPr>
              <w:keepNext/>
              <w:keepLines/>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Finlande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keepNext/>
              <w:keepLines/>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Oy Cubio Communications Ltd, Helsinki</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11,657.35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11,657.35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France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Guadeloupe Téléphone Mobile, Saint Martin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24,069.65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24,069.65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Guyane Téléphone Mobile, Saint Martin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25,660.40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25,660.40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Martinique Téléphone Mobile, Saint Martin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25,660.40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25,660.40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Viable France, Paris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13,095.30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13,095.30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Guinée (Rép. 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SOTELGUI, Conakry</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5,180.48</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5,180.48</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Haïti (Rép. d')</w:t>
            </w:r>
          </w:p>
        </w:tc>
        <w:tc>
          <w:tcPr>
            <w:tcW w:w="1260" w:type="dxa"/>
            <w:tcBorders>
              <w:top w:val="nil"/>
              <w:left w:val="nil"/>
              <w:bottom w:val="nil"/>
              <w:right w:val="nil"/>
            </w:tcBorders>
            <w:shd w:val="clear" w:color="auto" w:fill="auto"/>
            <w:noWrap/>
            <w:vAlign w:val="bottom"/>
            <w:hideMark/>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Communication Cellulaire d'Haïti, Port-au-Prince</w:t>
            </w:r>
          </w:p>
        </w:tc>
        <w:tc>
          <w:tcPr>
            <w:tcW w:w="1260" w:type="dxa"/>
            <w:tcBorders>
              <w:top w:val="nil"/>
              <w:left w:val="nil"/>
              <w:bottom w:val="nil"/>
              <w:right w:val="nil"/>
            </w:tcBorders>
            <w:shd w:val="clear" w:color="auto" w:fill="auto"/>
            <w:noWrap/>
            <w:vAlign w:val="bottom"/>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89,268.95</w:t>
            </w:r>
          </w:p>
        </w:tc>
        <w:tc>
          <w:tcPr>
            <w:tcW w:w="1420" w:type="dxa"/>
            <w:tcBorders>
              <w:top w:val="nil"/>
              <w:left w:val="nil"/>
              <w:bottom w:val="nil"/>
              <w:right w:val="nil"/>
            </w:tcBorders>
            <w:shd w:val="clear" w:color="auto" w:fill="auto"/>
            <w:noWrap/>
            <w:vAlign w:val="bottom"/>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89,268.95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tcPr>
          <w:p w:rsidR="00863306" w:rsidRPr="000A5F34" w:rsidRDefault="00863306" w:rsidP="00FB584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w:t>
            </w:r>
            <w:r w:rsidR="00FB584F" w:rsidRPr="000A5F34">
              <w:rPr>
                <w:sz w:val="22"/>
                <w:szCs w:val="22"/>
                <w:lang w:val="fr-CH" w:eastAsia="zh-CN"/>
              </w:rPr>
              <w:t>Haïti</w:t>
            </w:r>
            <w:r w:rsidRPr="000A5F34">
              <w:rPr>
                <w:sz w:val="22"/>
                <w:szCs w:val="22"/>
                <w:lang w:val="fr-CH" w:eastAsia="zh-CN"/>
              </w:rPr>
              <w:t xml:space="preserve"> Télécommunications Int. S.A., </w:t>
            </w:r>
            <w:r w:rsidR="00FB584F">
              <w:rPr>
                <w:sz w:val="22"/>
                <w:szCs w:val="22"/>
                <w:lang w:val="fr-CH" w:eastAsia="zh-CN"/>
              </w:rPr>
              <w:t>Pétionville</w:t>
            </w:r>
          </w:p>
        </w:tc>
        <w:tc>
          <w:tcPr>
            <w:tcW w:w="1260" w:type="dxa"/>
            <w:tcBorders>
              <w:top w:val="nil"/>
              <w:left w:val="nil"/>
              <w:bottom w:val="nil"/>
              <w:right w:val="nil"/>
            </w:tcBorders>
            <w:shd w:val="clear" w:color="auto" w:fill="auto"/>
            <w:noWrap/>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44,151.35</w:t>
            </w:r>
          </w:p>
        </w:tc>
        <w:tc>
          <w:tcPr>
            <w:tcW w:w="1420" w:type="dxa"/>
            <w:tcBorders>
              <w:top w:val="nil"/>
              <w:left w:val="nil"/>
              <w:bottom w:val="nil"/>
              <w:right w:val="nil"/>
            </w:tcBorders>
            <w:shd w:val="clear" w:color="auto" w:fill="auto"/>
            <w:noWrap/>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44,151.35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Honduras (Rép. du)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UNITEC, Tegucigalpa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2,185.75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2,185.75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Inde (Rép. de l')</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 xml:space="preserve"> - </w:t>
            </w:r>
            <w:r w:rsidRPr="000A5F34">
              <w:rPr>
                <w:sz w:val="22"/>
                <w:szCs w:val="22"/>
                <w:lang w:val="en-US" w:eastAsia="zh-CN"/>
              </w:rPr>
              <w:t>Data Access Ltd, New Delhi</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148,498.00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148,498.00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Luna Ergonomics Pvt Ltd, Noida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4,633.80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4,633.80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Mahanagar Telephone Nigam Ltd, New Delhi</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39,343.55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39,343.55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Reliance Infocom Ltd, Navi Mumbai</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88,511.05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88,511.05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Shyam Telecom Limited, Gurgaon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4,389.70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4,389.70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Sinhgad Tech. Education Society, Pune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3,116.20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3,116.20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Telecommunications Consultants, New Delhi</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96,408.95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96,408.95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TranSwitch India Pvt. Ltd, New Delhi</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11,657.35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11,657.35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Indonésie  (Rép. 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5722E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de-CH" w:eastAsia="zh-CN"/>
              </w:rPr>
            </w:pPr>
            <w:r w:rsidRPr="005722E2">
              <w:rPr>
                <w:sz w:val="22"/>
                <w:szCs w:val="22"/>
                <w:lang w:val="de-CH" w:eastAsia="zh-CN"/>
              </w:rPr>
              <w:t xml:space="preserve"> - PT Bakrie Telecom Tbk., Jakarta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1997-2002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48,187.85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48,187.85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0836B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Isra</w:t>
            </w:r>
            <w:r w:rsidR="000836B1">
              <w:rPr>
                <w:b/>
                <w:bCs/>
                <w:sz w:val="22"/>
                <w:szCs w:val="22"/>
                <w:lang w:val="en-US" w:eastAsia="zh-CN"/>
              </w:rPr>
              <w:t>ë</w:t>
            </w:r>
            <w:r w:rsidRPr="000A5F34">
              <w:rPr>
                <w:b/>
                <w:bCs/>
                <w:sz w:val="22"/>
                <w:szCs w:val="22"/>
                <w:lang w:val="en-US" w:eastAsia="zh-CN"/>
              </w:rPr>
              <w:t>l (Etat 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Alvarion Ltd, Tel Aviv</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12,356.80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12,356.80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AudioCodes Ltd, Airport City Lod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34,972.05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34,972.05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B-Deltacom Ltd, Herzli</w:t>
            </w:r>
            <w:r w:rsidR="00FB584F">
              <w:rPr>
                <w:sz w:val="22"/>
                <w:szCs w:val="22"/>
                <w:lang w:val="en-US" w:eastAsia="zh-CN"/>
              </w:rPr>
              <w:t>y</w:t>
            </w:r>
            <w:r w:rsidRPr="000A5F34">
              <w:rPr>
                <w:sz w:val="22"/>
                <w:szCs w:val="22"/>
                <w:lang w:val="en-US" w:eastAsia="zh-CN"/>
              </w:rPr>
              <w:t>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14,413.35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14,413.35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Barak ITC, Rosh Ha'Ayin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2002-2005</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126,813.80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126,813.80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5722E2"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s-ES" w:eastAsia="zh-CN"/>
              </w:rPr>
            </w:pPr>
            <w:r w:rsidRPr="005722E2">
              <w:rPr>
                <w:sz w:val="22"/>
                <w:szCs w:val="22"/>
                <w:lang w:val="es-ES" w:eastAsia="zh-CN"/>
              </w:rPr>
              <w:t xml:space="preserve"> - ECI Telecom Ltd, Petah Tikva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2000-2004</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76,492.55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76,492.55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Foris Telecom, Rishon Le-Zion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9,842.25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9,842.25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Gilat Satellite Networks Ltd, Petah Tikva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1997-2002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80,104.45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80,104.45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Golden Lines Int.</w:t>
            </w:r>
            <w:r w:rsidR="00250061">
              <w:rPr>
                <w:sz w:val="22"/>
                <w:szCs w:val="22"/>
                <w:lang w:val="en-US" w:eastAsia="zh-CN"/>
              </w:rPr>
              <w:t xml:space="preserve"> </w:t>
            </w:r>
            <w:r w:rsidRPr="000A5F34">
              <w:rPr>
                <w:sz w:val="22"/>
                <w:szCs w:val="22"/>
                <w:lang w:val="en-US" w:eastAsia="zh-CN"/>
              </w:rPr>
              <w:t>Comm. Serv., Petah Tikva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2001-2003</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141,513.60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141,513.60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Metalink Ltd, Israel</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23,361.20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23,361.20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National Semiconductor, Herzli</w:t>
            </w:r>
            <w:r w:rsidR="00FB584F">
              <w:rPr>
                <w:sz w:val="22"/>
                <w:szCs w:val="22"/>
                <w:lang w:val="en-US" w:eastAsia="zh-CN"/>
              </w:rPr>
              <w:t>y</w:t>
            </w:r>
            <w:r w:rsidRPr="000A5F34">
              <w:rPr>
                <w:sz w:val="22"/>
                <w:szCs w:val="22"/>
                <w:lang w:val="en-US" w:eastAsia="zh-CN"/>
              </w:rPr>
              <w:t>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1995-2001</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512,336.70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512,336.70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Orckit Corrigent, Tel-Aviv</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13,098.20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13,098.20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Spediant Systems, Tel Aviv</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115,543.10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115,543.10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Surf Communication Solutions Ltd, Yokneam</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51,487.35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51,487.35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Telrad Networks Ltd, Rosh Ha'Ayin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1998-2006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70,123.50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70,123.50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Yitran Communications Ltd, Beer Sheva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11,902.90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11,902.90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Italie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Aethra S.p.A., Palombina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35,276.45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35,276.45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FB584F" w:rsidRDefault="00FB584F"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31EE">
              <w:rPr>
                <w:sz w:val="22"/>
                <w:szCs w:val="22"/>
                <w:lang w:val="en-US" w:eastAsia="zh-CN"/>
              </w:rPr>
              <w:t xml:space="preserve"> </w:t>
            </w:r>
            <w:r w:rsidRPr="00FB584F">
              <w:rPr>
                <w:sz w:val="22"/>
                <w:szCs w:val="22"/>
                <w:lang w:val="en-US" w:eastAsia="zh-CN"/>
              </w:rPr>
              <w:t>- Blu S.p.A., Rome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2001-2003</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121,094.50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121,094.50</w:t>
            </w:r>
          </w:p>
        </w:tc>
      </w:tr>
      <w:tr w:rsidR="00863306" w:rsidRPr="00250061" w:rsidTr="003945DE">
        <w:trPr>
          <w:trHeight w:val="300"/>
          <w:jc w:val="center"/>
        </w:trPr>
        <w:tc>
          <w:tcPr>
            <w:tcW w:w="4780" w:type="dxa"/>
            <w:tcBorders>
              <w:top w:val="nil"/>
              <w:left w:val="nil"/>
              <w:bottom w:val="nil"/>
              <w:right w:val="nil"/>
            </w:tcBorders>
            <w:shd w:val="clear" w:color="auto" w:fill="auto"/>
            <w:vAlign w:val="bottom"/>
            <w:hideMark/>
          </w:tcPr>
          <w:p w:rsidR="00863306" w:rsidRPr="00250061" w:rsidRDefault="00863306" w:rsidP="00FB584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50061">
              <w:rPr>
                <w:sz w:val="22"/>
                <w:szCs w:val="22"/>
                <w:lang w:eastAsia="zh-CN"/>
              </w:rPr>
              <w:t xml:space="preserve"> - ELSAG S</w:t>
            </w:r>
            <w:r w:rsidR="00250061" w:rsidRPr="00250061">
              <w:rPr>
                <w:sz w:val="22"/>
                <w:szCs w:val="22"/>
                <w:lang w:eastAsia="zh-CN"/>
              </w:rPr>
              <w:t>.</w:t>
            </w:r>
            <w:r w:rsidRPr="00250061">
              <w:rPr>
                <w:sz w:val="22"/>
                <w:szCs w:val="22"/>
                <w:lang w:eastAsia="zh-CN"/>
              </w:rPr>
              <w:t>p</w:t>
            </w:r>
            <w:r w:rsidR="00250061" w:rsidRPr="00250061">
              <w:rPr>
                <w:sz w:val="22"/>
                <w:szCs w:val="22"/>
                <w:lang w:eastAsia="zh-CN"/>
              </w:rPr>
              <w:t>.</w:t>
            </w:r>
            <w:r w:rsidRPr="00250061">
              <w:rPr>
                <w:sz w:val="22"/>
                <w:szCs w:val="22"/>
                <w:lang w:eastAsia="zh-CN"/>
              </w:rPr>
              <w:t>A</w:t>
            </w:r>
            <w:r w:rsidR="00250061" w:rsidRPr="00250061">
              <w:rPr>
                <w:sz w:val="22"/>
                <w:szCs w:val="22"/>
                <w:lang w:eastAsia="zh-CN"/>
              </w:rPr>
              <w:t>.</w:t>
            </w:r>
            <w:r w:rsidRPr="00250061">
              <w:rPr>
                <w:sz w:val="22"/>
                <w:szCs w:val="22"/>
                <w:lang w:eastAsia="zh-CN"/>
              </w:rPr>
              <w:t>, G</w:t>
            </w:r>
            <w:r w:rsidR="00FB584F" w:rsidRPr="00250061">
              <w:rPr>
                <w:sz w:val="22"/>
                <w:szCs w:val="22"/>
                <w:lang w:eastAsia="zh-CN"/>
              </w:rPr>
              <w:t>êne</w:t>
            </w:r>
            <w:r w:rsidRPr="00250061">
              <w:rPr>
                <w:sz w:val="22"/>
                <w:szCs w:val="22"/>
                <w:lang w:eastAsia="zh-CN"/>
              </w:rPr>
              <w:t xml:space="preserve"> Sestri</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71,152.05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71,152.05</w:t>
            </w:r>
          </w:p>
        </w:tc>
      </w:tr>
      <w:tr w:rsidR="00863306" w:rsidRPr="00250061" w:rsidTr="003945DE">
        <w:trPr>
          <w:trHeight w:val="300"/>
          <w:jc w:val="center"/>
        </w:trPr>
        <w:tc>
          <w:tcPr>
            <w:tcW w:w="4780" w:type="dxa"/>
            <w:tcBorders>
              <w:top w:val="nil"/>
              <w:left w:val="nil"/>
              <w:bottom w:val="nil"/>
              <w:right w:val="nil"/>
            </w:tcBorders>
            <w:shd w:val="clear" w:color="auto" w:fill="auto"/>
            <w:vAlign w:val="bottom"/>
            <w:hideMark/>
          </w:tcPr>
          <w:p w:rsidR="00863306" w:rsidRPr="0025006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250061">
              <w:rPr>
                <w:sz w:val="22"/>
                <w:szCs w:val="22"/>
                <w:lang w:val="en-US" w:eastAsia="zh-CN"/>
              </w:rPr>
              <w:t xml:space="preserve"> - Polo Tecn. di Stato C. Cattaneo, Castelnovo</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2001-2004</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169,709.40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169,709.40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FB584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250061">
              <w:rPr>
                <w:sz w:val="22"/>
                <w:szCs w:val="22"/>
                <w:lang w:val="en-US" w:eastAsia="zh-CN"/>
              </w:rPr>
              <w:t xml:space="preserve"> - Sel</w:t>
            </w:r>
            <w:r w:rsidRPr="000A5F34">
              <w:rPr>
                <w:sz w:val="22"/>
                <w:szCs w:val="22"/>
                <w:lang w:val="fr-CH" w:eastAsia="zh-CN"/>
              </w:rPr>
              <w:t>ex Communications S.p.A., G</w:t>
            </w:r>
            <w:r w:rsidR="00FB584F">
              <w:rPr>
                <w:sz w:val="22"/>
                <w:szCs w:val="22"/>
                <w:lang w:val="fr-CH" w:eastAsia="zh-CN"/>
              </w:rPr>
              <w:t>êne</w:t>
            </w:r>
            <w:r w:rsidRPr="000A5F34">
              <w:rPr>
                <w:sz w:val="22"/>
                <w:szCs w:val="22"/>
                <w:lang w:val="fr-CH" w:eastAsia="zh-CN"/>
              </w:rPr>
              <w:t xml:space="preserve"> </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408,601.80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408,601.80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b/>
                <w:bCs/>
                <w:sz w:val="22"/>
                <w:szCs w:val="22"/>
                <w:lang w:val="en-US" w:eastAsia="zh-CN"/>
              </w:rPr>
              <w:t>Jamaïque</w:t>
            </w:r>
          </w:p>
        </w:tc>
        <w:tc>
          <w:tcPr>
            <w:tcW w:w="1260" w:type="dxa"/>
            <w:tcBorders>
              <w:top w:val="nil"/>
              <w:left w:val="nil"/>
              <w:bottom w:val="nil"/>
              <w:right w:val="nil"/>
            </w:tcBorders>
            <w:shd w:val="clear" w:color="auto" w:fill="auto"/>
            <w:noWrap/>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97" w:type="dxa"/>
            <w:tcBorders>
              <w:top w:val="nil"/>
              <w:left w:val="nil"/>
              <w:bottom w:val="nil"/>
              <w:right w:val="nil"/>
            </w:tcBorders>
            <w:shd w:val="clear" w:color="auto" w:fill="auto"/>
            <w:noWrap/>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LIME, Kingston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277,243.05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277,243.05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 xml:space="preserve">Japon </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Okinawa Photonics Inc., Okinawa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88,484.55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88,484.55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Jordanie (Royaume hachémite 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Middle East Communications (MEC), Amman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5,237.65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5,237.65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Middle East Telecom &amp; Electronics Co., Amman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2000-2003</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29,363.65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29,363.65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Talal Abu-Ghazaleh &amp; Co., Amman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12,051.20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12,051.20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Xpress, Amman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5,331.10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5,331.10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Kazakhstan (Rép. du)</w:t>
            </w:r>
          </w:p>
        </w:tc>
        <w:tc>
          <w:tcPr>
            <w:tcW w:w="1260" w:type="dxa"/>
            <w:tcBorders>
              <w:top w:val="nil"/>
              <w:left w:val="nil"/>
              <w:bottom w:val="nil"/>
              <w:right w:val="nil"/>
            </w:tcBorders>
            <w:shd w:val="clear" w:color="auto" w:fill="auto"/>
            <w:noWrap/>
            <w:vAlign w:val="bottom"/>
            <w:hideMark/>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Kazakh Academy of Transp. &amp; Comm., Almaty</w:t>
            </w:r>
          </w:p>
        </w:tc>
        <w:tc>
          <w:tcPr>
            <w:tcW w:w="1260" w:type="dxa"/>
            <w:tcBorders>
              <w:top w:val="nil"/>
              <w:left w:val="nil"/>
              <w:bottom w:val="nil"/>
              <w:right w:val="nil"/>
            </w:tcBorders>
            <w:shd w:val="clear" w:color="auto" w:fill="auto"/>
            <w:noWrap/>
            <w:vAlign w:val="bottom"/>
            <w:hideMark/>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5,678.05</w:t>
            </w:r>
          </w:p>
        </w:tc>
        <w:tc>
          <w:tcPr>
            <w:tcW w:w="1420" w:type="dxa"/>
            <w:tcBorders>
              <w:top w:val="nil"/>
              <w:left w:val="nil"/>
              <w:bottom w:val="nil"/>
              <w:right w:val="nil"/>
            </w:tcBorders>
            <w:shd w:val="clear" w:color="auto" w:fill="auto"/>
            <w:noWrap/>
            <w:vAlign w:val="bottom"/>
            <w:hideMark/>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250061">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5,678.05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Kenya (Rép. du)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 xml:space="preserve"> - </w:t>
            </w:r>
            <w:r w:rsidRPr="000A5F34">
              <w:rPr>
                <w:sz w:val="22"/>
                <w:szCs w:val="22"/>
                <w:lang w:val="en-US" w:eastAsia="zh-CN"/>
              </w:rPr>
              <w:t>Intersat Africa Limited, Nairobi</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4,577.45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4,577.45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Telcom Kenya Limited, Nairobi</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251,266.70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251,266.70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Koweït (Etat du)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The Arabian Business Franchise, Hawalli</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12,051.20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12,051.20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Liban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Arabcom Hitek, Beirut</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42,851.90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42,851.90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D11CB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ExiCon International Group, B</w:t>
            </w:r>
            <w:r w:rsidR="00D11CB7">
              <w:rPr>
                <w:sz w:val="22"/>
                <w:szCs w:val="22"/>
                <w:lang w:val="en-US" w:eastAsia="zh-CN"/>
              </w:rPr>
              <w:t>eyrouth</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4,669.35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4,669.35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IDMI Sal offshore, </w:t>
            </w:r>
            <w:r w:rsidR="00D11CB7" w:rsidRPr="000A5F34">
              <w:rPr>
                <w:sz w:val="22"/>
                <w:szCs w:val="22"/>
                <w:lang w:val="en-US" w:eastAsia="zh-CN"/>
              </w:rPr>
              <w:t>B</w:t>
            </w:r>
            <w:r w:rsidR="00D11CB7">
              <w:rPr>
                <w:sz w:val="22"/>
                <w:szCs w:val="22"/>
                <w:lang w:val="en-US" w:eastAsia="zh-CN"/>
              </w:rPr>
              <w:t>eyrouth</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4,633.80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4,633.80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MNT/Investcom LLC, </w:t>
            </w:r>
            <w:r w:rsidR="00D11CB7" w:rsidRPr="000A5F34">
              <w:rPr>
                <w:sz w:val="22"/>
                <w:szCs w:val="22"/>
                <w:lang w:val="en-US" w:eastAsia="zh-CN"/>
              </w:rPr>
              <w:t>B</w:t>
            </w:r>
            <w:r w:rsidR="00D11CB7">
              <w:rPr>
                <w:sz w:val="22"/>
                <w:szCs w:val="22"/>
                <w:lang w:val="en-US" w:eastAsia="zh-CN"/>
              </w:rPr>
              <w:t>eyrouth</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5,518.95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5,518.95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Prepaid International Systems, Zahlé</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4,019.50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4,019.50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0836B1"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Libé</w:t>
            </w:r>
            <w:r w:rsidR="00863306" w:rsidRPr="000A5F34">
              <w:rPr>
                <w:b/>
                <w:bCs/>
                <w:sz w:val="22"/>
                <w:szCs w:val="22"/>
                <w:lang w:val="en-US" w:eastAsia="zh-CN"/>
              </w:rPr>
              <w:t>ria (Rép. du)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West Africa Telecomm. Inc., Monrovia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5,850.10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5,850.10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Libye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Libyana Mobile Phone Company, Tripoli</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104,678.15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104,678.15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Malaisie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Embedded Wireless Labs, Selangor</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12,051.20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12,051.20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Malte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Go p.l.c., Marsa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40,472.15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40,472.15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Maroc (Royaume du)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CKM Holding, Casablanca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42,913.85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42,913.85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396E1A"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396E1A">
              <w:rPr>
                <w:b/>
                <w:bCs/>
                <w:sz w:val="22"/>
                <w:szCs w:val="22"/>
                <w:lang w:val="fr-CH" w:eastAsia="zh-CN"/>
              </w:rPr>
              <w:t>Mauritanie (Rép. islamique de)</w:t>
            </w:r>
          </w:p>
        </w:tc>
        <w:tc>
          <w:tcPr>
            <w:tcW w:w="1260" w:type="dxa"/>
            <w:tcBorders>
              <w:top w:val="nil"/>
              <w:left w:val="nil"/>
              <w:bottom w:val="nil"/>
              <w:right w:val="nil"/>
            </w:tcBorders>
            <w:shd w:val="clear" w:color="auto" w:fill="auto"/>
            <w:noWrap/>
            <w:vAlign w:val="bottom"/>
            <w:hideMark/>
          </w:tcPr>
          <w:p w:rsidR="00863306" w:rsidRPr="00396E1A"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863306" w:rsidRPr="00396E1A"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20" w:type="dxa"/>
            <w:tcBorders>
              <w:top w:val="nil"/>
              <w:left w:val="nil"/>
              <w:bottom w:val="nil"/>
              <w:right w:val="nil"/>
            </w:tcBorders>
            <w:shd w:val="clear" w:color="auto" w:fill="auto"/>
            <w:noWrap/>
            <w:vAlign w:val="bottom"/>
            <w:hideMark/>
          </w:tcPr>
          <w:p w:rsidR="00863306" w:rsidRPr="00396E1A"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863306" w:rsidRPr="00396E1A"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r>
      <w:tr w:rsidR="00863306" w:rsidRPr="000A5F34" w:rsidTr="003945DE">
        <w:trPr>
          <w:trHeight w:val="600"/>
          <w:jc w:val="center"/>
        </w:trPr>
        <w:tc>
          <w:tcPr>
            <w:tcW w:w="4780" w:type="dxa"/>
            <w:tcBorders>
              <w:top w:val="nil"/>
              <w:left w:val="nil"/>
              <w:bottom w:val="nil"/>
              <w:right w:val="nil"/>
            </w:tcBorders>
            <w:shd w:val="clear" w:color="auto" w:fill="auto"/>
            <w:vAlign w:val="bottom"/>
            <w:hideMark/>
          </w:tcPr>
          <w:p w:rsidR="00863306" w:rsidRPr="00304C4C" w:rsidRDefault="00863306" w:rsidP="00972A32">
            <w:pPr>
              <w:tabs>
                <w:tab w:val="clear" w:pos="567"/>
                <w:tab w:val="clear" w:pos="1134"/>
                <w:tab w:val="clear" w:pos="1701"/>
                <w:tab w:val="clear" w:pos="2268"/>
                <w:tab w:val="clear" w:pos="2835"/>
              </w:tabs>
              <w:overflowPunct/>
              <w:autoSpaceDE/>
              <w:autoSpaceDN/>
              <w:snapToGrid w:val="0"/>
              <w:spacing w:before="0"/>
              <w:textAlignment w:val="auto"/>
              <w:rPr>
                <w:lang w:val="fr-CH" w:eastAsia="zh-CN"/>
              </w:rPr>
            </w:pPr>
            <w:r w:rsidRPr="000A5F34">
              <w:rPr>
                <w:sz w:val="22"/>
                <w:szCs w:val="22"/>
                <w:lang w:val="fr-CH" w:eastAsia="zh-CN"/>
              </w:rPr>
              <w:t xml:space="preserve"> - Agence de Promotion de l'Accès aux Services (APAUS), Nouakchott</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snapToGrid w:val="0"/>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4,371.50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4,371.50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32716B">
            <w:pPr>
              <w:tabs>
                <w:tab w:val="clear" w:pos="567"/>
                <w:tab w:val="clear" w:pos="1134"/>
                <w:tab w:val="clear" w:pos="1701"/>
                <w:tab w:val="clear" w:pos="2268"/>
                <w:tab w:val="clear" w:pos="2835"/>
              </w:tabs>
              <w:overflowPunct/>
              <w:autoSpaceDE/>
              <w:autoSpaceDN/>
              <w:snapToGrid w:val="0"/>
              <w:spacing w:before="0"/>
              <w:textAlignment w:val="auto"/>
              <w:rPr>
                <w:sz w:val="22"/>
                <w:szCs w:val="22"/>
                <w:lang w:val="fr-CH" w:eastAsia="zh-CN"/>
              </w:rPr>
            </w:pPr>
            <w:r w:rsidRPr="000A5F34">
              <w:rPr>
                <w:sz w:val="22"/>
                <w:szCs w:val="22"/>
                <w:lang w:val="fr-CH" w:eastAsia="zh-CN"/>
              </w:rPr>
              <w:t xml:space="preserve"> - Société mauritanienne des télécommunications (MAURITEL S.A.), Nouakchott</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snapToGrid w:val="0"/>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49,670.35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49,670.35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396E1A"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s-ES_tradnl" w:eastAsia="zh-CN"/>
              </w:rPr>
            </w:pPr>
            <w:r>
              <w:rPr>
                <w:b/>
                <w:bCs/>
                <w:sz w:val="22"/>
                <w:szCs w:val="22"/>
                <w:lang w:val="es-ES_tradnl" w:eastAsia="zh-CN"/>
              </w:rPr>
              <w:t>Mexique</w:t>
            </w:r>
          </w:p>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Televisa SA de C.V., Mexico</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57,856.30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57,856.30</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Mozambique (Rép. du)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Southern Africa Telecomm. Associat., Maputo</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235,095.65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235,095.65</w:t>
            </w:r>
          </w:p>
        </w:tc>
      </w:tr>
      <w:tr w:rsidR="00863306" w:rsidRPr="000A5F34"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Nigéria (Rép. fédérale du)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6711DD" w:rsidTr="003945DE">
        <w:trPr>
          <w:trHeight w:val="300"/>
          <w:jc w:val="center"/>
        </w:trPr>
        <w:tc>
          <w:tcPr>
            <w:tcW w:w="4780" w:type="dxa"/>
            <w:tcBorders>
              <w:top w:val="nil"/>
              <w:left w:val="nil"/>
              <w:bottom w:val="nil"/>
              <w:right w:val="nil"/>
            </w:tcBorders>
            <w:shd w:val="clear" w:color="auto" w:fill="auto"/>
            <w:vAlign w:val="bottom"/>
            <w:hideMark/>
          </w:tcPr>
          <w:p w:rsidR="00863306" w:rsidRPr="000A5F34" w:rsidRDefault="006711DD"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sz w:val="22"/>
                <w:szCs w:val="22"/>
                <w:lang w:val="en-US" w:eastAsia="zh-CN"/>
              </w:rPr>
              <w:t xml:space="preserve"> - Nigeria Telec</w:t>
            </w:r>
            <w:r w:rsidR="00863306" w:rsidRPr="000A5F34">
              <w:rPr>
                <w:sz w:val="22"/>
                <w:szCs w:val="22"/>
                <w:lang w:val="en-US" w:eastAsia="zh-CN"/>
              </w:rPr>
              <w:t>ommunications Ltd (NITEL), Abuja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237,001.25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237,001.25</w:t>
            </w:r>
          </w:p>
        </w:tc>
      </w:tr>
      <w:tr w:rsidR="00863306" w:rsidRPr="006711DD"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Nouvelle-Zélande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Q-Tel (NZ) Limited, Auckland </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71,778.15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71,778.15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Oman (Sultanat 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Nawras, Oman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14,665.95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14,665.95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Pakistan (Rép. islamique du)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Callmate Telips Telecom Ltd, Karachi</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73,359.85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73,359.85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Pakistan Institute of Human Rights, Islamabad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4,308.30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4,308.30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Paktel Limited, Islamabad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5,850.10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5,850.10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5722E2"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de-CH" w:eastAsia="zh-CN"/>
              </w:rPr>
            </w:pPr>
            <w:r w:rsidRPr="005722E2">
              <w:rPr>
                <w:sz w:val="22"/>
                <w:szCs w:val="22"/>
                <w:lang w:val="de-CH" w:eastAsia="zh-CN"/>
              </w:rPr>
              <w:t xml:space="preserve"> - Sysnet Pakistan (Pvt) Ltd, Karachi </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23,108.75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23,108.75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Pays-Bas (Royaume des)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D11CB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Smitcoms N.V., </w:t>
            </w:r>
            <w:r w:rsidR="00D11CB7">
              <w:rPr>
                <w:sz w:val="22"/>
                <w:szCs w:val="22"/>
                <w:lang w:val="en-US" w:eastAsia="zh-CN"/>
              </w:rPr>
              <w:t>Saint-Martin</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407,368.05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407,368.05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Stichting Open Spectrum, Amsterdam</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10,318.80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10,318.80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United Telecom. Services (UTS), Willemstad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3,875.00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3,875.00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Philippines (Rép. des)</w:t>
            </w:r>
          </w:p>
        </w:tc>
        <w:tc>
          <w:tcPr>
            <w:tcW w:w="126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PhilCom, Makati City</w:t>
            </w:r>
          </w:p>
        </w:tc>
        <w:tc>
          <w:tcPr>
            <w:tcW w:w="126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2007-2009</w:t>
            </w: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5,330.45</w:t>
            </w:r>
          </w:p>
        </w:tc>
        <w:tc>
          <w:tcPr>
            <w:tcW w:w="142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5,330.45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République arabe syrienne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972A32">
        <w:trPr>
          <w:trHeight w:val="6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Arab Regional Isps Association (ARISPA), Manama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5,206.55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5,206.55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Syrian Korean Co. for Manuf., Damas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4,875.15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4,875.15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Roumanie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Po</w:t>
            </w:r>
            <w:r w:rsidR="00206206">
              <w:rPr>
                <w:sz w:val="22"/>
                <w:szCs w:val="22"/>
                <w:lang w:val="en-US" w:eastAsia="zh-CN"/>
              </w:rPr>
              <w:t>lytechnic School Bucharest, Buc</w:t>
            </w:r>
            <w:r w:rsidRPr="000A5F34">
              <w:rPr>
                <w:sz w:val="22"/>
                <w:szCs w:val="22"/>
                <w:lang w:val="en-US" w:eastAsia="zh-CN"/>
              </w:rPr>
              <w:t>arest</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5,005.15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5,005.15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Telemobil S.A., Balotesti</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19,907.15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19,907.15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w:t>
            </w:r>
            <w:r w:rsidR="00206206">
              <w:rPr>
                <w:sz w:val="22"/>
                <w:szCs w:val="22"/>
                <w:lang w:val="en-US" w:eastAsia="zh-CN"/>
              </w:rPr>
              <w:t>opex Public Switching S.A., Buc</w:t>
            </w:r>
            <w:r w:rsidRPr="000A5F34">
              <w:rPr>
                <w:sz w:val="22"/>
                <w:szCs w:val="22"/>
                <w:lang w:val="en-US" w:eastAsia="zh-CN"/>
              </w:rPr>
              <w:t>arest</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25,460.55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25,460.55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0A5F34">
              <w:rPr>
                <w:b/>
                <w:bCs/>
                <w:sz w:val="22"/>
                <w:szCs w:val="22"/>
                <w:lang w:val="fr-CH" w:eastAsia="zh-CN"/>
              </w:rPr>
              <w:t>Royaume-Uni de Grande-Bretagne et d'</w:t>
            </w:r>
            <w:r>
              <w:rPr>
                <w:b/>
                <w:bCs/>
                <w:sz w:val="22"/>
                <w:szCs w:val="22"/>
                <w:lang w:val="fr-CH" w:eastAsia="zh-CN"/>
              </w:rPr>
              <w:t>Irlande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du Nord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Agilent Technologies UK Ltd, South Queensferry</w:t>
            </w:r>
          </w:p>
        </w:tc>
        <w:tc>
          <w:tcPr>
            <w:tcW w:w="1260" w:type="dxa"/>
            <w:tcBorders>
              <w:top w:val="nil"/>
              <w:left w:val="nil"/>
              <w:bottom w:val="nil"/>
              <w:right w:val="nil"/>
            </w:tcBorders>
            <w:shd w:val="clear" w:color="auto" w:fill="auto"/>
            <w:noWrap/>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w:t>
            </w:r>
          </w:p>
        </w:tc>
        <w:tc>
          <w:tcPr>
            <w:tcW w:w="1497" w:type="dxa"/>
            <w:tcBorders>
              <w:top w:val="nil"/>
              <w:left w:val="nil"/>
              <w:bottom w:val="nil"/>
              <w:right w:val="nil"/>
            </w:tcBorders>
            <w:shd w:val="clear" w:color="auto" w:fill="auto"/>
            <w:noWrap/>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41,340.40</w:t>
            </w:r>
          </w:p>
        </w:tc>
        <w:tc>
          <w:tcPr>
            <w:tcW w:w="1420" w:type="dxa"/>
            <w:tcBorders>
              <w:top w:val="nil"/>
              <w:left w:val="nil"/>
              <w:bottom w:val="nil"/>
              <w:right w:val="nil"/>
            </w:tcBorders>
            <w:shd w:val="clear" w:color="auto" w:fill="auto"/>
            <w:noWrap/>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41,340.40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06206">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Celtel International, Lond</w:t>
            </w:r>
            <w:r w:rsidR="00206206">
              <w:rPr>
                <w:sz w:val="22"/>
                <w:szCs w:val="22"/>
                <w:lang w:val="en-US" w:eastAsia="zh-CN"/>
              </w:rPr>
              <w:t>res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12,087.60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12,087.60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Conexant Systems, Reading</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45,952.00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45,952.00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ICO Satellite Limited, Kirkland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20,400.40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20,400.40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06206">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International Telemedia Ass., Lond</w:t>
            </w:r>
            <w:r w:rsidR="00206206">
              <w:rPr>
                <w:sz w:val="22"/>
                <w:szCs w:val="22"/>
                <w:lang w:val="en-US" w:eastAsia="zh-CN"/>
              </w:rPr>
              <w:t>res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62,089.85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62,089.85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Nexus Business Media Ltd, Cranleigh</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2001-2002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15,519.90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15,519.90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Satphone International Ltd, Hamilton/Bermud</w:t>
            </w:r>
            <w:r w:rsidR="00206206">
              <w:rPr>
                <w:sz w:val="22"/>
                <w:szCs w:val="22"/>
                <w:lang w:val="en-US" w:eastAsia="zh-CN"/>
              </w:rPr>
              <w:t>es</w:t>
            </w:r>
          </w:p>
        </w:tc>
        <w:tc>
          <w:tcPr>
            <w:tcW w:w="1260" w:type="dxa"/>
            <w:tcBorders>
              <w:top w:val="nil"/>
              <w:left w:val="nil"/>
              <w:bottom w:val="nil"/>
              <w:right w:val="nil"/>
            </w:tcBorders>
            <w:shd w:val="clear" w:color="auto" w:fill="auto"/>
            <w:noWrap/>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1997-1999</w:t>
            </w:r>
          </w:p>
        </w:tc>
        <w:tc>
          <w:tcPr>
            <w:tcW w:w="1497" w:type="dxa"/>
            <w:tcBorders>
              <w:top w:val="nil"/>
              <w:left w:val="nil"/>
              <w:bottom w:val="nil"/>
              <w:right w:val="nil"/>
            </w:tcBorders>
            <w:shd w:val="clear" w:color="auto" w:fill="auto"/>
            <w:noWrap/>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340,769.35</w:t>
            </w:r>
          </w:p>
        </w:tc>
        <w:tc>
          <w:tcPr>
            <w:tcW w:w="1420" w:type="dxa"/>
            <w:tcBorders>
              <w:top w:val="nil"/>
              <w:left w:val="nil"/>
              <w:bottom w:val="nil"/>
              <w:right w:val="nil"/>
            </w:tcBorders>
            <w:shd w:val="clear" w:color="auto" w:fill="auto"/>
            <w:noWrap/>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340,769.35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Times Publications Ltd, Lond</w:t>
            </w:r>
            <w:r w:rsidR="00206206">
              <w:rPr>
                <w:sz w:val="22"/>
                <w:szCs w:val="22"/>
                <w:lang w:val="en-US" w:eastAsia="zh-CN"/>
              </w:rPr>
              <w:t>res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62,694.65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62,694.65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Vectone Group Holding Ltd, Lond</w:t>
            </w:r>
            <w:r w:rsidR="00206206">
              <w:rPr>
                <w:sz w:val="22"/>
                <w:szCs w:val="22"/>
                <w:lang w:val="en-US" w:eastAsia="zh-CN"/>
              </w:rPr>
              <w:t>res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8,932.60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8,932.60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Somalie (Rép. fédérale 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Telcom Somalia, Mogadis</w:t>
            </w:r>
            <w:r w:rsidR="00206206">
              <w:rPr>
                <w:sz w:val="22"/>
                <w:szCs w:val="22"/>
                <w:lang w:val="en-US" w:eastAsia="zh-CN"/>
              </w:rPr>
              <w:t>cio</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12,544.50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12,544.50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0A5F34">
              <w:rPr>
                <w:b/>
                <w:bCs/>
                <w:sz w:val="22"/>
                <w:szCs w:val="22"/>
                <w:lang w:val="fr-CH" w:eastAsia="zh-CN"/>
              </w:rPr>
              <w:t>Sri Lanka (Rép. socialiste démocratique 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250061">
              <w:rPr>
                <w:sz w:val="22"/>
                <w:szCs w:val="22"/>
                <w:lang w:val="es-ES" w:eastAsia="zh-CN"/>
              </w:rPr>
              <w:t xml:space="preserve"> </w:t>
            </w:r>
            <w:r w:rsidRPr="000A5F34">
              <w:rPr>
                <w:sz w:val="22"/>
                <w:szCs w:val="22"/>
                <w:lang w:val="es-ES_tradnl" w:eastAsia="zh-CN"/>
              </w:rPr>
              <w:t>- Sri Lanka Telecom Ltd, Colombo</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6,954.45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6,954.45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Sudafricaine (Rép.)</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Cell C (Pty) Ltd, Benmore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389,426.80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389,426.80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Radio Surveillance  Sec. Serv. SA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13,098.20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13,098.20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Transtel, Johannesburg</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623,796.85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623,796.85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Suède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UpZide Labs AB, Lulea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13,884.10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13,884.10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Tchad (Rép. du)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2062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sz w:val="22"/>
                <w:szCs w:val="22"/>
                <w:lang w:val="en-US" w:eastAsia="zh-CN"/>
              </w:rPr>
              <w:t xml:space="preserve"> - Tchad Mobile S.A., N'Djamé</w:t>
            </w:r>
            <w:r w:rsidR="00863306" w:rsidRPr="000A5F34">
              <w:rPr>
                <w:sz w:val="22"/>
                <w:szCs w:val="22"/>
                <w:lang w:val="en-US" w:eastAsia="zh-CN"/>
              </w:rPr>
              <w:t>na</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25,621.95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25,621.95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Togolaise (Rép.)</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50061">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Centre Rég. de Maintenan</w:t>
            </w:r>
            <w:r w:rsidR="00250061">
              <w:rPr>
                <w:sz w:val="22"/>
                <w:szCs w:val="22"/>
                <w:lang w:val="fr-CH" w:eastAsia="zh-CN"/>
              </w:rPr>
              <w:t>ce</w:t>
            </w:r>
            <w:r w:rsidRPr="000A5F34">
              <w:rPr>
                <w:sz w:val="22"/>
                <w:szCs w:val="22"/>
                <w:lang w:val="fr-CH" w:eastAsia="zh-CN"/>
              </w:rPr>
              <w:t xml:space="preserve"> des Télécom., Lomé</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176,788.90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176,788.90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Tunisie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Ecole Nationale d'Ingénieurs de Tunis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8,340.49</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8,340.49</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University of Sfax, Sfax</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2,780.13</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2,780.13</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Turquie</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25006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250061">
              <w:rPr>
                <w:sz w:val="22"/>
                <w:szCs w:val="22"/>
                <w:lang w:val="en-US" w:eastAsia="zh-CN"/>
              </w:rPr>
              <w:t xml:space="preserve"> - Telsim Mobile Telecom.</w:t>
            </w:r>
            <w:r w:rsidR="00250061" w:rsidRPr="00250061">
              <w:rPr>
                <w:sz w:val="22"/>
                <w:szCs w:val="22"/>
                <w:lang w:val="en-US" w:eastAsia="zh-CN"/>
              </w:rPr>
              <w:t xml:space="preserve"> </w:t>
            </w:r>
            <w:r w:rsidRPr="00250061">
              <w:rPr>
                <w:sz w:val="22"/>
                <w:szCs w:val="22"/>
                <w:lang w:val="en-US" w:eastAsia="zh-CN"/>
              </w:rPr>
              <w:t>Services S</w:t>
            </w:r>
            <w:r w:rsidR="00250061" w:rsidRPr="00250061">
              <w:rPr>
                <w:sz w:val="22"/>
                <w:szCs w:val="22"/>
                <w:lang w:val="en-US" w:eastAsia="zh-CN"/>
              </w:rPr>
              <w:t>.</w:t>
            </w:r>
            <w:r w:rsidRPr="00250061">
              <w:rPr>
                <w:sz w:val="22"/>
                <w:szCs w:val="22"/>
                <w:lang w:val="en-US" w:eastAsia="zh-CN"/>
              </w:rPr>
              <w:t>A</w:t>
            </w:r>
            <w:r w:rsidR="00250061" w:rsidRPr="00250061">
              <w:rPr>
                <w:sz w:val="22"/>
                <w:szCs w:val="22"/>
                <w:lang w:val="en-US" w:eastAsia="zh-CN"/>
              </w:rPr>
              <w:t>.</w:t>
            </w:r>
            <w:r w:rsidRPr="00250061">
              <w:rPr>
                <w:sz w:val="22"/>
                <w:szCs w:val="22"/>
                <w:lang w:val="en-US" w:eastAsia="zh-CN"/>
              </w:rPr>
              <w:t>, Istanbul</w:t>
            </w:r>
          </w:p>
        </w:tc>
        <w:tc>
          <w:tcPr>
            <w:tcW w:w="1260" w:type="dxa"/>
            <w:tcBorders>
              <w:top w:val="nil"/>
              <w:left w:val="nil"/>
              <w:bottom w:val="nil"/>
              <w:right w:val="nil"/>
            </w:tcBorders>
            <w:shd w:val="clear" w:color="auto" w:fill="auto"/>
            <w:noWrap/>
            <w:vAlign w:val="bottom"/>
            <w:hideMark/>
          </w:tcPr>
          <w:p w:rsidR="00863306" w:rsidRPr="0025006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250061">
              <w:rPr>
                <w:sz w:val="22"/>
                <w:szCs w:val="22"/>
                <w:lang w:val="fr-CH" w:eastAsia="zh-CN"/>
              </w:rPr>
              <w:t>2001-2006</w:t>
            </w:r>
          </w:p>
        </w:tc>
        <w:tc>
          <w:tcPr>
            <w:tcW w:w="1497" w:type="dxa"/>
            <w:tcBorders>
              <w:top w:val="nil"/>
              <w:left w:val="nil"/>
              <w:bottom w:val="nil"/>
              <w:right w:val="nil"/>
            </w:tcBorders>
            <w:shd w:val="clear" w:color="auto" w:fill="auto"/>
            <w:noWrap/>
            <w:vAlign w:val="bottom"/>
            <w:hideMark/>
          </w:tcPr>
          <w:p w:rsidR="00863306" w:rsidRPr="0025006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250061">
              <w:rPr>
                <w:sz w:val="22"/>
                <w:szCs w:val="22"/>
                <w:lang w:val="fr-CH" w:eastAsia="zh-CN"/>
              </w:rPr>
              <w:t>342,814.60</w:t>
            </w:r>
          </w:p>
        </w:tc>
        <w:tc>
          <w:tcPr>
            <w:tcW w:w="1420" w:type="dxa"/>
            <w:tcBorders>
              <w:top w:val="nil"/>
              <w:left w:val="nil"/>
              <w:bottom w:val="nil"/>
              <w:right w:val="nil"/>
            </w:tcBorders>
            <w:shd w:val="clear" w:color="auto" w:fill="auto"/>
            <w:noWrap/>
            <w:vAlign w:val="bottom"/>
            <w:hideMark/>
          </w:tcPr>
          <w:p w:rsidR="00863306" w:rsidRPr="0025006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250061">
              <w:rPr>
                <w:sz w:val="22"/>
                <w:szCs w:val="22"/>
                <w:lang w:val="fr-CH" w:eastAsia="zh-CN"/>
              </w:rPr>
              <w:t>0.00</w:t>
            </w:r>
          </w:p>
        </w:tc>
        <w:tc>
          <w:tcPr>
            <w:tcW w:w="1497" w:type="dxa"/>
            <w:tcBorders>
              <w:top w:val="nil"/>
              <w:left w:val="nil"/>
              <w:bottom w:val="nil"/>
              <w:right w:val="nil"/>
            </w:tcBorders>
            <w:shd w:val="clear" w:color="auto" w:fill="auto"/>
            <w:noWrap/>
            <w:vAlign w:val="bottom"/>
            <w:hideMark/>
          </w:tcPr>
          <w:p w:rsidR="00863306" w:rsidRPr="0025006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250061">
              <w:rPr>
                <w:sz w:val="22"/>
                <w:szCs w:val="22"/>
                <w:lang w:val="fr-CH" w:eastAsia="zh-CN"/>
              </w:rPr>
              <w:t>342,814.60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0836B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0A5F34">
              <w:rPr>
                <w:b/>
                <w:bCs/>
                <w:sz w:val="22"/>
                <w:szCs w:val="22"/>
                <w:lang w:val="fr-CH" w:eastAsia="zh-CN"/>
              </w:rPr>
              <w:t>Vi</w:t>
            </w:r>
            <w:r w:rsidR="000836B1">
              <w:rPr>
                <w:b/>
                <w:bCs/>
                <w:sz w:val="22"/>
                <w:szCs w:val="22"/>
                <w:lang w:val="fr-CH" w:eastAsia="zh-CN"/>
              </w:rPr>
              <w:t>e</w:t>
            </w:r>
            <w:r w:rsidRPr="000A5F34">
              <w:rPr>
                <w:b/>
                <w:bCs/>
                <w:sz w:val="22"/>
                <w:szCs w:val="22"/>
                <w:lang w:val="fr-CH" w:eastAsia="zh-CN"/>
              </w:rPr>
              <w:t>t Nam (Rép. socialiste du)</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25006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w:t>
            </w:r>
            <w:r w:rsidRPr="00250061">
              <w:rPr>
                <w:sz w:val="22"/>
                <w:szCs w:val="22"/>
                <w:lang w:val="fr-CH" w:eastAsia="zh-CN"/>
              </w:rPr>
              <w:t>- Viettel Technologies, Hano</w:t>
            </w:r>
            <w:r w:rsidR="00206206" w:rsidRPr="00250061">
              <w:rPr>
                <w:sz w:val="22"/>
                <w:szCs w:val="22"/>
                <w:lang w:val="fr-CH" w:eastAsia="zh-CN"/>
              </w:rPr>
              <w:t>ï</w:t>
            </w:r>
          </w:p>
        </w:tc>
        <w:tc>
          <w:tcPr>
            <w:tcW w:w="1260" w:type="dxa"/>
            <w:tcBorders>
              <w:top w:val="nil"/>
              <w:left w:val="nil"/>
              <w:bottom w:val="nil"/>
              <w:right w:val="nil"/>
            </w:tcBorders>
            <w:shd w:val="clear" w:color="auto" w:fill="auto"/>
            <w:noWrap/>
            <w:vAlign w:val="bottom"/>
            <w:hideMark/>
          </w:tcPr>
          <w:p w:rsidR="00863306" w:rsidRPr="0025006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fr-CH" w:eastAsia="zh-CN"/>
              </w:rPr>
            </w:pPr>
            <w:r w:rsidRPr="00250061">
              <w:rPr>
                <w:color w:val="000000"/>
                <w:sz w:val="22"/>
                <w:szCs w:val="22"/>
                <w:lang w:val="fr-CH" w:eastAsia="zh-CN"/>
              </w:rPr>
              <w:t>2008-2009</w:t>
            </w:r>
          </w:p>
        </w:tc>
        <w:tc>
          <w:tcPr>
            <w:tcW w:w="1497" w:type="dxa"/>
            <w:tcBorders>
              <w:top w:val="nil"/>
              <w:left w:val="nil"/>
              <w:bottom w:val="nil"/>
              <w:right w:val="nil"/>
            </w:tcBorders>
            <w:shd w:val="clear" w:color="auto" w:fill="auto"/>
            <w:noWrap/>
            <w:vAlign w:val="bottom"/>
            <w:hideMark/>
          </w:tcPr>
          <w:p w:rsidR="00863306" w:rsidRPr="0025006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250061">
              <w:rPr>
                <w:sz w:val="22"/>
                <w:szCs w:val="22"/>
                <w:lang w:val="fr-CH" w:eastAsia="zh-CN"/>
              </w:rPr>
              <w:t>97,188.65</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50061">
              <w:rPr>
                <w:color w:val="000000"/>
                <w:sz w:val="22"/>
                <w:szCs w:val="22"/>
                <w:lang w:val="fr-CH" w:eastAsia="zh-CN"/>
              </w:rPr>
              <w:t>0.0</w:t>
            </w:r>
            <w:r w:rsidRPr="000A5F34">
              <w:rPr>
                <w:color w:val="000000"/>
                <w:sz w:val="22"/>
                <w:szCs w:val="22"/>
                <w:lang w:val="en-US" w:eastAsia="zh-CN"/>
              </w:rPr>
              <w:t>0</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97,188.65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Zimbabwe (Rép. du)</w:t>
            </w:r>
          </w:p>
        </w:tc>
        <w:tc>
          <w:tcPr>
            <w:tcW w:w="126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Africom Private Ltd, Harare</w:t>
            </w:r>
          </w:p>
        </w:tc>
        <w:tc>
          <w:tcPr>
            <w:tcW w:w="126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19,423.15</w:t>
            </w:r>
          </w:p>
        </w:tc>
        <w:tc>
          <w:tcPr>
            <w:tcW w:w="142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19,423.15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Broadcasting Authority of Zimbabwe, Harare</w:t>
            </w:r>
          </w:p>
        </w:tc>
        <w:tc>
          <w:tcPr>
            <w:tcW w:w="126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247,955.05</w:t>
            </w:r>
          </w:p>
        </w:tc>
        <w:tc>
          <w:tcPr>
            <w:tcW w:w="142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247,955.05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NetOne Cellular Ltd, Harare</w:t>
            </w:r>
          </w:p>
        </w:tc>
        <w:tc>
          <w:tcPr>
            <w:tcW w:w="126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251,000.53</w:t>
            </w:r>
          </w:p>
        </w:tc>
        <w:tc>
          <w:tcPr>
            <w:tcW w:w="142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251,000.53</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TeleAccess Private Ltd, Harare</w:t>
            </w:r>
          </w:p>
        </w:tc>
        <w:tc>
          <w:tcPr>
            <w:tcW w:w="126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213,350.00</w:t>
            </w:r>
          </w:p>
        </w:tc>
        <w:tc>
          <w:tcPr>
            <w:tcW w:w="142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213,350.00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University of Zimbabwe, Harare</w:t>
            </w:r>
          </w:p>
        </w:tc>
        <w:tc>
          <w:tcPr>
            <w:tcW w:w="126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16,766.00</w:t>
            </w:r>
          </w:p>
        </w:tc>
        <w:tc>
          <w:tcPr>
            <w:tcW w:w="142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16,766.00</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Ré</w:t>
            </w:r>
            <w:r w:rsidRPr="000A5F34">
              <w:rPr>
                <w:b/>
                <w:bCs/>
                <w:sz w:val="22"/>
                <w:szCs w:val="22"/>
                <w:lang w:val="en-US" w:eastAsia="zh-CN"/>
              </w:rPr>
              <w:t>solution 99 (Rev. Guadalajara, 2010)</w:t>
            </w:r>
          </w:p>
        </w:tc>
        <w:tc>
          <w:tcPr>
            <w:tcW w:w="126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BCI Communicat. &amp; Advanced Tech., Ramallah</w:t>
            </w:r>
          </w:p>
        </w:tc>
        <w:tc>
          <w:tcPr>
            <w:tcW w:w="126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6,928.65</w:t>
            </w:r>
          </w:p>
        </w:tc>
        <w:tc>
          <w:tcPr>
            <w:tcW w:w="142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6,928.65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15,724,644.42</w:t>
            </w:r>
          </w:p>
        </w:tc>
        <w:tc>
          <w:tcPr>
            <w:tcW w:w="1420" w:type="dxa"/>
            <w:tcBorders>
              <w:top w:val="single" w:sz="4" w:space="0" w:color="auto"/>
              <w:left w:val="nil"/>
              <w:bottom w:val="single" w:sz="4" w:space="0" w:color="auto"/>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single" w:sz="4" w:space="0" w:color="auto"/>
              <w:left w:val="nil"/>
              <w:bottom w:val="single" w:sz="4" w:space="0" w:color="auto"/>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15,724,644.42</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6A3D77">
            <w:pPr>
              <w:keepNext/>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0A5F34">
              <w:rPr>
                <w:b/>
                <w:bCs/>
                <w:color w:val="000000"/>
                <w:sz w:val="22"/>
                <w:szCs w:val="22"/>
                <w:lang w:val="en-US" w:eastAsia="zh-CN"/>
              </w:rPr>
              <w:t>C. Autres débiteurs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A5F34">
              <w:rPr>
                <w:b/>
                <w:bCs/>
                <w:color w:val="000000"/>
                <w:sz w:val="22"/>
                <w:szCs w:val="22"/>
                <w:lang w:val="en-US" w:eastAsia="zh-CN"/>
              </w:rPr>
              <w:t>Année</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A5F34">
              <w:rPr>
                <w:b/>
                <w:bCs/>
                <w:color w:val="000000"/>
                <w:sz w:val="22"/>
                <w:szCs w:val="22"/>
                <w:lang w:val="en-US" w:eastAsia="zh-CN"/>
              </w:rPr>
              <w:t>Contributions</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A5F34">
              <w:rPr>
                <w:b/>
                <w:bCs/>
                <w:color w:val="000000"/>
                <w:sz w:val="22"/>
                <w:szCs w:val="22"/>
                <w:lang w:val="en-US" w:eastAsia="zh-CN"/>
              </w:rPr>
              <w:t>Publications</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A5F34">
              <w:rPr>
                <w:b/>
                <w:bCs/>
                <w:color w:val="000000"/>
                <w:sz w:val="22"/>
                <w:szCs w:val="22"/>
                <w:lang w:val="en-US" w:eastAsia="zh-CN"/>
              </w:rPr>
              <w:t>Total</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206206">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A5F34">
              <w:rPr>
                <w:color w:val="000000"/>
                <w:sz w:val="22"/>
                <w:szCs w:val="22"/>
                <w:lang w:val="en-US" w:eastAsia="zh-CN"/>
              </w:rPr>
              <w:t xml:space="preserve">Ministry of Information, Riyad, </w:t>
            </w:r>
            <w:r w:rsidR="00206206">
              <w:rPr>
                <w:color w:val="000000"/>
                <w:sz w:val="22"/>
                <w:szCs w:val="22"/>
                <w:lang w:val="en-US" w:eastAsia="zh-CN"/>
              </w:rPr>
              <w:t>Arabie Saoudite (Royaume d’)</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Pr>
                <w:color w:val="000000"/>
                <w:sz w:val="22"/>
                <w:szCs w:val="22"/>
                <w:lang w:val="en-US" w:eastAsia="zh-CN"/>
              </w:rPr>
              <w:t>2011</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4,018.45</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4,018.45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20" w:type="dxa"/>
            <w:tcBorders>
              <w:top w:val="single" w:sz="4" w:space="0" w:color="auto"/>
              <w:left w:val="nil"/>
              <w:bottom w:val="single" w:sz="4" w:space="0" w:color="auto"/>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4,018.45</w:t>
            </w:r>
          </w:p>
        </w:tc>
        <w:tc>
          <w:tcPr>
            <w:tcW w:w="1497" w:type="dxa"/>
            <w:tcBorders>
              <w:top w:val="single" w:sz="4" w:space="0" w:color="auto"/>
              <w:left w:val="nil"/>
              <w:bottom w:val="single" w:sz="4" w:space="0" w:color="auto"/>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4,018.45</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0A5F34">
              <w:rPr>
                <w:b/>
                <w:bCs/>
                <w:color w:val="000000"/>
                <w:sz w:val="22"/>
                <w:szCs w:val="22"/>
                <w:lang w:val="en-US" w:eastAsia="zh-CN"/>
              </w:rPr>
              <w:t>D. Autres débiteurs divers*</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19,918.41</w:t>
            </w:r>
          </w:p>
        </w:tc>
        <w:tc>
          <w:tcPr>
            <w:tcW w:w="1420" w:type="dxa"/>
            <w:tcBorders>
              <w:top w:val="single" w:sz="4" w:space="0" w:color="auto"/>
              <w:left w:val="nil"/>
              <w:bottom w:val="single" w:sz="4" w:space="0" w:color="auto"/>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2,235.70</w:t>
            </w:r>
          </w:p>
        </w:tc>
        <w:tc>
          <w:tcPr>
            <w:tcW w:w="1497" w:type="dxa"/>
            <w:tcBorders>
              <w:top w:val="single" w:sz="4" w:space="0" w:color="auto"/>
              <w:left w:val="nil"/>
              <w:bottom w:val="single" w:sz="4" w:space="0" w:color="auto"/>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22,154.11</w:t>
            </w:r>
          </w:p>
        </w:tc>
      </w:tr>
      <w:tr w:rsidR="00863306" w:rsidRPr="000A5F34" w:rsidTr="00972A32">
        <w:trPr>
          <w:trHeight w:val="30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972A32">
        <w:trPr>
          <w:trHeight w:val="330"/>
          <w:jc w:val="center"/>
        </w:trPr>
        <w:tc>
          <w:tcPr>
            <w:tcW w:w="4780" w:type="dxa"/>
            <w:tcBorders>
              <w:top w:val="nil"/>
              <w:left w:val="nil"/>
              <w:bottom w:val="nil"/>
              <w:right w:val="nil"/>
            </w:tcBorders>
            <w:shd w:val="clear" w:color="auto" w:fill="auto"/>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0A5F34">
              <w:rPr>
                <w:b/>
                <w:bCs/>
                <w:color w:val="000000"/>
                <w:sz w:val="22"/>
                <w:szCs w:val="22"/>
                <w:lang w:val="en-US" w:eastAsia="zh-CN"/>
              </w:rPr>
              <w:t>Total au 30.06.2014</w:t>
            </w: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double" w:sz="6" w:space="0" w:color="auto"/>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23,666,503.89</w:t>
            </w:r>
          </w:p>
        </w:tc>
        <w:tc>
          <w:tcPr>
            <w:tcW w:w="1420" w:type="dxa"/>
            <w:tcBorders>
              <w:top w:val="nil"/>
              <w:left w:val="nil"/>
              <w:bottom w:val="double" w:sz="6" w:space="0" w:color="auto"/>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49,987.95</w:t>
            </w:r>
          </w:p>
        </w:tc>
        <w:tc>
          <w:tcPr>
            <w:tcW w:w="1497" w:type="dxa"/>
            <w:tcBorders>
              <w:top w:val="nil"/>
              <w:left w:val="nil"/>
              <w:bottom w:val="double" w:sz="6" w:space="0" w:color="auto"/>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23,716,491.84</w:t>
            </w:r>
          </w:p>
        </w:tc>
      </w:tr>
      <w:tr w:rsidR="00863306" w:rsidRPr="000A5F34" w:rsidTr="00972A32">
        <w:trPr>
          <w:trHeight w:val="135"/>
          <w:jc w:val="center"/>
        </w:trPr>
        <w:tc>
          <w:tcPr>
            <w:tcW w:w="478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A5F34">
              <w:rPr>
                <w:color w:val="000000"/>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863306" w:rsidRPr="000A5F34" w:rsidTr="00972A32">
        <w:trPr>
          <w:trHeight w:val="300"/>
          <w:jc w:val="center"/>
        </w:trPr>
        <w:tc>
          <w:tcPr>
            <w:tcW w:w="10454" w:type="dxa"/>
            <w:gridSpan w:val="5"/>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r w:rsidRPr="000A5F34">
              <w:rPr>
                <w:color w:val="000000"/>
                <w:sz w:val="20"/>
                <w:lang w:val="fr-CH" w:eastAsia="zh-CN"/>
              </w:rPr>
              <w:t xml:space="preserve">* Inclut les débiteurs ayant des montants dus inférieurs à CHF 5 000 pour les Etats Membres et CHF 2 000 pour les Membres </w:t>
            </w:r>
          </w:p>
        </w:tc>
      </w:tr>
      <w:tr w:rsidR="00863306" w:rsidRPr="000A5F34" w:rsidTr="00972A32">
        <w:trPr>
          <w:trHeight w:val="210"/>
          <w:jc w:val="center"/>
        </w:trPr>
        <w:tc>
          <w:tcPr>
            <w:tcW w:w="6040" w:type="dxa"/>
            <w:gridSpan w:val="2"/>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r w:rsidRPr="000A5F34">
              <w:rPr>
                <w:color w:val="000000"/>
                <w:sz w:val="20"/>
                <w:lang w:val="fr-CH" w:eastAsia="zh-CN"/>
              </w:rPr>
              <w:t xml:space="preserve">   des Secteurs, autres entités ou organisations et autres débiteurs.</w:t>
            </w: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p>
        </w:tc>
        <w:tc>
          <w:tcPr>
            <w:tcW w:w="1420"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p>
        </w:tc>
        <w:tc>
          <w:tcPr>
            <w:tcW w:w="1497" w:type="dxa"/>
            <w:tcBorders>
              <w:top w:val="nil"/>
              <w:left w:val="nil"/>
              <w:bottom w:val="nil"/>
              <w:right w:val="nil"/>
            </w:tcBorders>
            <w:shd w:val="clear" w:color="auto" w:fill="auto"/>
            <w:noWrap/>
            <w:vAlign w:val="bottom"/>
            <w:hideMark/>
          </w:tcPr>
          <w:p w:rsidR="00863306" w:rsidRPr="000A5F34"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p>
        </w:tc>
      </w:tr>
    </w:tbl>
    <w:p w:rsidR="00863306" w:rsidRPr="00306F4D" w:rsidRDefault="00863306" w:rsidP="00863306">
      <w:pPr>
        <w:spacing w:before="0"/>
        <w:rPr>
          <w:rFonts w:asciiTheme="minorHAnsi" w:hAnsiTheme="minorHAnsi"/>
          <w:lang w:val="fr-CH"/>
        </w:rPr>
      </w:pPr>
    </w:p>
    <w:p w:rsidR="00863306" w:rsidRPr="004473D5" w:rsidRDefault="00863306" w:rsidP="00863306">
      <w:pPr>
        <w:spacing w:before="0"/>
        <w:rPr>
          <w:rFonts w:asciiTheme="minorHAnsi" w:hAnsiTheme="minorHAnsi"/>
          <w:sz w:val="16"/>
          <w:szCs w:val="16"/>
        </w:rPr>
      </w:pPr>
      <w:r w:rsidRPr="00FE4485">
        <w:rPr>
          <w:rFonts w:asciiTheme="minorHAnsi" w:hAnsiTheme="minorHAnsi"/>
        </w:rPr>
        <w:br w:type="page"/>
      </w:r>
    </w:p>
    <w:p w:rsidR="00863306" w:rsidRPr="00C51B21" w:rsidRDefault="00863306" w:rsidP="00863306">
      <w:pPr>
        <w:pStyle w:val="Table"/>
        <w:keepNext w:val="0"/>
        <w:spacing w:before="0" w:after="0"/>
        <w:rPr>
          <w:rFonts w:asciiTheme="minorHAnsi" w:hAnsiTheme="minorHAnsi"/>
          <w:caps w:val="0"/>
          <w:sz w:val="28"/>
          <w:szCs w:val="28"/>
        </w:rPr>
      </w:pPr>
      <w:r w:rsidRPr="00C51B21">
        <w:rPr>
          <w:rFonts w:asciiTheme="minorHAnsi" w:hAnsiTheme="minorHAnsi"/>
          <w:caps w:val="0"/>
          <w:sz w:val="28"/>
          <w:szCs w:val="28"/>
          <w:lang w:val="fr-CH"/>
        </w:rPr>
        <w:t>ANNEXE D</w:t>
      </w:r>
    </w:p>
    <w:p w:rsidR="00863306" w:rsidRPr="009459EB" w:rsidRDefault="00863306" w:rsidP="00863306">
      <w:pPr>
        <w:spacing w:before="0"/>
        <w:rPr>
          <w:rFonts w:asciiTheme="minorHAnsi" w:hAnsiTheme="minorHAnsi"/>
        </w:rPr>
      </w:pPr>
    </w:p>
    <w:tbl>
      <w:tblPr>
        <w:tblW w:w="10080" w:type="dxa"/>
        <w:jc w:val="center"/>
        <w:tblLook w:val="04A0" w:firstRow="1" w:lastRow="0" w:firstColumn="1" w:lastColumn="0" w:noHBand="0" w:noVBand="1"/>
      </w:tblPr>
      <w:tblGrid>
        <w:gridCol w:w="3307"/>
        <w:gridCol w:w="4158"/>
        <w:gridCol w:w="1197"/>
        <w:gridCol w:w="1418"/>
      </w:tblGrid>
      <w:tr w:rsidR="00863306" w:rsidRPr="000557C2" w:rsidTr="003945DE">
        <w:trPr>
          <w:trHeight w:val="690"/>
          <w:jc w:val="center"/>
        </w:trPr>
        <w:tc>
          <w:tcPr>
            <w:tcW w:w="100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Cs w:val="24"/>
                <w:lang w:val="fr-CH" w:eastAsia="zh-CN"/>
              </w:rPr>
            </w:pPr>
            <w:r w:rsidRPr="000557C2">
              <w:rPr>
                <w:b/>
                <w:bCs/>
                <w:szCs w:val="24"/>
                <w:lang w:val="fr-CH" w:eastAsia="zh-CN"/>
              </w:rPr>
              <w:t xml:space="preserve">MONTANTS DUS CONCERNANT LES FACTURES ETABLIES POUR LES FICHES DE NOTIFICATION DES RESEAUX À SATELLITE </w:t>
            </w:r>
          </w:p>
        </w:tc>
      </w:tr>
      <w:tr w:rsidR="00863306" w:rsidRPr="000557C2" w:rsidTr="003945DE">
        <w:trPr>
          <w:trHeight w:val="150"/>
          <w:jc w:val="center"/>
        </w:trPr>
        <w:tc>
          <w:tcPr>
            <w:tcW w:w="3307" w:type="dxa"/>
            <w:tcBorders>
              <w:top w:val="nil"/>
              <w:left w:val="single" w:sz="4" w:space="0" w:color="auto"/>
              <w:bottom w:val="nil"/>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557C2">
              <w:rPr>
                <w:sz w:val="22"/>
                <w:szCs w:val="22"/>
                <w:lang w:val="fr-CH" w:eastAsia="zh-CN"/>
              </w:rPr>
              <w:t> </w:t>
            </w:r>
          </w:p>
        </w:tc>
        <w:tc>
          <w:tcPr>
            <w:tcW w:w="4158" w:type="dxa"/>
            <w:tcBorders>
              <w:top w:val="nil"/>
              <w:left w:val="nil"/>
              <w:bottom w:val="nil"/>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557C2">
              <w:rPr>
                <w:sz w:val="22"/>
                <w:szCs w:val="22"/>
                <w:lang w:val="fr-CH" w:eastAsia="zh-CN"/>
              </w:rPr>
              <w:t> </w:t>
            </w:r>
          </w:p>
        </w:tc>
        <w:tc>
          <w:tcPr>
            <w:tcW w:w="1197" w:type="dxa"/>
            <w:tcBorders>
              <w:top w:val="nil"/>
              <w:left w:val="nil"/>
              <w:bottom w:val="nil"/>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557C2">
              <w:rPr>
                <w:sz w:val="22"/>
                <w:szCs w:val="22"/>
                <w:lang w:val="fr-CH" w:eastAsia="zh-CN"/>
              </w:rPr>
              <w:t> </w:t>
            </w:r>
          </w:p>
        </w:tc>
        <w:tc>
          <w:tcPr>
            <w:tcW w:w="1418" w:type="dxa"/>
            <w:tcBorders>
              <w:top w:val="nil"/>
              <w:left w:val="nil"/>
              <w:bottom w:val="nil"/>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557C2">
              <w:rPr>
                <w:sz w:val="22"/>
                <w:szCs w:val="22"/>
                <w:lang w:val="fr-CH" w:eastAsia="zh-CN"/>
              </w:rPr>
              <w:t> </w:t>
            </w:r>
          </w:p>
        </w:tc>
      </w:tr>
      <w:tr w:rsidR="00863306" w:rsidRPr="000557C2" w:rsidTr="003945DE">
        <w:trPr>
          <w:trHeight w:val="300"/>
          <w:jc w:val="center"/>
        </w:trPr>
        <w:tc>
          <w:tcPr>
            <w:tcW w:w="3307" w:type="dxa"/>
            <w:tcBorders>
              <w:top w:val="nil"/>
              <w:left w:val="single" w:sz="4" w:space="0" w:color="auto"/>
              <w:bottom w:val="nil"/>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557C2">
              <w:rPr>
                <w:b/>
                <w:bCs/>
                <w:sz w:val="22"/>
                <w:szCs w:val="22"/>
                <w:lang w:val="en-US" w:eastAsia="zh-CN"/>
              </w:rPr>
              <w:t>Administration Notificatrice</w:t>
            </w:r>
          </w:p>
        </w:tc>
        <w:tc>
          <w:tcPr>
            <w:tcW w:w="4158" w:type="dxa"/>
            <w:tcBorders>
              <w:top w:val="nil"/>
              <w:left w:val="nil"/>
              <w:bottom w:val="nil"/>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557C2">
              <w:rPr>
                <w:b/>
                <w:bCs/>
                <w:sz w:val="22"/>
                <w:szCs w:val="22"/>
                <w:lang w:val="en-US" w:eastAsia="zh-CN"/>
              </w:rPr>
              <w:t>Entité exploitante</w:t>
            </w:r>
          </w:p>
        </w:tc>
        <w:tc>
          <w:tcPr>
            <w:tcW w:w="1197" w:type="dxa"/>
            <w:tcBorders>
              <w:top w:val="nil"/>
              <w:left w:val="nil"/>
              <w:bottom w:val="nil"/>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557C2">
              <w:rPr>
                <w:b/>
                <w:bCs/>
                <w:sz w:val="22"/>
                <w:szCs w:val="22"/>
                <w:lang w:val="en-US" w:eastAsia="zh-CN"/>
              </w:rPr>
              <w:t>Année</w:t>
            </w:r>
          </w:p>
        </w:tc>
        <w:tc>
          <w:tcPr>
            <w:tcW w:w="1418" w:type="dxa"/>
            <w:tcBorders>
              <w:top w:val="nil"/>
              <w:left w:val="nil"/>
              <w:bottom w:val="nil"/>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557C2">
              <w:rPr>
                <w:b/>
                <w:bCs/>
                <w:sz w:val="22"/>
                <w:szCs w:val="22"/>
                <w:lang w:val="en-US" w:eastAsia="zh-CN"/>
              </w:rPr>
              <w:t>Montant dû</w:t>
            </w:r>
          </w:p>
        </w:tc>
      </w:tr>
      <w:tr w:rsidR="00863306" w:rsidRPr="000557C2" w:rsidTr="003945DE">
        <w:trPr>
          <w:trHeight w:val="195"/>
          <w:jc w:val="center"/>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4158" w:type="dxa"/>
            <w:tcBorders>
              <w:top w:val="nil"/>
              <w:left w:val="nil"/>
              <w:bottom w:val="single" w:sz="4" w:space="0" w:color="auto"/>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1197" w:type="dxa"/>
            <w:tcBorders>
              <w:top w:val="nil"/>
              <w:left w:val="nil"/>
              <w:bottom w:val="single" w:sz="4" w:space="0" w:color="auto"/>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1418" w:type="dxa"/>
            <w:tcBorders>
              <w:top w:val="nil"/>
              <w:left w:val="nil"/>
              <w:bottom w:val="single" w:sz="4" w:space="0" w:color="auto"/>
              <w:right w:val="single" w:sz="4" w:space="0" w:color="auto"/>
            </w:tcBorders>
            <w:shd w:val="clear" w:color="auto" w:fill="auto"/>
            <w:noWrap/>
            <w:vAlign w:val="bottom"/>
            <w:hideMark/>
          </w:tcPr>
          <w:p w:rsidR="00863306" w:rsidRPr="008E3FA5"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E3FA5">
              <w:rPr>
                <w:b/>
                <w:bCs/>
                <w:sz w:val="22"/>
                <w:szCs w:val="22"/>
                <w:lang w:val="en-US" w:eastAsia="zh-CN"/>
              </w:rPr>
              <w:t>CHF</w:t>
            </w:r>
          </w:p>
        </w:tc>
      </w:tr>
      <w:tr w:rsidR="00863306" w:rsidRPr="000557C2" w:rsidTr="003945DE">
        <w:trPr>
          <w:trHeight w:val="300"/>
          <w:jc w:val="center"/>
        </w:trPr>
        <w:tc>
          <w:tcPr>
            <w:tcW w:w="3307" w:type="dxa"/>
            <w:tcBorders>
              <w:top w:val="nil"/>
              <w:left w:val="single" w:sz="4" w:space="0" w:color="auto"/>
              <w:bottom w:val="nil"/>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textAlignment w:val="auto"/>
              <w:rPr>
                <w:b/>
                <w:bCs/>
                <w:sz w:val="22"/>
                <w:szCs w:val="22"/>
                <w:lang w:val="en-US" w:eastAsia="zh-CN"/>
              </w:rPr>
            </w:pPr>
            <w:r w:rsidRPr="000557C2">
              <w:rPr>
                <w:b/>
                <w:bCs/>
                <w:sz w:val="22"/>
                <w:szCs w:val="22"/>
                <w:lang w:val="en-US" w:eastAsia="zh-CN"/>
              </w:rPr>
              <w:t>Canada</w:t>
            </w:r>
          </w:p>
        </w:tc>
        <w:tc>
          <w:tcPr>
            <w:tcW w:w="4158" w:type="dxa"/>
            <w:tcBorders>
              <w:top w:val="nil"/>
              <w:left w:val="nil"/>
              <w:bottom w:val="nil"/>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textAlignment w:val="auto"/>
              <w:rPr>
                <w:sz w:val="22"/>
                <w:szCs w:val="22"/>
                <w:lang w:val="en-US" w:eastAsia="zh-CN"/>
              </w:rPr>
            </w:pPr>
            <w:r w:rsidRPr="000557C2">
              <w:rPr>
                <w:sz w:val="22"/>
                <w:szCs w:val="22"/>
                <w:lang w:val="en-US" w:eastAsia="zh-CN"/>
              </w:rPr>
              <w:t>Industry Canada</w:t>
            </w:r>
          </w:p>
        </w:tc>
        <w:tc>
          <w:tcPr>
            <w:tcW w:w="1197"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jc w:val="center"/>
              <w:textAlignment w:val="auto"/>
              <w:rPr>
                <w:sz w:val="22"/>
                <w:szCs w:val="22"/>
                <w:lang w:val="en-US" w:eastAsia="zh-CN"/>
              </w:rPr>
            </w:pPr>
            <w:r w:rsidRPr="000557C2">
              <w:rPr>
                <w:sz w:val="22"/>
                <w:szCs w:val="22"/>
                <w:lang w:val="en-US" w:eastAsia="zh-CN"/>
              </w:rPr>
              <w:t>2010</w:t>
            </w:r>
          </w:p>
        </w:tc>
        <w:tc>
          <w:tcPr>
            <w:tcW w:w="1418"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jc w:val="right"/>
              <w:textAlignment w:val="auto"/>
              <w:rPr>
                <w:sz w:val="22"/>
                <w:szCs w:val="22"/>
                <w:lang w:val="en-US" w:eastAsia="zh-CN"/>
              </w:rPr>
            </w:pPr>
            <w:r w:rsidRPr="000557C2">
              <w:rPr>
                <w:sz w:val="22"/>
                <w:szCs w:val="22"/>
                <w:lang w:val="en-US" w:eastAsia="zh-CN"/>
              </w:rPr>
              <w:t>39,523.80</w:t>
            </w:r>
          </w:p>
        </w:tc>
      </w:tr>
      <w:tr w:rsidR="00863306" w:rsidRPr="000557C2" w:rsidTr="003945DE">
        <w:trPr>
          <w:trHeight w:val="300"/>
          <w:jc w:val="center"/>
        </w:trPr>
        <w:tc>
          <w:tcPr>
            <w:tcW w:w="3307" w:type="dxa"/>
            <w:tcBorders>
              <w:top w:val="nil"/>
              <w:left w:val="single" w:sz="4" w:space="0" w:color="auto"/>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textAlignment w:val="auto"/>
              <w:rPr>
                <w:b/>
                <w:bCs/>
                <w:sz w:val="22"/>
                <w:szCs w:val="22"/>
                <w:lang w:val="en-US" w:eastAsia="zh-CN"/>
              </w:rPr>
            </w:pPr>
            <w:r w:rsidRPr="000557C2">
              <w:rPr>
                <w:b/>
                <w:bCs/>
                <w:sz w:val="22"/>
                <w:szCs w:val="22"/>
                <w:lang w:val="en-US" w:eastAsia="zh-CN"/>
              </w:rPr>
              <w:t>Etats-Unis d'Amérique</w:t>
            </w:r>
          </w:p>
        </w:tc>
        <w:tc>
          <w:tcPr>
            <w:tcW w:w="4158"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textAlignment w:val="auto"/>
              <w:rPr>
                <w:sz w:val="22"/>
                <w:szCs w:val="22"/>
                <w:lang w:val="en-US" w:eastAsia="zh-CN"/>
              </w:rPr>
            </w:pPr>
            <w:r w:rsidRPr="000557C2">
              <w:rPr>
                <w:sz w:val="22"/>
                <w:szCs w:val="22"/>
                <w:lang w:val="en-US" w:eastAsia="zh-CN"/>
              </w:rPr>
              <w:t>Leading Edge Technologies</w:t>
            </w:r>
          </w:p>
        </w:tc>
        <w:tc>
          <w:tcPr>
            <w:tcW w:w="1197"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jc w:val="center"/>
              <w:textAlignment w:val="auto"/>
              <w:rPr>
                <w:sz w:val="22"/>
                <w:szCs w:val="22"/>
                <w:lang w:val="en-US" w:eastAsia="zh-CN"/>
              </w:rPr>
            </w:pPr>
            <w:r w:rsidRPr="000557C2">
              <w:rPr>
                <w:sz w:val="22"/>
                <w:szCs w:val="22"/>
                <w:lang w:val="en-US" w:eastAsia="zh-CN"/>
              </w:rPr>
              <w:t>2008-2009</w:t>
            </w:r>
          </w:p>
        </w:tc>
        <w:tc>
          <w:tcPr>
            <w:tcW w:w="1418"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jc w:val="right"/>
              <w:textAlignment w:val="auto"/>
              <w:rPr>
                <w:sz w:val="22"/>
                <w:szCs w:val="22"/>
                <w:lang w:val="en-US" w:eastAsia="zh-CN"/>
              </w:rPr>
            </w:pPr>
            <w:r w:rsidRPr="000557C2">
              <w:rPr>
                <w:sz w:val="22"/>
                <w:szCs w:val="22"/>
                <w:lang w:val="en-US" w:eastAsia="zh-CN"/>
              </w:rPr>
              <w:t>96,091.80</w:t>
            </w:r>
          </w:p>
        </w:tc>
      </w:tr>
      <w:tr w:rsidR="00863306" w:rsidRPr="000557C2" w:rsidTr="003945DE">
        <w:trPr>
          <w:trHeight w:val="300"/>
          <w:jc w:val="center"/>
        </w:trPr>
        <w:tc>
          <w:tcPr>
            <w:tcW w:w="3307" w:type="dxa"/>
            <w:tcBorders>
              <w:top w:val="nil"/>
              <w:left w:val="single" w:sz="4" w:space="0" w:color="auto"/>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textAlignment w:val="auto"/>
              <w:rPr>
                <w:b/>
                <w:bCs/>
                <w:sz w:val="22"/>
                <w:szCs w:val="22"/>
                <w:lang w:val="en-US" w:eastAsia="zh-CN"/>
              </w:rPr>
            </w:pPr>
            <w:r w:rsidRPr="000557C2">
              <w:rPr>
                <w:b/>
                <w:bCs/>
                <w:sz w:val="22"/>
                <w:szCs w:val="22"/>
                <w:lang w:val="en-US" w:eastAsia="zh-CN"/>
              </w:rPr>
              <w:t>Fédération de Russie</w:t>
            </w:r>
          </w:p>
        </w:tc>
        <w:tc>
          <w:tcPr>
            <w:tcW w:w="4158"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textAlignment w:val="auto"/>
              <w:rPr>
                <w:sz w:val="22"/>
                <w:szCs w:val="22"/>
                <w:lang w:val="en-US" w:eastAsia="zh-CN"/>
              </w:rPr>
            </w:pPr>
            <w:r w:rsidRPr="000557C2">
              <w:rPr>
                <w:sz w:val="22"/>
                <w:szCs w:val="22"/>
                <w:lang w:val="en-US" w:eastAsia="zh-CN"/>
              </w:rPr>
              <w:t>Global Information Systems GIS</w:t>
            </w:r>
          </w:p>
        </w:tc>
        <w:tc>
          <w:tcPr>
            <w:tcW w:w="1197"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jc w:val="center"/>
              <w:textAlignment w:val="auto"/>
              <w:rPr>
                <w:sz w:val="22"/>
                <w:szCs w:val="22"/>
                <w:lang w:val="en-US" w:eastAsia="zh-CN"/>
              </w:rPr>
            </w:pPr>
            <w:r w:rsidRPr="000557C2">
              <w:rPr>
                <w:sz w:val="22"/>
                <w:szCs w:val="22"/>
                <w:lang w:val="en-US" w:eastAsia="zh-CN"/>
              </w:rPr>
              <w:t>2003</w:t>
            </w:r>
          </w:p>
        </w:tc>
        <w:tc>
          <w:tcPr>
            <w:tcW w:w="1418"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jc w:val="right"/>
              <w:textAlignment w:val="auto"/>
              <w:rPr>
                <w:sz w:val="22"/>
                <w:szCs w:val="22"/>
                <w:lang w:val="en-US" w:eastAsia="zh-CN"/>
              </w:rPr>
            </w:pPr>
            <w:r w:rsidRPr="000557C2">
              <w:rPr>
                <w:sz w:val="22"/>
                <w:szCs w:val="22"/>
                <w:lang w:val="en-US" w:eastAsia="zh-CN"/>
              </w:rPr>
              <w:t>281,003.01</w:t>
            </w:r>
          </w:p>
        </w:tc>
      </w:tr>
      <w:tr w:rsidR="00863306" w:rsidRPr="000557C2" w:rsidTr="003945DE">
        <w:trPr>
          <w:trHeight w:val="300"/>
          <w:jc w:val="center"/>
        </w:trPr>
        <w:tc>
          <w:tcPr>
            <w:tcW w:w="3307" w:type="dxa"/>
            <w:tcBorders>
              <w:top w:val="nil"/>
              <w:left w:val="single" w:sz="4" w:space="0" w:color="auto"/>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textAlignment w:val="auto"/>
              <w:rPr>
                <w:b/>
                <w:bCs/>
                <w:sz w:val="22"/>
                <w:szCs w:val="22"/>
                <w:lang w:val="en-US" w:eastAsia="zh-CN"/>
              </w:rPr>
            </w:pPr>
            <w:r w:rsidRPr="000557C2">
              <w:rPr>
                <w:b/>
                <w:bCs/>
                <w:sz w:val="22"/>
                <w:szCs w:val="22"/>
                <w:lang w:val="en-US" w:eastAsia="zh-CN"/>
              </w:rPr>
              <w:t> </w:t>
            </w:r>
          </w:p>
        </w:tc>
        <w:tc>
          <w:tcPr>
            <w:tcW w:w="4158"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textAlignment w:val="auto"/>
              <w:rPr>
                <w:sz w:val="22"/>
                <w:szCs w:val="22"/>
                <w:lang w:val="en-US" w:eastAsia="zh-CN"/>
              </w:rPr>
            </w:pPr>
            <w:r w:rsidRPr="000557C2">
              <w:rPr>
                <w:sz w:val="22"/>
                <w:szCs w:val="22"/>
                <w:lang w:val="en-US" w:eastAsia="zh-CN"/>
              </w:rPr>
              <w:t>General Radio Frequency Centre</w:t>
            </w:r>
          </w:p>
        </w:tc>
        <w:tc>
          <w:tcPr>
            <w:tcW w:w="1197"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jc w:val="center"/>
              <w:textAlignment w:val="auto"/>
              <w:rPr>
                <w:sz w:val="22"/>
                <w:szCs w:val="22"/>
                <w:lang w:val="en-US" w:eastAsia="zh-CN"/>
              </w:rPr>
            </w:pPr>
            <w:r w:rsidRPr="000557C2">
              <w:rPr>
                <w:sz w:val="22"/>
                <w:szCs w:val="22"/>
                <w:lang w:val="en-US" w:eastAsia="zh-CN"/>
              </w:rPr>
              <w:t>2003</w:t>
            </w:r>
          </w:p>
        </w:tc>
        <w:tc>
          <w:tcPr>
            <w:tcW w:w="1418"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jc w:val="right"/>
              <w:textAlignment w:val="auto"/>
              <w:rPr>
                <w:sz w:val="22"/>
                <w:szCs w:val="22"/>
                <w:lang w:val="en-US" w:eastAsia="zh-CN"/>
              </w:rPr>
            </w:pPr>
            <w:r w:rsidRPr="000557C2">
              <w:rPr>
                <w:sz w:val="22"/>
                <w:szCs w:val="22"/>
                <w:lang w:val="en-US" w:eastAsia="zh-CN"/>
              </w:rPr>
              <w:t>14,894.45</w:t>
            </w:r>
          </w:p>
        </w:tc>
      </w:tr>
      <w:tr w:rsidR="00863306" w:rsidRPr="000557C2" w:rsidTr="003945DE">
        <w:trPr>
          <w:trHeight w:val="300"/>
          <w:jc w:val="center"/>
        </w:trPr>
        <w:tc>
          <w:tcPr>
            <w:tcW w:w="3307" w:type="dxa"/>
            <w:tcBorders>
              <w:top w:val="nil"/>
              <w:left w:val="single" w:sz="4" w:space="0" w:color="auto"/>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textAlignment w:val="auto"/>
              <w:rPr>
                <w:b/>
                <w:bCs/>
                <w:sz w:val="22"/>
                <w:szCs w:val="22"/>
                <w:lang w:val="en-US" w:eastAsia="zh-CN"/>
              </w:rPr>
            </w:pPr>
            <w:r w:rsidRPr="000557C2">
              <w:rPr>
                <w:b/>
                <w:bCs/>
                <w:sz w:val="22"/>
                <w:szCs w:val="22"/>
                <w:lang w:val="en-US" w:eastAsia="zh-CN"/>
              </w:rPr>
              <w:t>France</w:t>
            </w:r>
          </w:p>
        </w:tc>
        <w:tc>
          <w:tcPr>
            <w:tcW w:w="4158" w:type="dxa"/>
            <w:tcBorders>
              <w:top w:val="nil"/>
              <w:left w:val="nil"/>
              <w:bottom w:val="nil"/>
              <w:right w:val="single" w:sz="4" w:space="0" w:color="auto"/>
            </w:tcBorders>
            <w:shd w:val="clear" w:color="auto" w:fill="auto"/>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textAlignment w:val="auto"/>
              <w:rPr>
                <w:sz w:val="22"/>
                <w:szCs w:val="22"/>
                <w:lang w:val="fr-CH" w:eastAsia="zh-CN"/>
              </w:rPr>
            </w:pPr>
            <w:r w:rsidRPr="000557C2">
              <w:rPr>
                <w:sz w:val="22"/>
                <w:szCs w:val="22"/>
                <w:lang w:val="fr-CH" w:eastAsia="zh-CN"/>
              </w:rPr>
              <w:t>Ag. Nationale des Fréquences-ANFR</w:t>
            </w:r>
          </w:p>
        </w:tc>
        <w:tc>
          <w:tcPr>
            <w:tcW w:w="1197"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jc w:val="center"/>
              <w:textAlignment w:val="auto"/>
              <w:rPr>
                <w:sz w:val="22"/>
                <w:szCs w:val="22"/>
                <w:lang w:val="en-US" w:eastAsia="zh-CN"/>
              </w:rPr>
            </w:pPr>
            <w:r w:rsidRPr="000557C2">
              <w:rPr>
                <w:sz w:val="22"/>
                <w:szCs w:val="22"/>
                <w:lang w:val="en-US" w:eastAsia="zh-CN"/>
              </w:rPr>
              <w:t>2010</w:t>
            </w:r>
          </w:p>
        </w:tc>
        <w:tc>
          <w:tcPr>
            <w:tcW w:w="1418"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120"/>
              <w:jc w:val="right"/>
              <w:textAlignment w:val="auto"/>
              <w:rPr>
                <w:sz w:val="22"/>
                <w:szCs w:val="22"/>
                <w:lang w:val="en-US" w:eastAsia="zh-CN"/>
              </w:rPr>
            </w:pPr>
            <w:r w:rsidRPr="000557C2">
              <w:rPr>
                <w:sz w:val="22"/>
                <w:szCs w:val="22"/>
                <w:lang w:val="en-US" w:eastAsia="zh-CN"/>
              </w:rPr>
              <w:t>1,834.51</w:t>
            </w:r>
          </w:p>
        </w:tc>
      </w:tr>
      <w:tr w:rsidR="00863306" w:rsidRPr="000557C2" w:rsidTr="003945DE">
        <w:trPr>
          <w:trHeight w:val="660"/>
          <w:jc w:val="center"/>
        </w:trPr>
        <w:tc>
          <w:tcPr>
            <w:tcW w:w="3307" w:type="dxa"/>
            <w:tcBorders>
              <w:top w:val="nil"/>
              <w:left w:val="single" w:sz="4" w:space="0" w:color="auto"/>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557C2">
              <w:rPr>
                <w:b/>
                <w:bCs/>
                <w:sz w:val="22"/>
                <w:szCs w:val="22"/>
                <w:lang w:val="en-US" w:eastAsia="zh-CN"/>
              </w:rPr>
              <w:t>Iran</w:t>
            </w:r>
          </w:p>
        </w:tc>
        <w:tc>
          <w:tcPr>
            <w:tcW w:w="4158" w:type="dxa"/>
            <w:tcBorders>
              <w:top w:val="nil"/>
              <w:left w:val="nil"/>
              <w:bottom w:val="nil"/>
              <w:right w:val="single" w:sz="4" w:space="0" w:color="auto"/>
            </w:tcBorders>
            <w:shd w:val="clear" w:color="auto" w:fill="auto"/>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xml:space="preserve">Ministry of Information &amp; Communication Technology (MICT) </w:t>
            </w:r>
          </w:p>
        </w:tc>
        <w:tc>
          <w:tcPr>
            <w:tcW w:w="1197"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557C2">
              <w:rPr>
                <w:sz w:val="22"/>
                <w:szCs w:val="22"/>
                <w:lang w:val="en-US" w:eastAsia="zh-CN"/>
              </w:rPr>
              <w:t>2012</w:t>
            </w:r>
          </w:p>
        </w:tc>
        <w:tc>
          <w:tcPr>
            <w:tcW w:w="1418"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557C2">
              <w:rPr>
                <w:sz w:val="22"/>
                <w:szCs w:val="22"/>
                <w:lang w:val="en-US" w:eastAsia="zh-CN"/>
              </w:rPr>
              <w:t>61,204.40</w:t>
            </w:r>
          </w:p>
        </w:tc>
      </w:tr>
      <w:tr w:rsidR="00863306" w:rsidRPr="000557C2" w:rsidTr="003945DE">
        <w:trPr>
          <w:trHeight w:val="600"/>
          <w:jc w:val="center"/>
        </w:trPr>
        <w:tc>
          <w:tcPr>
            <w:tcW w:w="3307" w:type="dxa"/>
            <w:tcBorders>
              <w:top w:val="nil"/>
              <w:left w:val="single" w:sz="4" w:space="0" w:color="auto"/>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557C2">
              <w:rPr>
                <w:b/>
                <w:bCs/>
                <w:sz w:val="22"/>
                <w:szCs w:val="22"/>
                <w:lang w:val="en-US" w:eastAsia="zh-CN"/>
              </w:rPr>
              <w:t>Nigéria</w:t>
            </w:r>
          </w:p>
        </w:tc>
        <w:tc>
          <w:tcPr>
            <w:tcW w:w="4158" w:type="dxa"/>
            <w:tcBorders>
              <w:top w:val="nil"/>
              <w:left w:val="nil"/>
              <w:bottom w:val="nil"/>
              <w:right w:val="single" w:sz="4" w:space="0" w:color="auto"/>
            </w:tcBorders>
            <w:shd w:val="clear" w:color="auto" w:fill="auto"/>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Federal Ministry of Communication Technology</w:t>
            </w:r>
          </w:p>
        </w:tc>
        <w:tc>
          <w:tcPr>
            <w:tcW w:w="1197"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557C2">
              <w:rPr>
                <w:sz w:val="22"/>
                <w:szCs w:val="22"/>
                <w:lang w:val="en-US" w:eastAsia="zh-CN"/>
              </w:rPr>
              <w:t>2012</w:t>
            </w:r>
          </w:p>
        </w:tc>
        <w:tc>
          <w:tcPr>
            <w:tcW w:w="1418"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557C2">
              <w:rPr>
                <w:sz w:val="22"/>
                <w:szCs w:val="22"/>
                <w:lang w:val="en-US" w:eastAsia="zh-CN"/>
              </w:rPr>
              <w:t>1,623.00</w:t>
            </w:r>
          </w:p>
        </w:tc>
      </w:tr>
      <w:tr w:rsidR="00863306" w:rsidRPr="000557C2" w:rsidTr="003945DE">
        <w:trPr>
          <w:trHeight w:val="705"/>
          <w:jc w:val="center"/>
        </w:trPr>
        <w:tc>
          <w:tcPr>
            <w:tcW w:w="3307" w:type="dxa"/>
            <w:tcBorders>
              <w:top w:val="nil"/>
              <w:left w:val="single" w:sz="4" w:space="0" w:color="auto"/>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60"/>
              <w:textAlignment w:val="auto"/>
              <w:rPr>
                <w:b/>
                <w:bCs/>
                <w:sz w:val="22"/>
                <w:szCs w:val="22"/>
                <w:lang w:val="en-US" w:eastAsia="zh-CN"/>
              </w:rPr>
            </w:pPr>
            <w:r w:rsidRPr="000557C2">
              <w:rPr>
                <w:b/>
                <w:bCs/>
                <w:sz w:val="22"/>
                <w:szCs w:val="22"/>
                <w:lang w:val="en-US" w:eastAsia="zh-CN"/>
              </w:rPr>
              <w:t>Philippines</w:t>
            </w:r>
          </w:p>
        </w:tc>
        <w:tc>
          <w:tcPr>
            <w:tcW w:w="4158" w:type="dxa"/>
            <w:tcBorders>
              <w:top w:val="nil"/>
              <w:left w:val="nil"/>
              <w:bottom w:val="nil"/>
              <w:right w:val="single" w:sz="4" w:space="0" w:color="auto"/>
            </w:tcBorders>
            <w:shd w:val="clear" w:color="auto" w:fill="auto"/>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60"/>
              <w:textAlignment w:val="auto"/>
              <w:rPr>
                <w:sz w:val="22"/>
                <w:szCs w:val="22"/>
                <w:lang w:val="en-US" w:eastAsia="zh-CN"/>
              </w:rPr>
            </w:pPr>
            <w:r w:rsidRPr="000557C2">
              <w:rPr>
                <w:sz w:val="22"/>
                <w:szCs w:val="22"/>
                <w:lang w:val="en-US" w:eastAsia="zh-CN"/>
              </w:rPr>
              <w:t>Commission on Information and Communications Technology (CICT)</w:t>
            </w:r>
          </w:p>
        </w:tc>
        <w:tc>
          <w:tcPr>
            <w:tcW w:w="1197"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60"/>
              <w:jc w:val="center"/>
              <w:textAlignment w:val="auto"/>
              <w:rPr>
                <w:sz w:val="22"/>
                <w:szCs w:val="22"/>
                <w:lang w:val="en-US" w:eastAsia="zh-CN"/>
              </w:rPr>
            </w:pPr>
            <w:r w:rsidRPr="000557C2">
              <w:rPr>
                <w:sz w:val="22"/>
                <w:szCs w:val="22"/>
                <w:lang w:val="en-US" w:eastAsia="zh-CN"/>
              </w:rPr>
              <w:t>2003</w:t>
            </w:r>
          </w:p>
        </w:tc>
        <w:tc>
          <w:tcPr>
            <w:tcW w:w="1418"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60"/>
              <w:jc w:val="right"/>
              <w:textAlignment w:val="auto"/>
              <w:rPr>
                <w:sz w:val="22"/>
                <w:szCs w:val="22"/>
                <w:lang w:val="en-US" w:eastAsia="zh-CN"/>
              </w:rPr>
            </w:pPr>
            <w:r w:rsidRPr="000557C2">
              <w:rPr>
                <w:sz w:val="22"/>
                <w:szCs w:val="22"/>
                <w:lang w:val="en-US" w:eastAsia="zh-CN"/>
              </w:rPr>
              <w:t>9,188.45</w:t>
            </w:r>
          </w:p>
        </w:tc>
      </w:tr>
      <w:tr w:rsidR="00863306" w:rsidRPr="000557C2" w:rsidTr="003945DE">
        <w:trPr>
          <w:trHeight w:val="300"/>
          <w:jc w:val="center"/>
        </w:trPr>
        <w:tc>
          <w:tcPr>
            <w:tcW w:w="3307" w:type="dxa"/>
            <w:tcBorders>
              <w:top w:val="nil"/>
              <w:left w:val="single" w:sz="4" w:space="0" w:color="auto"/>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60"/>
              <w:textAlignment w:val="auto"/>
              <w:rPr>
                <w:b/>
                <w:bCs/>
                <w:sz w:val="22"/>
                <w:szCs w:val="22"/>
                <w:lang w:val="en-US" w:eastAsia="zh-CN"/>
              </w:rPr>
            </w:pPr>
            <w:r w:rsidRPr="000557C2">
              <w:rPr>
                <w:b/>
                <w:bCs/>
                <w:sz w:val="22"/>
                <w:szCs w:val="22"/>
                <w:lang w:val="en-US" w:eastAsia="zh-CN"/>
              </w:rPr>
              <w:t>République tchèque</w:t>
            </w:r>
          </w:p>
        </w:tc>
        <w:tc>
          <w:tcPr>
            <w:tcW w:w="4158"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60"/>
              <w:textAlignment w:val="auto"/>
              <w:rPr>
                <w:sz w:val="22"/>
                <w:szCs w:val="22"/>
                <w:lang w:val="en-US" w:eastAsia="zh-CN"/>
              </w:rPr>
            </w:pPr>
            <w:r w:rsidRPr="000557C2">
              <w:rPr>
                <w:sz w:val="22"/>
                <w:szCs w:val="22"/>
                <w:lang w:val="en-US" w:eastAsia="zh-CN"/>
              </w:rPr>
              <w:t>CESA  sat a.s.</w:t>
            </w:r>
          </w:p>
        </w:tc>
        <w:tc>
          <w:tcPr>
            <w:tcW w:w="1197"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60"/>
              <w:jc w:val="center"/>
              <w:textAlignment w:val="auto"/>
              <w:rPr>
                <w:sz w:val="22"/>
                <w:szCs w:val="22"/>
                <w:lang w:val="en-US" w:eastAsia="zh-CN"/>
              </w:rPr>
            </w:pPr>
            <w:r w:rsidRPr="000557C2">
              <w:rPr>
                <w:sz w:val="22"/>
                <w:szCs w:val="22"/>
                <w:lang w:val="en-US" w:eastAsia="zh-CN"/>
              </w:rPr>
              <w:t>2008</w:t>
            </w:r>
          </w:p>
        </w:tc>
        <w:tc>
          <w:tcPr>
            <w:tcW w:w="1418"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snapToGrid w:val="0"/>
              <w:spacing w:before="0" w:after="60"/>
              <w:jc w:val="right"/>
              <w:textAlignment w:val="auto"/>
              <w:rPr>
                <w:sz w:val="22"/>
                <w:szCs w:val="22"/>
                <w:lang w:val="en-US" w:eastAsia="zh-CN"/>
              </w:rPr>
            </w:pPr>
            <w:r w:rsidRPr="000557C2">
              <w:rPr>
                <w:sz w:val="22"/>
                <w:szCs w:val="22"/>
                <w:lang w:val="en-US" w:eastAsia="zh-CN"/>
              </w:rPr>
              <w:t>65,894.20</w:t>
            </w:r>
          </w:p>
        </w:tc>
      </w:tr>
      <w:tr w:rsidR="00863306" w:rsidRPr="000557C2" w:rsidTr="003945DE">
        <w:trPr>
          <w:trHeight w:val="300"/>
          <w:jc w:val="center"/>
        </w:trPr>
        <w:tc>
          <w:tcPr>
            <w:tcW w:w="3307" w:type="dxa"/>
            <w:tcBorders>
              <w:top w:val="nil"/>
              <w:left w:val="single" w:sz="4" w:space="0" w:color="auto"/>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557C2">
              <w:rPr>
                <w:b/>
                <w:bCs/>
                <w:sz w:val="22"/>
                <w:szCs w:val="22"/>
                <w:lang w:val="en-US" w:eastAsia="zh-CN"/>
              </w:rPr>
              <w:t> </w:t>
            </w:r>
          </w:p>
        </w:tc>
        <w:tc>
          <w:tcPr>
            <w:tcW w:w="4158" w:type="dxa"/>
            <w:tcBorders>
              <w:top w:val="nil"/>
              <w:left w:val="nil"/>
              <w:bottom w:val="nil"/>
              <w:right w:val="single" w:sz="4" w:space="0" w:color="auto"/>
            </w:tcBorders>
            <w:shd w:val="clear" w:color="auto" w:fill="auto"/>
            <w:noWrap/>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1197" w:type="dxa"/>
            <w:tcBorders>
              <w:top w:val="nil"/>
              <w:left w:val="nil"/>
              <w:bottom w:val="nil"/>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557C2">
              <w:rPr>
                <w:sz w:val="22"/>
                <w:szCs w:val="22"/>
                <w:lang w:val="en-US" w:eastAsia="zh-CN"/>
              </w:rPr>
              <w:t> </w:t>
            </w:r>
          </w:p>
        </w:tc>
        <w:tc>
          <w:tcPr>
            <w:tcW w:w="1418" w:type="dxa"/>
            <w:tcBorders>
              <w:top w:val="nil"/>
              <w:left w:val="nil"/>
              <w:bottom w:val="single" w:sz="4" w:space="0" w:color="auto"/>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r>
      <w:tr w:rsidR="00863306" w:rsidRPr="000557C2" w:rsidTr="003945DE">
        <w:trPr>
          <w:trHeight w:val="165"/>
          <w:jc w:val="center"/>
        </w:trPr>
        <w:tc>
          <w:tcPr>
            <w:tcW w:w="3307" w:type="dxa"/>
            <w:tcBorders>
              <w:top w:val="nil"/>
              <w:left w:val="single" w:sz="4" w:space="0" w:color="auto"/>
              <w:bottom w:val="nil"/>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4158" w:type="dxa"/>
            <w:tcBorders>
              <w:top w:val="nil"/>
              <w:left w:val="nil"/>
              <w:bottom w:val="nil"/>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1197" w:type="dxa"/>
            <w:tcBorders>
              <w:top w:val="nil"/>
              <w:left w:val="nil"/>
              <w:bottom w:val="nil"/>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1418" w:type="dxa"/>
            <w:tcBorders>
              <w:top w:val="nil"/>
              <w:left w:val="nil"/>
              <w:bottom w:val="nil"/>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r>
      <w:tr w:rsidR="00863306" w:rsidRPr="000557C2" w:rsidTr="003945DE">
        <w:trPr>
          <w:trHeight w:val="300"/>
          <w:jc w:val="center"/>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557C2">
              <w:rPr>
                <w:b/>
                <w:bCs/>
                <w:sz w:val="22"/>
                <w:szCs w:val="22"/>
                <w:lang w:val="en-US" w:eastAsia="zh-CN"/>
              </w:rPr>
              <w:t>Total des arriérés au 30.06</w:t>
            </w:r>
            <w:r>
              <w:rPr>
                <w:b/>
                <w:bCs/>
                <w:sz w:val="22"/>
                <w:szCs w:val="22"/>
                <w:lang w:val="en-US" w:eastAsia="zh-CN"/>
              </w:rPr>
              <w:t>.</w:t>
            </w:r>
            <w:r w:rsidRPr="000557C2">
              <w:rPr>
                <w:b/>
                <w:bCs/>
                <w:sz w:val="22"/>
                <w:szCs w:val="22"/>
                <w:lang w:val="en-US" w:eastAsia="zh-CN"/>
              </w:rPr>
              <w:t>2014</w:t>
            </w:r>
          </w:p>
        </w:tc>
        <w:tc>
          <w:tcPr>
            <w:tcW w:w="4158" w:type="dxa"/>
            <w:tcBorders>
              <w:top w:val="nil"/>
              <w:left w:val="nil"/>
              <w:bottom w:val="single" w:sz="4" w:space="0" w:color="auto"/>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1197" w:type="dxa"/>
            <w:tcBorders>
              <w:top w:val="nil"/>
              <w:left w:val="nil"/>
              <w:bottom w:val="single" w:sz="4" w:space="0" w:color="auto"/>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1418" w:type="dxa"/>
            <w:tcBorders>
              <w:top w:val="nil"/>
              <w:left w:val="nil"/>
              <w:bottom w:val="single" w:sz="4" w:space="0" w:color="auto"/>
              <w:right w:val="single" w:sz="4" w:space="0" w:color="auto"/>
            </w:tcBorders>
            <w:shd w:val="clear" w:color="auto" w:fill="auto"/>
            <w:noWrap/>
            <w:vAlign w:val="bottom"/>
            <w:hideMark/>
          </w:tcPr>
          <w:p w:rsidR="00863306" w:rsidRPr="000557C2"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557C2">
              <w:rPr>
                <w:b/>
                <w:bCs/>
                <w:sz w:val="22"/>
                <w:szCs w:val="22"/>
                <w:lang w:val="en-US" w:eastAsia="zh-CN"/>
              </w:rPr>
              <w:t>571,257.62</w:t>
            </w:r>
          </w:p>
        </w:tc>
      </w:tr>
    </w:tbl>
    <w:p w:rsidR="00863306" w:rsidRDefault="00863306" w:rsidP="0086330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p>
    <w:p w:rsidR="00863306" w:rsidRDefault="00863306" w:rsidP="00863306">
      <w:pPr>
        <w:pStyle w:val="Heading1"/>
      </w:pPr>
    </w:p>
    <w:tbl>
      <w:tblPr>
        <w:tblW w:w="9880" w:type="dxa"/>
        <w:jc w:val="center"/>
        <w:tblLook w:val="04A0" w:firstRow="1" w:lastRow="0" w:firstColumn="1" w:lastColumn="0" w:noHBand="0" w:noVBand="1"/>
      </w:tblPr>
      <w:tblGrid>
        <w:gridCol w:w="3500"/>
        <w:gridCol w:w="4312"/>
        <w:gridCol w:w="807"/>
        <w:gridCol w:w="1332"/>
      </w:tblGrid>
      <w:tr w:rsidR="00863306" w:rsidRPr="000D0562" w:rsidTr="00F1395C">
        <w:trPr>
          <w:trHeight w:val="690"/>
          <w:jc w:val="center"/>
        </w:trPr>
        <w:tc>
          <w:tcPr>
            <w:tcW w:w="98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Cs w:val="24"/>
                <w:lang w:val="fr-CH" w:eastAsia="zh-CN"/>
              </w:rPr>
            </w:pPr>
            <w:r w:rsidRPr="000D0562">
              <w:rPr>
                <w:b/>
                <w:bCs/>
                <w:szCs w:val="24"/>
                <w:lang w:val="fr-CH" w:eastAsia="zh-CN"/>
              </w:rPr>
              <w:t>MONTANTS DUS CONCERNANT LES FACTURES DIVERS</w:t>
            </w:r>
          </w:p>
        </w:tc>
      </w:tr>
      <w:tr w:rsidR="00863306" w:rsidRPr="000D0562" w:rsidTr="00F1395C">
        <w:trPr>
          <w:trHeight w:val="150"/>
          <w:jc w:val="center"/>
        </w:trPr>
        <w:tc>
          <w:tcPr>
            <w:tcW w:w="3500" w:type="dxa"/>
            <w:tcBorders>
              <w:top w:val="nil"/>
              <w:left w:val="single" w:sz="4" w:space="0" w:color="auto"/>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D0562">
              <w:rPr>
                <w:sz w:val="22"/>
                <w:szCs w:val="22"/>
                <w:lang w:val="fr-CH" w:eastAsia="zh-CN"/>
              </w:rPr>
              <w:t> </w:t>
            </w:r>
          </w:p>
        </w:tc>
        <w:tc>
          <w:tcPr>
            <w:tcW w:w="4312" w:type="dxa"/>
            <w:tcBorders>
              <w:top w:val="nil"/>
              <w:left w:val="nil"/>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D0562">
              <w:rPr>
                <w:sz w:val="22"/>
                <w:szCs w:val="22"/>
                <w:lang w:val="fr-CH" w:eastAsia="zh-CN"/>
              </w:rPr>
              <w:t> </w:t>
            </w:r>
          </w:p>
        </w:tc>
        <w:tc>
          <w:tcPr>
            <w:tcW w:w="736" w:type="dxa"/>
            <w:tcBorders>
              <w:top w:val="nil"/>
              <w:left w:val="nil"/>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D0562">
              <w:rPr>
                <w:sz w:val="22"/>
                <w:szCs w:val="22"/>
                <w:lang w:val="fr-CH" w:eastAsia="zh-CN"/>
              </w:rPr>
              <w:t> </w:t>
            </w:r>
          </w:p>
        </w:tc>
        <w:tc>
          <w:tcPr>
            <w:tcW w:w="1332" w:type="dxa"/>
            <w:tcBorders>
              <w:top w:val="nil"/>
              <w:left w:val="nil"/>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D0562">
              <w:rPr>
                <w:sz w:val="22"/>
                <w:szCs w:val="22"/>
                <w:lang w:val="fr-CH" w:eastAsia="zh-CN"/>
              </w:rPr>
              <w:t> </w:t>
            </w:r>
          </w:p>
        </w:tc>
      </w:tr>
      <w:tr w:rsidR="00863306" w:rsidRPr="000D0562" w:rsidTr="00F1395C">
        <w:trPr>
          <w:trHeight w:val="300"/>
          <w:jc w:val="center"/>
        </w:trPr>
        <w:tc>
          <w:tcPr>
            <w:tcW w:w="3500" w:type="dxa"/>
            <w:tcBorders>
              <w:top w:val="nil"/>
              <w:left w:val="single" w:sz="4" w:space="0" w:color="auto"/>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D0562">
              <w:rPr>
                <w:b/>
                <w:bCs/>
                <w:sz w:val="22"/>
                <w:szCs w:val="22"/>
                <w:lang w:val="en-US" w:eastAsia="zh-CN"/>
              </w:rPr>
              <w:t>Pays</w:t>
            </w:r>
          </w:p>
        </w:tc>
        <w:tc>
          <w:tcPr>
            <w:tcW w:w="4312" w:type="dxa"/>
            <w:tcBorders>
              <w:top w:val="nil"/>
              <w:left w:val="nil"/>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D0562">
              <w:rPr>
                <w:b/>
                <w:bCs/>
                <w:sz w:val="22"/>
                <w:szCs w:val="22"/>
                <w:lang w:val="en-US" w:eastAsia="zh-CN"/>
              </w:rPr>
              <w:t xml:space="preserve">Entité </w:t>
            </w:r>
          </w:p>
        </w:tc>
        <w:tc>
          <w:tcPr>
            <w:tcW w:w="736" w:type="dxa"/>
            <w:tcBorders>
              <w:top w:val="nil"/>
              <w:left w:val="nil"/>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D0562">
              <w:rPr>
                <w:b/>
                <w:bCs/>
                <w:sz w:val="22"/>
                <w:szCs w:val="22"/>
                <w:lang w:val="en-US" w:eastAsia="zh-CN"/>
              </w:rPr>
              <w:t>Année</w:t>
            </w:r>
          </w:p>
        </w:tc>
        <w:tc>
          <w:tcPr>
            <w:tcW w:w="1332" w:type="dxa"/>
            <w:tcBorders>
              <w:top w:val="nil"/>
              <w:left w:val="nil"/>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D0562">
              <w:rPr>
                <w:b/>
                <w:bCs/>
                <w:sz w:val="22"/>
                <w:szCs w:val="22"/>
                <w:lang w:val="en-US" w:eastAsia="zh-CN"/>
              </w:rPr>
              <w:t>Montant dû</w:t>
            </w:r>
          </w:p>
        </w:tc>
      </w:tr>
      <w:tr w:rsidR="00863306" w:rsidRPr="000D0562" w:rsidTr="00F1395C">
        <w:trPr>
          <w:trHeight w:val="195"/>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4312" w:type="dxa"/>
            <w:tcBorders>
              <w:top w:val="nil"/>
              <w:left w:val="nil"/>
              <w:bottom w:val="single" w:sz="4" w:space="0" w:color="auto"/>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736" w:type="dxa"/>
            <w:tcBorders>
              <w:top w:val="nil"/>
              <w:left w:val="nil"/>
              <w:bottom w:val="single" w:sz="4" w:space="0" w:color="auto"/>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1332" w:type="dxa"/>
            <w:tcBorders>
              <w:top w:val="nil"/>
              <w:left w:val="nil"/>
              <w:bottom w:val="single" w:sz="4" w:space="0" w:color="auto"/>
              <w:right w:val="single" w:sz="4" w:space="0" w:color="auto"/>
            </w:tcBorders>
            <w:shd w:val="clear" w:color="auto" w:fill="auto"/>
            <w:noWrap/>
            <w:vAlign w:val="bottom"/>
            <w:hideMark/>
          </w:tcPr>
          <w:p w:rsidR="00863306" w:rsidRPr="008E3FA5"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D0562">
              <w:rPr>
                <w:sz w:val="22"/>
                <w:szCs w:val="22"/>
                <w:lang w:val="en-US" w:eastAsia="zh-CN"/>
              </w:rPr>
              <w:t> </w:t>
            </w:r>
            <w:r>
              <w:rPr>
                <w:sz w:val="22"/>
                <w:szCs w:val="22"/>
                <w:lang w:val="en-US" w:eastAsia="zh-CN"/>
              </w:rPr>
              <w:t xml:space="preserve">      </w:t>
            </w:r>
            <w:r w:rsidRPr="008E3FA5">
              <w:rPr>
                <w:b/>
                <w:bCs/>
                <w:sz w:val="22"/>
                <w:szCs w:val="22"/>
                <w:lang w:val="en-US" w:eastAsia="zh-CN"/>
              </w:rPr>
              <w:t>CHF</w:t>
            </w:r>
          </w:p>
        </w:tc>
      </w:tr>
      <w:tr w:rsidR="00863306" w:rsidRPr="000D0562" w:rsidTr="00F1395C">
        <w:trPr>
          <w:trHeight w:val="315"/>
          <w:jc w:val="center"/>
        </w:trPr>
        <w:tc>
          <w:tcPr>
            <w:tcW w:w="3500" w:type="dxa"/>
            <w:tcBorders>
              <w:top w:val="nil"/>
              <w:left w:val="single" w:sz="4" w:space="0" w:color="auto"/>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D0562">
              <w:rPr>
                <w:b/>
                <w:bCs/>
                <w:sz w:val="22"/>
                <w:szCs w:val="22"/>
                <w:lang w:val="en-US" w:eastAsia="zh-CN"/>
              </w:rPr>
              <w:t>Arabie Sa</w:t>
            </w:r>
            <w:r w:rsidR="00206206">
              <w:rPr>
                <w:b/>
                <w:bCs/>
                <w:sz w:val="22"/>
                <w:szCs w:val="22"/>
                <w:lang w:val="en-US" w:eastAsia="zh-CN"/>
              </w:rPr>
              <w:t>o</w:t>
            </w:r>
            <w:r w:rsidRPr="000D0562">
              <w:rPr>
                <w:b/>
                <w:bCs/>
                <w:sz w:val="22"/>
                <w:szCs w:val="22"/>
                <w:lang w:val="en-US" w:eastAsia="zh-CN"/>
              </w:rPr>
              <w:t>udite</w:t>
            </w:r>
          </w:p>
        </w:tc>
        <w:tc>
          <w:tcPr>
            <w:tcW w:w="4312" w:type="dxa"/>
            <w:tcBorders>
              <w:top w:val="nil"/>
              <w:left w:val="nil"/>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Saudi Telecom</w:t>
            </w:r>
          </w:p>
        </w:tc>
        <w:tc>
          <w:tcPr>
            <w:tcW w:w="736" w:type="dxa"/>
            <w:tcBorders>
              <w:top w:val="nil"/>
              <w:left w:val="nil"/>
              <w:bottom w:val="nil"/>
              <w:right w:val="single" w:sz="4" w:space="0" w:color="auto"/>
            </w:tcBorders>
            <w:shd w:val="clear" w:color="auto" w:fill="auto"/>
            <w:noWrap/>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D0562">
              <w:rPr>
                <w:sz w:val="22"/>
                <w:szCs w:val="22"/>
                <w:lang w:val="en-US" w:eastAsia="zh-CN"/>
              </w:rPr>
              <w:t>2010</w:t>
            </w:r>
          </w:p>
        </w:tc>
        <w:tc>
          <w:tcPr>
            <w:tcW w:w="1332" w:type="dxa"/>
            <w:tcBorders>
              <w:top w:val="nil"/>
              <w:left w:val="nil"/>
              <w:bottom w:val="nil"/>
              <w:right w:val="single" w:sz="4" w:space="0" w:color="auto"/>
            </w:tcBorders>
            <w:shd w:val="clear" w:color="auto" w:fill="auto"/>
            <w:noWrap/>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D0562">
              <w:rPr>
                <w:color w:val="000000"/>
                <w:sz w:val="22"/>
                <w:szCs w:val="22"/>
                <w:lang w:val="en-US" w:eastAsia="zh-CN"/>
              </w:rPr>
              <w:t>62,560.00</w:t>
            </w:r>
          </w:p>
        </w:tc>
      </w:tr>
      <w:tr w:rsidR="00863306" w:rsidRPr="000D0562" w:rsidTr="00F1395C">
        <w:trPr>
          <w:trHeight w:val="300"/>
          <w:jc w:val="center"/>
        </w:trPr>
        <w:tc>
          <w:tcPr>
            <w:tcW w:w="3500" w:type="dxa"/>
            <w:tcBorders>
              <w:top w:val="nil"/>
              <w:left w:val="single" w:sz="4" w:space="0" w:color="auto"/>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4312" w:type="dxa"/>
            <w:tcBorders>
              <w:top w:val="nil"/>
              <w:left w:val="nil"/>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736" w:type="dxa"/>
            <w:tcBorders>
              <w:top w:val="nil"/>
              <w:left w:val="nil"/>
              <w:bottom w:val="nil"/>
              <w:right w:val="single" w:sz="4" w:space="0" w:color="auto"/>
            </w:tcBorders>
            <w:shd w:val="clear" w:color="auto" w:fill="auto"/>
            <w:noWrap/>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1332" w:type="dxa"/>
            <w:tcBorders>
              <w:top w:val="nil"/>
              <w:left w:val="nil"/>
              <w:bottom w:val="nil"/>
              <w:right w:val="single" w:sz="4" w:space="0" w:color="auto"/>
            </w:tcBorders>
            <w:shd w:val="clear" w:color="auto" w:fill="auto"/>
            <w:noWrap/>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D0562">
              <w:rPr>
                <w:color w:val="000000"/>
                <w:sz w:val="22"/>
                <w:szCs w:val="22"/>
                <w:lang w:val="en-US" w:eastAsia="zh-CN"/>
              </w:rPr>
              <w:t> </w:t>
            </w:r>
          </w:p>
        </w:tc>
      </w:tr>
      <w:tr w:rsidR="00863306" w:rsidRPr="000D0562" w:rsidTr="00F1395C">
        <w:trPr>
          <w:trHeight w:val="315"/>
          <w:jc w:val="center"/>
        </w:trPr>
        <w:tc>
          <w:tcPr>
            <w:tcW w:w="3500" w:type="dxa"/>
            <w:tcBorders>
              <w:top w:val="nil"/>
              <w:left w:val="single" w:sz="4" w:space="0" w:color="auto"/>
              <w:bottom w:val="nil"/>
              <w:right w:val="nil"/>
            </w:tcBorders>
            <w:shd w:val="clear" w:color="auto" w:fill="auto"/>
            <w:noWrap/>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D0562">
              <w:rPr>
                <w:b/>
                <w:bCs/>
                <w:sz w:val="22"/>
                <w:szCs w:val="22"/>
                <w:lang w:val="en-US" w:eastAsia="zh-CN"/>
              </w:rPr>
              <w:t>Turquie</w:t>
            </w:r>
          </w:p>
        </w:tc>
        <w:tc>
          <w:tcPr>
            <w:tcW w:w="4312" w:type="dxa"/>
            <w:tcBorders>
              <w:top w:val="nil"/>
              <w:left w:val="single" w:sz="4" w:space="0" w:color="auto"/>
              <w:bottom w:val="nil"/>
              <w:right w:val="single" w:sz="4" w:space="0" w:color="auto"/>
            </w:tcBorders>
            <w:shd w:val="clear" w:color="auto" w:fill="auto"/>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Organisation Congress Travel (OCT)</w:t>
            </w:r>
          </w:p>
        </w:tc>
        <w:tc>
          <w:tcPr>
            <w:tcW w:w="736" w:type="dxa"/>
            <w:tcBorders>
              <w:top w:val="nil"/>
              <w:left w:val="nil"/>
              <w:bottom w:val="nil"/>
              <w:right w:val="single" w:sz="4" w:space="0" w:color="auto"/>
            </w:tcBorders>
            <w:shd w:val="clear" w:color="auto" w:fill="auto"/>
            <w:noWrap/>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D0562">
              <w:rPr>
                <w:sz w:val="22"/>
                <w:szCs w:val="22"/>
                <w:lang w:val="en-US" w:eastAsia="zh-CN"/>
              </w:rPr>
              <w:t>2012</w:t>
            </w:r>
          </w:p>
        </w:tc>
        <w:tc>
          <w:tcPr>
            <w:tcW w:w="1332" w:type="dxa"/>
            <w:tcBorders>
              <w:top w:val="nil"/>
              <w:left w:val="nil"/>
              <w:bottom w:val="nil"/>
              <w:right w:val="single" w:sz="4" w:space="0" w:color="auto"/>
            </w:tcBorders>
            <w:shd w:val="clear" w:color="auto" w:fill="auto"/>
            <w:noWrap/>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D0562">
              <w:rPr>
                <w:color w:val="000000"/>
                <w:sz w:val="22"/>
                <w:szCs w:val="22"/>
                <w:lang w:val="en-US" w:eastAsia="zh-CN"/>
              </w:rPr>
              <w:t>2,200.00</w:t>
            </w:r>
          </w:p>
        </w:tc>
      </w:tr>
      <w:tr w:rsidR="00863306" w:rsidRPr="000D0562" w:rsidTr="00F1395C">
        <w:trPr>
          <w:trHeight w:val="165"/>
          <w:jc w:val="center"/>
        </w:trPr>
        <w:tc>
          <w:tcPr>
            <w:tcW w:w="3500" w:type="dxa"/>
            <w:tcBorders>
              <w:top w:val="nil"/>
              <w:left w:val="single" w:sz="4" w:space="0" w:color="auto"/>
              <w:bottom w:val="nil"/>
              <w:right w:val="nil"/>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4312" w:type="dxa"/>
            <w:tcBorders>
              <w:top w:val="nil"/>
              <w:left w:val="single" w:sz="4" w:space="0" w:color="auto"/>
              <w:bottom w:val="nil"/>
              <w:right w:val="single" w:sz="4" w:space="0" w:color="auto"/>
            </w:tcBorders>
            <w:shd w:val="clear" w:color="auto" w:fill="auto"/>
            <w:noWrap/>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736" w:type="dxa"/>
            <w:tcBorders>
              <w:top w:val="nil"/>
              <w:left w:val="nil"/>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D0562">
              <w:rPr>
                <w:sz w:val="22"/>
                <w:szCs w:val="22"/>
                <w:lang w:val="en-US" w:eastAsia="zh-CN"/>
              </w:rPr>
              <w:t> </w:t>
            </w:r>
          </w:p>
        </w:tc>
        <w:tc>
          <w:tcPr>
            <w:tcW w:w="1332" w:type="dxa"/>
            <w:tcBorders>
              <w:top w:val="nil"/>
              <w:left w:val="nil"/>
              <w:bottom w:val="single" w:sz="4" w:space="0" w:color="auto"/>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r>
      <w:tr w:rsidR="00863306" w:rsidRPr="000D0562" w:rsidTr="00F1395C">
        <w:trPr>
          <w:trHeight w:val="165"/>
          <w:jc w:val="center"/>
        </w:trPr>
        <w:tc>
          <w:tcPr>
            <w:tcW w:w="3500" w:type="dxa"/>
            <w:tcBorders>
              <w:top w:val="nil"/>
              <w:left w:val="single" w:sz="4" w:space="0" w:color="auto"/>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4312" w:type="dxa"/>
            <w:tcBorders>
              <w:top w:val="nil"/>
              <w:left w:val="nil"/>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736" w:type="dxa"/>
            <w:tcBorders>
              <w:top w:val="nil"/>
              <w:left w:val="nil"/>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1332" w:type="dxa"/>
            <w:tcBorders>
              <w:top w:val="nil"/>
              <w:left w:val="nil"/>
              <w:bottom w:val="nil"/>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r>
      <w:tr w:rsidR="00863306" w:rsidRPr="000D0562" w:rsidTr="00F1395C">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D0562">
              <w:rPr>
                <w:b/>
                <w:bCs/>
                <w:sz w:val="22"/>
                <w:szCs w:val="22"/>
                <w:lang w:val="en-US" w:eastAsia="zh-CN"/>
              </w:rPr>
              <w:t>Total des arriérés au 30.06.2014</w:t>
            </w:r>
          </w:p>
        </w:tc>
        <w:tc>
          <w:tcPr>
            <w:tcW w:w="4312" w:type="dxa"/>
            <w:tcBorders>
              <w:top w:val="nil"/>
              <w:left w:val="nil"/>
              <w:bottom w:val="single" w:sz="4" w:space="0" w:color="auto"/>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736" w:type="dxa"/>
            <w:tcBorders>
              <w:top w:val="nil"/>
              <w:left w:val="nil"/>
              <w:bottom w:val="single" w:sz="4" w:space="0" w:color="auto"/>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0562">
              <w:rPr>
                <w:sz w:val="22"/>
                <w:szCs w:val="22"/>
                <w:lang w:val="en-US" w:eastAsia="zh-CN"/>
              </w:rPr>
              <w:t> </w:t>
            </w:r>
          </w:p>
        </w:tc>
        <w:tc>
          <w:tcPr>
            <w:tcW w:w="1332" w:type="dxa"/>
            <w:tcBorders>
              <w:top w:val="nil"/>
              <w:left w:val="nil"/>
              <w:bottom w:val="single" w:sz="4" w:space="0" w:color="auto"/>
              <w:right w:val="single" w:sz="4" w:space="0" w:color="auto"/>
            </w:tcBorders>
            <w:shd w:val="clear" w:color="auto" w:fill="auto"/>
            <w:noWrap/>
            <w:vAlign w:val="bottom"/>
            <w:hideMark/>
          </w:tcPr>
          <w:p w:rsidR="00863306" w:rsidRPr="000D0562"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D0562">
              <w:rPr>
                <w:b/>
                <w:bCs/>
                <w:sz w:val="22"/>
                <w:szCs w:val="22"/>
                <w:lang w:val="en-US" w:eastAsia="zh-CN"/>
              </w:rPr>
              <w:t>64,760.00</w:t>
            </w:r>
          </w:p>
        </w:tc>
      </w:tr>
    </w:tbl>
    <w:p w:rsidR="00863306" w:rsidRPr="00B40186" w:rsidRDefault="00863306" w:rsidP="00863306">
      <w:pPr>
        <w:sectPr w:rsidR="00863306" w:rsidRPr="00B40186" w:rsidSect="006314B3">
          <w:headerReference w:type="default" r:id="rId17"/>
          <w:footerReference w:type="first" r:id="rId18"/>
          <w:type w:val="continuous"/>
          <w:pgSz w:w="11913" w:h="16834" w:code="9"/>
          <w:pgMar w:top="1134" w:right="1134" w:bottom="1134" w:left="1134" w:header="720" w:footer="720" w:gutter="0"/>
          <w:paperSrc w:first="7" w:other="7"/>
          <w:cols w:space="720"/>
          <w:titlePg/>
        </w:sectPr>
      </w:pPr>
    </w:p>
    <w:p w:rsidR="00F1395C" w:rsidRDefault="00F1395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8"/>
          <w:szCs w:val="28"/>
        </w:rPr>
      </w:pPr>
      <w:r>
        <w:rPr>
          <w:rFonts w:asciiTheme="minorHAnsi" w:hAnsiTheme="minorHAnsi"/>
          <w:sz w:val="28"/>
          <w:szCs w:val="28"/>
        </w:rPr>
        <w:br w:type="page"/>
      </w:r>
    </w:p>
    <w:p w:rsidR="00F1395C" w:rsidRDefault="00F1395C" w:rsidP="00863306">
      <w:pPr>
        <w:pStyle w:val="listitem"/>
        <w:jc w:val="center"/>
        <w:rPr>
          <w:rFonts w:asciiTheme="minorHAnsi" w:hAnsiTheme="minorHAnsi"/>
          <w:sz w:val="28"/>
          <w:szCs w:val="28"/>
        </w:rPr>
        <w:sectPr w:rsidR="00F1395C" w:rsidSect="003A0B7D">
          <w:headerReference w:type="default" r:id="rId19"/>
          <w:footerReference w:type="default" r:id="rId20"/>
          <w:footerReference w:type="first" r:id="rId21"/>
          <w:type w:val="continuous"/>
          <w:pgSz w:w="11913" w:h="16834"/>
          <w:pgMar w:top="1418" w:right="1134" w:bottom="1418" w:left="1134" w:header="720" w:footer="720" w:gutter="0"/>
          <w:paperSrc w:first="15" w:other="15"/>
          <w:cols w:space="720"/>
          <w:titlePg/>
        </w:sectPr>
      </w:pPr>
    </w:p>
    <w:p w:rsidR="00863306" w:rsidRPr="00C51B21" w:rsidRDefault="00863306" w:rsidP="00863306">
      <w:pPr>
        <w:pStyle w:val="listitem"/>
        <w:jc w:val="center"/>
        <w:rPr>
          <w:rFonts w:asciiTheme="minorHAnsi" w:hAnsiTheme="minorHAnsi"/>
          <w:sz w:val="28"/>
          <w:szCs w:val="28"/>
        </w:rPr>
      </w:pPr>
      <w:r w:rsidRPr="00C51B21">
        <w:rPr>
          <w:rFonts w:asciiTheme="minorHAnsi" w:hAnsiTheme="minorHAnsi"/>
          <w:sz w:val="28"/>
          <w:szCs w:val="28"/>
        </w:rPr>
        <w:t>ANNEXE E</w:t>
      </w:r>
    </w:p>
    <w:p w:rsidR="00863306" w:rsidRPr="009459EB" w:rsidRDefault="00863306" w:rsidP="00863306">
      <w:pPr>
        <w:pStyle w:val="listitem"/>
        <w:tabs>
          <w:tab w:val="left" w:pos="0"/>
        </w:tabs>
        <w:rPr>
          <w:rFonts w:asciiTheme="minorHAnsi" w:hAnsiTheme="minorHAnsi"/>
          <w:sz w:val="22"/>
          <w:szCs w:val="22"/>
        </w:rPr>
      </w:pPr>
    </w:p>
    <w:p w:rsidR="00863306" w:rsidRPr="009459EB" w:rsidRDefault="00863306" w:rsidP="00F1395C">
      <w:pPr>
        <w:pStyle w:val="listitem"/>
        <w:numPr>
          <w:ilvl w:val="0"/>
          <w:numId w:val="28"/>
        </w:numPr>
        <w:spacing w:after="120"/>
        <w:jc w:val="center"/>
        <w:rPr>
          <w:rFonts w:asciiTheme="minorHAnsi" w:hAnsiTheme="minorHAnsi"/>
          <w:b/>
          <w:sz w:val="22"/>
          <w:szCs w:val="22"/>
        </w:rPr>
      </w:pPr>
      <w:r w:rsidRPr="00C51B21">
        <w:rPr>
          <w:rFonts w:asciiTheme="minorHAnsi" w:hAnsiTheme="minorHAnsi"/>
          <w:b/>
          <w:sz w:val="22"/>
          <w:szCs w:val="22"/>
        </w:rPr>
        <w:t>MONTANTS DUS CONCERNANT LES COMPTES SPECIAUX D'ARRIERES (ACCORDS D'AMORTISSEMENT)</w:t>
      </w:r>
    </w:p>
    <w:tbl>
      <w:tblPr>
        <w:tblW w:w="13521" w:type="dxa"/>
        <w:jc w:val="center"/>
        <w:tblLook w:val="04A0" w:firstRow="1" w:lastRow="0" w:firstColumn="1" w:lastColumn="0" w:noHBand="0" w:noVBand="1"/>
      </w:tblPr>
      <w:tblGrid>
        <w:gridCol w:w="3460"/>
        <w:gridCol w:w="1540"/>
        <w:gridCol w:w="1640"/>
        <w:gridCol w:w="1387"/>
        <w:gridCol w:w="1387"/>
        <w:gridCol w:w="1360"/>
        <w:gridCol w:w="1360"/>
        <w:gridCol w:w="1387"/>
      </w:tblGrid>
      <w:tr w:rsidR="00863306" w:rsidRPr="00C51B21" w:rsidTr="00F1395C">
        <w:trPr>
          <w:trHeight w:val="510"/>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 xml:space="preserve">Etats Membres - Membres des </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PP Résolutions</w:t>
            </w: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Somme</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Solde au</w:t>
            </w:r>
          </w:p>
        </w:tc>
        <w:tc>
          <w:tcPr>
            <w:tcW w:w="1387" w:type="dxa"/>
            <w:tcBorders>
              <w:top w:val="nil"/>
              <w:left w:val="nil"/>
              <w:bottom w:val="nil"/>
              <w:right w:val="nil"/>
            </w:tcBorders>
            <w:shd w:val="clear" w:color="auto" w:fill="auto"/>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 xml:space="preserve">Transferts/ Cancellations </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Intérêts</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Paiements</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Solde au</w:t>
            </w: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Secteurs /Compagnies</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transférée dans</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C51B21">
              <w:rPr>
                <w:b/>
                <w:bCs/>
                <w:color w:val="000000"/>
                <w:sz w:val="20"/>
                <w:lang w:val="en-US" w:eastAsia="zh-CN"/>
              </w:rPr>
              <w:t>31.12.2013</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2014</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2014</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2014</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C51B21">
              <w:rPr>
                <w:b/>
                <w:bCs/>
                <w:color w:val="000000"/>
                <w:sz w:val="20"/>
                <w:lang w:val="en-US" w:eastAsia="zh-CN"/>
              </w:rPr>
              <w:t>30.06.2014</w:t>
            </w: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sidRPr="00C51B21">
              <w:rPr>
                <w:b/>
                <w:bCs/>
                <w:sz w:val="20"/>
                <w:lang w:val="en-US" w:eastAsia="zh-CN"/>
              </w:rPr>
              <w:t xml:space="preserve"> </w:t>
            </w: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compte spécial</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Etats Membres</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B050"/>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Soudan</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Rés. 38 PP 1989</w:t>
            </w: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567,047.95</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216,028.45</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216,028.45</w:t>
            </w: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Cambodge</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Rés. 41- 2006</w:t>
            </w: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6,042,131.81</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6,042,131.81</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-240,294.02</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5,801,837.79</w:t>
            </w: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Grenade</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Rés. 41- 2008</w:t>
            </w: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662,554.65</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392,234.31</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392,234.31</w:t>
            </w: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Bolivie</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Rés. 41- 2009</w:t>
            </w: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6,515,226.72</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4,872,915.32</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-328,462.28</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4,544,453.04</w:t>
            </w: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Bénin</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Rés. 41- 2011</w:t>
            </w: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462,317.50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331,971.46</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-43,448.68</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288,522.78</w:t>
            </w: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Tadjikistan</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Rés. 41- 2011</w:t>
            </w: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745,617.40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652,099.36</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652,099.36</w:t>
            </w: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Comores</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Rés. 41- 2012</w:t>
            </w: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376,005.93</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328,602.71</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328,602.71</w:t>
            </w: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Guinée-Bissau</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Rés. 41- 2012</w:t>
            </w: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4,019,843.48</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4,019,843.48</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-151,929.12</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3,867,914.36</w:t>
            </w: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Sierra Leone</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Rés. 41- 2012</w:t>
            </w: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3,132,182.47</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3,002,813.71</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3,002,813.71</w:t>
            </w: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C51B21">
              <w:rPr>
                <w:b/>
                <w:bCs/>
                <w:sz w:val="20"/>
                <w:lang w:val="en-US" w:eastAsia="zh-CN"/>
              </w:rPr>
              <w:t>Membres des Secteurs /Compagnies</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CYNAPSYS, Tunisie</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Rés. 41 - 2012</w:t>
            </w: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6,070.25</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4,082.75</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-993.75</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3,089.00</w:t>
            </w:r>
          </w:p>
        </w:tc>
      </w:tr>
      <w:tr w:rsidR="00863306" w:rsidRPr="00C51B21" w:rsidTr="00F1395C">
        <w:trPr>
          <w:trHeight w:val="255"/>
          <w:jc w:val="center"/>
        </w:trPr>
        <w:tc>
          <w:tcPr>
            <w:tcW w:w="3460" w:type="dxa"/>
            <w:tcBorders>
              <w:top w:val="nil"/>
              <w:left w:val="nil"/>
              <w:bottom w:val="nil"/>
              <w:right w:val="nil"/>
            </w:tcBorders>
            <w:shd w:val="clear" w:color="auto" w:fill="auto"/>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NARSDA, Nigéria</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Rés. 41 - 2012</w:t>
            </w: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126,482.04</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40,613.70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-40,613.70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r>
      <w:tr w:rsidR="00863306" w:rsidRPr="00C51B21" w:rsidTr="00F1395C">
        <w:trPr>
          <w:trHeight w:val="255"/>
          <w:jc w:val="center"/>
        </w:trPr>
        <w:tc>
          <w:tcPr>
            <w:tcW w:w="3460" w:type="dxa"/>
            <w:tcBorders>
              <w:top w:val="nil"/>
              <w:left w:val="nil"/>
              <w:bottom w:val="nil"/>
              <w:right w:val="nil"/>
            </w:tcBorders>
            <w:shd w:val="clear" w:color="auto" w:fill="auto"/>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Cameroon Telecommunicat., Cameroun</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Rés. 41 - 2013</w:t>
            </w: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179,029.50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134,142.50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134,142.50</w:t>
            </w:r>
          </w:p>
        </w:tc>
      </w:tr>
      <w:tr w:rsidR="00863306" w:rsidRPr="00C51B21" w:rsidTr="00F1395C">
        <w:trPr>
          <w:trHeight w:val="255"/>
          <w:jc w:val="center"/>
        </w:trPr>
        <w:tc>
          <w:tcPr>
            <w:tcW w:w="3460" w:type="dxa"/>
            <w:tcBorders>
              <w:top w:val="nil"/>
              <w:left w:val="nil"/>
              <w:bottom w:val="nil"/>
              <w:right w:val="nil"/>
            </w:tcBorders>
            <w:shd w:val="clear" w:color="auto" w:fill="auto"/>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Ellipsat Inc., Etats-Unis</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Rés. 41 - 2013</w:t>
            </w: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73,781.55</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43,781.55</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-6,000.00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37,781.55</w:t>
            </w:r>
          </w:p>
        </w:tc>
      </w:tr>
      <w:tr w:rsidR="00863306" w:rsidRPr="00C51B21" w:rsidTr="00F1395C">
        <w:trPr>
          <w:trHeight w:val="255"/>
          <w:jc w:val="center"/>
        </w:trPr>
        <w:tc>
          <w:tcPr>
            <w:tcW w:w="3460" w:type="dxa"/>
            <w:tcBorders>
              <w:top w:val="nil"/>
              <w:left w:val="nil"/>
              <w:bottom w:val="nil"/>
              <w:right w:val="nil"/>
            </w:tcBorders>
            <w:shd w:val="clear" w:color="auto" w:fill="auto"/>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IMPACT, Malaisie</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Rés. 41 - 2014</w:t>
            </w: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11,657.35</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11,657.35</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-5,300.00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6,357.35</w:t>
            </w:r>
          </w:p>
        </w:tc>
      </w:tr>
      <w:tr w:rsidR="00863306" w:rsidRPr="00C51B21" w:rsidTr="00F1395C">
        <w:trPr>
          <w:trHeight w:val="255"/>
          <w:jc w:val="center"/>
        </w:trPr>
        <w:tc>
          <w:tcPr>
            <w:tcW w:w="3460" w:type="dxa"/>
            <w:tcBorders>
              <w:top w:val="nil"/>
              <w:left w:val="nil"/>
              <w:bottom w:val="nil"/>
              <w:right w:val="nil"/>
            </w:tcBorders>
            <w:shd w:val="clear" w:color="auto" w:fill="auto"/>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863306" w:rsidRPr="00C51B21" w:rsidTr="00F1395C">
        <w:trPr>
          <w:trHeight w:val="255"/>
          <w:jc w:val="center"/>
        </w:trPr>
        <w:tc>
          <w:tcPr>
            <w:tcW w:w="34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C51B21">
              <w:rPr>
                <w:b/>
                <w:bCs/>
                <w:color w:val="000000"/>
                <w:sz w:val="20"/>
                <w:lang w:val="en-US" w:eastAsia="zh-CN"/>
              </w:rPr>
              <w:t>Total au 30 juin 2014</w:t>
            </w:r>
          </w:p>
        </w:tc>
        <w:tc>
          <w:tcPr>
            <w:tcW w:w="15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4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C51B21">
              <w:rPr>
                <w:b/>
                <w:bCs/>
                <w:sz w:val="20"/>
                <w:lang w:val="en-US" w:eastAsia="zh-CN"/>
              </w:rPr>
              <w:t>22,919,948.60</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C51B21">
              <w:rPr>
                <w:b/>
                <w:bCs/>
                <w:sz w:val="20"/>
                <w:u w:val="single"/>
                <w:lang w:val="en-US" w:eastAsia="zh-CN"/>
              </w:rPr>
              <w:t>10,019,285.82</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C51B21">
              <w:rPr>
                <w:b/>
                <w:bCs/>
                <w:sz w:val="20"/>
                <w:lang w:val="en-US" w:eastAsia="zh-CN"/>
              </w:rPr>
              <w:t>10,033,018.94</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C51B21">
              <w:rPr>
                <w:b/>
                <w:bCs/>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C51B21">
              <w:rPr>
                <w:b/>
                <w:bCs/>
                <w:sz w:val="20"/>
                <w:lang w:val="en-US" w:eastAsia="zh-CN"/>
              </w:rPr>
              <w:t>-776,427.85</w:t>
            </w:r>
          </w:p>
        </w:tc>
        <w:tc>
          <w:tcPr>
            <w:tcW w:w="1387" w:type="dxa"/>
            <w:tcBorders>
              <w:top w:val="nil"/>
              <w:left w:val="nil"/>
              <w:bottom w:val="nil"/>
              <w:right w:val="nil"/>
            </w:tcBorders>
            <w:shd w:val="clear" w:color="auto" w:fill="auto"/>
            <w:noWrap/>
            <w:vAlign w:val="bottom"/>
            <w:hideMark/>
          </w:tcPr>
          <w:p w:rsidR="00863306" w:rsidRPr="00C51B21"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C51B21">
              <w:rPr>
                <w:b/>
                <w:bCs/>
                <w:sz w:val="20"/>
                <w:u w:val="single"/>
                <w:lang w:val="en-US" w:eastAsia="zh-CN"/>
              </w:rPr>
              <w:t>19,275,876.91</w:t>
            </w:r>
          </w:p>
        </w:tc>
      </w:tr>
    </w:tbl>
    <w:p w:rsidR="00863306" w:rsidRPr="009459EB" w:rsidRDefault="00863306" w:rsidP="00863306">
      <w:pPr>
        <w:spacing w:before="0"/>
        <w:ind w:left="142"/>
        <w:rPr>
          <w:rFonts w:asciiTheme="minorHAnsi" w:hAnsiTheme="minorHAnsi"/>
        </w:rPr>
      </w:pPr>
    </w:p>
    <w:p w:rsidR="00863306" w:rsidRPr="009459EB" w:rsidRDefault="00863306" w:rsidP="00863306">
      <w:pPr>
        <w:rPr>
          <w:rFonts w:asciiTheme="minorHAnsi" w:hAnsiTheme="minorHAnsi"/>
        </w:rPr>
      </w:pPr>
      <w:bookmarkStart w:id="8" w:name="RANGE!A51:L77"/>
      <w:r w:rsidRPr="009459EB">
        <w:rPr>
          <w:rFonts w:asciiTheme="minorHAnsi" w:hAnsiTheme="minorHAnsi"/>
        </w:rPr>
        <w:br w:type="page"/>
      </w:r>
    </w:p>
    <w:bookmarkEnd w:id="8"/>
    <w:p w:rsidR="00863306" w:rsidRDefault="00863306" w:rsidP="00A10D73">
      <w:pPr>
        <w:pStyle w:val="listitem"/>
        <w:jc w:val="center"/>
        <w:rPr>
          <w:rFonts w:asciiTheme="minorHAnsi" w:hAnsiTheme="minorHAnsi"/>
          <w:sz w:val="28"/>
          <w:szCs w:val="28"/>
        </w:rPr>
      </w:pPr>
    </w:p>
    <w:p w:rsidR="00863306" w:rsidRPr="00AA56A4" w:rsidRDefault="00863306" w:rsidP="00A10D73">
      <w:pPr>
        <w:pStyle w:val="ListParagraph"/>
        <w:numPr>
          <w:ilvl w:val="0"/>
          <w:numId w:val="28"/>
        </w:numPr>
        <w:spacing w:after="120"/>
        <w:jc w:val="center"/>
        <w:rPr>
          <w:rFonts w:asciiTheme="minorHAnsi" w:hAnsiTheme="minorHAnsi"/>
          <w:b/>
          <w:bCs/>
          <w:sz w:val="22"/>
          <w:szCs w:val="22"/>
        </w:rPr>
      </w:pPr>
      <w:r w:rsidRPr="00AA56A4">
        <w:rPr>
          <w:rFonts w:asciiTheme="minorHAnsi" w:hAnsiTheme="minorHAnsi"/>
          <w:b/>
          <w:bCs/>
          <w:sz w:val="22"/>
          <w:szCs w:val="22"/>
        </w:rPr>
        <w:t>MONTANTS DUS CONCERNANT LES COMPTES SPECIAUX D'ARRIERES SUPPRIMES</w:t>
      </w:r>
      <w:r>
        <w:rPr>
          <w:rFonts w:asciiTheme="minorHAnsi" w:hAnsiTheme="minorHAnsi"/>
          <w:b/>
          <w:bCs/>
          <w:sz w:val="22"/>
          <w:szCs w:val="22"/>
        </w:rPr>
        <w:br/>
      </w:r>
      <w:r w:rsidRPr="00AA56A4">
        <w:rPr>
          <w:rFonts w:asciiTheme="minorHAnsi" w:hAnsiTheme="minorHAnsi"/>
          <w:b/>
          <w:bCs/>
          <w:sz w:val="22"/>
          <w:szCs w:val="22"/>
        </w:rPr>
        <w:t>(ACCORDS D'AMORTISSEMENT SUPPRIMES POUR NON-PAIEMENT)</w:t>
      </w:r>
    </w:p>
    <w:tbl>
      <w:tblPr>
        <w:tblW w:w="13560" w:type="dxa"/>
        <w:tblInd w:w="93" w:type="dxa"/>
        <w:tblLook w:val="04A0" w:firstRow="1" w:lastRow="0" w:firstColumn="1" w:lastColumn="0" w:noHBand="0" w:noVBand="1"/>
      </w:tblPr>
      <w:tblGrid>
        <w:gridCol w:w="3460"/>
        <w:gridCol w:w="1540"/>
        <w:gridCol w:w="1640"/>
        <w:gridCol w:w="1387"/>
        <w:gridCol w:w="1480"/>
        <w:gridCol w:w="1360"/>
        <w:gridCol w:w="1360"/>
        <w:gridCol w:w="1360"/>
      </w:tblGrid>
      <w:tr w:rsidR="00863306" w:rsidRPr="00590B73" w:rsidTr="00972A32">
        <w:trPr>
          <w:trHeight w:val="510"/>
        </w:trPr>
        <w:tc>
          <w:tcPr>
            <w:tcW w:w="3460" w:type="dxa"/>
            <w:tcBorders>
              <w:top w:val="nil"/>
              <w:left w:val="nil"/>
              <w:bottom w:val="nil"/>
              <w:right w:val="nil"/>
            </w:tcBorders>
            <w:shd w:val="clear" w:color="auto" w:fill="auto"/>
            <w:noWrap/>
            <w:vAlign w:val="bottom"/>
            <w:hideMark/>
          </w:tcPr>
          <w:p w:rsidR="00863306" w:rsidRPr="00813B8E"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fr-CH" w:eastAsia="zh-CN"/>
              </w:rPr>
            </w:pP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590B73">
              <w:rPr>
                <w:b/>
                <w:bCs/>
                <w:color w:val="000000"/>
                <w:sz w:val="20"/>
                <w:lang w:val="en-US" w:eastAsia="zh-CN"/>
              </w:rPr>
              <w:t>PP Résolutions</w:t>
            </w: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590B73">
              <w:rPr>
                <w:b/>
                <w:bCs/>
                <w:color w:val="000000"/>
                <w:sz w:val="20"/>
                <w:lang w:val="en-US" w:eastAsia="zh-CN"/>
              </w:rPr>
              <w:t xml:space="preserve">Transfert </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590B73">
              <w:rPr>
                <w:b/>
                <w:bCs/>
                <w:sz w:val="20"/>
                <w:lang w:val="en-US" w:eastAsia="zh-CN"/>
              </w:rPr>
              <w:t>Solde au</w:t>
            </w:r>
          </w:p>
        </w:tc>
        <w:tc>
          <w:tcPr>
            <w:tcW w:w="1480" w:type="dxa"/>
            <w:tcBorders>
              <w:top w:val="nil"/>
              <w:left w:val="nil"/>
              <w:bottom w:val="nil"/>
              <w:right w:val="nil"/>
            </w:tcBorders>
            <w:shd w:val="clear" w:color="auto" w:fill="auto"/>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590B73">
              <w:rPr>
                <w:b/>
                <w:bCs/>
                <w:sz w:val="20"/>
                <w:lang w:val="en-US" w:eastAsia="zh-CN"/>
              </w:rPr>
              <w:t xml:space="preserve">Transferts/ Cancellations </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590B73">
              <w:rPr>
                <w:b/>
                <w:bCs/>
                <w:sz w:val="20"/>
                <w:lang w:val="en-US" w:eastAsia="zh-CN"/>
              </w:rPr>
              <w:t>Intérêts</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590B73">
              <w:rPr>
                <w:b/>
                <w:bCs/>
                <w:sz w:val="20"/>
                <w:lang w:val="en-US" w:eastAsia="zh-CN"/>
              </w:rPr>
              <w:t>Paiements</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590B73">
              <w:rPr>
                <w:b/>
                <w:bCs/>
                <w:sz w:val="20"/>
                <w:lang w:val="en-US" w:eastAsia="zh-CN"/>
              </w:rPr>
              <w:t>Solde au</w:t>
            </w: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590B73">
              <w:rPr>
                <w:b/>
                <w:bCs/>
                <w:sz w:val="20"/>
                <w:lang w:val="en-US" w:eastAsia="zh-CN"/>
              </w:rPr>
              <w:t xml:space="preserve">Etats Membres - Membres des </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590B73">
              <w:rPr>
                <w:b/>
                <w:bCs/>
                <w:color w:val="000000"/>
                <w:sz w:val="20"/>
                <w:lang w:val="en-US" w:eastAsia="zh-CN"/>
              </w:rPr>
              <w:t>dans compte</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590B73">
              <w:rPr>
                <w:b/>
                <w:bCs/>
                <w:color w:val="000000"/>
                <w:sz w:val="20"/>
                <w:lang w:val="en-US" w:eastAsia="zh-CN"/>
              </w:rPr>
              <w:t>31.12.2013</w:t>
            </w: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590B73">
              <w:rPr>
                <w:b/>
                <w:bCs/>
                <w:sz w:val="20"/>
                <w:lang w:val="en-US" w:eastAsia="zh-CN"/>
              </w:rPr>
              <w:t>2014</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590B73">
              <w:rPr>
                <w:b/>
                <w:bCs/>
                <w:sz w:val="20"/>
                <w:lang w:val="en-US" w:eastAsia="zh-CN"/>
              </w:rPr>
              <w:t>2014</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590B73">
              <w:rPr>
                <w:b/>
                <w:bCs/>
                <w:sz w:val="20"/>
                <w:lang w:val="en-US" w:eastAsia="zh-CN"/>
              </w:rPr>
              <w:t>2014</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590B73">
              <w:rPr>
                <w:b/>
                <w:bCs/>
                <w:color w:val="000000"/>
                <w:sz w:val="20"/>
                <w:lang w:val="en-US" w:eastAsia="zh-CN"/>
              </w:rPr>
              <w:t>30.06.2014</w:t>
            </w: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590B73">
              <w:rPr>
                <w:b/>
                <w:bCs/>
                <w:sz w:val="20"/>
                <w:lang w:val="en-US" w:eastAsia="zh-CN"/>
              </w:rPr>
              <w:t>Secteurs /Compagnies</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590B73">
              <w:rPr>
                <w:b/>
                <w:bCs/>
                <w:color w:val="000000"/>
                <w:sz w:val="20"/>
                <w:lang w:val="en-US" w:eastAsia="zh-CN"/>
              </w:rPr>
              <w:t xml:space="preserve"> </w:t>
            </w: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590B73">
              <w:rPr>
                <w:b/>
                <w:bCs/>
                <w:color w:val="000000"/>
                <w:sz w:val="20"/>
                <w:lang w:val="en-US" w:eastAsia="zh-CN"/>
              </w:rPr>
              <w:t>spécial supprimé</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590B73">
              <w:rPr>
                <w:b/>
                <w:bCs/>
                <w:color w:val="000000"/>
                <w:sz w:val="20"/>
                <w:lang w:val="en-US" w:eastAsia="zh-CN"/>
              </w:rPr>
              <w:t>Etats Membres</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0836B1"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Libé</w:t>
            </w:r>
            <w:r w:rsidR="00863306" w:rsidRPr="00590B73">
              <w:rPr>
                <w:sz w:val="20"/>
                <w:lang w:val="en-US" w:eastAsia="zh-CN"/>
              </w:rPr>
              <w:t>ria</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Rés. 38 PP 1989</w:t>
            </w: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1,001,829.30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2,208,821.35</w:t>
            </w: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2,208,821.35</w:t>
            </w: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Nicaragua</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Rés. 41 - 2007</w:t>
            </w: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572,046.81</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811,459.31</w:t>
            </w: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811,459.31</w:t>
            </w: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Somalie</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Rés. 41 - 2007</w:t>
            </w: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1,327,554.24</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1,883,161.04</w:t>
            </w: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1,883,161.04</w:t>
            </w: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Cambodge</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Rés. 41 - 2011</w:t>
            </w: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6,522,719.85</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6,042,131.81</w:t>
            </w: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-6,042,131.81</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Gambie</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Rés. 41 - 2011</w:t>
            </w: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187,876.17</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211,097.62</w:t>
            </w: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211,097.62</w:t>
            </w: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 xml:space="preserve">Tchad </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Rés. 41 - 2011</w:t>
            </w: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942,114.46</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998,641.31</w:t>
            </w: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-47,757.67</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-950,883.64</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Centrafricaine</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Rés. 41 - 2012</w:t>
            </w: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112,204.55</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118,936.80</w:t>
            </w: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118,936.80</w:t>
            </w: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Honduras</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Rés. 41 - 2012</w:t>
            </w: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106,552.92</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112,946.12</w:t>
            </w: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112,946.12</w:t>
            </w: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0836B1"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Congo (Ré</w:t>
            </w:r>
            <w:r w:rsidR="00863306" w:rsidRPr="00590B73">
              <w:rPr>
                <w:sz w:val="20"/>
                <w:lang w:val="en-US" w:eastAsia="zh-CN"/>
              </w:rPr>
              <w:t>p. du)</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Rés. 41 - 2013</w:t>
            </w: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1,185,962.41</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1,185,962.41</w:t>
            </w: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1,185,962.41</w:t>
            </w: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Guinée-Bissau</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Rés. 41 - 2013</w:t>
            </w: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4,019,843.48</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4,019,843.48</w:t>
            </w: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-4,019,843.48</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590B73">
              <w:rPr>
                <w:b/>
                <w:bCs/>
                <w:sz w:val="20"/>
                <w:lang w:val="en-US" w:eastAsia="zh-CN"/>
              </w:rPr>
              <w:t>Membres des Secteurs /Compagnies</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TIT, Liban</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Rés. 41 - 2008</w:t>
            </w: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25,000.00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33,455.60</w:t>
            </w: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33,455.60</w:t>
            </w: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Bay Microsystems, Etats-Unis</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Rés. 41 - 2011</w:t>
            </w: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6,191.23</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6,956.43</w:t>
            </w: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6,956.43</w:t>
            </w: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TranSwitch Corporation, Etats-Unis</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Rés. 41 - 2012</w:t>
            </w: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52,608.35</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55,764.85</w:t>
            </w: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55,764.85</w:t>
            </w:r>
          </w:p>
        </w:tc>
      </w:tr>
      <w:tr w:rsidR="00863306" w:rsidRPr="00590B73" w:rsidTr="00972A32">
        <w:trPr>
          <w:trHeight w:val="255"/>
        </w:trPr>
        <w:tc>
          <w:tcPr>
            <w:tcW w:w="3460" w:type="dxa"/>
            <w:tcBorders>
              <w:top w:val="nil"/>
              <w:left w:val="nil"/>
              <w:bottom w:val="nil"/>
              <w:right w:val="nil"/>
            </w:tcBorders>
            <w:shd w:val="clear" w:color="auto" w:fill="auto"/>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Vodafone Omnitel N.V., Italie</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Rés. 41 - 2013</w:t>
            </w: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76,454.85</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78,735.75</w:t>
            </w: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78,735.75</w:t>
            </w: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863306" w:rsidRPr="00590B73" w:rsidTr="00972A32">
        <w:trPr>
          <w:trHeight w:val="255"/>
        </w:trPr>
        <w:tc>
          <w:tcPr>
            <w:tcW w:w="34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590B73">
              <w:rPr>
                <w:b/>
                <w:bCs/>
                <w:color w:val="000000"/>
                <w:sz w:val="20"/>
                <w:lang w:val="en-US" w:eastAsia="zh-CN"/>
              </w:rPr>
              <w:t>Total au 30 juin 2014</w:t>
            </w:r>
          </w:p>
        </w:tc>
        <w:tc>
          <w:tcPr>
            <w:tcW w:w="15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64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590B73">
              <w:rPr>
                <w:b/>
                <w:bCs/>
                <w:sz w:val="20"/>
                <w:lang w:val="en-US" w:eastAsia="zh-CN"/>
              </w:rPr>
              <w:t>16,138,958.62</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590B73">
              <w:rPr>
                <w:b/>
                <w:bCs/>
                <w:sz w:val="20"/>
                <w:u w:val="single"/>
                <w:lang w:val="en-US" w:eastAsia="zh-CN"/>
              </w:rPr>
              <w:t>17,767,913.88</w:t>
            </w:r>
          </w:p>
        </w:tc>
        <w:tc>
          <w:tcPr>
            <w:tcW w:w="148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590B73">
              <w:rPr>
                <w:b/>
                <w:bCs/>
                <w:sz w:val="20"/>
                <w:lang w:val="en-US" w:eastAsia="zh-CN"/>
              </w:rPr>
              <w:t>-10,109,732.96</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590B73">
              <w:rPr>
                <w:b/>
                <w:bCs/>
                <w:sz w:val="20"/>
                <w:lang w:val="en-US" w:eastAsia="zh-CN"/>
              </w:rPr>
              <w:t>0.00</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590B73">
              <w:rPr>
                <w:b/>
                <w:bCs/>
                <w:sz w:val="20"/>
                <w:lang w:val="en-US" w:eastAsia="zh-CN"/>
              </w:rPr>
              <w:t>-950,883.64</w:t>
            </w:r>
          </w:p>
        </w:tc>
        <w:tc>
          <w:tcPr>
            <w:tcW w:w="1360" w:type="dxa"/>
            <w:tcBorders>
              <w:top w:val="nil"/>
              <w:left w:val="nil"/>
              <w:bottom w:val="nil"/>
              <w:right w:val="nil"/>
            </w:tcBorders>
            <w:shd w:val="clear" w:color="auto" w:fill="auto"/>
            <w:noWrap/>
            <w:vAlign w:val="bottom"/>
            <w:hideMark/>
          </w:tcPr>
          <w:p w:rsidR="00863306" w:rsidRPr="00590B73" w:rsidRDefault="00863306" w:rsidP="00972A32">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590B73">
              <w:rPr>
                <w:b/>
                <w:bCs/>
                <w:sz w:val="20"/>
                <w:u w:val="single"/>
                <w:lang w:val="en-US" w:eastAsia="zh-CN"/>
              </w:rPr>
              <w:t>6,707,297.28</w:t>
            </w:r>
          </w:p>
        </w:tc>
      </w:tr>
    </w:tbl>
    <w:p w:rsidR="00863306" w:rsidRPr="00F1395C" w:rsidRDefault="00F1395C" w:rsidP="00863306">
      <w:pPr>
        <w:pStyle w:val="Heading1"/>
        <w:ind w:left="0" w:firstLine="0"/>
        <w:jc w:val="center"/>
        <w:rPr>
          <w:b w:val="0"/>
          <w:bCs/>
          <w:sz w:val="24"/>
          <w:szCs w:val="24"/>
        </w:rPr>
      </w:pPr>
      <w:r w:rsidRPr="00F1395C">
        <w:rPr>
          <w:b w:val="0"/>
          <w:bCs/>
          <w:sz w:val="24"/>
          <w:szCs w:val="24"/>
        </w:rPr>
        <w:t>__________________</w:t>
      </w:r>
    </w:p>
    <w:p w:rsidR="00BD1614" w:rsidRPr="00BD1614" w:rsidRDefault="00BD1614" w:rsidP="00863306"/>
    <w:sectPr w:rsidR="00BD1614" w:rsidRPr="00BD1614" w:rsidSect="00F1395C">
      <w:headerReference w:type="default" r:id="rId22"/>
      <w:headerReference w:type="first" r:id="rId23"/>
      <w:footerReference w:type="first" r:id="rId24"/>
      <w:type w:val="continuous"/>
      <w:pgSz w:w="16834" w:h="11913" w:orient="landscape"/>
      <w:pgMar w:top="1134" w:right="1418"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061" w:rsidRDefault="00250061">
      <w:r>
        <w:separator/>
      </w:r>
    </w:p>
  </w:endnote>
  <w:endnote w:type="continuationSeparator" w:id="0">
    <w:p w:rsidR="00250061" w:rsidRDefault="0025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61" w:rsidRPr="00A10D73" w:rsidRDefault="00250061" w:rsidP="00A10D73">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61" w:rsidRPr="00A10D73" w:rsidRDefault="00250061" w:rsidP="00A10D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61" w:rsidRDefault="00250061"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250061" w:rsidRPr="006B65FD" w:rsidRDefault="00250061">
    <w:pPr>
      <w:pStyle w:val="FirstFooter"/>
      <w:jc w:val="center"/>
      <w:rPr>
        <w:lang w:val="en-US"/>
      </w:rPr>
    </w:pPr>
  </w:p>
  <w:p w:rsidR="00250061" w:rsidRPr="00DC4F3D" w:rsidRDefault="00250061">
    <w:pPr>
      <w:pStyle w:val="Footer"/>
      <w:rPr>
        <w:lang w:val="en-US"/>
      </w:rPr>
    </w:pPr>
    <w:r>
      <w:fldChar w:fldCharType="begin"/>
    </w:r>
    <w:r w:rsidRPr="00DC4F3D">
      <w:rPr>
        <w:lang w:val="en-US"/>
      </w:rPr>
      <w:instrText xml:space="preserve"> FILENAME \p \* MERGEFORMAT </w:instrText>
    </w:r>
    <w:r>
      <w:fldChar w:fldCharType="separate"/>
    </w:r>
    <w:r>
      <w:rPr>
        <w:lang w:val="en-US"/>
      </w:rPr>
      <w:t>P:\SPM\GBS\pp\pp-14\DOC\000\064V2f_arrieres-new cover.docx</w:t>
    </w:r>
    <w:r>
      <w:fldChar w:fldCharType="end"/>
    </w:r>
    <w:r w:rsidRPr="00DC4F3D">
      <w:rPr>
        <w:lang w:val="en-US"/>
      </w:rPr>
      <w:tab/>
    </w:r>
    <w:r>
      <w:fldChar w:fldCharType="begin"/>
    </w:r>
    <w:r>
      <w:instrText xml:space="preserve"> savedate \@ dd.MM.yy </w:instrText>
    </w:r>
    <w:r>
      <w:fldChar w:fldCharType="separate"/>
    </w:r>
    <w:r w:rsidR="00B96B15">
      <w:t>14.08.14</w:t>
    </w:r>
    <w:r>
      <w:fldChar w:fldCharType="end"/>
    </w:r>
    <w:r w:rsidRPr="00DC4F3D">
      <w:rPr>
        <w:lang w:val="en-US"/>
      </w:rPr>
      <w:tab/>
    </w:r>
    <w:r>
      <w:fldChar w:fldCharType="begin"/>
    </w:r>
    <w:r>
      <w:instrText xml:space="preserve"> printdate \@ dd.MM.yy </w:instrText>
    </w:r>
    <w:r>
      <w:fldChar w:fldCharType="separate"/>
    </w:r>
    <w:r>
      <w:t>13.08.14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61" w:rsidRDefault="00250061">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061" w:rsidRDefault="00250061">
      <w:r>
        <w:t>____________________</w:t>
      </w:r>
    </w:p>
  </w:footnote>
  <w:footnote w:type="continuationSeparator" w:id="0">
    <w:p w:rsidR="00250061" w:rsidRDefault="00250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61" w:rsidRDefault="00250061" w:rsidP="001051E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96B15">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6B15">
      <w:rPr>
        <w:rStyle w:val="PageNumber"/>
        <w:noProof/>
      </w:rPr>
      <w:t>7</w:t>
    </w:r>
    <w:r>
      <w:rPr>
        <w:rStyle w:val="PageNumber"/>
      </w:rPr>
      <w:fldChar w:fldCharType="end"/>
    </w:r>
  </w:p>
  <w:p w:rsidR="00250061" w:rsidRDefault="00250061" w:rsidP="00972A32">
    <w:pPr>
      <w:pStyle w:val="Header"/>
      <w:rPr>
        <w:lang w:val="en-US"/>
      </w:rPr>
    </w:pPr>
    <w:r>
      <w:rPr>
        <w:lang w:val="en-US"/>
      </w:rPr>
      <w:t>PP-14/64-F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61" w:rsidRDefault="00250061" w:rsidP="00A10D7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p>
  <w:p w:rsidR="00250061" w:rsidRDefault="00250061" w:rsidP="00A10D73">
    <w:pPr>
      <w:pStyle w:val="Header"/>
      <w:rPr>
        <w:lang w:val="en-US"/>
      </w:rPr>
    </w:pPr>
    <w:r>
      <w:rPr>
        <w:lang w:val="en-US"/>
      </w:rPr>
      <w:t>PP-14/64-F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61" w:rsidRDefault="00250061" w:rsidP="00A10D7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A3D77">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A3D77">
      <w:rPr>
        <w:rStyle w:val="PageNumber"/>
        <w:noProof/>
      </w:rPr>
      <w:t>17</w:t>
    </w:r>
    <w:r>
      <w:rPr>
        <w:rStyle w:val="PageNumber"/>
      </w:rPr>
      <w:fldChar w:fldCharType="end"/>
    </w:r>
  </w:p>
  <w:p w:rsidR="00250061" w:rsidRDefault="00250061" w:rsidP="00A10D73">
    <w:pPr>
      <w:pStyle w:val="Header"/>
      <w:rPr>
        <w:lang w:val="en-US"/>
      </w:rPr>
    </w:pPr>
    <w:r>
      <w:rPr>
        <w:lang w:val="en-US"/>
      </w:rPr>
      <w:t>PP-14/64-F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61" w:rsidRDefault="00250061" w:rsidP="00A10D7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A3D77">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A3D77">
      <w:rPr>
        <w:rStyle w:val="PageNumber"/>
        <w:noProof/>
      </w:rPr>
      <w:t>17</w:t>
    </w:r>
    <w:r>
      <w:rPr>
        <w:rStyle w:val="PageNumber"/>
      </w:rPr>
      <w:fldChar w:fldCharType="end"/>
    </w:r>
  </w:p>
  <w:p w:rsidR="00250061" w:rsidRDefault="00250061" w:rsidP="00A10D73">
    <w:pPr>
      <w:pStyle w:val="Header"/>
      <w:rPr>
        <w:lang w:val="en-US"/>
      </w:rPr>
    </w:pPr>
    <w:r>
      <w:rPr>
        <w:lang w:val="en-US"/>
      </w:rPr>
      <w:t>PP-14/64-F</w:t>
    </w:r>
  </w:p>
  <w:p w:rsidR="00250061" w:rsidRPr="00A10D73" w:rsidRDefault="00250061" w:rsidP="00A10D7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F87EFC"/>
    <w:lvl w:ilvl="0">
      <w:start w:val="1"/>
      <w:numFmt w:val="decimal"/>
      <w:lvlText w:val="%1."/>
      <w:lvlJc w:val="left"/>
      <w:pPr>
        <w:tabs>
          <w:tab w:val="num" w:pos="1492"/>
        </w:tabs>
        <w:ind w:left="1492" w:hanging="360"/>
      </w:pPr>
    </w:lvl>
  </w:abstractNum>
  <w:abstractNum w:abstractNumId="1">
    <w:nsid w:val="FFFFFF7D"/>
    <w:multiLevelType w:val="singleLevel"/>
    <w:tmpl w:val="3072F9AA"/>
    <w:lvl w:ilvl="0">
      <w:start w:val="1"/>
      <w:numFmt w:val="decimal"/>
      <w:lvlText w:val="%1."/>
      <w:lvlJc w:val="left"/>
      <w:pPr>
        <w:tabs>
          <w:tab w:val="num" w:pos="1209"/>
        </w:tabs>
        <w:ind w:left="1209" w:hanging="360"/>
      </w:pPr>
    </w:lvl>
  </w:abstractNum>
  <w:abstractNum w:abstractNumId="2">
    <w:nsid w:val="FFFFFF7E"/>
    <w:multiLevelType w:val="singleLevel"/>
    <w:tmpl w:val="DDEC3386"/>
    <w:lvl w:ilvl="0">
      <w:start w:val="1"/>
      <w:numFmt w:val="decimal"/>
      <w:lvlText w:val="%1."/>
      <w:lvlJc w:val="left"/>
      <w:pPr>
        <w:tabs>
          <w:tab w:val="num" w:pos="926"/>
        </w:tabs>
        <w:ind w:left="926" w:hanging="360"/>
      </w:pPr>
    </w:lvl>
  </w:abstractNum>
  <w:abstractNum w:abstractNumId="3">
    <w:nsid w:val="FFFFFF7F"/>
    <w:multiLevelType w:val="singleLevel"/>
    <w:tmpl w:val="DD08312E"/>
    <w:lvl w:ilvl="0">
      <w:start w:val="1"/>
      <w:numFmt w:val="decimal"/>
      <w:lvlText w:val="%1."/>
      <w:lvlJc w:val="left"/>
      <w:pPr>
        <w:tabs>
          <w:tab w:val="num" w:pos="643"/>
        </w:tabs>
        <w:ind w:left="643" w:hanging="360"/>
      </w:pPr>
    </w:lvl>
  </w:abstractNum>
  <w:abstractNum w:abstractNumId="4">
    <w:nsid w:val="FFFFFF80"/>
    <w:multiLevelType w:val="singleLevel"/>
    <w:tmpl w:val="B72477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524B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D820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E089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8ACAC4"/>
    <w:lvl w:ilvl="0">
      <w:start w:val="1"/>
      <w:numFmt w:val="decimal"/>
      <w:lvlText w:val="%1."/>
      <w:lvlJc w:val="left"/>
      <w:pPr>
        <w:tabs>
          <w:tab w:val="num" w:pos="360"/>
        </w:tabs>
        <w:ind w:left="360" w:hanging="360"/>
      </w:pPr>
    </w:lvl>
  </w:abstractNum>
  <w:abstractNum w:abstractNumId="9">
    <w:nsid w:val="FFFFFF89"/>
    <w:multiLevelType w:val="singleLevel"/>
    <w:tmpl w:val="7F80F44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D5657E0"/>
    <w:lvl w:ilvl="0">
      <w:numFmt w:val="decimal"/>
      <w:lvlText w:val="*"/>
      <w:lvlJc w:val="left"/>
    </w:lvl>
  </w:abstractNum>
  <w:abstractNum w:abstractNumId="11">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8C41756"/>
    <w:multiLevelType w:val="hybridMultilevel"/>
    <w:tmpl w:val="CCE0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4">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6">
    <w:abstractNumId w:val="15"/>
  </w:num>
  <w:num w:numId="17">
    <w:abstractNumId w:val="14"/>
  </w:num>
  <w:num w:numId="18">
    <w:abstractNumId w:val="11"/>
  </w:num>
  <w:num w:numId="19">
    <w:abstractNumId w:val="12"/>
  </w:num>
  <w:num w:numId="20">
    <w:abstractNumId w:val="20"/>
  </w:num>
  <w:num w:numId="21">
    <w:abstractNumId w:val="26"/>
  </w:num>
  <w:num w:numId="22">
    <w:abstractNumId w:val="19"/>
  </w:num>
  <w:num w:numId="23">
    <w:abstractNumId w:val="16"/>
  </w:num>
  <w:num w:numId="24">
    <w:abstractNumId w:val="17"/>
  </w:num>
  <w:num w:numId="25">
    <w:abstractNumId w:val="22"/>
  </w:num>
  <w:num w:numId="26">
    <w:abstractNumId w:val="18"/>
  </w:num>
  <w:num w:numId="27">
    <w:abstractNumId w:val="25"/>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72D5C"/>
    <w:rsid w:val="000836B1"/>
    <w:rsid w:val="00084308"/>
    <w:rsid w:val="000B14B6"/>
    <w:rsid w:val="000C467B"/>
    <w:rsid w:val="000D15FB"/>
    <w:rsid w:val="000D31EE"/>
    <w:rsid w:val="001051E4"/>
    <w:rsid w:val="001354EA"/>
    <w:rsid w:val="00136FCE"/>
    <w:rsid w:val="00153BA4"/>
    <w:rsid w:val="001878A0"/>
    <w:rsid w:val="00190BCE"/>
    <w:rsid w:val="001941AD"/>
    <w:rsid w:val="001A0682"/>
    <w:rsid w:val="001E1B9B"/>
    <w:rsid w:val="001F6233"/>
    <w:rsid w:val="00206206"/>
    <w:rsid w:val="00250061"/>
    <w:rsid w:val="002C1059"/>
    <w:rsid w:val="002C2F9C"/>
    <w:rsid w:val="0032716B"/>
    <w:rsid w:val="003945DE"/>
    <w:rsid w:val="003A0B7D"/>
    <w:rsid w:val="003A45C2"/>
    <w:rsid w:val="003C4BE2"/>
    <w:rsid w:val="003D147D"/>
    <w:rsid w:val="00407795"/>
    <w:rsid w:val="00430015"/>
    <w:rsid w:val="004678D0"/>
    <w:rsid w:val="00471BF7"/>
    <w:rsid w:val="00482954"/>
    <w:rsid w:val="00524001"/>
    <w:rsid w:val="00564B63"/>
    <w:rsid w:val="00575DC7"/>
    <w:rsid w:val="005836C2"/>
    <w:rsid w:val="005A4EFD"/>
    <w:rsid w:val="005A5ABE"/>
    <w:rsid w:val="005C2ECC"/>
    <w:rsid w:val="005E419E"/>
    <w:rsid w:val="005F7F1F"/>
    <w:rsid w:val="00611CF1"/>
    <w:rsid w:val="006201D9"/>
    <w:rsid w:val="006277DB"/>
    <w:rsid w:val="006314B3"/>
    <w:rsid w:val="00632814"/>
    <w:rsid w:val="00635B7B"/>
    <w:rsid w:val="006548C0"/>
    <w:rsid w:val="00655B98"/>
    <w:rsid w:val="006711DD"/>
    <w:rsid w:val="00686973"/>
    <w:rsid w:val="006A3D77"/>
    <w:rsid w:val="006A6342"/>
    <w:rsid w:val="006B65FD"/>
    <w:rsid w:val="006B6C9C"/>
    <w:rsid w:val="006C7AE3"/>
    <w:rsid w:val="006D55E8"/>
    <w:rsid w:val="006E1921"/>
    <w:rsid w:val="006F36F9"/>
    <w:rsid w:val="0070576B"/>
    <w:rsid w:val="00713335"/>
    <w:rsid w:val="00727C2F"/>
    <w:rsid w:val="00735F13"/>
    <w:rsid w:val="007717F2"/>
    <w:rsid w:val="0078134C"/>
    <w:rsid w:val="007A5830"/>
    <w:rsid w:val="00801256"/>
    <w:rsid w:val="00863306"/>
    <w:rsid w:val="008703CB"/>
    <w:rsid w:val="008C33C2"/>
    <w:rsid w:val="008C6137"/>
    <w:rsid w:val="008E2DB4"/>
    <w:rsid w:val="00901DD5"/>
    <w:rsid w:val="0090735B"/>
    <w:rsid w:val="00912D5E"/>
    <w:rsid w:val="00934340"/>
    <w:rsid w:val="00951843"/>
    <w:rsid w:val="00966CD3"/>
    <w:rsid w:val="00972A32"/>
    <w:rsid w:val="00987A20"/>
    <w:rsid w:val="009A0E15"/>
    <w:rsid w:val="009F0592"/>
    <w:rsid w:val="00A10D73"/>
    <w:rsid w:val="00A20E72"/>
    <w:rsid w:val="00A246DC"/>
    <w:rsid w:val="00A461A2"/>
    <w:rsid w:val="00A47BAF"/>
    <w:rsid w:val="00A5784F"/>
    <w:rsid w:val="00A8436E"/>
    <w:rsid w:val="00A95B66"/>
    <w:rsid w:val="00AE0667"/>
    <w:rsid w:val="00B41E0A"/>
    <w:rsid w:val="00B56DE0"/>
    <w:rsid w:val="00B71F12"/>
    <w:rsid w:val="00B83017"/>
    <w:rsid w:val="00B96B15"/>
    <w:rsid w:val="00B96B1E"/>
    <w:rsid w:val="00BB2A6F"/>
    <w:rsid w:val="00BD1614"/>
    <w:rsid w:val="00BF7D25"/>
    <w:rsid w:val="00C010C0"/>
    <w:rsid w:val="00C54CE6"/>
    <w:rsid w:val="00C575E2"/>
    <w:rsid w:val="00C7368B"/>
    <w:rsid w:val="00C92746"/>
    <w:rsid w:val="00CC4DC5"/>
    <w:rsid w:val="00CE1A7C"/>
    <w:rsid w:val="00D11CB7"/>
    <w:rsid w:val="00D12C74"/>
    <w:rsid w:val="00D56483"/>
    <w:rsid w:val="00D56AD6"/>
    <w:rsid w:val="00D70019"/>
    <w:rsid w:val="00D74B58"/>
    <w:rsid w:val="00D82ABE"/>
    <w:rsid w:val="00DA685B"/>
    <w:rsid w:val="00DA742B"/>
    <w:rsid w:val="00DC4F3D"/>
    <w:rsid w:val="00DF25C1"/>
    <w:rsid w:val="00DF48F7"/>
    <w:rsid w:val="00DF4964"/>
    <w:rsid w:val="00DF4D73"/>
    <w:rsid w:val="00DF79B0"/>
    <w:rsid w:val="00E1047D"/>
    <w:rsid w:val="00E443FA"/>
    <w:rsid w:val="00E54FCE"/>
    <w:rsid w:val="00E55604"/>
    <w:rsid w:val="00E93D35"/>
    <w:rsid w:val="00EA45DB"/>
    <w:rsid w:val="00ED2CD9"/>
    <w:rsid w:val="00EE3BAB"/>
    <w:rsid w:val="00F1395C"/>
    <w:rsid w:val="00F564C1"/>
    <w:rsid w:val="00F77FA2"/>
    <w:rsid w:val="00F8357A"/>
    <w:rsid w:val="00FA1B77"/>
    <w:rsid w:val="00FB4B65"/>
    <w:rsid w:val="00FB584F"/>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uiPriority w:val="99"/>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uiPriority w:val="99"/>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Heading1Char">
    <w:name w:val="Heading 1 Char"/>
    <w:basedOn w:val="DefaultParagraphFont"/>
    <w:link w:val="Heading1"/>
    <w:uiPriority w:val="9"/>
    <w:rsid w:val="00863306"/>
    <w:rPr>
      <w:rFonts w:ascii="Calibri" w:hAnsi="Calibri"/>
      <w:b/>
      <w:sz w:val="28"/>
      <w:lang w:val="fr-FR" w:eastAsia="en-US"/>
    </w:rPr>
  </w:style>
  <w:style w:type="character" w:customStyle="1" w:styleId="FooterChar">
    <w:name w:val="Footer Char"/>
    <w:basedOn w:val="DefaultParagraphFont"/>
    <w:link w:val="Footer"/>
    <w:uiPriority w:val="99"/>
    <w:rsid w:val="00863306"/>
    <w:rPr>
      <w:rFonts w:ascii="Calibri" w:hAnsi="Calibri"/>
      <w:caps/>
      <w:noProof/>
      <w:sz w:val="16"/>
      <w:lang w:val="fr-FR" w:eastAsia="en-US"/>
    </w:rPr>
  </w:style>
  <w:style w:type="paragraph" w:styleId="Index7">
    <w:name w:val="index 7"/>
    <w:basedOn w:val="Normal"/>
    <w:next w:val="Normal"/>
    <w:rsid w:val="00863306"/>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rPr>
  </w:style>
  <w:style w:type="paragraph" w:styleId="Index6">
    <w:name w:val="index 6"/>
    <w:basedOn w:val="Normal"/>
    <w:next w:val="Normal"/>
    <w:rsid w:val="00863306"/>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rPr>
  </w:style>
  <w:style w:type="paragraph" w:styleId="Index5">
    <w:name w:val="index 5"/>
    <w:basedOn w:val="Normal"/>
    <w:next w:val="Normal"/>
    <w:rsid w:val="00863306"/>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rPr>
  </w:style>
  <w:style w:type="paragraph" w:styleId="Index4">
    <w:name w:val="index 4"/>
    <w:basedOn w:val="Normal"/>
    <w:next w:val="Normal"/>
    <w:rsid w:val="00863306"/>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rPr>
  </w:style>
  <w:style w:type="paragraph" w:styleId="Index3">
    <w:name w:val="index 3"/>
    <w:basedOn w:val="Normal"/>
    <w:next w:val="Normal"/>
    <w:rsid w:val="00863306"/>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rPr>
  </w:style>
  <w:style w:type="paragraph" w:styleId="Index2">
    <w:name w:val="index 2"/>
    <w:basedOn w:val="Normal"/>
    <w:next w:val="Normal"/>
    <w:rsid w:val="00863306"/>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rPr>
  </w:style>
  <w:style w:type="paragraph" w:styleId="Index1">
    <w:name w:val="index 1"/>
    <w:basedOn w:val="Normal"/>
    <w:next w:val="Normal"/>
    <w:rsid w:val="00863306"/>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styleId="LineNumber">
    <w:name w:val="line number"/>
    <w:basedOn w:val="DefaultParagraphFont"/>
    <w:rsid w:val="00863306"/>
  </w:style>
  <w:style w:type="paragraph" w:styleId="IndexHeading">
    <w:name w:val="index heading"/>
    <w:basedOn w:val="Normal"/>
    <w:next w:val="Index1"/>
    <w:rsid w:val="00863306"/>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paragraph" w:customStyle="1" w:styleId="TableLegend0">
    <w:name w:val="Table_Legend"/>
    <w:basedOn w:val="TableText0"/>
    <w:rsid w:val="00863306"/>
    <w:pPr>
      <w:spacing w:before="120"/>
    </w:pPr>
  </w:style>
  <w:style w:type="paragraph" w:customStyle="1" w:styleId="TableText0">
    <w:name w:val="Table_Text"/>
    <w:basedOn w:val="Normal"/>
    <w:rsid w:val="00863306"/>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rPr>
  </w:style>
  <w:style w:type="paragraph" w:customStyle="1" w:styleId="TableTitle0">
    <w:name w:val="Table_Title"/>
    <w:basedOn w:val="Table"/>
    <w:next w:val="TableText0"/>
    <w:rsid w:val="00863306"/>
    <w:pPr>
      <w:keepLines/>
      <w:spacing w:before="0"/>
    </w:pPr>
    <w:rPr>
      <w:b/>
      <w:caps w:val="0"/>
    </w:rPr>
  </w:style>
  <w:style w:type="paragraph" w:customStyle="1" w:styleId="Table">
    <w:name w:val="Table_#"/>
    <w:basedOn w:val="Normal"/>
    <w:next w:val="TableTitle0"/>
    <w:rsid w:val="00863306"/>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TableHead0">
    <w:name w:val="Table_Head"/>
    <w:basedOn w:val="TableText0"/>
    <w:rsid w:val="00863306"/>
    <w:pPr>
      <w:keepNext/>
      <w:spacing w:before="80" w:after="80"/>
      <w:jc w:val="center"/>
    </w:pPr>
    <w:rPr>
      <w:b/>
    </w:rPr>
  </w:style>
  <w:style w:type="paragraph" w:customStyle="1" w:styleId="FigureLegend">
    <w:name w:val="Figure_Legend"/>
    <w:basedOn w:val="Normal"/>
    <w:rsid w:val="00863306"/>
    <w:pPr>
      <w:keepNext/>
      <w:keepLines/>
      <w:tabs>
        <w:tab w:val="clear" w:pos="567"/>
        <w:tab w:val="clear" w:pos="1134"/>
        <w:tab w:val="clear" w:pos="1701"/>
        <w:tab w:val="clear" w:pos="2268"/>
        <w:tab w:val="clear" w:pos="2835"/>
      </w:tabs>
      <w:spacing w:before="20" w:after="20"/>
    </w:pPr>
    <w:rPr>
      <w:rFonts w:ascii="Times New Roman" w:hAnsi="Times New Roman"/>
      <w:sz w:val="18"/>
    </w:rPr>
  </w:style>
  <w:style w:type="paragraph" w:customStyle="1" w:styleId="Figure">
    <w:name w:val="Figure_#"/>
    <w:basedOn w:val="Table"/>
    <w:next w:val="FigureTitle"/>
    <w:rsid w:val="00863306"/>
    <w:pPr>
      <w:spacing w:before="480"/>
    </w:pPr>
  </w:style>
  <w:style w:type="paragraph" w:customStyle="1" w:styleId="FigureTitle">
    <w:name w:val="Figure_Title"/>
    <w:basedOn w:val="TableTitle0"/>
    <w:next w:val="Normal"/>
    <w:rsid w:val="00863306"/>
    <w:pPr>
      <w:keepNext w:val="0"/>
      <w:spacing w:after="480"/>
    </w:pPr>
  </w:style>
  <w:style w:type="paragraph" w:customStyle="1" w:styleId="Annex">
    <w:name w:val="Annex_#"/>
    <w:basedOn w:val="Normal"/>
    <w:next w:val="AnnexRef0"/>
    <w:rsid w:val="00863306"/>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rPr>
  </w:style>
  <w:style w:type="paragraph" w:customStyle="1" w:styleId="AnnexRef0">
    <w:name w:val="Annex_Ref"/>
    <w:basedOn w:val="Normal"/>
    <w:next w:val="AnnexTitle0"/>
    <w:rsid w:val="00863306"/>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rPr>
  </w:style>
  <w:style w:type="paragraph" w:customStyle="1" w:styleId="AnnexTitle0">
    <w:name w:val="Annex_Title"/>
    <w:basedOn w:val="Normal"/>
    <w:next w:val="Normal"/>
    <w:rsid w:val="00863306"/>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sz w:val="28"/>
    </w:rPr>
  </w:style>
  <w:style w:type="paragraph" w:customStyle="1" w:styleId="Appendix">
    <w:name w:val="Appendix_#"/>
    <w:basedOn w:val="Annex"/>
    <w:next w:val="AppendixRef0"/>
    <w:rsid w:val="00863306"/>
  </w:style>
  <w:style w:type="paragraph" w:customStyle="1" w:styleId="AppendixRef0">
    <w:name w:val="Appendix_Ref"/>
    <w:basedOn w:val="AnnexRef0"/>
    <w:next w:val="AppendixTitle0"/>
    <w:rsid w:val="00863306"/>
  </w:style>
  <w:style w:type="paragraph" w:customStyle="1" w:styleId="AppendixTitle0">
    <w:name w:val="Appendix_Title"/>
    <w:basedOn w:val="AnnexTitle0"/>
    <w:next w:val="Normal"/>
    <w:rsid w:val="00863306"/>
  </w:style>
  <w:style w:type="paragraph" w:customStyle="1" w:styleId="RefTitle0">
    <w:name w:val="Ref_Title"/>
    <w:basedOn w:val="Normal"/>
    <w:next w:val="RefText0"/>
    <w:rsid w:val="00863306"/>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rPr>
  </w:style>
  <w:style w:type="paragraph" w:customStyle="1" w:styleId="RefText0">
    <w:name w:val="Ref_Text"/>
    <w:basedOn w:val="Normal"/>
    <w:rsid w:val="00863306"/>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hAnsi="Times New Roman"/>
    </w:rPr>
  </w:style>
  <w:style w:type="paragraph" w:customStyle="1" w:styleId="Equation">
    <w:name w:val="Equation"/>
    <w:basedOn w:val="Normal"/>
    <w:rsid w:val="00863306"/>
    <w:pPr>
      <w:tabs>
        <w:tab w:val="clear" w:pos="567"/>
        <w:tab w:val="clear" w:pos="1134"/>
        <w:tab w:val="clear" w:pos="1701"/>
        <w:tab w:val="clear" w:pos="2268"/>
        <w:tab w:val="clear" w:pos="2835"/>
        <w:tab w:val="left" w:pos="794"/>
        <w:tab w:val="center" w:pos="4876"/>
        <w:tab w:val="right" w:pos="9752"/>
      </w:tabs>
    </w:pPr>
    <w:rPr>
      <w:rFonts w:ascii="Times New Roman" w:hAnsi="Times New Roman"/>
    </w:rPr>
  </w:style>
  <w:style w:type="paragraph" w:customStyle="1" w:styleId="Head">
    <w:name w:val="Head"/>
    <w:basedOn w:val="Normal"/>
    <w:rsid w:val="00863306"/>
    <w:pPr>
      <w:tabs>
        <w:tab w:val="clear" w:pos="567"/>
        <w:tab w:val="clear" w:pos="1134"/>
        <w:tab w:val="clear" w:pos="1701"/>
        <w:tab w:val="clear" w:pos="2268"/>
        <w:tab w:val="clear" w:pos="2835"/>
        <w:tab w:val="left" w:pos="6663"/>
      </w:tabs>
      <w:spacing w:before="0"/>
    </w:pPr>
    <w:rPr>
      <w:rFonts w:ascii="Times New Roman" w:hAnsi="Times New Roman"/>
    </w:rPr>
  </w:style>
  <w:style w:type="paragraph" w:customStyle="1" w:styleId="RecTitle0">
    <w:name w:val="Rec_Title"/>
    <w:basedOn w:val="Normal"/>
    <w:next w:val="Heading1"/>
    <w:rsid w:val="00863306"/>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hAnsi="Times New Roman"/>
      <w:b/>
      <w:caps/>
      <w:sz w:val="28"/>
    </w:rPr>
  </w:style>
  <w:style w:type="paragraph" w:customStyle="1" w:styleId="call0">
    <w:name w:val="call"/>
    <w:basedOn w:val="Normal"/>
    <w:next w:val="Normal"/>
    <w:rsid w:val="00863306"/>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rPr>
  </w:style>
  <w:style w:type="paragraph" w:customStyle="1" w:styleId="Rec">
    <w:name w:val="Rec_#"/>
    <w:basedOn w:val="Normal"/>
    <w:next w:val="RecTitle0"/>
    <w:rsid w:val="0086330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styleId="List">
    <w:name w:val="List"/>
    <w:basedOn w:val="Normal"/>
    <w:rsid w:val="00863306"/>
    <w:pPr>
      <w:tabs>
        <w:tab w:val="clear" w:pos="567"/>
        <w:tab w:val="clear" w:pos="1134"/>
        <w:tab w:val="clear" w:pos="2268"/>
        <w:tab w:val="clear" w:pos="2835"/>
        <w:tab w:val="left" w:pos="2127"/>
      </w:tabs>
      <w:ind w:left="2127" w:hanging="2127"/>
    </w:pPr>
    <w:rPr>
      <w:rFonts w:ascii="Times New Roman" w:hAnsi="Times New Roman"/>
    </w:rPr>
  </w:style>
  <w:style w:type="paragraph" w:customStyle="1" w:styleId="Infodoc">
    <w:name w:val="Infodoc"/>
    <w:basedOn w:val="Normal"/>
    <w:rsid w:val="00863306"/>
    <w:pPr>
      <w:tabs>
        <w:tab w:val="clear" w:pos="567"/>
        <w:tab w:val="clear" w:pos="1134"/>
        <w:tab w:val="clear" w:pos="1701"/>
        <w:tab w:val="clear" w:pos="2268"/>
        <w:tab w:val="clear" w:pos="2835"/>
        <w:tab w:val="left" w:pos="1418"/>
      </w:tabs>
      <w:spacing w:before="0"/>
      <w:ind w:left="1418" w:hanging="1418"/>
    </w:pPr>
    <w:rPr>
      <w:rFonts w:ascii="Times New Roman" w:hAnsi="Times New Roman"/>
    </w:rPr>
  </w:style>
  <w:style w:type="paragraph" w:customStyle="1" w:styleId="Address">
    <w:name w:val="Address"/>
    <w:basedOn w:val="Normal"/>
    <w:rsid w:val="00863306"/>
    <w:pPr>
      <w:tabs>
        <w:tab w:val="clear" w:pos="567"/>
        <w:tab w:val="clear" w:pos="1134"/>
        <w:tab w:val="clear" w:pos="1701"/>
        <w:tab w:val="clear" w:pos="2268"/>
        <w:tab w:val="clear" w:pos="2835"/>
        <w:tab w:val="left" w:pos="4820"/>
        <w:tab w:val="left" w:pos="5529"/>
      </w:tabs>
      <w:ind w:left="794"/>
    </w:pPr>
    <w:rPr>
      <w:rFonts w:ascii="Times New Roman" w:hAnsi="Times New Roman"/>
    </w:rPr>
  </w:style>
  <w:style w:type="paragraph" w:customStyle="1" w:styleId="docnottitle">
    <w:name w:val="docnot_title"/>
    <w:basedOn w:val="Normal"/>
    <w:rsid w:val="00863306"/>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hAnsi="Times New Roman"/>
      <w:sz w:val="20"/>
    </w:rPr>
  </w:style>
  <w:style w:type="paragraph" w:customStyle="1" w:styleId="Keywords">
    <w:name w:val="Keywords"/>
    <w:basedOn w:val="Normal"/>
    <w:rsid w:val="00863306"/>
    <w:pPr>
      <w:tabs>
        <w:tab w:val="clear" w:pos="567"/>
        <w:tab w:val="clear" w:pos="1134"/>
        <w:tab w:val="clear" w:pos="1701"/>
        <w:tab w:val="clear" w:pos="2268"/>
        <w:tab w:val="clear" w:pos="2835"/>
        <w:tab w:val="left" w:pos="794"/>
        <w:tab w:val="left" w:pos="1985"/>
      </w:tabs>
      <w:ind w:left="794" w:hanging="794"/>
    </w:pPr>
    <w:rPr>
      <w:rFonts w:ascii="Times New Roman" w:hAnsi="Times New Roman"/>
    </w:rPr>
  </w:style>
  <w:style w:type="paragraph" w:styleId="BodyText">
    <w:name w:val="Body Text"/>
    <w:basedOn w:val="Normal"/>
    <w:link w:val="BodyTextChar"/>
    <w:rsid w:val="00863306"/>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hAnsi="Times New Roman"/>
    </w:rPr>
  </w:style>
  <w:style w:type="character" w:customStyle="1" w:styleId="BodyTextChar">
    <w:name w:val="Body Text Char"/>
    <w:basedOn w:val="DefaultParagraphFont"/>
    <w:link w:val="BodyText"/>
    <w:rsid w:val="00863306"/>
    <w:rPr>
      <w:rFonts w:ascii="Times New Roman" w:hAnsi="Times New Roman"/>
      <w:sz w:val="24"/>
      <w:lang w:val="fr-FR" w:eastAsia="en-US"/>
    </w:rPr>
  </w:style>
  <w:style w:type="paragraph" w:customStyle="1" w:styleId="EquationLegend">
    <w:name w:val="Equation_Legend"/>
    <w:basedOn w:val="Normal"/>
    <w:rsid w:val="00863306"/>
    <w:pPr>
      <w:tabs>
        <w:tab w:val="clear" w:pos="567"/>
        <w:tab w:val="clear" w:pos="1134"/>
        <w:tab w:val="clear" w:pos="2268"/>
        <w:tab w:val="clear" w:pos="2835"/>
        <w:tab w:val="right" w:pos="1531"/>
      </w:tabs>
      <w:spacing w:before="80"/>
      <w:ind w:left="1701" w:hanging="1701"/>
    </w:pPr>
    <w:rPr>
      <w:rFonts w:ascii="Times New Roman" w:hAnsi="Times New Roman"/>
    </w:rPr>
  </w:style>
  <w:style w:type="paragraph" w:customStyle="1" w:styleId="listitem">
    <w:name w:val="listitem"/>
    <w:basedOn w:val="Normal"/>
    <w:rsid w:val="00863306"/>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rPr>
  </w:style>
  <w:style w:type="paragraph" w:customStyle="1" w:styleId="meeting">
    <w:name w:val="meeting"/>
    <w:basedOn w:val="Head"/>
    <w:next w:val="Head"/>
    <w:rsid w:val="00863306"/>
    <w:pPr>
      <w:tabs>
        <w:tab w:val="left" w:pos="7371"/>
      </w:tabs>
      <w:spacing w:after="560"/>
    </w:pPr>
  </w:style>
  <w:style w:type="paragraph" w:customStyle="1" w:styleId="Subject">
    <w:name w:val="Subject"/>
    <w:basedOn w:val="Normal"/>
    <w:next w:val="Normal"/>
    <w:rsid w:val="00863306"/>
    <w:pPr>
      <w:tabs>
        <w:tab w:val="clear" w:pos="567"/>
        <w:tab w:val="clear" w:pos="1134"/>
        <w:tab w:val="clear" w:pos="1701"/>
        <w:tab w:val="clear" w:pos="2268"/>
        <w:tab w:val="clear" w:pos="2835"/>
        <w:tab w:val="left" w:pos="823"/>
      </w:tabs>
      <w:spacing w:before="0"/>
    </w:pPr>
    <w:rPr>
      <w:rFonts w:ascii="Times New Roman" w:hAnsi="Times New Roman"/>
    </w:rPr>
  </w:style>
  <w:style w:type="paragraph" w:customStyle="1" w:styleId="Object">
    <w:name w:val="Object"/>
    <w:basedOn w:val="Subject"/>
    <w:next w:val="Subject"/>
    <w:rsid w:val="00863306"/>
  </w:style>
  <w:style w:type="paragraph" w:customStyle="1" w:styleId="Data">
    <w:name w:val="Data"/>
    <w:basedOn w:val="Subject"/>
    <w:next w:val="Subject"/>
    <w:rsid w:val="00863306"/>
  </w:style>
  <w:style w:type="paragraph" w:customStyle="1" w:styleId="docnoted">
    <w:name w:val="docnoted"/>
    <w:basedOn w:val="Normal"/>
    <w:rsid w:val="00863306"/>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paragraph" w:customStyle="1" w:styleId="headingb0">
    <w:name w:val="heading_b"/>
    <w:basedOn w:val="Heading3"/>
    <w:next w:val="Normal"/>
    <w:rsid w:val="00863306"/>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rPr>
  </w:style>
  <w:style w:type="paragraph" w:customStyle="1" w:styleId="headingi0">
    <w:name w:val="heading_i"/>
    <w:basedOn w:val="Heading3"/>
    <w:next w:val="Normal"/>
    <w:rsid w:val="00863306"/>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b w:val="0"/>
      <w:i/>
    </w:rPr>
  </w:style>
  <w:style w:type="paragraph" w:customStyle="1" w:styleId="Qlist">
    <w:name w:val="Qlist"/>
    <w:basedOn w:val="Normal"/>
    <w:rsid w:val="00863306"/>
    <w:pPr>
      <w:tabs>
        <w:tab w:val="clear" w:pos="567"/>
        <w:tab w:val="clear" w:pos="1134"/>
        <w:tab w:val="clear" w:pos="1701"/>
        <w:tab w:val="clear" w:pos="2835"/>
        <w:tab w:val="left" w:pos="1843"/>
      </w:tabs>
      <w:ind w:left="2268" w:hanging="2268"/>
    </w:pPr>
    <w:rPr>
      <w:rFonts w:ascii="Times New Roman" w:hAnsi="Times New Roman"/>
      <w:b/>
    </w:rPr>
  </w:style>
  <w:style w:type="paragraph" w:customStyle="1" w:styleId="ASN1">
    <w:name w:val="ASN.1"/>
    <w:basedOn w:val="Normal"/>
    <w:rsid w:val="00863306"/>
    <w:pPr>
      <w:tabs>
        <w:tab w:val="left" w:pos="3402"/>
        <w:tab w:val="left" w:pos="3969"/>
        <w:tab w:val="left" w:pos="4536"/>
        <w:tab w:val="left" w:pos="5103"/>
        <w:tab w:val="left" w:pos="5670"/>
      </w:tabs>
      <w:spacing w:before="0"/>
    </w:pPr>
    <w:rPr>
      <w:rFonts w:ascii="Times New Roman" w:hAnsi="Times New Roman"/>
      <w:b/>
      <w:noProof/>
      <w:sz w:val="20"/>
    </w:rPr>
  </w:style>
  <w:style w:type="paragraph" w:styleId="BodyText2">
    <w:name w:val="Body Text 2"/>
    <w:basedOn w:val="Normal"/>
    <w:link w:val="BodyText2Char"/>
    <w:rsid w:val="00863306"/>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hAnsi="Times New Roman"/>
    </w:rPr>
  </w:style>
  <w:style w:type="character" w:customStyle="1" w:styleId="BodyText2Char">
    <w:name w:val="Body Text 2 Char"/>
    <w:basedOn w:val="DefaultParagraphFont"/>
    <w:link w:val="BodyText2"/>
    <w:rsid w:val="00863306"/>
    <w:rPr>
      <w:rFonts w:ascii="Times New Roman" w:hAnsi="Times New Roman"/>
      <w:sz w:val="24"/>
      <w:lang w:val="fr-FR" w:eastAsia="en-US"/>
    </w:rPr>
  </w:style>
  <w:style w:type="paragraph" w:customStyle="1" w:styleId="xl20">
    <w:name w:val="xl20"/>
    <w:basedOn w:val="Normal"/>
    <w:rsid w:val="00863306"/>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1">
    <w:name w:val="xl21"/>
    <w:basedOn w:val="Normal"/>
    <w:rsid w:val="00863306"/>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2">
    <w:name w:val="xl22"/>
    <w:basedOn w:val="Normal"/>
    <w:rsid w:val="00863306"/>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customStyle="1" w:styleId="xl23">
    <w:name w:val="xl23"/>
    <w:basedOn w:val="Normal"/>
    <w:rsid w:val="00863306"/>
    <w:pPr>
      <w:tabs>
        <w:tab w:val="clear" w:pos="567"/>
        <w:tab w:val="clear" w:pos="1134"/>
        <w:tab w:val="clear" w:pos="1701"/>
        <w:tab w:val="clear" w:pos="2268"/>
        <w:tab w:val="clear" w:pos="2835"/>
      </w:tabs>
      <w:spacing w:before="100" w:after="100"/>
      <w:jc w:val="center"/>
    </w:pPr>
    <w:rPr>
      <w:rFonts w:ascii="Times New Roman" w:hAnsi="Times New Roman"/>
      <w:sz w:val="22"/>
      <w:lang w:val="en-US"/>
    </w:rPr>
  </w:style>
  <w:style w:type="paragraph" w:customStyle="1" w:styleId="xl24">
    <w:name w:val="xl24"/>
    <w:basedOn w:val="Normal"/>
    <w:rsid w:val="00863306"/>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5">
    <w:name w:val="xl25"/>
    <w:basedOn w:val="Normal"/>
    <w:rsid w:val="00863306"/>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6">
    <w:name w:val="xl26"/>
    <w:basedOn w:val="Normal"/>
    <w:rsid w:val="00863306"/>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7">
    <w:name w:val="xl27"/>
    <w:basedOn w:val="Normal"/>
    <w:rsid w:val="00863306"/>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8">
    <w:name w:val="xl28"/>
    <w:basedOn w:val="Normal"/>
    <w:rsid w:val="00863306"/>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863306"/>
    <w:pPr>
      <w:tabs>
        <w:tab w:val="clear" w:pos="567"/>
        <w:tab w:val="clear" w:pos="1134"/>
        <w:tab w:val="clear" w:pos="1701"/>
        <w:tab w:val="clear" w:pos="2268"/>
        <w:tab w:val="clear" w:pos="2835"/>
      </w:tabs>
      <w:spacing w:before="100" w:after="100"/>
      <w:jc w:val="right"/>
    </w:pPr>
    <w:rPr>
      <w:rFonts w:ascii="Times New Roman" w:hAnsi="Times New Roman"/>
      <w:sz w:val="22"/>
      <w:lang w:val="en-US"/>
    </w:rPr>
  </w:style>
  <w:style w:type="character" w:styleId="FollowedHyperlink">
    <w:name w:val="FollowedHyperlink"/>
    <w:basedOn w:val="DefaultParagraphFont"/>
    <w:uiPriority w:val="99"/>
    <w:rsid w:val="00863306"/>
    <w:rPr>
      <w:color w:val="800080"/>
      <w:u w:val="single"/>
    </w:rPr>
  </w:style>
  <w:style w:type="paragraph" w:customStyle="1" w:styleId="xl30">
    <w:name w:val="xl30"/>
    <w:basedOn w:val="Normal"/>
    <w:rsid w:val="00863306"/>
    <w:pPr>
      <w:tabs>
        <w:tab w:val="clear" w:pos="567"/>
        <w:tab w:val="clear" w:pos="1134"/>
        <w:tab w:val="clear" w:pos="1701"/>
        <w:tab w:val="clear" w:pos="2268"/>
        <w:tab w:val="clear" w:pos="2835"/>
      </w:tabs>
      <w:spacing w:before="100" w:after="100"/>
      <w:jc w:val="center"/>
    </w:pPr>
    <w:rPr>
      <w:rFonts w:ascii="Times New Roman" w:hAnsi="Times New Roman"/>
      <w:b/>
      <w:sz w:val="20"/>
      <w:lang w:val="en-US"/>
    </w:rPr>
  </w:style>
  <w:style w:type="paragraph" w:customStyle="1" w:styleId="xl31">
    <w:name w:val="xl31"/>
    <w:basedOn w:val="Normal"/>
    <w:rsid w:val="00863306"/>
    <w:pPr>
      <w:tabs>
        <w:tab w:val="clear" w:pos="567"/>
        <w:tab w:val="clear" w:pos="1134"/>
        <w:tab w:val="clear" w:pos="1701"/>
        <w:tab w:val="clear" w:pos="2268"/>
        <w:tab w:val="clear" w:pos="2835"/>
      </w:tabs>
      <w:spacing w:before="100" w:after="100"/>
    </w:pPr>
    <w:rPr>
      <w:rFonts w:ascii="Times New Roman" w:hAnsi="Times New Roman"/>
      <w:b/>
      <w:sz w:val="20"/>
      <w:lang w:val="en-US"/>
    </w:rPr>
  </w:style>
  <w:style w:type="paragraph" w:customStyle="1" w:styleId="xl32">
    <w:name w:val="xl32"/>
    <w:basedOn w:val="Normal"/>
    <w:rsid w:val="00863306"/>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styleId="ListBullet">
    <w:name w:val="List Bullet"/>
    <w:basedOn w:val="Normal"/>
    <w:autoRedefine/>
    <w:rsid w:val="00863306"/>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rPr>
  </w:style>
  <w:style w:type="paragraph" w:styleId="ListBullet2">
    <w:name w:val="List Bullet 2"/>
    <w:basedOn w:val="Normal"/>
    <w:autoRedefine/>
    <w:rsid w:val="00863306"/>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rPr>
  </w:style>
  <w:style w:type="paragraph" w:styleId="ListBullet3">
    <w:name w:val="List Bullet 3"/>
    <w:basedOn w:val="Normal"/>
    <w:autoRedefine/>
    <w:rsid w:val="00863306"/>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rPr>
  </w:style>
  <w:style w:type="paragraph" w:styleId="ListBullet4">
    <w:name w:val="List Bullet 4"/>
    <w:basedOn w:val="Normal"/>
    <w:autoRedefine/>
    <w:rsid w:val="00863306"/>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rPr>
  </w:style>
  <w:style w:type="paragraph" w:styleId="ListBullet5">
    <w:name w:val="List Bullet 5"/>
    <w:basedOn w:val="Normal"/>
    <w:autoRedefine/>
    <w:rsid w:val="00863306"/>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rPr>
  </w:style>
  <w:style w:type="paragraph" w:styleId="ListNumber">
    <w:name w:val="List Number"/>
    <w:basedOn w:val="Normal"/>
    <w:rsid w:val="00863306"/>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rPr>
  </w:style>
  <w:style w:type="paragraph" w:styleId="ListNumber2">
    <w:name w:val="List Number 2"/>
    <w:basedOn w:val="Normal"/>
    <w:rsid w:val="00863306"/>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rPr>
  </w:style>
  <w:style w:type="paragraph" w:styleId="ListNumber3">
    <w:name w:val="List Number 3"/>
    <w:basedOn w:val="Normal"/>
    <w:rsid w:val="00863306"/>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rPr>
  </w:style>
  <w:style w:type="paragraph" w:styleId="ListNumber4">
    <w:name w:val="List Number 4"/>
    <w:basedOn w:val="Normal"/>
    <w:rsid w:val="00863306"/>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rPr>
  </w:style>
  <w:style w:type="paragraph" w:styleId="ListNumber5">
    <w:name w:val="List Number 5"/>
    <w:basedOn w:val="Normal"/>
    <w:rsid w:val="00863306"/>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rPr>
  </w:style>
  <w:style w:type="paragraph" w:customStyle="1" w:styleId="Figuretitle0">
    <w:name w:val="Figure_title"/>
    <w:basedOn w:val="Tabletitle"/>
    <w:next w:val="Normalaftertitle"/>
    <w:rsid w:val="00863306"/>
    <w:pPr>
      <w:tabs>
        <w:tab w:val="clear" w:pos="2948"/>
        <w:tab w:val="clear" w:pos="4082"/>
        <w:tab w:val="left" w:pos="794"/>
        <w:tab w:val="left" w:pos="1191"/>
        <w:tab w:val="left" w:pos="1588"/>
        <w:tab w:val="left" w:pos="1985"/>
      </w:tabs>
      <w:spacing w:before="240" w:after="480"/>
    </w:pPr>
    <w:rPr>
      <w:rFonts w:ascii="Times New Roman Bold" w:hAnsi="Times New Roman Bold"/>
    </w:rPr>
  </w:style>
  <w:style w:type="paragraph" w:customStyle="1" w:styleId="Recdate">
    <w:name w:val="Rec_date"/>
    <w:basedOn w:val="Recref"/>
    <w:next w:val="Normalaftertitle"/>
    <w:rsid w:val="00863306"/>
    <w:pPr>
      <w:jc w:val="right"/>
    </w:pPr>
    <w:rPr>
      <w:sz w:val="22"/>
    </w:rPr>
  </w:style>
  <w:style w:type="paragraph" w:customStyle="1" w:styleId="Recref">
    <w:name w:val="Rec_ref"/>
    <w:basedOn w:val="Rectitle"/>
    <w:next w:val="Recdate"/>
    <w:rsid w:val="00863306"/>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styleId="BodyText3">
    <w:name w:val="Body Text 3"/>
    <w:basedOn w:val="Normal"/>
    <w:link w:val="BodyText3Char"/>
    <w:rsid w:val="00863306"/>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color w:val="FF0000"/>
    </w:rPr>
  </w:style>
  <w:style w:type="character" w:customStyle="1" w:styleId="BodyText3Char">
    <w:name w:val="Body Text 3 Char"/>
    <w:basedOn w:val="DefaultParagraphFont"/>
    <w:link w:val="BodyText3"/>
    <w:rsid w:val="00863306"/>
    <w:rPr>
      <w:rFonts w:ascii="Times New Roman" w:hAnsi="Times New Roman"/>
      <w:color w:val="FF0000"/>
      <w:sz w:val="24"/>
      <w:lang w:val="fr-FR" w:eastAsia="en-US"/>
    </w:rPr>
  </w:style>
  <w:style w:type="paragraph" w:styleId="ListParagraph">
    <w:name w:val="List Paragraph"/>
    <w:basedOn w:val="Normal"/>
    <w:uiPriority w:val="34"/>
    <w:qFormat/>
    <w:rsid w:val="00863306"/>
    <w:pPr>
      <w:ind w:left="720"/>
      <w:contextualSpacing/>
    </w:pPr>
  </w:style>
  <w:style w:type="character" w:styleId="CommentReference">
    <w:name w:val="annotation reference"/>
    <w:basedOn w:val="DefaultParagraphFont"/>
    <w:rsid w:val="00863306"/>
    <w:rPr>
      <w:sz w:val="16"/>
      <w:szCs w:val="16"/>
    </w:rPr>
  </w:style>
  <w:style w:type="paragraph" w:styleId="CommentText">
    <w:name w:val="annotation text"/>
    <w:basedOn w:val="Normal"/>
    <w:link w:val="CommentTextChar"/>
    <w:rsid w:val="00863306"/>
    <w:rPr>
      <w:sz w:val="20"/>
    </w:rPr>
  </w:style>
  <w:style w:type="character" w:customStyle="1" w:styleId="CommentTextChar">
    <w:name w:val="Comment Text Char"/>
    <w:basedOn w:val="DefaultParagraphFont"/>
    <w:link w:val="CommentText"/>
    <w:rsid w:val="00863306"/>
    <w:rPr>
      <w:rFonts w:ascii="Calibri" w:hAnsi="Calibri"/>
      <w:lang w:val="fr-FR" w:eastAsia="en-US"/>
    </w:rPr>
  </w:style>
  <w:style w:type="paragraph" w:styleId="CommentSubject">
    <w:name w:val="annotation subject"/>
    <w:basedOn w:val="CommentText"/>
    <w:next w:val="CommentText"/>
    <w:link w:val="CommentSubjectChar"/>
    <w:rsid w:val="00863306"/>
    <w:rPr>
      <w:b/>
      <w:bCs/>
    </w:rPr>
  </w:style>
  <w:style w:type="character" w:customStyle="1" w:styleId="CommentSubjectChar">
    <w:name w:val="Comment Subject Char"/>
    <w:basedOn w:val="CommentTextChar"/>
    <w:link w:val="CommentSubject"/>
    <w:rsid w:val="00863306"/>
    <w:rPr>
      <w:rFonts w:ascii="Calibri" w:hAnsi="Calibri"/>
      <w:b/>
      <w:bCs/>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uiPriority w:val="99"/>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uiPriority w:val="99"/>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Heading1Char">
    <w:name w:val="Heading 1 Char"/>
    <w:basedOn w:val="DefaultParagraphFont"/>
    <w:link w:val="Heading1"/>
    <w:uiPriority w:val="9"/>
    <w:rsid w:val="00863306"/>
    <w:rPr>
      <w:rFonts w:ascii="Calibri" w:hAnsi="Calibri"/>
      <w:b/>
      <w:sz w:val="28"/>
      <w:lang w:val="fr-FR" w:eastAsia="en-US"/>
    </w:rPr>
  </w:style>
  <w:style w:type="character" w:customStyle="1" w:styleId="FooterChar">
    <w:name w:val="Footer Char"/>
    <w:basedOn w:val="DefaultParagraphFont"/>
    <w:link w:val="Footer"/>
    <w:uiPriority w:val="99"/>
    <w:rsid w:val="00863306"/>
    <w:rPr>
      <w:rFonts w:ascii="Calibri" w:hAnsi="Calibri"/>
      <w:caps/>
      <w:noProof/>
      <w:sz w:val="16"/>
      <w:lang w:val="fr-FR" w:eastAsia="en-US"/>
    </w:rPr>
  </w:style>
  <w:style w:type="paragraph" w:styleId="Index7">
    <w:name w:val="index 7"/>
    <w:basedOn w:val="Normal"/>
    <w:next w:val="Normal"/>
    <w:rsid w:val="00863306"/>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rPr>
  </w:style>
  <w:style w:type="paragraph" w:styleId="Index6">
    <w:name w:val="index 6"/>
    <w:basedOn w:val="Normal"/>
    <w:next w:val="Normal"/>
    <w:rsid w:val="00863306"/>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rPr>
  </w:style>
  <w:style w:type="paragraph" w:styleId="Index5">
    <w:name w:val="index 5"/>
    <w:basedOn w:val="Normal"/>
    <w:next w:val="Normal"/>
    <w:rsid w:val="00863306"/>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rPr>
  </w:style>
  <w:style w:type="paragraph" w:styleId="Index4">
    <w:name w:val="index 4"/>
    <w:basedOn w:val="Normal"/>
    <w:next w:val="Normal"/>
    <w:rsid w:val="00863306"/>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rPr>
  </w:style>
  <w:style w:type="paragraph" w:styleId="Index3">
    <w:name w:val="index 3"/>
    <w:basedOn w:val="Normal"/>
    <w:next w:val="Normal"/>
    <w:rsid w:val="00863306"/>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rPr>
  </w:style>
  <w:style w:type="paragraph" w:styleId="Index2">
    <w:name w:val="index 2"/>
    <w:basedOn w:val="Normal"/>
    <w:next w:val="Normal"/>
    <w:rsid w:val="00863306"/>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rPr>
  </w:style>
  <w:style w:type="paragraph" w:styleId="Index1">
    <w:name w:val="index 1"/>
    <w:basedOn w:val="Normal"/>
    <w:next w:val="Normal"/>
    <w:rsid w:val="00863306"/>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styleId="LineNumber">
    <w:name w:val="line number"/>
    <w:basedOn w:val="DefaultParagraphFont"/>
    <w:rsid w:val="00863306"/>
  </w:style>
  <w:style w:type="paragraph" w:styleId="IndexHeading">
    <w:name w:val="index heading"/>
    <w:basedOn w:val="Normal"/>
    <w:next w:val="Index1"/>
    <w:rsid w:val="00863306"/>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paragraph" w:customStyle="1" w:styleId="TableLegend0">
    <w:name w:val="Table_Legend"/>
    <w:basedOn w:val="TableText0"/>
    <w:rsid w:val="00863306"/>
    <w:pPr>
      <w:spacing w:before="120"/>
    </w:pPr>
  </w:style>
  <w:style w:type="paragraph" w:customStyle="1" w:styleId="TableText0">
    <w:name w:val="Table_Text"/>
    <w:basedOn w:val="Normal"/>
    <w:rsid w:val="00863306"/>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rPr>
  </w:style>
  <w:style w:type="paragraph" w:customStyle="1" w:styleId="TableTitle0">
    <w:name w:val="Table_Title"/>
    <w:basedOn w:val="Table"/>
    <w:next w:val="TableText0"/>
    <w:rsid w:val="00863306"/>
    <w:pPr>
      <w:keepLines/>
      <w:spacing w:before="0"/>
    </w:pPr>
    <w:rPr>
      <w:b/>
      <w:caps w:val="0"/>
    </w:rPr>
  </w:style>
  <w:style w:type="paragraph" w:customStyle="1" w:styleId="Table">
    <w:name w:val="Table_#"/>
    <w:basedOn w:val="Normal"/>
    <w:next w:val="TableTitle0"/>
    <w:rsid w:val="00863306"/>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TableHead0">
    <w:name w:val="Table_Head"/>
    <w:basedOn w:val="TableText0"/>
    <w:rsid w:val="00863306"/>
    <w:pPr>
      <w:keepNext/>
      <w:spacing w:before="80" w:after="80"/>
      <w:jc w:val="center"/>
    </w:pPr>
    <w:rPr>
      <w:b/>
    </w:rPr>
  </w:style>
  <w:style w:type="paragraph" w:customStyle="1" w:styleId="FigureLegend">
    <w:name w:val="Figure_Legend"/>
    <w:basedOn w:val="Normal"/>
    <w:rsid w:val="00863306"/>
    <w:pPr>
      <w:keepNext/>
      <w:keepLines/>
      <w:tabs>
        <w:tab w:val="clear" w:pos="567"/>
        <w:tab w:val="clear" w:pos="1134"/>
        <w:tab w:val="clear" w:pos="1701"/>
        <w:tab w:val="clear" w:pos="2268"/>
        <w:tab w:val="clear" w:pos="2835"/>
      </w:tabs>
      <w:spacing w:before="20" w:after="20"/>
    </w:pPr>
    <w:rPr>
      <w:rFonts w:ascii="Times New Roman" w:hAnsi="Times New Roman"/>
      <w:sz w:val="18"/>
    </w:rPr>
  </w:style>
  <w:style w:type="paragraph" w:customStyle="1" w:styleId="Figure">
    <w:name w:val="Figure_#"/>
    <w:basedOn w:val="Table"/>
    <w:next w:val="FigureTitle"/>
    <w:rsid w:val="00863306"/>
    <w:pPr>
      <w:spacing w:before="480"/>
    </w:pPr>
  </w:style>
  <w:style w:type="paragraph" w:customStyle="1" w:styleId="FigureTitle">
    <w:name w:val="Figure_Title"/>
    <w:basedOn w:val="TableTitle0"/>
    <w:next w:val="Normal"/>
    <w:rsid w:val="00863306"/>
    <w:pPr>
      <w:keepNext w:val="0"/>
      <w:spacing w:after="480"/>
    </w:pPr>
  </w:style>
  <w:style w:type="paragraph" w:customStyle="1" w:styleId="Annex">
    <w:name w:val="Annex_#"/>
    <w:basedOn w:val="Normal"/>
    <w:next w:val="AnnexRef0"/>
    <w:rsid w:val="00863306"/>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rPr>
  </w:style>
  <w:style w:type="paragraph" w:customStyle="1" w:styleId="AnnexRef0">
    <w:name w:val="Annex_Ref"/>
    <w:basedOn w:val="Normal"/>
    <w:next w:val="AnnexTitle0"/>
    <w:rsid w:val="00863306"/>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rPr>
  </w:style>
  <w:style w:type="paragraph" w:customStyle="1" w:styleId="AnnexTitle0">
    <w:name w:val="Annex_Title"/>
    <w:basedOn w:val="Normal"/>
    <w:next w:val="Normal"/>
    <w:rsid w:val="00863306"/>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sz w:val="28"/>
    </w:rPr>
  </w:style>
  <w:style w:type="paragraph" w:customStyle="1" w:styleId="Appendix">
    <w:name w:val="Appendix_#"/>
    <w:basedOn w:val="Annex"/>
    <w:next w:val="AppendixRef0"/>
    <w:rsid w:val="00863306"/>
  </w:style>
  <w:style w:type="paragraph" w:customStyle="1" w:styleId="AppendixRef0">
    <w:name w:val="Appendix_Ref"/>
    <w:basedOn w:val="AnnexRef0"/>
    <w:next w:val="AppendixTitle0"/>
    <w:rsid w:val="00863306"/>
  </w:style>
  <w:style w:type="paragraph" w:customStyle="1" w:styleId="AppendixTitle0">
    <w:name w:val="Appendix_Title"/>
    <w:basedOn w:val="AnnexTitle0"/>
    <w:next w:val="Normal"/>
    <w:rsid w:val="00863306"/>
  </w:style>
  <w:style w:type="paragraph" w:customStyle="1" w:styleId="RefTitle0">
    <w:name w:val="Ref_Title"/>
    <w:basedOn w:val="Normal"/>
    <w:next w:val="RefText0"/>
    <w:rsid w:val="00863306"/>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rPr>
  </w:style>
  <w:style w:type="paragraph" w:customStyle="1" w:styleId="RefText0">
    <w:name w:val="Ref_Text"/>
    <w:basedOn w:val="Normal"/>
    <w:rsid w:val="00863306"/>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hAnsi="Times New Roman"/>
    </w:rPr>
  </w:style>
  <w:style w:type="paragraph" w:customStyle="1" w:styleId="Equation">
    <w:name w:val="Equation"/>
    <w:basedOn w:val="Normal"/>
    <w:rsid w:val="00863306"/>
    <w:pPr>
      <w:tabs>
        <w:tab w:val="clear" w:pos="567"/>
        <w:tab w:val="clear" w:pos="1134"/>
        <w:tab w:val="clear" w:pos="1701"/>
        <w:tab w:val="clear" w:pos="2268"/>
        <w:tab w:val="clear" w:pos="2835"/>
        <w:tab w:val="left" w:pos="794"/>
        <w:tab w:val="center" w:pos="4876"/>
        <w:tab w:val="right" w:pos="9752"/>
      </w:tabs>
    </w:pPr>
    <w:rPr>
      <w:rFonts w:ascii="Times New Roman" w:hAnsi="Times New Roman"/>
    </w:rPr>
  </w:style>
  <w:style w:type="paragraph" w:customStyle="1" w:styleId="Head">
    <w:name w:val="Head"/>
    <w:basedOn w:val="Normal"/>
    <w:rsid w:val="00863306"/>
    <w:pPr>
      <w:tabs>
        <w:tab w:val="clear" w:pos="567"/>
        <w:tab w:val="clear" w:pos="1134"/>
        <w:tab w:val="clear" w:pos="1701"/>
        <w:tab w:val="clear" w:pos="2268"/>
        <w:tab w:val="clear" w:pos="2835"/>
        <w:tab w:val="left" w:pos="6663"/>
      </w:tabs>
      <w:spacing w:before="0"/>
    </w:pPr>
    <w:rPr>
      <w:rFonts w:ascii="Times New Roman" w:hAnsi="Times New Roman"/>
    </w:rPr>
  </w:style>
  <w:style w:type="paragraph" w:customStyle="1" w:styleId="RecTitle0">
    <w:name w:val="Rec_Title"/>
    <w:basedOn w:val="Normal"/>
    <w:next w:val="Heading1"/>
    <w:rsid w:val="00863306"/>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hAnsi="Times New Roman"/>
      <w:b/>
      <w:caps/>
      <w:sz w:val="28"/>
    </w:rPr>
  </w:style>
  <w:style w:type="paragraph" w:customStyle="1" w:styleId="call0">
    <w:name w:val="call"/>
    <w:basedOn w:val="Normal"/>
    <w:next w:val="Normal"/>
    <w:rsid w:val="00863306"/>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rPr>
  </w:style>
  <w:style w:type="paragraph" w:customStyle="1" w:styleId="Rec">
    <w:name w:val="Rec_#"/>
    <w:basedOn w:val="Normal"/>
    <w:next w:val="RecTitle0"/>
    <w:rsid w:val="0086330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styleId="List">
    <w:name w:val="List"/>
    <w:basedOn w:val="Normal"/>
    <w:rsid w:val="00863306"/>
    <w:pPr>
      <w:tabs>
        <w:tab w:val="clear" w:pos="567"/>
        <w:tab w:val="clear" w:pos="1134"/>
        <w:tab w:val="clear" w:pos="2268"/>
        <w:tab w:val="clear" w:pos="2835"/>
        <w:tab w:val="left" w:pos="2127"/>
      </w:tabs>
      <w:ind w:left="2127" w:hanging="2127"/>
    </w:pPr>
    <w:rPr>
      <w:rFonts w:ascii="Times New Roman" w:hAnsi="Times New Roman"/>
    </w:rPr>
  </w:style>
  <w:style w:type="paragraph" w:customStyle="1" w:styleId="Infodoc">
    <w:name w:val="Infodoc"/>
    <w:basedOn w:val="Normal"/>
    <w:rsid w:val="00863306"/>
    <w:pPr>
      <w:tabs>
        <w:tab w:val="clear" w:pos="567"/>
        <w:tab w:val="clear" w:pos="1134"/>
        <w:tab w:val="clear" w:pos="1701"/>
        <w:tab w:val="clear" w:pos="2268"/>
        <w:tab w:val="clear" w:pos="2835"/>
        <w:tab w:val="left" w:pos="1418"/>
      </w:tabs>
      <w:spacing w:before="0"/>
      <w:ind w:left="1418" w:hanging="1418"/>
    </w:pPr>
    <w:rPr>
      <w:rFonts w:ascii="Times New Roman" w:hAnsi="Times New Roman"/>
    </w:rPr>
  </w:style>
  <w:style w:type="paragraph" w:customStyle="1" w:styleId="Address">
    <w:name w:val="Address"/>
    <w:basedOn w:val="Normal"/>
    <w:rsid w:val="00863306"/>
    <w:pPr>
      <w:tabs>
        <w:tab w:val="clear" w:pos="567"/>
        <w:tab w:val="clear" w:pos="1134"/>
        <w:tab w:val="clear" w:pos="1701"/>
        <w:tab w:val="clear" w:pos="2268"/>
        <w:tab w:val="clear" w:pos="2835"/>
        <w:tab w:val="left" w:pos="4820"/>
        <w:tab w:val="left" w:pos="5529"/>
      </w:tabs>
      <w:ind w:left="794"/>
    </w:pPr>
    <w:rPr>
      <w:rFonts w:ascii="Times New Roman" w:hAnsi="Times New Roman"/>
    </w:rPr>
  </w:style>
  <w:style w:type="paragraph" w:customStyle="1" w:styleId="docnottitle">
    <w:name w:val="docnot_title"/>
    <w:basedOn w:val="Normal"/>
    <w:rsid w:val="00863306"/>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hAnsi="Times New Roman"/>
      <w:sz w:val="20"/>
    </w:rPr>
  </w:style>
  <w:style w:type="paragraph" w:customStyle="1" w:styleId="Keywords">
    <w:name w:val="Keywords"/>
    <w:basedOn w:val="Normal"/>
    <w:rsid w:val="00863306"/>
    <w:pPr>
      <w:tabs>
        <w:tab w:val="clear" w:pos="567"/>
        <w:tab w:val="clear" w:pos="1134"/>
        <w:tab w:val="clear" w:pos="1701"/>
        <w:tab w:val="clear" w:pos="2268"/>
        <w:tab w:val="clear" w:pos="2835"/>
        <w:tab w:val="left" w:pos="794"/>
        <w:tab w:val="left" w:pos="1985"/>
      </w:tabs>
      <w:ind w:left="794" w:hanging="794"/>
    </w:pPr>
    <w:rPr>
      <w:rFonts w:ascii="Times New Roman" w:hAnsi="Times New Roman"/>
    </w:rPr>
  </w:style>
  <w:style w:type="paragraph" w:styleId="BodyText">
    <w:name w:val="Body Text"/>
    <w:basedOn w:val="Normal"/>
    <w:link w:val="BodyTextChar"/>
    <w:rsid w:val="00863306"/>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hAnsi="Times New Roman"/>
    </w:rPr>
  </w:style>
  <w:style w:type="character" w:customStyle="1" w:styleId="BodyTextChar">
    <w:name w:val="Body Text Char"/>
    <w:basedOn w:val="DefaultParagraphFont"/>
    <w:link w:val="BodyText"/>
    <w:rsid w:val="00863306"/>
    <w:rPr>
      <w:rFonts w:ascii="Times New Roman" w:hAnsi="Times New Roman"/>
      <w:sz w:val="24"/>
      <w:lang w:val="fr-FR" w:eastAsia="en-US"/>
    </w:rPr>
  </w:style>
  <w:style w:type="paragraph" w:customStyle="1" w:styleId="EquationLegend">
    <w:name w:val="Equation_Legend"/>
    <w:basedOn w:val="Normal"/>
    <w:rsid w:val="00863306"/>
    <w:pPr>
      <w:tabs>
        <w:tab w:val="clear" w:pos="567"/>
        <w:tab w:val="clear" w:pos="1134"/>
        <w:tab w:val="clear" w:pos="2268"/>
        <w:tab w:val="clear" w:pos="2835"/>
        <w:tab w:val="right" w:pos="1531"/>
      </w:tabs>
      <w:spacing w:before="80"/>
      <w:ind w:left="1701" w:hanging="1701"/>
    </w:pPr>
    <w:rPr>
      <w:rFonts w:ascii="Times New Roman" w:hAnsi="Times New Roman"/>
    </w:rPr>
  </w:style>
  <w:style w:type="paragraph" w:customStyle="1" w:styleId="listitem">
    <w:name w:val="listitem"/>
    <w:basedOn w:val="Normal"/>
    <w:rsid w:val="00863306"/>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rPr>
  </w:style>
  <w:style w:type="paragraph" w:customStyle="1" w:styleId="meeting">
    <w:name w:val="meeting"/>
    <w:basedOn w:val="Head"/>
    <w:next w:val="Head"/>
    <w:rsid w:val="00863306"/>
    <w:pPr>
      <w:tabs>
        <w:tab w:val="left" w:pos="7371"/>
      </w:tabs>
      <w:spacing w:after="560"/>
    </w:pPr>
  </w:style>
  <w:style w:type="paragraph" w:customStyle="1" w:styleId="Subject">
    <w:name w:val="Subject"/>
    <w:basedOn w:val="Normal"/>
    <w:next w:val="Normal"/>
    <w:rsid w:val="00863306"/>
    <w:pPr>
      <w:tabs>
        <w:tab w:val="clear" w:pos="567"/>
        <w:tab w:val="clear" w:pos="1134"/>
        <w:tab w:val="clear" w:pos="1701"/>
        <w:tab w:val="clear" w:pos="2268"/>
        <w:tab w:val="clear" w:pos="2835"/>
        <w:tab w:val="left" w:pos="823"/>
      </w:tabs>
      <w:spacing w:before="0"/>
    </w:pPr>
    <w:rPr>
      <w:rFonts w:ascii="Times New Roman" w:hAnsi="Times New Roman"/>
    </w:rPr>
  </w:style>
  <w:style w:type="paragraph" w:customStyle="1" w:styleId="Object">
    <w:name w:val="Object"/>
    <w:basedOn w:val="Subject"/>
    <w:next w:val="Subject"/>
    <w:rsid w:val="00863306"/>
  </w:style>
  <w:style w:type="paragraph" w:customStyle="1" w:styleId="Data">
    <w:name w:val="Data"/>
    <w:basedOn w:val="Subject"/>
    <w:next w:val="Subject"/>
    <w:rsid w:val="00863306"/>
  </w:style>
  <w:style w:type="paragraph" w:customStyle="1" w:styleId="docnoted">
    <w:name w:val="docnoted"/>
    <w:basedOn w:val="Normal"/>
    <w:rsid w:val="00863306"/>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paragraph" w:customStyle="1" w:styleId="headingb0">
    <w:name w:val="heading_b"/>
    <w:basedOn w:val="Heading3"/>
    <w:next w:val="Normal"/>
    <w:rsid w:val="00863306"/>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rPr>
  </w:style>
  <w:style w:type="paragraph" w:customStyle="1" w:styleId="headingi0">
    <w:name w:val="heading_i"/>
    <w:basedOn w:val="Heading3"/>
    <w:next w:val="Normal"/>
    <w:rsid w:val="00863306"/>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b w:val="0"/>
      <w:i/>
    </w:rPr>
  </w:style>
  <w:style w:type="paragraph" w:customStyle="1" w:styleId="Qlist">
    <w:name w:val="Qlist"/>
    <w:basedOn w:val="Normal"/>
    <w:rsid w:val="00863306"/>
    <w:pPr>
      <w:tabs>
        <w:tab w:val="clear" w:pos="567"/>
        <w:tab w:val="clear" w:pos="1134"/>
        <w:tab w:val="clear" w:pos="1701"/>
        <w:tab w:val="clear" w:pos="2835"/>
        <w:tab w:val="left" w:pos="1843"/>
      </w:tabs>
      <w:ind w:left="2268" w:hanging="2268"/>
    </w:pPr>
    <w:rPr>
      <w:rFonts w:ascii="Times New Roman" w:hAnsi="Times New Roman"/>
      <w:b/>
    </w:rPr>
  </w:style>
  <w:style w:type="paragraph" w:customStyle="1" w:styleId="ASN1">
    <w:name w:val="ASN.1"/>
    <w:basedOn w:val="Normal"/>
    <w:rsid w:val="00863306"/>
    <w:pPr>
      <w:tabs>
        <w:tab w:val="left" w:pos="3402"/>
        <w:tab w:val="left" w:pos="3969"/>
        <w:tab w:val="left" w:pos="4536"/>
        <w:tab w:val="left" w:pos="5103"/>
        <w:tab w:val="left" w:pos="5670"/>
      </w:tabs>
      <w:spacing w:before="0"/>
    </w:pPr>
    <w:rPr>
      <w:rFonts w:ascii="Times New Roman" w:hAnsi="Times New Roman"/>
      <w:b/>
      <w:noProof/>
      <w:sz w:val="20"/>
    </w:rPr>
  </w:style>
  <w:style w:type="paragraph" w:styleId="BodyText2">
    <w:name w:val="Body Text 2"/>
    <w:basedOn w:val="Normal"/>
    <w:link w:val="BodyText2Char"/>
    <w:rsid w:val="00863306"/>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hAnsi="Times New Roman"/>
    </w:rPr>
  </w:style>
  <w:style w:type="character" w:customStyle="1" w:styleId="BodyText2Char">
    <w:name w:val="Body Text 2 Char"/>
    <w:basedOn w:val="DefaultParagraphFont"/>
    <w:link w:val="BodyText2"/>
    <w:rsid w:val="00863306"/>
    <w:rPr>
      <w:rFonts w:ascii="Times New Roman" w:hAnsi="Times New Roman"/>
      <w:sz w:val="24"/>
      <w:lang w:val="fr-FR" w:eastAsia="en-US"/>
    </w:rPr>
  </w:style>
  <w:style w:type="paragraph" w:customStyle="1" w:styleId="xl20">
    <w:name w:val="xl20"/>
    <w:basedOn w:val="Normal"/>
    <w:rsid w:val="00863306"/>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1">
    <w:name w:val="xl21"/>
    <w:basedOn w:val="Normal"/>
    <w:rsid w:val="00863306"/>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2">
    <w:name w:val="xl22"/>
    <w:basedOn w:val="Normal"/>
    <w:rsid w:val="00863306"/>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customStyle="1" w:styleId="xl23">
    <w:name w:val="xl23"/>
    <w:basedOn w:val="Normal"/>
    <w:rsid w:val="00863306"/>
    <w:pPr>
      <w:tabs>
        <w:tab w:val="clear" w:pos="567"/>
        <w:tab w:val="clear" w:pos="1134"/>
        <w:tab w:val="clear" w:pos="1701"/>
        <w:tab w:val="clear" w:pos="2268"/>
        <w:tab w:val="clear" w:pos="2835"/>
      </w:tabs>
      <w:spacing w:before="100" w:after="100"/>
      <w:jc w:val="center"/>
    </w:pPr>
    <w:rPr>
      <w:rFonts w:ascii="Times New Roman" w:hAnsi="Times New Roman"/>
      <w:sz w:val="22"/>
      <w:lang w:val="en-US"/>
    </w:rPr>
  </w:style>
  <w:style w:type="paragraph" w:customStyle="1" w:styleId="xl24">
    <w:name w:val="xl24"/>
    <w:basedOn w:val="Normal"/>
    <w:rsid w:val="00863306"/>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5">
    <w:name w:val="xl25"/>
    <w:basedOn w:val="Normal"/>
    <w:rsid w:val="00863306"/>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6">
    <w:name w:val="xl26"/>
    <w:basedOn w:val="Normal"/>
    <w:rsid w:val="00863306"/>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7">
    <w:name w:val="xl27"/>
    <w:basedOn w:val="Normal"/>
    <w:rsid w:val="00863306"/>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8">
    <w:name w:val="xl28"/>
    <w:basedOn w:val="Normal"/>
    <w:rsid w:val="00863306"/>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863306"/>
    <w:pPr>
      <w:tabs>
        <w:tab w:val="clear" w:pos="567"/>
        <w:tab w:val="clear" w:pos="1134"/>
        <w:tab w:val="clear" w:pos="1701"/>
        <w:tab w:val="clear" w:pos="2268"/>
        <w:tab w:val="clear" w:pos="2835"/>
      </w:tabs>
      <w:spacing w:before="100" w:after="100"/>
      <w:jc w:val="right"/>
    </w:pPr>
    <w:rPr>
      <w:rFonts w:ascii="Times New Roman" w:hAnsi="Times New Roman"/>
      <w:sz w:val="22"/>
      <w:lang w:val="en-US"/>
    </w:rPr>
  </w:style>
  <w:style w:type="character" w:styleId="FollowedHyperlink">
    <w:name w:val="FollowedHyperlink"/>
    <w:basedOn w:val="DefaultParagraphFont"/>
    <w:uiPriority w:val="99"/>
    <w:rsid w:val="00863306"/>
    <w:rPr>
      <w:color w:val="800080"/>
      <w:u w:val="single"/>
    </w:rPr>
  </w:style>
  <w:style w:type="paragraph" w:customStyle="1" w:styleId="xl30">
    <w:name w:val="xl30"/>
    <w:basedOn w:val="Normal"/>
    <w:rsid w:val="00863306"/>
    <w:pPr>
      <w:tabs>
        <w:tab w:val="clear" w:pos="567"/>
        <w:tab w:val="clear" w:pos="1134"/>
        <w:tab w:val="clear" w:pos="1701"/>
        <w:tab w:val="clear" w:pos="2268"/>
        <w:tab w:val="clear" w:pos="2835"/>
      </w:tabs>
      <w:spacing w:before="100" w:after="100"/>
      <w:jc w:val="center"/>
    </w:pPr>
    <w:rPr>
      <w:rFonts w:ascii="Times New Roman" w:hAnsi="Times New Roman"/>
      <w:b/>
      <w:sz w:val="20"/>
      <w:lang w:val="en-US"/>
    </w:rPr>
  </w:style>
  <w:style w:type="paragraph" w:customStyle="1" w:styleId="xl31">
    <w:name w:val="xl31"/>
    <w:basedOn w:val="Normal"/>
    <w:rsid w:val="00863306"/>
    <w:pPr>
      <w:tabs>
        <w:tab w:val="clear" w:pos="567"/>
        <w:tab w:val="clear" w:pos="1134"/>
        <w:tab w:val="clear" w:pos="1701"/>
        <w:tab w:val="clear" w:pos="2268"/>
        <w:tab w:val="clear" w:pos="2835"/>
      </w:tabs>
      <w:spacing w:before="100" w:after="100"/>
    </w:pPr>
    <w:rPr>
      <w:rFonts w:ascii="Times New Roman" w:hAnsi="Times New Roman"/>
      <w:b/>
      <w:sz w:val="20"/>
      <w:lang w:val="en-US"/>
    </w:rPr>
  </w:style>
  <w:style w:type="paragraph" w:customStyle="1" w:styleId="xl32">
    <w:name w:val="xl32"/>
    <w:basedOn w:val="Normal"/>
    <w:rsid w:val="00863306"/>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styleId="ListBullet">
    <w:name w:val="List Bullet"/>
    <w:basedOn w:val="Normal"/>
    <w:autoRedefine/>
    <w:rsid w:val="00863306"/>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rPr>
  </w:style>
  <w:style w:type="paragraph" w:styleId="ListBullet2">
    <w:name w:val="List Bullet 2"/>
    <w:basedOn w:val="Normal"/>
    <w:autoRedefine/>
    <w:rsid w:val="00863306"/>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rPr>
  </w:style>
  <w:style w:type="paragraph" w:styleId="ListBullet3">
    <w:name w:val="List Bullet 3"/>
    <w:basedOn w:val="Normal"/>
    <w:autoRedefine/>
    <w:rsid w:val="00863306"/>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rPr>
  </w:style>
  <w:style w:type="paragraph" w:styleId="ListBullet4">
    <w:name w:val="List Bullet 4"/>
    <w:basedOn w:val="Normal"/>
    <w:autoRedefine/>
    <w:rsid w:val="00863306"/>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rPr>
  </w:style>
  <w:style w:type="paragraph" w:styleId="ListBullet5">
    <w:name w:val="List Bullet 5"/>
    <w:basedOn w:val="Normal"/>
    <w:autoRedefine/>
    <w:rsid w:val="00863306"/>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rPr>
  </w:style>
  <w:style w:type="paragraph" w:styleId="ListNumber">
    <w:name w:val="List Number"/>
    <w:basedOn w:val="Normal"/>
    <w:rsid w:val="00863306"/>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rPr>
  </w:style>
  <w:style w:type="paragraph" w:styleId="ListNumber2">
    <w:name w:val="List Number 2"/>
    <w:basedOn w:val="Normal"/>
    <w:rsid w:val="00863306"/>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rPr>
  </w:style>
  <w:style w:type="paragraph" w:styleId="ListNumber3">
    <w:name w:val="List Number 3"/>
    <w:basedOn w:val="Normal"/>
    <w:rsid w:val="00863306"/>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rPr>
  </w:style>
  <w:style w:type="paragraph" w:styleId="ListNumber4">
    <w:name w:val="List Number 4"/>
    <w:basedOn w:val="Normal"/>
    <w:rsid w:val="00863306"/>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rPr>
  </w:style>
  <w:style w:type="paragraph" w:styleId="ListNumber5">
    <w:name w:val="List Number 5"/>
    <w:basedOn w:val="Normal"/>
    <w:rsid w:val="00863306"/>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rPr>
  </w:style>
  <w:style w:type="paragraph" w:customStyle="1" w:styleId="Figuretitle0">
    <w:name w:val="Figure_title"/>
    <w:basedOn w:val="Tabletitle"/>
    <w:next w:val="Normalaftertitle"/>
    <w:rsid w:val="00863306"/>
    <w:pPr>
      <w:tabs>
        <w:tab w:val="clear" w:pos="2948"/>
        <w:tab w:val="clear" w:pos="4082"/>
        <w:tab w:val="left" w:pos="794"/>
        <w:tab w:val="left" w:pos="1191"/>
        <w:tab w:val="left" w:pos="1588"/>
        <w:tab w:val="left" w:pos="1985"/>
      </w:tabs>
      <w:spacing w:before="240" w:after="480"/>
    </w:pPr>
    <w:rPr>
      <w:rFonts w:ascii="Times New Roman Bold" w:hAnsi="Times New Roman Bold"/>
    </w:rPr>
  </w:style>
  <w:style w:type="paragraph" w:customStyle="1" w:styleId="Recdate">
    <w:name w:val="Rec_date"/>
    <w:basedOn w:val="Recref"/>
    <w:next w:val="Normalaftertitle"/>
    <w:rsid w:val="00863306"/>
    <w:pPr>
      <w:jc w:val="right"/>
    </w:pPr>
    <w:rPr>
      <w:sz w:val="22"/>
    </w:rPr>
  </w:style>
  <w:style w:type="paragraph" w:customStyle="1" w:styleId="Recref">
    <w:name w:val="Rec_ref"/>
    <w:basedOn w:val="Rectitle"/>
    <w:next w:val="Recdate"/>
    <w:rsid w:val="00863306"/>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styleId="BodyText3">
    <w:name w:val="Body Text 3"/>
    <w:basedOn w:val="Normal"/>
    <w:link w:val="BodyText3Char"/>
    <w:rsid w:val="00863306"/>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color w:val="FF0000"/>
    </w:rPr>
  </w:style>
  <w:style w:type="character" w:customStyle="1" w:styleId="BodyText3Char">
    <w:name w:val="Body Text 3 Char"/>
    <w:basedOn w:val="DefaultParagraphFont"/>
    <w:link w:val="BodyText3"/>
    <w:rsid w:val="00863306"/>
    <w:rPr>
      <w:rFonts w:ascii="Times New Roman" w:hAnsi="Times New Roman"/>
      <w:color w:val="FF0000"/>
      <w:sz w:val="24"/>
      <w:lang w:val="fr-FR" w:eastAsia="en-US"/>
    </w:rPr>
  </w:style>
  <w:style w:type="paragraph" w:styleId="ListParagraph">
    <w:name w:val="List Paragraph"/>
    <w:basedOn w:val="Normal"/>
    <w:uiPriority w:val="34"/>
    <w:qFormat/>
    <w:rsid w:val="00863306"/>
    <w:pPr>
      <w:ind w:left="720"/>
      <w:contextualSpacing/>
    </w:pPr>
  </w:style>
  <w:style w:type="character" w:styleId="CommentReference">
    <w:name w:val="annotation reference"/>
    <w:basedOn w:val="DefaultParagraphFont"/>
    <w:rsid w:val="00863306"/>
    <w:rPr>
      <w:sz w:val="16"/>
      <w:szCs w:val="16"/>
    </w:rPr>
  </w:style>
  <w:style w:type="paragraph" w:styleId="CommentText">
    <w:name w:val="annotation text"/>
    <w:basedOn w:val="Normal"/>
    <w:link w:val="CommentTextChar"/>
    <w:rsid w:val="00863306"/>
    <w:rPr>
      <w:sz w:val="20"/>
    </w:rPr>
  </w:style>
  <w:style w:type="character" w:customStyle="1" w:styleId="CommentTextChar">
    <w:name w:val="Comment Text Char"/>
    <w:basedOn w:val="DefaultParagraphFont"/>
    <w:link w:val="CommentText"/>
    <w:rsid w:val="00863306"/>
    <w:rPr>
      <w:rFonts w:ascii="Calibri" w:hAnsi="Calibri"/>
      <w:lang w:val="fr-FR" w:eastAsia="en-US"/>
    </w:rPr>
  </w:style>
  <w:style w:type="paragraph" w:styleId="CommentSubject">
    <w:name w:val="annotation subject"/>
    <w:basedOn w:val="CommentText"/>
    <w:next w:val="CommentText"/>
    <w:link w:val="CommentSubjectChar"/>
    <w:rsid w:val="00863306"/>
    <w:rPr>
      <w:b/>
      <w:bCs/>
    </w:rPr>
  </w:style>
  <w:style w:type="character" w:customStyle="1" w:styleId="CommentSubjectChar">
    <w:name w:val="Comment Subject Char"/>
    <w:basedOn w:val="CommentTextChar"/>
    <w:link w:val="CommentSubject"/>
    <w:rsid w:val="00863306"/>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council/Basic-Texts/ResDecRec-PP10-f.docx"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itu.int/itudoc/gs/council/c99/docs/docs1/027.html"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itu.int/md/S07-CL-C-0085/en"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itu.int/council/Basic-Texts/ResDecRec-PP10-f.docx" TargetMode="Externa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www.itu.int/council/Basic-Texts/convention-f.docx" TargetMode="External"/><Relationship Id="rId23"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tu.int/council/Basic-Texts/ResDecRec-PP10-f.doc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DD89D-0C1C-41F6-BC59-DC4194FA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6022</Words>
  <Characters>34328</Characters>
  <Application>Microsoft Office Word</Application>
  <DocSecurity>0</DocSecurity>
  <Lines>286</Lines>
  <Paragraphs>80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40270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Murphy, Margaret</dc:creator>
  <cp:keywords>PP-06</cp:keywords>
  <dc:description>PF_PP14.dotx  For: _x000d_Document date: _x000d_Saved by ITU51009317 at 10:31:32 on 19/03/2013</dc:description>
  <cp:lastModifiedBy>Brouard, Ricarda</cp:lastModifiedBy>
  <cp:revision>2</cp:revision>
  <cp:lastPrinted>2014-08-13T13:50:00Z</cp:lastPrinted>
  <dcterms:created xsi:type="dcterms:W3CDTF">2014-08-14T08:47:00Z</dcterms:created>
  <dcterms:modified xsi:type="dcterms:W3CDTF">2014-08-14T08:47:00Z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