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384206" w:rsidTr="00AA41E1">
        <w:trPr>
          <w:cantSplit/>
          <w:trHeight w:val="20"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sz w:val="27"/>
                <w:szCs w:val="40"/>
                <w:rtl/>
                <w:lang w:val="en-US"/>
              </w:rPr>
            </w:pPr>
            <w:r w:rsidRPr="00384206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مؤتمر المندوبين المفوضين</w:t>
            </w:r>
            <w:r w:rsidRPr="00384206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position w:val="6"/>
                <w:sz w:val="28"/>
                <w:szCs w:val="40"/>
                <w:lang w:val="en-US"/>
              </w:rPr>
              <w:t>(PP-14)</w:t>
            </w:r>
            <w:r w:rsidRPr="00384206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20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384206">
              <w:rPr>
                <w:b/>
                <w:bCs/>
                <w:sz w:val="30"/>
                <w:rtl/>
                <w:lang w:val="en-US"/>
              </w:rPr>
              <w:t> - 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7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384206">
              <w:rPr>
                <w:b/>
                <w:bCs/>
                <w:sz w:val="30"/>
                <w:rtl/>
                <w:lang w:val="en-US"/>
              </w:rPr>
              <w:t> 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tl/>
                <w:lang w:val="en-US"/>
              </w:rPr>
            </w:pPr>
            <w:bookmarkStart w:id="0" w:name="ditulogo"/>
            <w:bookmarkEnd w:id="0"/>
            <w:r w:rsidRPr="00384206">
              <w:rPr>
                <w:noProof/>
                <w:lang w:val="en-US" w:eastAsia="zh-CN" w:bidi="ar-SA"/>
              </w:rPr>
              <w:drawing>
                <wp:inline distT="0" distB="0" distL="0" distR="0" wp14:anchorId="3A76EF1A" wp14:editId="7FBF8E62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384206" w:rsidTr="00AA41E1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</w:tr>
      <w:tr w:rsidR="009F279B" w:rsidRPr="00384206" w:rsidTr="00AA41E1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b/>
                <w:bCs/>
                <w:sz w:val="19"/>
                <w:lang w:val="en-US"/>
              </w:rPr>
            </w:pP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>الجلسة</w:t>
            </w:r>
            <w:r w:rsidRPr="00384206">
              <w:rPr>
                <w:rFonts w:eastAsia="SimSun"/>
                <w:b/>
                <w:bCs/>
                <w:sz w:val="19"/>
                <w:rtl/>
                <w:lang w:val="en-US"/>
              </w:rPr>
              <w:t xml:space="preserve"> العامة</w:t>
            </w:r>
          </w:p>
        </w:tc>
        <w:tc>
          <w:tcPr>
            <w:tcW w:w="3119" w:type="dxa"/>
            <w:vAlign w:val="center"/>
          </w:tcPr>
          <w:p w:rsidR="009F279B" w:rsidRPr="00384206" w:rsidRDefault="00825920" w:rsidP="009E5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>الوثيقة</w:t>
            </w:r>
            <w:r w:rsidRPr="00384206">
              <w:rPr>
                <w:rFonts w:hint="cs"/>
                <w:b/>
                <w:bCs/>
                <w:rtl/>
              </w:rPr>
              <w:t xml:space="preserve"> </w:t>
            </w:r>
            <w:r w:rsidR="009E5ECA" w:rsidRPr="007D3A6E">
              <w:rPr>
                <w:rFonts w:eastAsia="SimSun"/>
                <w:b/>
                <w:bCs/>
              </w:rPr>
              <w:t>67</w:t>
            </w:r>
            <w:r w:rsidR="006A7C71" w:rsidRPr="007D3A6E">
              <w:rPr>
                <w:rFonts w:eastAsia="SimSun"/>
                <w:b/>
                <w:bCs/>
              </w:rPr>
              <w:t>-A</w:t>
            </w: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384206" w:rsidRDefault="009E5ECA" w:rsidP="009E5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HAnsi"/>
                <w:b/>
                <w:bCs/>
                <w:szCs w:val="22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</w:rPr>
              <w:t>2</w:t>
            </w:r>
            <w:r w:rsidRPr="00384206">
              <w:rPr>
                <w:rFonts w:eastAsia="SimSun" w:hint="cs"/>
                <w:b/>
                <w:bCs/>
                <w:rtl/>
              </w:rPr>
              <w:t xml:space="preserve"> أكتوبر </w:t>
            </w:r>
            <w:r w:rsidR="006A7C71" w:rsidRPr="00384206">
              <w:rPr>
                <w:rFonts w:eastAsia="SimSun"/>
                <w:b/>
                <w:bCs/>
              </w:rPr>
              <w:t>201</w:t>
            </w:r>
            <w:r w:rsidR="008668E0" w:rsidRPr="00384206">
              <w:rPr>
                <w:rFonts w:eastAsia="SimSun"/>
                <w:b/>
                <w:bCs/>
              </w:rPr>
              <w:t>4</w:t>
            </w: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168" w:lineRule="auto"/>
              <w:jc w:val="left"/>
              <w:textAlignment w:val="auto"/>
              <w:rPr>
                <w:rFonts w:eastAsia="SimSun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384206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b/>
                <w:bCs/>
                <w:sz w:val="19"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 xml:space="preserve">الأصل: </w:t>
            </w:r>
            <w:r w:rsidRPr="00384206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eastAsia="SimSun"/>
                <w:b/>
                <w:bCs/>
                <w:sz w:val="19"/>
                <w:lang w:val="en-US"/>
              </w:rPr>
            </w:pP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E5ECA" w:rsidP="009E5ECA">
            <w:pPr>
              <w:pStyle w:val="Source"/>
              <w:rPr>
                <w:snapToGrid w:val="0"/>
                <w:rtl/>
              </w:rPr>
            </w:pPr>
            <w:r w:rsidRPr="00384206">
              <w:rPr>
                <w:rFonts w:hint="cs"/>
                <w:snapToGrid w:val="0"/>
                <w:rtl/>
                <w:lang w:bidi="ar-EG"/>
              </w:rPr>
              <w:t>جماعة آسيا والمحيط الهادئ للاتصالات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E5ECA" w:rsidP="00AA41E1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w w:val="120"/>
                <w:sz w:val="28"/>
                <w:szCs w:val="40"/>
                <w:rtl/>
                <w:lang w:val="en-US"/>
              </w:rPr>
            </w:pP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مقترحات مشتركة مقدمة من جماعة آسيا والمحيط الهادئ للاتصالات </w:t>
            </w:r>
            <w:r w:rsidRPr="00384206">
              <w:rPr>
                <w:w w:val="120"/>
                <w:sz w:val="28"/>
                <w:szCs w:val="40"/>
                <w:lang w:val="en-US"/>
              </w:rPr>
              <w:t>(APT)</w:t>
            </w: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 </w:t>
            </w:r>
            <w:r w:rsidR="00AA41E1"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بشأن </w:t>
            </w: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>أعمال المؤتمر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8"/>
                <w:szCs w:val="40"/>
              </w:rPr>
            </w:pPr>
          </w:p>
        </w:tc>
      </w:tr>
    </w:tbl>
    <w:p w:rsidR="00825920" w:rsidRPr="00384206" w:rsidRDefault="00825920" w:rsidP="00255055">
      <w:pPr>
        <w:rPr>
          <w:rtl/>
        </w:rPr>
      </w:pPr>
    </w:p>
    <w:p w:rsidR="009E5ECA" w:rsidRPr="00384206" w:rsidRDefault="009E5ECA" w:rsidP="00384206">
      <w:pPr>
        <w:rPr>
          <w:rtl/>
        </w:rPr>
      </w:pPr>
      <w:r w:rsidRPr="00384206">
        <w:rPr>
          <w:rFonts w:hint="cs"/>
          <w:rtl/>
        </w:rPr>
        <w:t xml:space="preserve">أُعدت المقترحات المشتركة لجماعة آسيا والمحيط الهادئ للاتصالات </w:t>
      </w:r>
      <w:r w:rsidR="00384206" w:rsidRPr="00384206">
        <w:t>(APT)</w:t>
      </w:r>
      <w:r w:rsidR="00384206" w:rsidRPr="00384206">
        <w:rPr>
          <w:rFonts w:hint="cs"/>
          <w:rtl/>
        </w:rPr>
        <w:t xml:space="preserve"> </w:t>
      </w:r>
      <w:r w:rsidRPr="00384206">
        <w:rPr>
          <w:rFonts w:hint="cs"/>
          <w:rtl/>
        </w:rPr>
        <w:t xml:space="preserve">من أجل مؤتمر </w:t>
      </w:r>
      <w:r w:rsidR="00AA41E1" w:rsidRPr="00384206">
        <w:rPr>
          <w:rFonts w:hint="cs"/>
          <w:rtl/>
        </w:rPr>
        <w:t>المندوبين المفوضين</w:t>
      </w:r>
      <w:r w:rsidRPr="00384206">
        <w:rPr>
          <w:rFonts w:hint="cs"/>
          <w:rtl/>
        </w:rPr>
        <w:t xml:space="preserve"> لعام </w:t>
      </w:r>
      <w:r w:rsidRPr="00384206">
        <w:rPr>
          <w:lang w:val="en-US"/>
        </w:rPr>
        <w:t>2014</w:t>
      </w:r>
      <w:r w:rsidRPr="00384206">
        <w:rPr>
          <w:rFonts w:hint="cs"/>
          <w:rtl/>
        </w:rPr>
        <w:t xml:space="preserve"> على مدى أربعة اجتماعات تحضيرية ووُضعت في صيغتها النهائية في الاجتماع</w:t>
      </w:r>
      <w:r w:rsidR="00AA41E1" w:rsidRPr="00384206">
        <w:rPr>
          <w:rFonts w:hint="cs"/>
          <w:rtl/>
        </w:rPr>
        <w:t>ين</w:t>
      </w:r>
      <w:r w:rsidRPr="00384206">
        <w:rPr>
          <w:rFonts w:hint="cs"/>
          <w:rtl/>
        </w:rPr>
        <w:t xml:space="preserve"> التحضيري</w:t>
      </w:r>
      <w:r w:rsidR="00AA41E1" w:rsidRPr="00384206">
        <w:rPr>
          <w:rFonts w:hint="cs"/>
          <w:rtl/>
        </w:rPr>
        <w:t>ين الثالث و</w:t>
      </w:r>
      <w:r w:rsidRPr="00384206">
        <w:rPr>
          <w:rFonts w:hint="cs"/>
          <w:rtl/>
        </w:rPr>
        <w:t xml:space="preserve">الرابع لجماعة آسيا والمحيط الهادئ للاتصالات استعداداً </w:t>
      </w:r>
      <w:r w:rsidR="00384206">
        <w:rPr>
          <w:rFonts w:hint="cs"/>
          <w:rtl/>
        </w:rPr>
        <w:t xml:space="preserve">لمؤتمر </w:t>
      </w:r>
      <w:r w:rsidR="00AA41E1" w:rsidRPr="00384206">
        <w:rPr>
          <w:rFonts w:hint="cs"/>
          <w:rtl/>
        </w:rPr>
        <w:t xml:space="preserve">المندوبين المفوضين </w:t>
      </w:r>
      <w:r w:rsidRPr="00384206">
        <w:rPr>
          <w:rFonts w:hint="cs"/>
          <w:rtl/>
        </w:rPr>
        <w:t>لعام</w:t>
      </w:r>
      <w:r w:rsidRPr="00384206">
        <w:rPr>
          <w:rFonts w:hint="eastAsia"/>
          <w:rtl/>
        </w:rPr>
        <w:t> </w:t>
      </w:r>
      <w:r w:rsidRPr="00384206">
        <w:rPr>
          <w:lang w:val="en-US"/>
        </w:rPr>
        <w:t>2014</w:t>
      </w:r>
      <w:r w:rsidRPr="00384206">
        <w:rPr>
          <w:rFonts w:hint="cs"/>
          <w:rtl/>
          <w:lang w:bidi="ar-SA"/>
        </w:rPr>
        <w:t xml:space="preserve"> </w:t>
      </w:r>
      <w:r w:rsidRPr="00384206">
        <w:rPr>
          <w:lang w:val="en-US"/>
        </w:rPr>
        <w:t>(</w:t>
      </w:r>
      <w:r w:rsidR="00AA41E1" w:rsidRPr="00384206">
        <w:rPr>
          <w:lang w:val="en-US"/>
        </w:rPr>
        <w:t>PP-1</w:t>
      </w:r>
      <w:r w:rsidRPr="00384206">
        <w:rPr>
          <w:lang w:val="en-US"/>
        </w:rPr>
        <w:t>4)</w:t>
      </w:r>
      <w:r w:rsidRPr="00384206">
        <w:rPr>
          <w:rFonts w:hint="cs"/>
          <w:rtl/>
        </w:rPr>
        <w:t xml:space="preserve">، </w:t>
      </w:r>
      <w:r w:rsidR="00AA41E1" w:rsidRPr="00384206">
        <w:rPr>
          <w:rFonts w:hint="cs"/>
          <w:rtl/>
        </w:rPr>
        <w:t xml:space="preserve">اللذين عقدا في كوالالمبور، ماليزيا في الفترة من </w:t>
      </w:r>
      <w:r w:rsidR="00AA41E1" w:rsidRPr="00384206">
        <w:rPr>
          <w:lang w:val="en-US"/>
        </w:rPr>
        <w:t>2</w:t>
      </w:r>
      <w:r w:rsidR="00AA41E1" w:rsidRPr="00384206">
        <w:rPr>
          <w:rFonts w:hint="cs"/>
          <w:rtl/>
          <w:lang w:val="en-US"/>
        </w:rPr>
        <w:t xml:space="preserve"> إلى </w:t>
      </w:r>
      <w:r w:rsidR="00AA41E1" w:rsidRPr="00384206">
        <w:rPr>
          <w:lang w:val="en-US"/>
        </w:rPr>
        <w:t>5</w:t>
      </w:r>
      <w:r w:rsidR="00AA41E1" w:rsidRPr="00384206">
        <w:rPr>
          <w:rFonts w:hint="cs"/>
          <w:rtl/>
          <w:lang w:val="en-US"/>
        </w:rPr>
        <w:t xml:space="preserve"> يونيو</w:t>
      </w:r>
      <w:r w:rsidR="00AA41E1" w:rsidRPr="00384206">
        <w:rPr>
          <w:rFonts w:hint="eastAsia"/>
          <w:rtl/>
          <w:lang w:val="en-US"/>
        </w:rPr>
        <w:t> </w:t>
      </w:r>
      <w:r w:rsidR="00AA41E1" w:rsidRPr="00384206">
        <w:rPr>
          <w:lang w:val="en-US"/>
        </w:rPr>
        <w:t>2014</w:t>
      </w:r>
      <w:r w:rsidR="00AA41E1" w:rsidRPr="00384206">
        <w:rPr>
          <w:rFonts w:hint="cs"/>
          <w:rtl/>
          <w:lang w:val="en-US"/>
        </w:rPr>
        <w:t xml:space="preserve"> </w:t>
      </w:r>
      <w:r w:rsidR="00AA41E1" w:rsidRPr="00384206">
        <w:rPr>
          <w:rFonts w:hint="cs"/>
          <w:rtl/>
        </w:rPr>
        <w:t>وفي</w:t>
      </w:r>
      <w:r w:rsidR="00AA41E1" w:rsidRPr="00384206">
        <w:rPr>
          <w:rFonts w:hint="eastAsia"/>
          <w:rtl/>
        </w:rPr>
        <w:t> </w:t>
      </w:r>
      <w:r w:rsidR="00AA41E1" w:rsidRPr="00384206">
        <w:rPr>
          <w:rFonts w:hint="cs"/>
          <w:rtl/>
        </w:rPr>
        <w:t xml:space="preserve">بانكوك، تايلاند في الفترة من </w:t>
      </w:r>
      <w:r w:rsidRPr="00384206">
        <w:t>1</w:t>
      </w:r>
      <w:r w:rsidR="00AA41E1" w:rsidRPr="00384206">
        <w:t>8</w:t>
      </w:r>
      <w:r w:rsidRPr="00384206">
        <w:rPr>
          <w:rFonts w:hint="cs"/>
          <w:rtl/>
        </w:rPr>
        <w:t xml:space="preserve"> إلى </w:t>
      </w:r>
      <w:r w:rsidRPr="00384206">
        <w:t>2</w:t>
      </w:r>
      <w:r w:rsidR="00AA41E1" w:rsidRPr="00384206">
        <w:t>2</w:t>
      </w:r>
      <w:r w:rsidRPr="00384206">
        <w:rPr>
          <w:rFonts w:hint="cs"/>
          <w:rtl/>
        </w:rPr>
        <w:t xml:space="preserve"> </w:t>
      </w:r>
      <w:r w:rsidR="00AA41E1" w:rsidRPr="00384206">
        <w:rPr>
          <w:rFonts w:hint="cs"/>
          <w:rtl/>
        </w:rPr>
        <w:t>أغسطس</w:t>
      </w:r>
      <w:r w:rsidRPr="00384206">
        <w:rPr>
          <w:rFonts w:hint="cs"/>
          <w:rtl/>
        </w:rPr>
        <w:t xml:space="preserve"> </w:t>
      </w:r>
      <w:r w:rsidRPr="00384206">
        <w:t>2014</w:t>
      </w:r>
      <w:r w:rsidR="00AA41E1" w:rsidRPr="00384206">
        <w:rPr>
          <w:rFonts w:hint="cs"/>
          <w:rtl/>
        </w:rPr>
        <w:t>، على التوالي</w:t>
      </w:r>
      <w:r w:rsidR="00384206">
        <w:rPr>
          <w:rFonts w:hint="cs"/>
          <w:rtl/>
        </w:rPr>
        <w:t>.</w:t>
      </w:r>
      <w:r w:rsidR="00AA41E1" w:rsidRPr="00384206">
        <w:rPr>
          <w:rFonts w:hint="cs"/>
          <w:rtl/>
        </w:rPr>
        <w:t xml:space="preserve"> وقد عممت مقترحات الجماعة على الإدارات الأعضاء فيها البالغ عددها</w:t>
      </w:r>
      <w:r w:rsidR="00AA41E1" w:rsidRPr="00384206">
        <w:rPr>
          <w:rFonts w:hint="eastAsia"/>
          <w:rtl/>
        </w:rPr>
        <w:t> </w:t>
      </w:r>
      <w:r w:rsidR="00AA41E1" w:rsidRPr="00384206">
        <w:t>38</w:t>
      </w:r>
      <w:r w:rsidR="00AA41E1" w:rsidRPr="00384206">
        <w:rPr>
          <w:rFonts w:hint="cs"/>
          <w:rtl/>
        </w:rPr>
        <w:t xml:space="preserve"> إدارة للتصديق عليها</w:t>
      </w:r>
      <w:r w:rsidRPr="00384206">
        <w:rPr>
          <w:rFonts w:hint="cs"/>
          <w:rtl/>
        </w:rPr>
        <w:t>.</w:t>
      </w:r>
    </w:p>
    <w:p w:rsidR="009E5ECA" w:rsidRPr="00384206" w:rsidRDefault="009E5ECA" w:rsidP="00AA41E1">
      <w:pPr>
        <w:rPr>
          <w:rtl/>
        </w:rPr>
      </w:pPr>
      <w:r w:rsidRPr="00384206">
        <w:rPr>
          <w:rFonts w:hint="cs"/>
          <w:rtl/>
        </w:rPr>
        <w:t xml:space="preserve">وتقدم المقترحات المشتركة لجماعة آسيا والمحيط الهادئ في </w:t>
      </w:r>
      <w:r w:rsidR="00AA41E1" w:rsidRPr="00384206">
        <w:rPr>
          <w:rFonts w:hint="cs"/>
          <w:rtl/>
          <w:lang w:val="en-US"/>
        </w:rPr>
        <w:t>ثلاث</w:t>
      </w:r>
      <w:r w:rsidRPr="00384206">
        <w:rPr>
          <w:rFonts w:hint="cs"/>
          <w:rtl/>
          <w:lang w:bidi="ar-SA"/>
        </w:rPr>
        <w:t xml:space="preserve"> </w:t>
      </w:r>
      <w:r w:rsidRPr="00384206">
        <w:rPr>
          <w:rFonts w:hint="cs"/>
          <w:rtl/>
        </w:rPr>
        <w:t>إضاف</w:t>
      </w:r>
      <w:r w:rsidR="00AA41E1" w:rsidRPr="00384206">
        <w:rPr>
          <w:rFonts w:hint="cs"/>
          <w:rtl/>
        </w:rPr>
        <w:t>ات</w:t>
      </w:r>
      <w:r w:rsidRPr="00384206">
        <w:rPr>
          <w:rFonts w:hint="cs"/>
          <w:rtl/>
        </w:rPr>
        <w:t xml:space="preserve"> مستقلة إلى هذه الوثيقة. و</w:t>
      </w:r>
      <w:r w:rsidR="00AA41E1" w:rsidRPr="00384206">
        <w:rPr>
          <w:rFonts w:hint="cs"/>
          <w:rtl/>
        </w:rPr>
        <w:t xml:space="preserve">تضم الإضافة </w:t>
      </w:r>
      <w:r w:rsidR="00AA41E1" w:rsidRPr="00384206">
        <w:rPr>
          <w:lang w:val="en-US"/>
        </w:rPr>
        <w:t>1</w:t>
      </w:r>
      <w:r w:rsidR="00AA41E1" w:rsidRPr="00384206">
        <w:rPr>
          <w:rFonts w:hint="cs"/>
          <w:rtl/>
          <w:lang w:val="en-US"/>
        </w:rPr>
        <w:t xml:space="preserve"> عدد </w:t>
      </w:r>
      <w:r w:rsidR="00AA41E1" w:rsidRPr="00384206">
        <w:rPr>
          <w:lang w:val="en-US"/>
        </w:rPr>
        <w:t>21</w:t>
      </w:r>
      <w:r w:rsidR="00AA41E1" w:rsidRPr="00384206">
        <w:rPr>
          <w:rFonts w:hint="cs"/>
          <w:rtl/>
          <w:lang w:val="en-US"/>
        </w:rPr>
        <w:t xml:space="preserve"> مقترحاً وتضم الإضافة </w:t>
      </w:r>
      <w:r w:rsidR="00AA41E1" w:rsidRPr="00384206">
        <w:rPr>
          <w:lang w:val="en-US"/>
        </w:rPr>
        <w:t>2</w:t>
      </w:r>
      <w:r w:rsidR="00AA41E1" w:rsidRPr="00384206">
        <w:rPr>
          <w:rFonts w:hint="cs"/>
          <w:rtl/>
          <w:lang w:val="en-US"/>
        </w:rPr>
        <w:t xml:space="preserve"> عدد </w:t>
      </w:r>
      <w:r w:rsidR="00AA41E1" w:rsidRPr="00384206">
        <w:rPr>
          <w:lang w:val="en-US"/>
        </w:rPr>
        <w:t>8</w:t>
      </w:r>
      <w:r w:rsidR="00AA41E1" w:rsidRPr="00384206">
        <w:rPr>
          <w:rFonts w:hint="cs"/>
          <w:rtl/>
          <w:lang w:val="en-US"/>
        </w:rPr>
        <w:t xml:space="preserve"> مقترحات، فيما تضم الإضافة </w:t>
      </w:r>
      <w:r w:rsidR="00AA41E1" w:rsidRPr="00384206">
        <w:rPr>
          <w:lang w:val="en-US"/>
        </w:rPr>
        <w:t>3</w:t>
      </w:r>
      <w:r w:rsidR="00AA41E1" w:rsidRPr="00384206">
        <w:rPr>
          <w:rFonts w:hint="cs"/>
          <w:rtl/>
          <w:lang w:val="en-US"/>
        </w:rPr>
        <w:t xml:space="preserve"> مقترحين من مقترحات الجماعة.</w:t>
      </w:r>
    </w:p>
    <w:p w:rsidR="009E5ECA" w:rsidRPr="00384206" w:rsidRDefault="00AA41E1" w:rsidP="009E5ECA">
      <w:pPr>
        <w:rPr>
          <w:rtl/>
          <w:lang w:bidi="ar-SA"/>
        </w:rPr>
      </w:pPr>
      <w:r w:rsidRPr="00384206">
        <w:rPr>
          <w:rFonts w:hint="cs"/>
          <w:rtl/>
        </w:rPr>
        <w:t>و</w:t>
      </w:r>
      <w:r w:rsidR="009E5ECA" w:rsidRPr="00384206">
        <w:rPr>
          <w:rFonts w:hint="cs"/>
          <w:rtl/>
        </w:rPr>
        <w:t xml:space="preserve">يقدم الجدول الوارد في الملحق </w:t>
      </w:r>
      <w:r w:rsidR="009E5ECA" w:rsidRPr="00384206">
        <w:rPr>
          <w:lang w:val="en-US"/>
        </w:rPr>
        <w:t>1</w:t>
      </w:r>
      <w:r w:rsidR="009E5ECA" w:rsidRPr="00384206">
        <w:rPr>
          <w:rFonts w:hint="cs"/>
          <w:rtl/>
          <w:lang w:bidi="ar-SA"/>
        </w:rPr>
        <w:t xml:space="preserve"> ملخصاً لقائمة المقترحات المشتركة لجماعة آسيا والمحيط الهادئ.</w:t>
      </w:r>
    </w:p>
    <w:p w:rsidR="009E5ECA" w:rsidRPr="00384206" w:rsidRDefault="009E5ECA" w:rsidP="009E5ECA">
      <w:pPr>
        <w:rPr>
          <w:rtl/>
          <w:lang w:bidi="ar-SA"/>
        </w:rPr>
      </w:pPr>
      <w:r w:rsidRPr="00384206">
        <w:rPr>
          <w:rFonts w:hint="cs"/>
          <w:rtl/>
        </w:rPr>
        <w:t xml:space="preserve">ويبين الجدول الوارد في الملحق </w:t>
      </w:r>
      <w:r w:rsidRPr="00384206">
        <w:rPr>
          <w:lang w:val="en-US"/>
        </w:rPr>
        <w:t>2</w:t>
      </w:r>
      <w:r w:rsidRPr="00384206">
        <w:rPr>
          <w:rFonts w:hint="cs"/>
          <w:rtl/>
          <w:lang w:bidi="ar-SA"/>
        </w:rPr>
        <w:t xml:space="preserve"> أعضاء جماعة آسيا والمحيط الهادئ للاتصالات الذين يؤيدون المقترحات المشتركة لجماعة آسيا والمحيط الهادئ.</w:t>
      </w:r>
    </w:p>
    <w:p w:rsidR="009E5ECA" w:rsidRPr="00384206" w:rsidRDefault="009E5ECA" w:rsidP="009E5ECA">
      <w:pPr>
        <w:rPr>
          <w:lang w:bidi="ar-SA"/>
        </w:rPr>
      </w:pPr>
      <w:r w:rsidRPr="00384206">
        <w:rPr>
          <w:rFonts w:hint="cs"/>
          <w:rtl/>
          <w:lang w:bidi="ar-SA"/>
        </w:rPr>
        <w:t xml:space="preserve">وتقدم جماعة آسيا والمحيط الهادئ </w:t>
      </w:r>
      <w:r w:rsidRPr="00384206">
        <w:rPr>
          <w:lang w:val="en-US"/>
        </w:rPr>
        <w:t>(APT)</w:t>
      </w:r>
      <w:r w:rsidRPr="00384206">
        <w:rPr>
          <w:rFonts w:hint="cs"/>
          <w:rtl/>
          <w:lang w:bidi="ar-SA"/>
        </w:rPr>
        <w:t xml:space="preserve"> المقترحات المشتركة من أجل أعمال المؤتمر بالنيابة عن إداراتها الأعضاء.</w:t>
      </w:r>
    </w:p>
    <w:p w:rsidR="009E5ECA" w:rsidRPr="00384206" w:rsidRDefault="009E5ECA" w:rsidP="009E5ECA">
      <w:pPr>
        <w:rPr>
          <w:rtl/>
        </w:rPr>
      </w:pPr>
    </w:p>
    <w:p w:rsidR="009E5ECA" w:rsidRPr="00384206" w:rsidRDefault="009E5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sectPr w:rsidR="009E5ECA" w:rsidRPr="00384206" w:rsidSect="003E018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</w:sectPr>
      </w:pPr>
    </w:p>
    <w:p w:rsidR="009E5ECA" w:rsidRPr="00384206" w:rsidRDefault="009E5ECA" w:rsidP="009B23D8">
      <w:pPr>
        <w:pStyle w:val="AnnexNo"/>
        <w:spacing w:before="0"/>
        <w:rPr>
          <w:rtl/>
        </w:rPr>
      </w:pPr>
      <w:r w:rsidRPr="00384206">
        <w:rPr>
          <w:rFonts w:hint="cs"/>
          <w:rtl/>
        </w:rPr>
        <w:lastRenderedPageBreak/>
        <w:t>ال‍ملح</w:t>
      </w:r>
      <w:r w:rsidR="00AA41E1" w:rsidRPr="00384206">
        <w:rPr>
          <w:rFonts w:hint="cs"/>
          <w:rtl/>
        </w:rPr>
        <w:t>ـ</w:t>
      </w:r>
      <w:r w:rsidRPr="00384206">
        <w:rPr>
          <w:rFonts w:hint="cs"/>
          <w:rtl/>
        </w:rPr>
        <w:t xml:space="preserve">ق </w:t>
      </w:r>
      <w:r w:rsidRPr="00384206">
        <w:t>1</w:t>
      </w:r>
    </w:p>
    <w:p w:rsidR="009E5ECA" w:rsidRPr="00384206" w:rsidRDefault="009E5ECA" w:rsidP="00630DC3">
      <w:pPr>
        <w:pStyle w:val="Annextitle"/>
        <w:spacing w:after="120"/>
        <w:rPr>
          <w:rtl/>
        </w:rPr>
      </w:pPr>
      <w:r w:rsidRPr="00384206">
        <w:rPr>
          <w:rFonts w:hint="cs"/>
          <w:rtl/>
        </w:rPr>
        <w:t xml:space="preserve">قائمة بالمقترحات المشتركة لجماعة آسيا والمحيط الهادئ للاتصالات </w:t>
      </w:r>
      <w:r w:rsidR="00AA41E1" w:rsidRPr="00384206">
        <w:rPr>
          <w:lang w:val="en-US"/>
        </w:rPr>
        <w:t>(ACP)</w:t>
      </w:r>
      <w:r w:rsidR="00AA41E1" w:rsidRPr="00384206">
        <w:rPr>
          <w:rFonts w:hint="cs"/>
          <w:rtl/>
          <w:lang w:val="en-US"/>
        </w:rPr>
        <w:t xml:space="preserve"> </w:t>
      </w:r>
      <w:r w:rsidRPr="00384206">
        <w:rPr>
          <w:rFonts w:hint="cs"/>
          <w:rtl/>
        </w:rPr>
        <w:t xml:space="preserve">المقدمة إلى مؤتمر </w:t>
      </w:r>
      <w:r w:rsidR="00AA41E1" w:rsidRPr="00384206">
        <w:rPr>
          <w:rFonts w:hint="cs"/>
          <w:rtl/>
        </w:rPr>
        <w:t xml:space="preserve">المندوبين المفوضين </w:t>
      </w:r>
      <w:r w:rsidRPr="00384206">
        <w:rPr>
          <w:rFonts w:hint="cs"/>
          <w:rtl/>
        </w:rPr>
        <w:t xml:space="preserve">لعام </w:t>
      </w:r>
      <w:r w:rsidRPr="00384206">
        <w:t>2014</w:t>
      </w:r>
    </w:p>
    <w:tbl>
      <w:tblPr>
        <w:bidiVisual/>
        <w:tblW w:w="145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52"/>
        <w:gridCol w:w="2126"/>
        <w:gridCol w:w="10065"/>
      </w:tblGrid>
      <w:tr w:rsidR="009E5ECA" w:rsidRPr="00384206" w:rsidTr="004D33E0">
        <w:trPr>
          <w:cantSplit/>
          <w:trHeight w:val="454"/>
          <w:tblHeader/>
        </w:trPr>
        <w:tc>
          <w:tcPr>
            <w:tcW w:w="2352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E5ECA" w:rsidRPr="00384206" w:rsidRDefault="00776C61" w:rsidP="00AA41E1">
            <w:pPr>
              <w:spacing w:before="8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</w:pPr>
            <w:r w:rsidRPr="00384206">
              <w:rPr>
                <w:rFonts w:eastAsia="SimSun" w:hint="cs"/>
                <w:b/>
                <w:bCs/>
                <w:sz w:val="20"/>
                <w:szCs w:val="26"/>
                <w:rtl/>
                <w:lang w:bidi="ar-SA"/>
              </w:rPr>
              <w:t>الوثيقة</w:t>
            </w:r>
          </w:p>
        </w:tc>
        <w:tc>
          <w:tcPr>
            <w:tcW w:w="2126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E5ECA" w:rsidRPr="00384206" w:rsidRDefault="009B23D8" w:rsidP="00AA41E1">
            <w:pPr>
              <w:spacing w:before="8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US" w:bidi="ar-SA"/>
              </w:rPr>
            </w:pPr>
            <w:r w:rsidRPr="00384206">
              <w:rPr>
                <w:rFonts w:eastAsia="SimSun" w:hint="cs"/>
                <w:b/>
                <w:bCs/>
                <w:sz w:val="20"/>
                <w:szCs w:val="26"/>
                <w:rtl/>
                <w:lang w:bidi="ar-SA"/>
              </w:rPr>
              <w:t>رقم المقترح</w:t>
            </w:r>
          </w:p>
        </w:tc>
        <w:tc>
          <w:tcPr>
            <w:tcW w:w="10065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E5ECA" w:rsidRPr="00384206" w:rsidRDefault="006A5700" w:rsidP="009B23D8">
            <w:pPr>
              <w:spacing w:before="80" w:after="8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</w:rPr>
            </w:pPr>
            <w:r w:rsidRPr="00384206">
              <w:rPr>
                <w:rFonts w:eastAsia="SimSun" w:hint="cs"/>
                <w:b/>
                <w:bCs/>
                <w:sz w:val="20"/>
                <w:szCs w:val="26"/>
                <w:rtl/>
                <w:lang w:bidi="ar-SA"/>
              </w:rPr>
              <w:t xml:space="preserve">عنوان </w:t>
            </w:r>
            <w:r w:rsidR="009B23D8" w:rsidRPr="00384206">
              <w:rPr>
                <w:rFonts w:eastAsia="SimSun" w:hint="cs"/>
                <w:b/>
                <w:bCs/>
                <w:sz w:val="20"/>
                <w:szCs w:val="26"/>
                <w:rtl/>
              </w:rPr>
              <w:t>المقترح</w:t>
            </w:r>
          </w:p>
        </w:tc>
      </w:tr>
      <w:tr w:rsidR="009E5ECA" w:rsidRPr="00384206" w:rsidTr="004D33E0">
        <w:trPr>
          <w:cantSplit/>
        </w:trPr>
        <w:tc>
          <w:tcPr>
            <w:tcW w:w="2352" w:type="dxa"/>
            <w:tcBorders>
              <w:top w:val="single" w:sz="6" w:space="0" w:color="000000"/>
            </w:tcBorders>
          </w:tcPr>
          <w:p w:rsidR="009E5ECA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="009E5ECA"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9E5ECA" w:rsidRPr="00384206" w:rsidRDefault="009E5ECA" w:rsidP="00AA41E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</w:t>
            </w:r>
          </w:p>
        </w:tc>
        <w:tc>
          <w:tcPr>
            <w:tcW w:w="10065" w:type="dxa"/>
            <w:tcBorders>
              <w:top w:val="single" w:sz="6" w:space="0" w:color="000000"/>
            </w:tcBorders>
            <w:shd w:val="clear" w:color="auto" w:fill="auto"/>
          </w:tcPr>
          <w:p w:rsidR="009E5ECA" w:rsidRPr="00384206" w:rsidRDefault="00AA41E1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 xml:space="preserve">عدم إجراء </w:t>
            </w:r>
            <w:r w:rsidR="009B23D8"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تغييرات على الهيكل العام للنصوص الأساسية للاتحاد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ACP/67A1/2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عدم إجراء تغييرات على وضع الدستور والاتفاقية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ACP/67A1/3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9B23D8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 xml:space="preserve">عدم إجراء تغييرات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(NOC)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على المادة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4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من دستور الاتحاد الدولي للاتصالات - صكوك الاتحاد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ACP/67A1/4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9B23D8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إلغاء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163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تشكيل فريق عمل تابع للمجلس ومعني بوضع دستور مستقر للاتحاد الدولي للاتصالات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ACP/67A1/5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9B23D8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 xml:space="preserve">عدم إجراء تغييرات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(NOC)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على الملحق بدستور الاتحاد</w:t>
            </w:r>
            <w:r w:rsid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الدولي للاتصالات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ACP/67A1/6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 xml:space="preserve">عدم إجراء تغييرات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(NOC)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على الملحق باتفاقية الاتحاد الدولي للاتصالات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US"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ACP/67A1/7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المقرر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5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) - إيرادات الاتحاد ونفقاته للفترة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2019-2016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ACP/67A1/8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9B23D8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11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- تشكيل أفرقة العمل التابعة للمجلس وإدارتها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ACP/67A1/9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22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أنطاليا،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2006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توزيع الإيرادات الناتجة عن تقديم خدمات الاتصالات الدولية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ACP/67A1/10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123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سد الفجوة التقييسية بين البلدان النامية والبلدان المتقدمة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ACP/67A1/11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9B23D8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131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) - الرقم القياسي لتكنولوجيا المعلومات والاتصالات 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ومؤشرات التوصيلية</w:t>
            </w:r>
            <w:r w:rsidRPr="00384206">
              <w:rPr>
                <w:rFonts w:eastAsia="SimSun" w:hint="eastAsia"/>
                <w:sz w:val="20"/>
                <w:szCs w:val="26"/>
                <w:rtl/>
                <w:lang w:eastAsia="ko-KR"/>
              </w:rPr>
              <w:t> 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المجتمعية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ACP/67A1/12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B23D8" w:rsidP="004D33E0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13</w:t>
            </w:r>
            <w:r w:rsidR="004D33E0"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6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</w:t>
            </w:r>
            <w:r w:rsidR="004D33E0"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- استخدام </w:t>
            </w:r>
            <w:r w:rsid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الاتصالات/</w:t>
            </w:r>
            <w:r w:rsidR="004D33E0"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تكنولوجيا المعلومات والاتصالات في </w:t>
            </w:r>
            <w:r w:rsidR="004D33E0"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الرصد والإدارة الخاصة بمجالات الطوارئ والكوارث وذلك من خلال الإنذار المبكر والوقاية والتخفيف من آثارها والإغاثة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ACP/67A1/13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4D33E0" w:rsidP="004D33E0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137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نشر شبكات الجيل التالي في البلدان النامية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ACP/67A1/14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4D33E0" w:rsidP="00384206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162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) - اللجنة الاستشارية المستقلة 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للإدارة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ACP/67A1/15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4D33E0" w:rsidP="00384206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176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التعرض البشري للمجالات الكهرمغنطيسية وقياسها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ACP/67A1/16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4D33E0" w:rsidP="00384206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182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دور الاتصالات/تكنولوجيا المعلومات والاتصالات فيما يتعلق بتغير المناخ وحماية</w:t>
            </w:r>
            <w:r w:rsidRPr="00384206">
              <w:rPr>
                <w:rFonts w:eastAsia="SimSun" w:hint="eastAsia"/>
                <w:sz w:val="20"/>
                <w:szCs w:val="26"/>
                <w:rtl/>
                <w:lang w:val="en-US" w:eastAsia="ko-KR"/>
              </w:rPr>
              <w:t> 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البيئة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ACP/67A1/17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إضافة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(ADD)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مشروع القرار الجديد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[ACP-1]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- تسخير فوائد التقارب عن طريق استخدام تطبيقات تكنولوجيا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 xml:space="preserve"> المعلومات والاتصالات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ACP/67A1/18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إضافة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(ADD)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 w:bidi="ar-SA"/>
              </w:rPr>
              <w:t xml:space="preserve"> 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مشروع القرار الجديد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[ACP-2]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- تيسير إنترنت الأشياء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(IoT)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من أجل التأهب لعالم موصول تماماً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lastRenderedPageBreak/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ACP/67A1/19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>تعريف عمل لمصطلح "تكنولوجيا المعلومات والاتصالات"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ACP/67A1/20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>ضرورة تسهيل التشغيل عند دمج المراقبة الأرضية بالمراقبة المستمرة للطائرات عبر السواتل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1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ACP/67A1/21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ضرورة تسهيل التشغيل عند دمج المراقبة الأرضية بالمراقبة </w:t>
            </w:r>
            <w:bookmarkStart w:id="1" w:name="_GoBack"/>
            <w:bookmarkEnd w:id="1"/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>المستمرة للطائرات عبر السواتل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ACP/67A2/1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عدم إجراء تغييرات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(NOC)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على دستور الاتحاد</w:t>
            </w:r>
            <w:r w:rsid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</w:t>
            </w:r>
            <w:r w:rsidR="00384206"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الدولي للاتصالات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ACP/67A2/2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عدم إجراء تغييرات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(NOC)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على اتفاقية الاتحاد</w:t>
            </w:r>
            <w:r w:rsidR="00384206"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 xml:space="preserve"> الدولي للاتصالات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ACP/67A2/3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25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تقوية الحضور الإقليمي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ACP/67A2/4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58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) - توطيد العلاقات بين الاتحاد والمنظمات الإقليمية للاتصالات والأعمال التحضيرية 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الإقليمية لمؤتمر المندوبين المفوضين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ACP/67A2/5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F911A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140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(المراجَع في 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) - دور الاتحاد في تنفيذ نواتج 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القيمة العالمية لمجتمع المعلومات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ACP/67A2/6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384206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169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) - 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السماح للهيئات الأكاديمية والجامعات ومؤسسات البحوث المرتبطة بها بالمشاركة في</w:t>
            </w:r>
            <w:r w:rsidRPr="00384206">
              <w:rPr>
                <w:rFonts w:eastAsia="SimSun" w:hint="eastAsia"/>
                <w:sz w:val="20"/>
                <w:szCs w:val="26"/>
                <w:rtl/>
                <w:lang w:eastAsia="ko-KR"/>
              </w:rPr>
              <w:t> 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أعمال قطاعات الاتحاد الثلاثة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ACP/67A2/7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384206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US" w:eastAsia="ko-KR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تعديل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(MOD)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القرار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183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(غوادالاخارا، </w:t>
            </w:r>
            <w:r w:rsidRPr="00384206">
              <w:rPr>
                <w:rFonts w:eastAsia="SimSun"/>
                <w:sz w:val="20"/>
                <w:szCs w:val="26"/>
                <w:lang w:val="en-US" w:eastAsia="ko-KR"/>
              </w:rPr>
              <w:t>2010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>) - تطبيقات الاتصالات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/تكنولوجيا لمجتمع المعلومات والاتصالات من أجل الصحة</w:t>
            </w:r>
            <w:r w:rsidR="009F0FA3" w:rsidRPr="00384206">
              <w:rPr>
                <w:rFonts w:eastAsia="SimSun" w:hint="eastAsia"/>
                <w:sz w:val="20"/>
                <w:szCs w:val="26"/>
                <w:rtl/>
                <w:lang w:eastAsia="ko-KR"/>
              </w:rPr>
              <w:t> </w:t>
            </w:r>
            <w:r w:rsidRPr="00384206">
              <w:rPr>
                <w:rFonts w:eastAsia="SimSun" w:hint="cs"/>
                <w:sz w:val="20"/>
                <w:szCs w:val="26"/>
                <w:rtl/>
                <w:lang w:eastAsia="ko-KR"/>
              </w:rPr>
              <w:t>الإلكترونية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2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ACP/67A2/8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F911AB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 xml:space="preserve">إضافة </w:t>
            </w:r>
            <w:r w:rsidRPr="00384206">
              <w:rPr>
                <w:rFonts w:eastAsia="SimSun"/>
                <w:sz w:val="20"/>
                <w:szCs w:val="26"/>
                <w:lang w:val="en-US" w:eastAsia="ko-KR" w:bidi="ar-SA"/>
              </w:rPr>
              <w:t>(ADD)</w:t>
            </w:r>
            <w:r w:rsidRPr="00384206">
              <w:rPr>
                <w:rFonts w:eastAsia="SimSun" w:hint="cs"/>
                <w:sz w:val="20"/>
                <w:szCs w:val="26"/>
                <w:rtl/>
                <w:lang w:val="en-US" w:eastAsia="ko-KR"/>
              </w:rPr>
              <w:t xml:space="preserve"> النفاذ إلى وثائق الاتحاد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3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ACP/67A3/1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F0FA3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>إجراءات وطرائق عمل لجنة لوائح الراديو</w:t>
            </w:r>
          </w:p>
        </w:tc>
      </w:tr>
      <w:tr w:rsidR="00776C61" w:rsidRPr="00384206" w:rsidTr="004D33E0">
        <w:trPr>
          <w:cantSplit/>
        </w:trPr>
        <w:tc>
          <w:tcPr>
            <w:tcW w:w="2352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الإضافة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3</w:t>
            </w:r>
            <w:r w:rsidRPr="00384206"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  <w:t xml:space="preserve"> للوثيقة </w:t>
            </w: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67</w:t>
            </w:r>
          </w:p>
        </w:tc>
        <w:tc>
          <w:tcPr>
            <w:tcW w:w="2126" w:type="dxa"/>
          </w:tcPr>
          <w:p w:rsidR="00776C61" w:rsidRPr="00384206" w:rsidRDefault="00776C61" w:rsidP="00AA41E1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384206">
              <w:rPr>
                <w:rFonts w:eastAsia="SimSun"/>
                <w:b/>
                <w:bCs/>
                <w:sz w:val="20"/>
                <w:szCs w:val="26"/>
                <w:lang w:bidi="ar-SA"/>
              </w:rPr>
              <w:t>ACP/67A3/2</w:t>
            </w:r>
          </w:p>
        </w:tc>
        <w:tc>
          <w:tcPr>
            <w:tcW w:w="10065" w:type="dxa"/>
            <w:shd w:val="clear" w:color="auto" w:fill="auto"/>
          </w:tcPr>
          <w:p w:rsidR="00776C61" w:rsidRPr="00384206" w:rsidRDefault="009F0FA3" w:rsidP="00AA41E1">
            <w:pPr>
              <w:spacing w:before="60" w:after="60" w:line="260" w:lineRule="exact"/>
              <w:rPr>
                <w:rFonts w:eastAsia="SimSun"/>
                <w:sz w:val="20"/>
                <w:szCs w:val="26"/>
                <w:lang w:eastAsia="ko-KR" w:bidi="ar-SA"/>
              </w:rPr>
            </w:pPr>
            <w:r w:rsidRPr="00384206">
              <w:rPr>
                <w:rFonts w:eastAsia="SimSun" w:hint="cs"/>
                <w:sz w:val="20"/>
                <w:szCs w:val="26"/>
                <w:rtl/>
                <w:lang w:eastAsia="ko-KR" w:bidi="ar-SA"/>
              </w:rPr>
              <w:t>التداخلات ومراقبة الإرسالات</w:t>
            </w:r>
          </w:p>
        </w:tc>
      </w:tr>
    </w:tbl>
    <w:p w:rsidR="00613746" w:rsidRPr="00384206" w:rsidRDefault="006137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 w:rsidRPr="00384206">
        <w:rPr>
          <w:rtl/>
        </w:rPr>
        <w:br w:type="page"/>
      </w:r>
    </w:p>
    <w:p w:rsidR="00613746" w:rsidRPr="00384206" w:rsidRDefault="00613746" w:rsidP="00613746">
      <w:pPr>
        <w:pStyle w:val="AnnexNo"/>
        <w:spacing w:before="0"/>
        <w:rPr>
          <w:lang w:val="en-US" w:bidi="ar-SA"/>
        </w:rPr>
      </w:pPr>
      <w:r w:rsidRPr="00384206">
        <w:rPr>
          <w:rFonts w:hint="cs"/>
          <w:rtl/>
        </w:rPr>
        <w:lastRenderedPageBreak/>
        <w:t xml:space="preserve">الملحـق </w:t>
      </w:r>
      <w:r w:rsidRPr="00384206">
        <w:rPr>
          <w:lang w:val="en-US" w:bidi="ar-SA"/>
        </w:rPr>
        <w:t>2</w:t>
      </w:r>
    </w:p>
    <w:p w:rsidR="00613746" w:rsidRPr="00384206" w:rsidRDefault="00613746" w:rsidP="00CB2D10">
      <w:pPr>
        <w:pStyle w:val="Annextitle"/>
        <w:spacing w:after="120"/>
        <w:rPr>
          <w:lang w:val="en-US"/>
        </w:rPr>
      </w:pPr>
      <w:r w:rsidRPr="00384206">
        <w:rPr>
          <w:rFonts w:hint="cs"/>
          <w:rtl/>
        </w:rPr>
        <w:t>الإدارات الأعضاء في جماعة آسيا والمحيط الهادئ للاتصالات المؤيدة للمقترحات المشتركة المقدمة</w:t>
      </w:r>
      <w:r w:rsidR="009F0FA3" w:rsidRPr="00384206">
        <w:rPr>
          <w:rFonts w:hint="cs"/>
          <w:rtl/>
        </w:rPr>
        <w:t xml:space="preserve"> من الجماعة</w:t>
      </w:r>
      <w:r w:rsidRPr="00384206">
        <w:rPr>
          <w:lang w:val="fr-FR"/>
        </w:rPr>
        <w:br/>
      </w:r>
      <w:r w:rsidRPr="00384206">
        <w:rPr>
          <w:rFonts w:hint="cs"/>
          <w:rtl/>
        </w:rPr>
        <w:t xml:space="preserve">إلى مؤتمر </w:t>
      </w:r>
      <w:r w:rsidR="009F0FA3" w:rsidRPr="00384206">
        <w:rPr>
          <w:rFonts w:hint="cs"/>
          <w:rtl/>
        </w:rPr>
        <w:t xml:space="preserve">المندوبين المفوضين </w:t>
      </w:r>
      <w:r w:rsidRPr="00384206">
        <w:rPr>
          <w:rFonts w:hint="cs"/>
          <w:rtl/>
        </w:rPr>
        <w:t xml:space="preserve">لعام </w:t>
      </w:r>
      <w:r w:rsidRPr="00384206">
        <w:t>201</w:t>
      </w:r>
      <w:r w:rsidR="009F0FA3" w:rsidRPr="00384206">
        <w:rPr>
          <w:lang w:val="en-US"/>
        </w:rPr>
        <w:t>4</w:t>
      </w:r>
    </w:p>
    <w:p w:rsidR="00613746" w:rsidRPr="00384206" w:rsidRDefault="00613746" w:rsidP="00613746">
      <w:pPr>
        <w:tabs>
          <w:tab w:val="clear" w:pos="1134"/>
          <w:tab w:val="clear" w:pos="2268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cs="Times New Roman"/>
          <w:b/>
          <w:bCs/>
          <w:sz w:val="24"/>
          <w:szCs w:val="20"/>
          <w:u w:val="single"/>
          <w:lang w:bidi="ar-SA"/>
        </w:rPr>
      </w:pPr>
    </w:p>
    <w:tbl>
      <w:tblPr>
        <w:bidiVisual/>
        <w:tblW w:w="156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9" w:type="dxa"/>
          <w:right w:w="4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87374C" w:rsidRPr="00384206" w:rsidTr="00613746">
        <w:trPr>
          <w:cantSplit/>
          <w:trHeight w:val="560"/>
          <w:tblHeader/>
          <w:jc w:val="center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3746" w:rsidRPr="00384206" w:rsidRDefault="00613746" w:rsidP="00275B9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 w:line="320" w:lineRule="exact"/>
              <w:textAlignment w:val="auto"/>
            </w:pPr>
            <w:r w:rsidRPr="00384206">
              <w:br w:type="page"/>
            </w:r>
            <w:r w:rsidRPr="00384206">
              <w:rPr>
                <w:rFonts w:hint="cs"/>
                <w:rtl/>
              </w:rPr>
              <w:t>رقم</w:t>
            </w:r>
            <w:r w:rsidR="009F0FA3" w:rsidRPr="00384206">
              <w:rPr>
                <w:rFonts w:hint="cs"/>
                <w:rtl/>
              </w:rPr>
              <w:t xml:space="preserve"> المقترح </w:t>
            </w:r>
            <w:r w:rsidRPr="00384206">
              <w:t>ACP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AFG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AUS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BGD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BTN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BRU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CBG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CHN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FJI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IND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INS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IRN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JPN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KIR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KRE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KOR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LAO</w:t>
            </w:r>
          </w:p>
        </w:tc>
        <w:tc>
          <w:tcPr>
            <w:tcW w:w="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MLA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MLD</w:t>
            </w:r>
          </w:p>
        </w:tc>
        <w:tc>
          <w:tcPr>
            <w:tcW w:w="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MHL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FSM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MNG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BRM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NRU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NPL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NZL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PAK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PAL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PNG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PHL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SMO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SNG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SLM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CLN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THA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TON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TUV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VUT</w:t>
            </w:r>
          </w:p>
        </w:tc>
        <w:tc>
          <w:tcPr>
            <w:tcW w:w="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VTN</w:t>
            </w:r>
          </w:p>
        </w:tc>
        <w:tc>
          <w:tcPr>
            <w:tcW w:w="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rtl/>
              </w:rPr>
            </w:pPr>
            <w:r w:rsidRPr="00384206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المجموع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tabs>
                <w:tab w:val="left" w:pos="1440"/>
              </w:tabs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23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23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23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24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24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18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24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23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25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23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23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20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21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19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ACP/67A1/21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21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lastRenderedPageBreak/>
              <w:t>ACP/67A2/1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19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18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21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21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21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22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21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19</w:t>
            </w:r>
          </w:p>
        </w:tc>
      </w:tr>
      <w:tr w:rsidR="00613746" w:rsidRPr="00384206" w:rsidTr="0061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b/>
                <w:bCs/>
                <w:sz w:val="18"/>
                <w:szCs w:val="18"/>
                <w:lang w:bidi="ar-SA"/>
              </w:rPr>
              <w:t>ACP/67A3/2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3746" w:rsidRPr="00384206" w:rsidRDefault="00613746" w:rsidP="00613746">
            <w:pPr>
              <w:bidi w:val="0"/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384206">
              <w:rPr>
                <w:rFonts w:cs="Times New Roman"/>
                <w:sz w:val="18"/>
                <w:szCs w:val="18"/>
                <w:lang w:bidi="ar-SA"/>
              </w:rPr>
              <w:t>20</w:t>
            </w:r>
          </w:p>
        </w:tc>
      </w:tr>
    </w:tbl>
    <w:p w:rsidR="009F279B" w:rsidRPr="00384206" w:rsidRDefault="00613746" w:rsidP="00613746">
      <w:pPr>
        <w:spacing w:before="600"/>
        <w:jc w:val="center"/>
        <w:rPr>
          <w:rtl/>
        </w:rPr>
      </w:pPr>
      <w:r w:rsidRPr="00384206">
        <w:rPr>
          <w:rFonts w:hint="cs"/>
          <w:rtl/>
        </w:rPr>
        <w:t>___________</w:t>
      </w:r>
    </w:p>
    <w:sectPr w:rsidR="009F279B" w:rsidRPr="00384206" w:rsidSect="00FD123C">
      <w:footerReference w:type="default" r:id="rId14"/>
      <w:pgSz w:w="16834" w:h="11907" w:orient="landscape" w:code="9"/>
      <w:pgMar w:top="1134" w:right="1134" w:bottom="1134" w:left="1134" w:header="720" w:footer="720" w:gutter="0"/>
      <w:paperSrc w:first="15" w:other="15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CF" w:rsidRDefault="00FE61CF" w:rsidP="00FE7FCA">
      <w:r>
        <w:separator/>
      </w:r>
    </w:p>
  </w:endnote>
  <w:endnote w:type="continuationSeparator" w:id="0">
    <w:p w:rsidR="00FE61CF" w:rsidRDefault="00FE61C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AA41E1" w:rsidRDefault="00384206" w:rsidP="009E5ECA">
    <w:pPr>
      <w:pStyle w:val="Footer"/>
      <w:bidi w:val="0"/>
      <w:rPr>
        <w:rFonts w:eastAsia="SimSun"/>
        <w:noProof/>
        <w:sz w:val="16"/>
        <w:lang w:val="en-US"/>
      </w:rPr>
    </w:pPr>
    <w:r w:rsidRPr="009E5ECA">
      <w:rPr>
        <w:rFonts w:eastAsia="SimSun"/>
        <w:noProof/>
        <w:sz w:val="16"/>
        <w:lang w:val="fr-CH"/>
      </w:rPr>
      <w:fldChar w:fldCharType="begin"/>
    </w:r>
    <w:r w:rsidRPr="00AA41E1">
      <w:rPr>
        <w:rFonts w:eastAsia="SimSun"/>
        <w:noProof/>
        <w:sz w:val="16"/>
        <w:lang w:val="en-US"/>
      </w:rPr>
      <w:instrText xml:space="preserve"> FILENAME \p  \* MERGEFORMAT </w:instrText>
    </w:r>
    <w:r w:rsidRPr="009E5ECA">
      <w:rPr>
        <w:rFonts w:eastAsia="SimSun"/>
        <w:noProof/>
        <w:sz w:val="16"/>
        <w:lang w:val="fr-CH"/>
      </w:rPr>
      <w:fldChar w:fldCharType="separate"/>
    </w:r>
    <w:r w:rsidRPr="00AA41E1">
      <w:rPr>
        <w:rFonts w:eastAsia="SimSun"/>
        <w:noProof/>
        <w:sz w:val="16"/>
        <w:lang w:val="en-US"/>
      </w:rPr>
      <w:t>P:\TRAD\A\SG\CONF-SG\PP14\000\067A.docx</w:t>
    </w:r>
    <w:r w:rsidRPr="009E5ECA">
      <w:rPr>
        <w:rFonts w:eastAsia="SimSun"/>
        <w:noProof/>
        <w:sz w:val="16"/>
        <w:lang w:val="fr-CH"/>
      </w:rPr>
      <w:fldChar w:fldCharType="end"/>
    </w:r>
    <w:r w:rsidRPr="009E5ECA">
      <w:rPr>
        <w:rFonts w:eastAsia="SimSun"/>
        <w:noProof/>
        <w:sz w:val="16"/>
        <w:lang w:val="en-US"/>
      </w:rPr>
      <w:t xml:space="preserve">   (367858)</w:t>
    </w:r>
    <w:r w:rsidRPr="00AA41E1">
      <w:rPr>
        <w:rFonts w:eastAsia="SimSun"/>
        <w:noProof/>
        <w:sz w:val="16"/>
        <w:lang w:val="en-US"/>
      </w:rPr>
      <w:tab/>
    </w:r>
    <w:r w:rsidRPr="009E5ECA">
      <w:rPr>
        <w:rFonts w:eastAsia="SimSun"/>
        <w:noProof/>
        <w:sz w:val="16"/>
        <w:lang w:val="fr-CH"/>
      </w:rPr>
      <w:fldChar w:fldCharType="begin"/>
    </w:r>
    <w:r w:rsidRPr="009E5ECA">
      <w:rPr>
        <w:rFonts w:eastAsia="SimSun"/>
        <w:noProof/>
        <w:sz w:val="16"/>
        <w:lang w:val="fr-CH"/>
      </w:rPr>
      <w:instrText xml:space="preserve"> SAVEDATE \@ DD.MM.YY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87374C">
      <w:rPr>
        <w:rFonts w:eastAsia="SimSun"/>
        <w:noProof/>
        <w:sz w:val="16"/>
        <w:lang w:val="fr-CH"/>
      </w:rPr>
      <w:t>08.10.14</w:t>
    </w:r>
    <w:r w:rsidRPr="009E5ECA">
      <w:rPr>
        <w:rFonts w:eastAsia="SimSun"/>
        <w:noProof/>
        <w:sz w:val="16"/>
        <w:lang w:val="fr-CH"/>
      </w:rPr>
      <w:fldChar w:fldCharType="end"/>
    </w:r>
    <w:r w:rsidRPr="00AA41E1">
      <w:rPr>
        <w:rFonts w:eastAsia="SimSun"/>
        <w:noProof/>
        <w:sz w:val="16"/>
        <w:lang w:val="en-US"/>
      </w:rPr>
      <w:tab/>
    </w:r>
    <w:r w:rsidRPr="009E5ECA">
      <w:rPr>
        <w:rFonts w:eastAsia="SimSun"/>
        <w:noProof/>
        <w:sz w:val="16"/>
        <w:lang w:val="fr-CH"/>
      </w:rPr>
      <w:fldChar w:fldCharType="begin"/>
    </w:r>
    <w:r w:rsidRPr="009E5ECA">
      <w:rPr>
        <w:rFonts w:eastAsia="SimSun"/>
        <w:noProof/>
        <w:sz w:val="16"/>
        <w:lang w:val="fr-CH"/>
      </w:rPr>
      <w:instrText xml:space="preserve"> PRINTDATE \@ DD.MM.YY </w:instrText>
    </w:r>
    <w:r w:rsidRPr="009E5ECA">
      <w:rPr>
        <w:rFonts w:eastAsia="SimSun"/>
        <w:noProof/>
        <w:sz w:val="16"/>
        <w:lang w:val="fr-CH"/>
      </w:rPr>
      <w:fldChar w:fldCharType="separate"/>
    </w:r>
    <w:r>
      <w:rPr>
        <w:rFonts w:eastAsia="SimSun"/>
        <w:noProof/>
        <w:sz w:val="16"/>
        <w:lang w:val="fr-CH"/>
      </w:rPr>
      <w:t>15.10.10</w:t>
    </w:r>
    <w:r w:rsidRPr="009E5ECA">
      <w:rPr>
        <w:rFonts w:eastAsia="SimSun"/>
        <w:noProof/>
        <w:sz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AA41E1" w:rsidRDefault="00384206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AA41E1">
      <w:rPr>
        <w:sz w:val="20"/>
        <w:szCs w:val="20"/>
      </w:rPr>
      <w:t xml:space="preserve"> </w:t>
    </w:r>
    <w:r w:rsidRPr="00AA41E1">
      <w:rPr>
        <w:rStyle w:val="Hyperlink"/>
        <w:sz w:val="22"/>
        <w:szCs w:val="22"/>
      </w:rPr>
      <w:t>www.itu.int/plenipotentiary/</w:t>
    </w:r>
    <w:r w:rsidRPr="00AA41E1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84206" w:rsidRPr="006765F8" w:rsidRDefault="00384206" w:rsidP="009E5ECA">
    <w:pPr>
      <w:pStyle w:val="Footer"/>
      <w:bidi w:val="0"/>
      <w:spacing w:before="120"/>
      <w:rPr>
        <w:rFonts w:eastAsia="SimSun"/>
        <w:color w:val="FFFFFF" w:themeColor="background1"/>
        <w:sz w:val="16"/>
        <w:lang w:val="en-US"/>
      </w:rPr>
    </w:pPr>
    <w:r w:rsidRPr="006765F8">
      <w:rPr>
        <w:rFonts w:eastAsia="SimSun"/>
        <w:color w:val="FFFFFF" w:themeColor="background1"/>
        <w:sz w:val="16"/>
      </w:rPr>
      <w:fldChar w:fldCharType="begin"/>
    </w:r>
    <w:r w:rsidRPr="006765F8">
      <w:rPr>
        <w:rFonts w:eastAsia="SimSun"/>
        <w:color w:val="FFFFFF" w:themeColor="background1"/>
        <w:sz w:val="16"/>
        <w:lang w:val="en-US"/>
      </w:rPr>
      <w:instrText xml:space="preserve"> FILENAME \p  \* MERGEFORMAT </w:instrText>
    </w:r>
    <w:r w:rsidRPr="006765F8">
      <w:rPr>
        <w:rFonts w:eastAsia="SimSun"/>
        <w:color w:val="FFFFFF" w:themeColor="background1"/>
        <w:sz w:val="16"/>
      </w:rPr>
      <w:fldChar w:fldCharType="separate"/>
    </w:r>
    <w:r w:rsidRPr="006765F8">
      <w:rPr>
        <w:rFonts w:eastAsia="SimSun"/>
        <w:noProof/>
        <w:color w:val="FFFFFF" w:themeColor="background1"/>
        <w:sz w:val="16"/>
        <w:lang w:val="en-US"/>
      </w:rPr>
      <w:t>P:\TRAD\A\SG\CONF-SG\PP14\000\067A.docx</w:t>
    </w:r>
    <w:r w:rsidRPr="006765F8">
      <w:rPr>
        <w:rFonts w:eastAsia="SimSun"/>
        <w:noProof/>
        <w:color w:val="FFFFFF" w:themeColor="background1"/>
        <w:sz w:val="16"/>
      </w:rPr>
      <w:fldChar w:fldCharType="end"/>
    </w:r>
    <w:r w:rsidRPr="006765F8">
      <w:rPr>
        <w:rFonts w:eastAsia="SimSun"/>
        <w:noProof/>
        <w:color w:val="FFFFFF" w:themeColor="background1"/>
        <w:sz w:val="16"/>
        <w:lang w:val="en-US"/>
      </w:rPr>
      <w:t xml:space="preserve">   (367858)</w:t>
    </w:r>
    <w:r w:rsidRPr="006765F8">
      <w:rPr>
        <w:rFonts w:eastAsia="SimSun"/>
        <w:color w:val="FFFFFF" w:themeColor="background1"/>
        <w:sz w:val="16"/>
        <w:lang w:val="en-US"/>
      </w:rPr>
      <w:tab/>
    </w:r>
    <w:r w:rsidRPr="006765F8">
      <w:rPr>
        <w:rFonts w:eastAsia="SimSun"/>
        <w:color w:val="FFFFFF" w:themeColor="background1"/>
        <w:sz w:val="16"/>
      </w:rPr>
      <w:fldChar w:fldCharType="begin"/>
    </w:r>
    <w:r w:rsidRPr="006765F8">
      <w:rPr>
        <w:rFonts w:eastAsia="SimSun"/>
        <w:color w:val="FFFFFF" w:themeColor="background1"/>
        <w:sz w:val="16"/>
      </w:rPr>
      <w:instrText xml:space="preserve"> SAVEDATE \@ DD.MM.YY </w:instrText>
    </w:r>
    <w:r w:rsidRPr="006765F8">
      <w:rPr>
        <w:rFonts w:eastAsia="SimSun"/>
        <w:color w:val="FFFFFF" w:themeColor="background1"/>
        <w:sz w:val="16"/>
      </w:rPr>
      <w:fldChar w:fldCharType="separate"/>
    </w:r>
    <w:r w:rsidR="0087374C" w:rsidRPr="006765F8">
      <w:rPr>
        <w:rFonts w:eastAsia="SimSun"/>
        <w:noProof/>
        <w:color w:val="FFFFFF" w:themeColor="background1"/>
        <w:sz w:val="16"/>
      </w:rPr>
      <w:t>08.10.14</w:t>
    </w:r>
    <w:r w:rsidRPr="006765F8">
      <w:rPr>
        <w:rFonts w:eastAsia="SimSun"/>
        <w:color w:val="FFFFFF" w:themeColor="background1"/>
        <w:sz w:val="16"/>
      </w:rPr>
      <w:fldChar w:fldCharType="end"/>
    </w:r>
    <w:r w:rsidRPr="006765F8">
      <w:rPr>
        <w:rFonts w:eastAsia="SimSun"/>
        <w:color w:val="FFFFFF" w:themeColor="background1"/>
        <w:sz w:val="16"/>
        <w:lang w:val="en-US"/>
      </w:rPr>
      <w:tab/>
    </w:r>
    <w:r w:rsidRPr="006765F8">
      <w:rPr>
        <w:rFonts w:eastAsia="SimSun"/>
        <w:color w:val="FFFFFF" w:themeColor="background1"/>
        <w:sz w:val="16"/>
      </w:rPr>
      <w:fldChar w:fldCharType="begin"/>
    </w:r>
    <w:r w:rsidRPr="006765F8">
      <w:rPr>
        <w:rFonts w:eastAsia="SimSun"/>
        <w:color w:val="FFFFFF" w:themeColor="background1"/>
        <w:sz w:val="16"/>
      </w:rPr>
      <w:instrText xml:space="preserve"> PRINTDATE \@ DD.MM.YY </w:instrText>
    </w:r>
    <w:r w:rsidRPr="006765F8">
      <w:rPr>
        <w:rFonts w:eastAsia="SimSun"/>
        <w:color w:val="FFFFFF" w:themeColor="background1"/>
        <w:sz w:val="16"/>
      </w:rPr>
      <w:fldChar w:fldCharType="separate"/>
    </w:r>
    <w:r w:rsidRPr="006765F8">
      <w:rPr>
        <w:rFonts w:eastAsia="SimSun"/>
        <w:noProof/>
        <w:color w:val="FFFFFF" w:themeColor="background1"/>
        <w:sz w:val="16"/>
      </w:rPr>
      <w:t>15.10.10</w:t>
    </w:r>
    <w:r w:rsidRPr="006765F8">
      <w:rPr>
        <w:rFonts w:eastAsia="SimSun"/>
        <w:color w:val="FFFFFF" w:themeColor="background1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6765F8" w:rsidRDefault="00384206" w:rsidP="00384206">
    <w:pPr>
      <w:pStyle w:val="Footer"/>
      <w:tabs>
        <w:tab w:val="clear" w:pos="4680"/>
        <w:tab w:val="clear" w:pos="9360"/>
        <w:tab w:val="center" w:pos="7797"/>
        <w:tab w:val="right" w:pos="14566"/>
      </w:tabs>
      <w:bidi w:val="0"/>
      <w:rPr>
        <w:rFonts w:eastAsia="SimSun"/>
        <w:noProof/>
        <w:color w:val="FFFFFF" w:themeColor="background1"/>
        <w:sz w:val="16"/>
        <w:lang w:val="en-US"/>
      </w:rPr>
    </w:pPr>
    <w:r w:rsidRPr="006765F8">
      <w:rPr>
        <w:rFonts w:eastAsia="SimSun"/>
        <w:noProof/>
        <w:color w:val="FFFFFF" w:themeColor="background1"/>
        <w:sz w:val="16"/>
        <w:lang w:val="fr-CH"/>
      </w:rPr>
      <w:fldChar w:fldCharType="begin"/>
    </w:r>
    <w:r w:rsidRPr="006765F8">
      <w:rPr>
        <w:rFonts w:eastAsia="SimSun"/>
        <w:noProof/>
        <w:color w:val="FFFFFF" w:themeColor="background1"/>
        <w:sz w:val="16"/>
        <w:lang w:val="en-US"/>
      </w:rPr>
      <w:instrText xml:space="preserve"> FILENAME \p  \* MERGEFORMAT </w:instrText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separate"/>
    </w:r>
    <w:r w:rsidRPr="006765F8">
      <w:rPr>
        <w:rFonts w:eastAsia="SimSun"/>
        <w:noProof/>
        <w:color w:val="FFFFFF" w:themeColor="background1"/>
        <w:sz w:val="16"/>
        <w:lang w:val="en-US"/>
      </w:rPr>
      <w:t>P:\TRAD\A\SG\CONF-SG\PP14\000\067A.docx</w:t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end"/>
    </w:r>
    <w:r w:rsidRPr="006765F8">
      <w:rPr>
        <w:rFonts w:eastAsia="SimSun"/>
        <w:noProof/>
        <w:color w:val="FFFFFF" w:themeColor="background1"/>
        <w:sz w:val="16"/>
        <w:lang w:val="en-US"/>
      </w:rPr>
      <w:t xml:space="preserve">   (367858)</w:t>
    </w:r>
    <w:r w:rsidRPr="006765F8">
      <w:rPr>
        <w:rFonts w:eastAsia="SimSun"/>
        <w:noProof/>
        <w:color w:val="FFFFFF" w:themeColor="background1"/>
        <w:sz w:val="16"/>
        <w:lang w:val="en-US"/>
      </w:rPr>
      <w:tab/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begin"/>
    </w:r>
    <w:r w:rsidRPr="006765F8">
      <w:rPr>
        <w:rFonts w:eastAsia="SimSun"/>
        <w:noProof/>
        <w:color w:val="FFFFFF" w:themeColor="background1"/>
        <w:sz w:val="16"/>
        <w:lang w:val="fr-CH"/>
      </w:rPr>
      <w:instrText xml:space="preserve"> SAVEDATE \@ DD.MM.YY </w:instrText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separate"/>
    </w:r>
    <w:r w:rsidR="0087374C" w:rsidRPr="006765F8">
      <w:rPr>
        <w:rFonts w:eastAsia="SimSun"/>
        <w:noProof/>
        <w:color w:val="FFFFFF" w:themeColor="background1"/>
        <w:sz w:val="16"/>
        <w:lang w:val="fr-CH"/>
      </w:rPr>
      <w:t>08.10.14</w:t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end"/>
    </w:r>
    <w:r w:rsidRPr="006765F8">
      <w:rPr>
        <w:rFonts w:eastAsia="SimSun"/>
        <w:noProof/>
        <w:color w:val="FFFFFF" w:themeColor="background1"/>
        <w:sz w:val="16"/>
        <w:lang w:val="en-US"/>
      </w:rPr>
      <w:tab/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begin"/>
    </w:r>
    <w:r w:rsidRPr="006765F8">
      <w:rPr>
        <w:rFonts w:eastAsia="SimSun"/>
        <w:noProof/>
        <w:color w:val="FFFFFF" w:themeColor="background1"/>
        <w:sz w:val="16"/>
        <w:lang w:val="fr-CH"/>
      </w:rPr>
      <w:instrText xml:space="preserve"> PRINTDATE \@ DD.MM.YY </w:instrText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separate"/>
    </w:r>
    <w:r w:rsidRPr="006765F8">
      <w:rPr>
        <w:rFonts w:eastAsia="SimSun"/>
        <w:noProof/>
        <w:color w:val="FFFFFF" w:themeColor="background1"/>
        <w:sz w:val="16"/>
        <w:lang w:val="fr-CH"/>
      </w:rPr>
      <w:t>15.10.10</w:t>
    </w:r>
    <w:r w:rsidRPr="006765F8">
      <w:rPr>
        <w:rFonts w:eastAsia="SimSun"/>
        <w:noProof/>
        <w:color w:val="FFFFFF" w:themeColor="background1"/>
        <w:sz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CF" w:rsidRDefault="00FE61CF">
      <w:r>
        <w:t>_______________</w:t>
      </w:r>
    </w:p>
  </w:footnote>
  <w:footnote w:type="continuationSeparator" w:id="0">
    <w:p w:rsidR="00FE61CF" w:rsidRDefault="00FE61C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5A25FE" w:rsidRDefault="00384206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84206" w:rsidRDefault="00384206"/>
  <w:p w:rsidR="00384206" w:rsidRDefault="003842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Default="00384206" w:rsidP="009E5ECA">
    <w:pPr>
      <w:pStyle w:val="Header"/>
      <w:rPr>
        <w:rStyle w:val="PageNumber"/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6765F8">
      <w:rPr>
        <w:rStyle w:val="PageNumber"/>
        <w:rFonts w:ascii="Calibri" w:hAnsi="Calibri"/>
        <w:noProof/>
      </w:rPr>
      <w:t>4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67-</w:t>
    </w:r>
    <w:r w:rsidRPr="006A7C71">
      <w:rPr>
        <w:rStyle w:val="PageNumber"/>
        <w:rFonts w:ascii="Calibri" w:hAnsi="Calibri"/>
      </w:rPr>
      <w:t>A</w:t>
    </w:r>
  </w:p>
  <w:p w:rsidR="00384206" w:rsidRPr="006A7C71" w:rsidRDefault="00384206" w:rsidP="009E5ECA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B10B0D" w:rsidRDefault="00384206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8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0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1"/>
  </w:num>
  <w:num w:numId="12">
    <w:abstractNumId w:val="17"/>
  </w:num>
  <w:num w:numId="13">
    <w:abstractNumId w:val="19"/>
  </w:num>
  <w:num w:numId="14">
    <w:abstractNumId w:val="27"/>
  </w:num>
  <w:num w:numId="15">
    <w:abstractNumId w:val="23"/>
  </w:num>
  <w:num w:numId="16">
    <w:abstractNumId w:val="24"/>
  </w:num>
  <w:num w:numId="17">
    <w:abstractNumId w:val="12"/>
  </w:num>
  <w:num w:numId="18">
    <w:abstractNumId w:val="28"/>
  </w:num>
  <w:num w:numId="19">
    <w:abstractNumId w:val="33"/>
  </w:num>
  <w:num w:numId="20">
    <w:abstractNumId w:val="26"/>
  </w:num>
  <w:num w:numId="21">
    <w:abstractNumId w:val="16"/>
  </w:num>
  <w:num w:numId="22">
    <w:abstractNumId w:val="22"/>
  </w:num>
  <w:num w:numId="23">
    <w:abstractNumId w:val="15"/>
  </w:num>
  <w:num w:numId="24">
    <w:abstractNumId w:val="18"/>
  </w:num>
  <w:num w:numId="25">
    <w:abstractNumId w:val="29"/>
  </w:num>
  <w:num w:numId="26">
    <w:abstractNumId w:val="11"/>
  </w:num>
  <w:num w:numId="27">
    <w:abstractNumId w:val="20"/>
  </w:num>
  <w:num w:numId="28">
    <w:abstractNumId w:val="21"/>
  </w:num>
  <w:num w:numId="29">
    <w:abstractNumId w:val="30"/>
  </w:num>
  <w:num w:numId="30">
    <w:abstractNumId w:val="25"/>
  </w:num>
  <w:num w:numId="31">
    <w:abstractNumId w:val="13"/>
  </w:num>
  <w:num w:numId="32">
    <w:abstractNumId w:val="14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CA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B7F8F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B96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4B9C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4206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33E0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2F70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3746"/>
    <w:rsid w:val="00617145"/>
    <w:rsid w:val="0061732C"/>
    <w:rsid w:val="00617AE4"/>
    <w:rsid w:val="00617BE4"/>
    <w:rsid w:val="00620258"/>
    <w:rsid w:val="00620660"/>
    <w:rsid w:val="0062228A"/>
    <w:rsid w:val="00630DC3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65F8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5700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46609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76C61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3A6E"/>
    <w:rsid w:val="007D40C4"/>
    <w:rsid w:val="007D78CB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5920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668E0"/>
    <w:rsid w:val="00872075"/>
    <w:rsid w:val="0087374C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3D8"/>
    <w:rsid w:val="009B26E8"/>
    <w:rsid w:val="009B4551"/>
    <w:rsid w:val="009B52ED"/>
    <w:rsid w:val="009B5C6C"/>
    <w:rsid w:val="009C06F0"/>
    <w:rsid w:val="009C36BA"/>
    <w:rsid w:val="009C3D0B"/>
    <w:rsid w:val="009C64A0"/>
    <w:rsid w:val="009C6891"/>
    <w:rsid w:val="009C7F00"/>
    <w:rsid w:val="009D0064"/>
    <w:rsid w:val="009D20D2"/>
    <w:rsid w:val="009D5674"/>
    <w:rsid w:val="009E0255"/>
    <w:rsid w:val="009E369F"/>
    <w:rsid w:val="009E5ECA"/>
    <w:rsid w:val="009F0FA3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728"/>
    <w:rsid w:val="00AA106D"/>
    <w:rsid w:val="00AA1AEA"/>
    <w:rsid w:val="00AA41E1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BF7C21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2D10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1AB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123C"/>
    <w:rsid w:val="00FD4A6E"/>
    <w:rsid w:val="00FD5319"/>
    <w:rsid w:val="00FD57B4"/>
    <w:rsid w:val="00FD7B1D"/>
    <w:rsid w:val="00FE0070"/>
    <w:rsid w:val="00FE4C68"/>
    <w:rsid w:val="00FE5410"/>
    <w:rsid w:val="00FE61CF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0075B1-0146-464D-A9F2-4F9C14A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uiPriority w:val="99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E5552F"/>
    <w:pPr>
      <w:framePr w:wrap="around"/>
    </w:pPr>
  </w:style>
  <w:style w:type="character" w:customStyle="1" w:styleId="ChapNoChar">
    <w:name w:val="Chap_No Char"/>
    <w:basedOn w:val="ArtNoChar"/>
    <w:link w:val="Chap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qFormat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255055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uiPriority w:val="99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10FA"/>
    <w:rPr>
      <w:rFonts w:ascii="Tahoma" w:hAnsi="Tahoma" w:cs="Tahoma"/>
      <w:sz w:val="16"/>
      <w:szCs w:val="16"/>
      <w:lang w:val="en-GB"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613746"/>
  </w:style>
  <w:style w:type="paragraph" w:styleId="NormalIndent">
    <w:name w:val="Normal Indent"/>
    <w:basedOn w:val="Normal"/>
    <w:rsid w:val="00613746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613746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613746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61374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613746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613746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13746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613746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61374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13746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613746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61374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613746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613746"/>
    <w:pPr>
      <w:framePr w:hSpace="0" w:wrap="around" w:yAlign="inline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href">
    <w:name w:val="href"/>
    <w:basedOn w:val="DefaultParagraphFont"/>
    <w:rsid w:val="00613746"/>
    <w:rPr>
      <w:color w:val="auto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613746"/>
    <w:rPr>
      <w:rFonts w:ascii="Calibri" w:hAnsi="Calibri" w:cs="Traditional Arabic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613746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613746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jc w:val="left"/>
      <w:textAlignment w:val="auto"/>
    </w:pPr>
    <w:rPr>
      <w:rFonts w:ascii="CG Times" w:eastAsia="SimSun" w:hAnsi="CG Times" w:cs="Times New Roman"/>
      <w:sz w:val="20"/>
      <w:szCs w:val="24"/>
      <w:lang w:val="en-US" w:eastAsia="zh-CN" w:bidi="ar-SA"/>
    </w:rPr>
  </w:style>
  <w:style w:type="paragraph" w:styleId="PlainText">
    <w:name w:val="Plain Text"/>
    <w:basedOn w:val="Normal"/>
    <w:link w:val="PlainTextChar"/>
    <w:uiPriority w:val="99"/>
    <w:unhideWhenUsed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Theme="minorHAnsi" w:cstheme="minorBidi"/>
      <w:szCs w:val="21"/>
      <w:lang w:val="en-AU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13746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SimSun" w:hAnsi="Verdana" w:cs="Verdana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0"/>
      <w:lang w:bidi="ar-SA"/>
    </w:rPr>
  </w:style>
  <w:style w:type="paragraph" w:customStyle="1" w:styleId="Volumetitle0">
    <w:name w:val="Volume_title"/>
    <w:basedOn w:val="Normal"/>
    <w:qFormat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cs="Times New Roman"/>
      <w:b/>
      <w:sz w:val="28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AppData\Roaming\Microsoft\Templates\POOL%20A%20-%20ITU\PA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11EB-A0D6-4DAA-B2F3-9B956CCE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PA_PP14.dotx</Template>
  <TotalTime>1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8084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Al-Midani, Mohammad Haitham</dc:creator>
  <cp:keywords>PP-10</cp:keywords>
  <dc:description>Document 1-A  For: XXX_x000d_
Document date: 6 October 2010_x000d_
Saved by Elbahnassawy at 22:46:25 on 06.10.2010</dc:description>
  <cp:lastModifiedBy>Janin, Patricia</cp:lastModifiedBy>
  <cp:revision>3</cp:revision>
  <cp:lastPrinted>2010-10-15T21:01:00Z</cp:lastPrinted>
  <dcterms:created xsi:type="dcterms:W3CDTF">2014-10-14T12:39:00Z</dcterms:created>
  <dcterms:modified xsi:type="dcterms:W3CDTF">2014-10-14T12:39:00Z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