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BB7CB3">
        <w:trPr>
          <w:cantSplit/>
        </w:trPr>
        <w:tc>
          <w:tcPr>
            <w:tcW w:w="6911" w:type="dxa"/>
          </w:tcPr>
          <w:p w:rsidR="00BD1614" w:rsidRPr="00960D89" w:rsidRDefault="00BD1614" w:rsidP="00B675AB">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B675AB">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BB7CB3">
        <w:trPr>
          <w:cantSplit/>
        </w:trPr>
        <w:tc>
          <w:tcPr>
            <w:tcW w:w="6911" w:type="dxa"/>
            <w:tcBorders>
              <w:bottom w:val="single" w:sz="12" w:space="0" w:color="auto"/>
            </w:tcBorders>
          </w:tcPr>
          <w:p w:rsidR="00BD1614" w:rsidRPr="008C10D9" w:rsidRDefault="00BD1614" w:rsidP="00B675AB">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B675AB">
            <w:pPr>
              <w:spacing w:before="0" w:after="48"/>
              <w:rPr>
                <w:rFonts w:cstheme="minorHAnsi"/>
                <w:b/>
                <w:smallCaps/>
                <w:szCs w:val="24"/>
                <w:lang w:val="en-US"/>
              </w:rPr>
            </w:pPr>
          </w:p>
        </w:tc>
      </w:tr>
      <w:tr w:rsidR="00BD1614" w:rsidRPr="002A6F8F" w:rsidTr="00BB7CB3">
        <w:trPr>
          <w:cantSplit/>
        </w:trPr>
        <w:tc>
          <w:tcPr>
            <w:tcW w:w="6911" w:type="dxa"/>
            <w:tcBorders>
              <w:top w:val="single" w:sz="12" w:space="0" w:color="auto"/>
            </w:tcBorders>
          </w:tcPr>
          <w:p w:rsidR="00BD1614" w:rsidRPr="008C10D9" w:rsidRDefault="00BD1614" w:rsidP="00B675AB">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B675AB">
            <w:pPr>
              <w:spacing w:before="0"/>
              <w:rPr>
                <w:rFonts w:cstheme="minorHAnsi"/>
                <w:szCs w:val="24"/>
                <w:lang w:val="en-US"/>
              </w:rPr>
            </w:pPr>
          </w:p>
        </w:tc>
      </w:tr>
      <w:tr w:rsidR="00BD1614" w:rsidRPr="002A6F8F" w:rsidTr="00BB7CB3">
        <w:trPr>
          <w:cantSplit/>
        </w:trPr>
        <w:tc>
          <w:tcPr>
            <w:tcW w:w="6911" w:type="dxa"/>
            <w:shd w:val="clear" w:color="auto" w:fill="auto"/>
          </w:tcPr>
          <w:p w:rsidR="00BD1614" w:rsidRPr="008C10D9" w:rsidRDefault="00BD1614" w:rsidP="00B675AB">
            <w:pPr>
              <w:pStyle w:val="Committee"/>
              <w:framePr w:hSpace="0" w:wrap="auto" w:hAnchor="text" w:yAlign="inline"/>
              <w:spacing w:after="0" w:line="240" w:lineRule="auto"/>
            </w:pPr>
            <w:r w:rsidRPr="008C10D9">
              <w:t>SÉANCE PLÉNIÈRE</w:t>
            </w:r>
          </w:p>
        </w:tc>
        <w:tc>
          <w:tcPr>
            <w:tcW w:w="3120" w:type="dxa"/>
            <w:shd w:val="clear" w:color="auto" w:fill="auto"/>
          </w:tcPr>
          <w:p w:rsidR="00BD1614" w:rsidRPr="008C10D9" w:rsidRDefault="00BD1614" w:rsidP="00B675AB">
            <w:pPr>
              <w:spacing w:before="0"/>
              <w:rPr>
                <w:rFonts w:cstheme="minorHAnsi"/>
                <w:szCs w:val="24"/>
                <w:lang w:val="en-US"/>
              </w:rPr>
            </w:pPr>
            <w:r>
              <w:rPr>
                <w:rFonts w:cstheme="minorHAnsi"/>
                <w:b/>
                <w:szCs w:val="24"/>
                <w:lang w:val="en-US"/>
              </w:rPr>
              <w:t>Document 67</w:t>
            </w:r>
            <w:r w:rsidR="005F63BD" w:rsidRPr="00F44B1A">
              <w:rPr>
                <w:rFonts w:cstheme="minorHAnsi"/>
                <w:b/>
                <w:szCs w:val="24"/>
              </w:rPr>
              <w:t>-F</w:t>
            </w:r>
          </w:p>
        </w:tc>
      </w:tr>
      <w:tr w:rsidR="00BD1614" w:rsidRPr="002A6F8F" w:rsidTr="00BB7CB3">
        <w:trPr>
          <w:cantSplit/>
        </w:trPr>
        <w:tc>
          <w:tcPr>
            <w:tcW w:w="6911" w:type="dxa"/>
            <w:shd w:val="clear" w:color="auto" w:fill="auto"/>
          </w:tcPr>
          <w:p w:rsidR="00BD1614" w:rsidRPr="00D0464B" w:rsidRDefault="00BD1614" w:rsidP="00B675AB">
            <w:pPr>
              <w:spacing w:before="0"/>
              <w:rPr>
                <w:rFonts w:cstheme="minorHAnsi"/>
                <w:b/>
                <w:szCs w:val="24"/>
                <w:lang w:val="en-US"/>
              </w:rPr>
            </w:pPr>
          </w:p>
        </w:tc>
        <w:tc>
          <w:tcPr>
            <w:tcW w:w="3120" w:type="dxa"/>
            <w:shd w:val="clear" w:color="auto" w:fill="auto"/>
          </w:tcPr>
          <w:p w:rsidR="00BD1614" w:rsidRPr="008C10D9" w:rsidRDefault="00BD1614" w:rsidP="00B675AB">
            <w:pPr>
              <w:spacing w:before="0"/>
              <w:rPr>
                <w:rFonts w:cstheme="minorHAnsi"/>
                <w:b/>
                <w:szCs w:val="24"/>
                <w:lang w:val="en-US"/>
              </w:rPr>
            </w:pPr>
            <w:r w:rsidRPr="008C10D9">
              <w:rPr>
                <w:rFonts w:cstheme="minorHAnsi"/>
                <w:b/>
                <w:szCs w:val="24"/>
                <w:lang w:val="en-US"/>
              </w:rPr>
              <w:t xml:space="preserve">2 </w:t>
            </w:r>
            <w:r w:rsidRPr="00561CC7">
              <w:rPr>
                <w:rFonts w:cstheme="minorHAnsi"/>
                <w:b/>
                <w:szCs w:val="24"/>
                <w:lang w:val="fr-CH"/>
              </w:rPr>
              <w:t>octobre</w:t>
            </w:r>
            <w:r w:rsidRPr="008C10D9">
              <w:rPr>
                <w:rFonts w:cstheme="minorHAnsi"/>
                <w:b/>
                <w:szCs w:val="24"/>
                <w:lang w:val="en-US"/>
              </w:rPr>
              <w:t xml:space="preserve"> 2014</w:t>
            </w:r>
          </w:p>
        </w:tc>
      </w:tr>
      <w:tr w:rsidR="00BD1614" w:rsidRPr="002A6F8F" w:rsidTr="00BB7CB3">
        <w:trPr>
          <w:cantSplit/>
        </w:trPr>
        <w:tc>
          <w:tcPr>
            <w:tcW w:w="6911" w:type="dxa"/>
          </w:tcPr>
          <w:p w:rsidR="00BD1614" w:rsidRPr="008C10D9" w:rsidRDefault="00BD1614" w:rsidP="00B675AB">
            <w:pPr>
              <w:spacing w:before="0"/>
              <w:rPr>
                <w:rFonts w:cstheme="minorHAnsi"/>
                <w:b/>
                <w:smallCaps/>
                <w:szCs w:val="24"/>
                <w:lang w:val="en-US"/>
              </w:rPr>
            </w:pPr>
          </w:p>
        </w:tc>
        <w:tc>
          <w:tcPr>
            <w:tcW w:w="3120" w:type="dxa"/>
          </w:tcPr>
          <w:p w:rsidR="00BD1614" w:rsidRPr="008C10D9" w:rsidRDefault="00BD1614" w:rsidP="00B675AB">
            <w:pPr>
              <w:spacing w:before="0"/>
              <w:rPr>
                <w:rFonts w:cstheme="minorHAnsi"/>
                <w:b/>
                <w:szCs w:val="24"/>
                <w:lang w:val="en-US"/>
              </w:rPr>
            </w:pPr>
            <w:r w:rsidRPr="008C10D9">
              <w:rPr>
                <w:rFonts w:cstheme="minorHAnsi"/>
                <w:b/>
                <w:szCs w:val="24"/>
                <w:lang w:val="en-US"/>
              </w:rPr>
              <w:t xml:space="preserve">Original: </w:t>
            </w:r>
            <w:r w:rsidRPr="00561CC7">
              <w:rPr>
                <w:rFonts w:cstheme="minorHAnsi"/>
                <w:b/>
                <w:szCs w:val="24"/>
                <w:lang w:val="fr-CH"/>
              </w:rPr>
              <w:t>anglais</w:t>
            </w:r>
          </w:p>
        </w:tc>
      </w:tr>
      <w:tr w:rsidR="00BD1614" w:rsidRPr="002A6F8F" w:rsidTr="00BB7CB3">
        <w:trPr>
          <w:cantSplit/>
        </w:trPr>
        <w:tc>
          <w:tcPr>
            <w:tcW w:w="10031" w:type="dxa"/>
            <w:gridSpan w:val="2"/>
          </w:tcPr>
          <w:p w:rsidR="00BD1614" w:rsidRPr="008C10D9" w:rsidRDefault="00BD1614" w:rsidP="00B675AB">
            <w:pPr>
              <w:spacing w:before="0"/>
              <w:rPr>
                <w:rFonts w:cstheme="minorHAnsi"/>
                <w:b/>
                <w:szCs w:val="24"/>
                <w:lang w:val="en-US"/>
              </w:rPr>
            </w:pPr>
          </w:p>
        </w:tc>
      </w:tr>
      <w:tr w:rsidR="00BD1614" w:rsidRPr="002A6F8F" w:rsidTr="00BB7CB3">
        <w:trPr>
          <w:cantSplit/>
        </w:trPr>
        <w:tc>
          <w:tcPr>
            <w:tcW w:w="10031" w:type="dxa"/>
            <w:gridSpan w:val="2"/>
          </w:tcPr>
          <w:p w:rsidR="00BD1614" w:rsidRPr="00561CC7" w:rsidRDefault="00BD1614" w:rsidP="00B675AB">
            <w:pPr>
              <w:pStyle w:val="Source"/>
              <w:rPr>
                <w:lang w:val="fr-CH"/>
              </w:rPr>
            </w:pPr>
            <w:bookmarkStart w:id="4" w:name="dsource" w:colFirst="0" w:colLast="0"/>
            <w:bookmarkEnd w:id="3"/>
            <w:r w:rsidRPr="00561CC7">
              <w:rPr>
                <w:lang w:val="fr-CH"/>
              </w:rPr>
              <w:t>Administrations des pays membres de la Télécommunauté Asie-Pacifique</w:t>
            </w:r>
          </w:p>
        </w:tc>
      </w:tr>
      <w:tr w:rsidR="00BD1614" w:rsidRPr="00561CC7" w:rsidTr="00BB7CB3">
        <w:trPr>
          <w:cantSplit/>
        </w:trPr>
        <w:tc>
          <w:tcPr>
            <w:tcW w:w="10031" w:type="dxa"/>
            <w:gridSpan w:val="2"/>
          </w:tcPr>
          <w:p w:rsidR="00BD1614" w:rsidRPr="00E4148A" w:rsidRDefault="00F36F24" w:rsidP="00B675AB">
            <w:pPr>
              <w:pStyle w:val="Title1"/>
              <w:rPr>
                <w:lang w:val="fr-CH"/>
              </w:rPr>
            </w:pPr>
            <w:bookmarkStart w:id="5" w:name="dtitle1" w:colFirst="0" w:colLast="0"/>
            <w:bookmarkEnd w:id="4"/>
            <w:r w:rsidRPr="00F36F24">
              <w:rPr>
                <w:lang w:val="fr-CH"/>
              </w:rPr>
              <w:t>PROPOSITIONS COMMUNES DE L</w:t>
            </w:r>
            <w:r>
              <w:rPr>
                <w:lang w:val="fr-CH"/>
              </w:rPr>
              <w:t>A Télécommunauté Asie-Pacifique</w:t>
            </w:r>
            <w:r>
              <w:rPr>
                <w:lang w:val="fr-CH"/>
              </w:rPr>
              <w:br/>
            </w:r>
            <w:r w:rsidR="001A78AC">
              <w:rPr>
                <w:lang w:val="fr-CH"/>
              </w:rPr>
              <w:t>POUR LES TRAVAUX DE LA Confé</w:t>
            </w:r>
            <w:r w:rsidRPr="00F36F24">
              <w:rPr>
                <w:lang w:val="fr-CH"/>
              </w:rPr>
              <w:t>rence</w:t>
            </w:r>
          </w:p>
        </w:tc>
      </w:tr>
      <w:tr w:rsidR="00BD1614" w:rsidRPr="00561CC7" w:rsidTr="00BB7CB3">
        <w:trPr>
          <w:cantSplit/>
        </w:trPr>
        <w:tc>
          <w:tcPr>
            <w:tcW w:w="10031" w:type="dxa"/>
            <w:gridSpan w:val="2"/>
          </w:tcPr>
          <w:p w:rsidR="00BD1614" w:rsidRPr="00E4148A" w:rsidRDefault="00BD1614" w:rsidP="00B675AB">
            <w:pPr>
              <w:pStyle w:val="Title2"/>
              <w:rPr>
                <w:lang w:val="fr-CH"/>
              </w:rPr>
            </w:pPr>
            <w:bookmarkStart w:id="6" w:name="dtitle2" w:colFirst="0" w:colLast="0"/>
            <w:bookmarkEnd w:id="5"/>
          </w:p>
        </w:tc>
      </w:tr>
      <w:tr w:rsidR="00BD1614" w:rsidRPr="00561CC7" w:rsidTr="00BB7CB3">
        <w:trPr>
          <w:cantSplit/>
        </w:trPr>
        <w:tc>
          <w:tcPr>
            <w:tcW w:w="10031" w:type="dxa"/>
            <w:gridSpan w:val="2"/>
          </w:tcPr>
          <w:p w:rsidR="00BD1614" w:rsidRPr="00E4148A" w:rsidRDefault="00BD1614" w:rsidP="00B675AB">
            <w:pPr>
              <w:pStyle w:val="Agendaitem"/>
            </w:pPr>
            <w:bookmarkStart w:id="7" w:name="dtitle3" w:colFirst="0" w:colLast="0"/>
            <w:bookmarkEnd w:id="6"/>
          </w:p>
        </w:tc>
      </w:tr>
    </w:tbl>
    <w:bookmarkEnd w:id="7"/>
    <w:p w:rsidR="00DE40CA" w:rsidRPr="009B0A31" w:rsidRDefault="00DE40CA" w:rsidP="00FE1775">
      <w:pPr>
        <w:rPr>
          <w:lang w:val="fr-CH"/>
        </w:rPr>
      </w:pPr>
      <w:r w:rsidRPr="006D0CA2">
        <w:t>Les propositions communes de la Télécommunauté Asie</w:t>
      </w:r>
      <w:r w:rsidRPr="006D0CA2">
        <w:noBreakHyphen/>
        <w:t xml:space="preserve">Pacifique </w:t>
      </w:r>
      <w:r>
        <w:t xml:space="preserve">(ACP) </w:t>
      </w:r>
      <w:r w:rsidR="00601315">
        <w:t xml:space="preserve">en vue de la PP-14 </w:t>
      </w:r>
      <w:r>
        <w:t>ont été élaborées lors de</w:t>
      </w:r>
      <w:r w:rsidR="00FE1775">
        <w:t xml:space="preserve"> </w:t>
      </w:r>
      <w:r w:rsidRPr="006D0CA2">
        <w:t>quatre réunions préparatoires, et défi</w:t>
      </w:r>
      <w:r w:rsidR="00936E31">
        <w:t>nitivement mises au point aux 3</w:t>
      </w:r>
      <w:r w:rsidR="00C06680">
        <w:t>ème</w:t>
      </w:r>
      <w:r w:rsidR="00936E31">
        <w:t xml:space="preserve"> et 4</w:t>
      </w:r>
      <w:r w:rsidR="00C06680">
        <w:t>ème</w:t>
      </w:r>
      <w:r w:rsidRPr="006D0CA2">
        <w:t xml:space="preserve"> Réunion</w:t>
      </w:r>
      <w:r w:rsidR="00936E31">
        <w:t>s</w:t>
      </w:r>
      <w:r w:rsidRPr="006D0CA2">
        <w:t xml:space="preserve"> préparatoire</w:t>
      </w:r>
      <w:r w:rsidR="00936E31">
        <w:t>s</w:t>
      </w:r>
      <w:r w:rsidRPr="006D0CA2">
        <w:t xml:space="preserve"> de l'APT en vue de la </w:t>
      </w:r>
      <w:r w:rsidR="00936E31">
        <w:t xml:space="preserve">PP-14, </w:t>
      </w:r>
      <w:r w:rsidRPr="006D0CA2">
        <w:t>qui s</w:t>
      </w:r>
      <w:r w:rsidR="00936E31">
        <w:t>e sont</w:t>
      </w:r>
      <w:r w:rsidRPr="006D0CA2">
        <w:t xml:space="preserve"> tenue</w:t>
      </w:r>
      <w:r w:rsidR="00936E31">
        <w:t>s</w:t>
      </w:r>
      <w:r w:rsidR="009B0A31">
        <w:t>, respectivement,</w:t>
      </w:r>
      <w:r w:rsidRPr="006D0CA2">
        <w:t xml:space="preserve"> </w:t>
      </w:r>
      <w:r w:rsidR="009B0A31">
        <w:t xml:space="preserve">à </w:t>
      </w:r>
      <w:r w:rsidR="009B0A31" w:rsidRPr="009B0A31">
        <w:t>Kuala Lumpur (Malaisie)</w:t>
      </w:r>
      <w:r w:rsidR="009B0A31">
        <w:t xml:space="preserve"> du 2 au 5 juin </w:t>
      </w:r>
      <w:r w:rsidR="009B0A31" w:rsidRPr="009B0A31">
        <w:rPr>
          <w:lang w:val="fr-CH"/>
        </w:rPr>
        <w:t xml:space="preserve">2014 </w:t>
      </w:r>
      <w:r w:rsidR="009B0A31">
        <w:rPr>
          <w:lang w:val="fr-CH"/>
        </w:rPr>
        <w:t xml:space="preserve">et à </w:t>
      </w:r>
      <w:r w:rsidR="009B0A31" w:rsidRPr="009B0A31">
        <w:rPr>
          <w:lang w:val="fr-CH"/>
        </w:rPr>
        <w:t>Bangkok (Thaïlande)</w:t>
      </w:r>
      <w:r w:rsidR="009B0A31">
        <w:rPr>
          <w:lang w:val="fr-CH"/>
        </w:rPr>
        <w:t xml:space="preserve"> du 18 au</w:t>
      </w:r>
      <w:r w:rsidR="009B0A31" w:rsidRPr="009B0A31">
        <w:rPr>
          <w:lang w:val="fr-CH"/>
        </w:rPr>
        <w:t xml:space="preserve"> 22 </w:t>
      </w:r>
      <w:r w:rsidR="009B0A31">
        <w:rPr>
          <w:lang w:val="fr-CH"/>
        </w:rPr>
        <w:t xml:space="preserve">août 2014. </w:t>
      </w:r>
      <w:r w:rsidRPr="006D0CA2">
        <w:t>Ces propositions communes ont été soumises aux administrations des 38 pays membres de l'APT pour approbation.</w:t>
      </w:r>
    </w:p>
    <w:p w:rsidR="00DE40CA" w:rsidRPr="008D61D4" w:rsidRDefault="00DE40CA" w:rsidP="00C30314">
      <w:pPr>
        <w:rPr>
          <w:rFonts w:cs="Arial"/>
          <w:lang w:val="fr-CH"/>
        </w:rPr>
      </w:pPr>
      <w:r w:rsidRPr="006D0CA2">
        <w:t xml:space="preserve">Les propositions communes de l'APT sont soumises dans </w:t>
      </w:r>
      <w:r w:rsidR="00856204">
        <w:t xml:space="preserve">trois </w:t>
      </w:r>
      <w:r w:rsidRPr="006D0CA2">
        <w:t>Addenda séparés au présent Document.</w:t>
      </w:r>
      <w:r w:rsidR="00856204">
        <w:rPr>
          <w:rFonts w:cs="Arial"/>
        </w:rPr>
        <w:t xml:space="preserve"> </w:t>
      </w:r>
      <w:r w:rsidR="00856204" w:rsidRPr="008D61D4">
        <w:rPr>
          <w:rFonts w:cs="Arial"/>
          <w:lang w:val="fr-CH"/>
        </w:rPr>
        <w:t>L</w:t>
      </w:r>
      <w:r w:rsidR="00C30314">
        <w:rPr>
          <w:rFonts w:cs="Arial"/>
          <w:lang w:val="fr-CH"/>
        </w:rPr>
        <w:t>'</w:t>
      </w:r>
      <w:r w:rsidR="00856204" w:rsidRPr="008D61D4">
        <w:rPr>
          <w:rFonts w:cs="Arial"/>
          <w:lang w:val="fr-CH"/>
        </w:rPr>
        <w:t xml:space="preserve">Addendum 1 contient 21 </w:t>
      </w:r>
      <w:r w:rsidR="008D61D4" w:rsidRPr="008D61D4">
        <w:rPr>
          <w:lang w:val="fr-CH"/>
        </w:rPr>
        <w:t>propositions communes</w:t>
      </w:r>
      <w:r w:rsidR="00856204" w:rsidRPr="008D61D4">
        <w:rPr>
          <w:rFonts w:cs="Arial"/>
          <w:lang w:val="fr-CH"/>
        </w:rPr>
        <w:t xml:space="preserve">, </w:t>
      </w:r>
      <w:r w:rsidR="008D61D4" w:rsidRPr="008D61D4">
        <w:rPr>
          <w:rFonts w:cs="Arial"/>
          <w:lang w:val="fr-CH"/>
        </w:rPr>
        <w:t>l</w:t>
      </w:r>
      <w:r w:rsidR="00590B91">
        <w:rPr>
          <w:rFonts w:cs="Arial"/>
          <w:lang w:val="fr-CH"/>
        </w:rPr>
        <w:t>'</w:t>
      </w:r>
      <w:r w:rsidR="00856204" w:rsidRPr="008D61D4">
        <w:rPr>
          <w:rFonts w:cs="Arial"/>
          <w:lang w:val="fr-CH"/>
        </w:rPr>
        <w:t xml:space="preserve">Addendum 2 </w:t>
      </w:r>
      <w:r w:rsidR="008D61D4" w:rsidRPr="008D61D4">
        <w:rPr>
          <w:rFonts w:cs="Arial"/>
          <w:lang w:val="fr-CH"/>
        </w:rPr>
        <w:t>en contient</w:t>
      </w:r>
      <w:r w:rsidR="008D61D4">
        <w:rPr>
          <w:rFonts w:cs="Arial"/>
          <w:lang w:val="fr-CH"/>
        </w:rPr>
        <w:t xml:space="preserve"> huit</w:t>
      </w:r>
      <w:r w:rsidR="00856204" w:rsidRPr="008D61D4">
        <w:rPr>
          <w:rFonts w:cs="Arial"/>
          <w:lang w:val="fr-CH"/>
        </w:rPr>
        <w:t xml:space="preserve"> </w:t>
      </w:r>
      <w:r w:rsidR="008D61D4" w:rsidRPr="008D61D4">
        <w:rPr>
          <w:rFonts w:cs="Arial"/>
          <w:lang w:val="fr-CH"/>
        </w:rPr>
        <w:t>et</w:t>
      </w:r>
      <w:r w:rsidR="00856204" w:rsidRPr="008D61D4">
        <w:rPr>
          <w:rFonts w:cs="Arial"/>
          <w:lang w:val="fr-CH"/>
        </w:rPr>
        <w:t xml:space="preserve"> </w:t>
      </w:r>
      <w:r w:rsidR="008D61D4" w:rsidRPr="008D61D4">
        <w:rPr>
          <w:rFonts w:cs="Arial"/>
          <w:lang w:val="fr-CH"/>
        </w:rPr>
        <w:t>l</w:t>
      </w:r>
      <w:r w:rsidR="00590B91">
        <w:rPr>
          <w:rFonts w:cs="Arial"/>
          <w:lang w:val="fr-CH"/>
        </w:rPr>
        <w:t>'</w:t>
      </w:r>
      <w:r w:rsidR="00856204" w:rsidRPr="008D61D4">
        <w:rPr>
          <w:rFonts w:cs="Arial"/>
          <w:lang w:val="fr-CH"/>
        </w:rPr>
        <w:t xml:space="preserve">Addendum 3 </w:t>
      </w:r>
      <w:r w:rsidR="008D61D4">
        <w:rPr>
          <w:rFonts w:cs="Arial"/>
          <w:lang w:val="fr-CH"/>
        </w:rPr>
        <w:t>en contient deux</w:t>
      </w:r>
      <w:r w:rsidR="00856204" w:rsidRPr="008D61D4">
        <w:rPr>
          <w:rFonts w:cs="Arial"/>
          <w:lang w:val="fr-CH"/>
        </w:rPr>
        <w:t>.</w:t>
      </w:r>
    </w:p>
    <w:p w:rsidR="00DE40CA" w:rsidRPr="006D0CA2" w:rsidRDefault="00DE40CA" w:rsidP="00C30314">
      <w:r w:rsidRPr="006D0CA2">
        <w:t>Le Tableau joint en Annexe 1 présente un résumé de la liste des propositions communes de l</w:t>
      </w:r>
      <w:r w:rsidR="00C30314">
        <w:t>'</w:t>
      </w:r>
      <w:r w:rsidRPr="006D0CA2">
        <w:t>APT.</w:t>
      </w:r>
    </w:p>
    <w:p w:rsidR="00DE40CA" w:rsidRPr="006D0CA2" w:rsidRDefault="00DE40CA" w:rsidP="005C7C4D">
      <w:r w:rsidRPr="006D0CA2">
        <w:t>Le Tableau joint en Annexe 2 indique quels pays membres de l'APT ont appuyé chacune de ces propositions communes.</w:t>
      </w:r>
    </w:p>
    <w:p w:rsidR="00FD54DD" w:rsidRPr="00DE40CA" w:rsidRDefault="00DE40CA" w:rsidP="00C30314">
      <w:pPr>
        <w:rPr>
          <w:lang w:val="fr-CH"/>
        </w:rPr>
      </w:pPr>
      <w:r w:rsidRPr="006D0CA2">
        <w:t>Les propositions communes de l</w:t>
      </w:r>
      <w:r w:rsidR="00C30314">
        <w:t>'</w:t>
      </w:r>
      <w:r w:rsidRPr="006D0CA2">
        <w:t>APT pour les travaux de la Conférence sont soumises par la Télécommunauté Asie-Pacifique au nom des administrations de ses pays membres</w:t>
      </w:r>
      <w:r w:rsidR="00D2250F">
        <w:t>.</w:t>
      </w:r>
    </w:p>
    <w:p w:rsidR="00FD54DD" w:rsidRPr="00DE40CA" w:rsidRDefault="00FD54DD" w:rsidP="00B675AB">
      <w:pPr>
        <w:tabs>
          <w:tab w:val="clear" w:pos="567"/>
          <w:tab w:val="clear" w:pos="1134"/>
          <w:tab w:val="clear" w:pos="1701"/>
          <w:tab w:val="clear" w:pos="2268"/>
          <w:tab w:val="clear" w:pos="2835"/>
        </w:tabs>
        <w:overflowPunct/>
        <w:autoSpaceDE/>
        <w:autoSpaceDN/>
        <w:adjustRightInd/>
        <w:spacing w:before="0"/>
        <w:textAlignment w:val="auto"/>
        <w:rPr>
          <w:lang w:val="fr-CH"/>
        </w:rPr>
        <w:sectPr w:rsidR="00FD54DD" w:rsidRPr="00DE40CA" w:rsidSect="003A0B7D">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pPr>
    </w:p>
    <w:p w:rsidR="00FD54DD" w:rsidRPr="00AB0D48" w:rsidRDefault="00FD54DD" w:rsidP="00B675AB">
      <w:pPr>
        <w:pStyle w:val="AnnexNo"/>
        <w:rPr>
          <w:lang w:val="fr-CH"/>
        </w:rPr>
      </w:pPr>
      <w:bookmarkStart w:id="8" w:name="_GoBack"/>
      <w:bookmarkEnd w:id="8"/>
      <w:r w:rsidRPr="00AB0D48">
        <w:rPr>
          <w:lang w:val="fr-CH"/>
        </w:rPr>
        <w:lastRenderedPageBreak/>
        <w:t>Annex</w:t>
      </w:r>
      <w:r w:rsidR="008B765E" w:rsidRPr="00AB0D48">
        <w:rPr>
          <w:lang w:val="fr-CH"/>
        </w:rPr>
        <w:t>E</w:t>
      </w:r>
      <w:r w:rsidRPr="00AB0D48">
        <w:rPr>
          <w:lang w:val="fr-CH"/>
        </w:rPr>
        <w:t xml:space="preserve"> 1</w:t>
      </w:r>
    </w:p>
    <w:p w:rsidR="00FD54DD" w:rsidRPr="001C2B6A" w:rsidRDefault="001C2B6A" w:rsidP="00B675AB">
      <w:pPr>
        <w:pStyle w:val="Annextitle"/>
        <w:rPr>
          <w:lang w:val="fr-CH"/>
        </w:rPr>
      </w:pPr>
      <w:r w:rsidRPr="001C2B6A">
        <w:rPr>
          <w:lang w:val="fr-CH"/>
        </w:rPr>
        <w:t xml:space="preserve">Liste des propositions communes de l'APT (ACP) </w:t>
      </w:r>
      <w:r>
        <w:rPr>
          <w:lang w:val="fr-CH"/>
        </w:rPr>
        <w:t>en vue de la</w:t>
      </w:r>
      <w:r w:rsidR="00FD54DD" w:rsidRPr="001C2B6A">
        <w:rPr>
          <w:lang w:val="fr-CH"/>
        </w:rPr>
        <w:t xml:space="preserve"> </w:t>
      </w:r>
      <w:r w:rsidR="00FD54DD" w:rsidRPr="001C2B6A">
        <w:rPr>
          <w:lang w:val="fr-CH" w:eastAsia="ko-KR"/>
        </w:rPr>
        <w:t>PP-14</w:t>
      </w:r>
    </w:p>
    <w:tbl>
      <w:tblPr>
        <w:tblW w:w="1417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129"/>
        <w:gridCol w:w="2906"/>
        <w:gridCol w:w="8140"/>
      </w:tblGrid>
      <w:tr w:rsidR="00FD54DD" w:rsidRPr="001C7BA2" w:rsidTr="00BB7CB3">
        <w:trPr>
          <w:cantSplit/>
          <w:trHeight w:val="468"/>
          <w:tblHeader/>
        </w:trPr>
        <w:tc>
          <w:tcPr>
            <w:tcW w:w="3129" w:type="dxa"/>
            <w:tcBorders>
              <w:top w:val="double" w:sz="6" w:space="0" w:color="000000"/>
              <w:bottom w:val="single" w:sz="6" w:space="0" w:color="000000"/>
            </w:tcBorders>
            <w:shd w:val="pct15" w:color="auto" w:fill="auto"/>
          </w:tcPr>
          <w:p w:rsidR="00FD54DD" w:rsidRPr="001C7BA2" w:rsidRDefault="00FD54DD" w:rsidP="00B675AB">
            <w:pPr>
              <w:spacing w:before="0"/>
              <w:jc w:val="center"/>
              <w:rPr>
                <w:rFonts w:cs="Calibri"/>
                <w:b/>
                <w:sz w:val="20"/>
              </w:rPr>
            </w:pPr>
            <w:r w:rsidRPr="001C7BA2">
              <w:rPr>
                <w:rFonts w:cs="Calibri"/>
                <w:b/>
                <w:sz w:val="20"/>
              </w:rPr>
              <w:t>Document</w:t>
            </w:r>
          </w:p>
        </w:tc>
        <w:tc>
          <w:tcPr>
            <w:tcW w:w="2906" w:type="dxa"/>
            <w:tcBorders>
              <w:top w:val="double" w:sz="6" w:space="0" w:color="000000"/>
              <w:bottom w:val="single" w:sz="6" w:space="0" w:color="000000"/>
            </w:tcBorders>
            <w:shd w:val="pct15" w:color="auto" w:fill="auto"/>
          </w:tcPr>
          <w:p w:rsidR="00FD54DD" w:rsidRPr="001C7BA2" w:rsidRDefault="00FD54DD" w:rsidP="00B675AB">
            <w:pPr>
              <w:spacing w:before="0"/>
              <w:jc w:val="center"/>
              <w:rPr>
                <w:rFonts w:cs="Calibri"/>
                <w:b/>
                <w:sz w:val="20"/>
              </w:rPr>
            </w:pPr>
            <w:r w:rsidRPr="001C7BA2">
              <w:rPr>
                <w:rFonts w:cs="Calibri"/>
                <w:b/>
                <w:sz w:val="20"/>
              </w:rPr>
              <w:t>ACP</w:t>
            </w:r>
          </w:p>
        </w:tc>
        <w:tc>
          <w:tcPr>
            <w:tcW w:w="8140" w:type="dxa"/>
            <w:tcBorders>
              <w:top w:val="double" w:sz="6" w:space="0" w:color="000000"/>
              <w:bottom w:val="single" w:sz="6" w:space="0" w:color="000000"/>
            </w:tcBorders>
            <w:shd w:val="pct15" w:color="auto" w:fill="auto"/>
          </w:tcPr>
          <w:p w:rsidR="00FD54DD" w:rsidRPr="001C7BA2" w:rsidRDefault="002B64AD" w:rsidP="00B675AB">
            <w:pPr>
              <w:spacing w:before="0"/>
              <w:jc w:val="center"/>
              <w:rPr>
                <w:rFonts w:cs="Calibri"/>
                <w:b/>
                <w:sz w:val="20"/>
              </w:rPr>
            </w:pPr>
            <w:r>
              <w:rPr>
                <w:rFonts w:cs="Calibri"/>
                <w:b/>
                <w:sz w:val="20"/>
              </w:rPr>
              <w:t xml:space="preserve">Titre de </w:t>
            </w:r>
            <w:r w:rsidR="0030529F">
              <w:rPr>
                <w:rFonts w:cs="Calibri"/>
                <w:b/>
                <w:sz w:val="20"/>
              </w:rPr>
              <w:t>l'</w:t>
            </w:r>
            <w:r w:rsidR="00FD54DD" w:rsidRPr="001C7BA2">
              <w:rPr>
                <w:rFonts w:cs="Calibri"/>
                <w:b/>
                <w:sz w:val="20"/>
              </w:rPr>
              <w:t>ACP</w:t>
            </w:r>
          </w:p>
        </w:tc>
      </w:tr>
      <w:tr w:rsidR="00FD54DD" w:rsidRPr="002B64AD" w:rsidTr="00BB7CB3">
        <w:trPr>
          <w:cantSplit/>
        </w:trPr>
        <w:tc>
          <w:tcPr>
            <w:tcW w:w="3129" w:type="dxa"/>
            <w:tcBorders>
              <w:top w:val="single" w:sz="6" w:space="0" w:color="000000"/>
            </w:tcBorders>
          </w:tcPr>
          <w:p w:rsidR="00FD54DD" w:rsidRPr="001C7BA2" w:rsidRDefault="00FD54DD" w:rsidP="00B675AB">
            <w:pPr>
              <w:spacing w:before="0"/>
              <w:rPr>
                <w:rFonts w:cs="Calibri"/>
                <w:b/>
                <w:bCs/>
                <w:sz w:val="20"/>
              </w:rPr>
            </w:pPr>
            <w:r>
              <w:rPr>
                <w:rFonts w:cs="Calibri"/>
                <w:b/>
                <w:bCs/>
                <w:sz w:val="20"/>
              </w:rPr>
              <w:t xml:space="preserve">Add.1 </w:t>
            </w:r>
            <w:r w:rsidR="0030529F">
              <w:rPr>
                <w:rFonts w:cs="Calibri"/>
                <w:b/>
                <w:bCs/>
                <w:sz w:val="20"/>
              </w:rPr>
              <w:t>au</w:t>
            </w:r>
            <w:r>
              <w:rPr>
                <w:rFonts w:cs="Calibri"/>
                <w:b/>
                <w:bCs/>
                <w:sz w:val="20"/>
              </w:rPr>
              <w:t xml:space="preserve"> Document 67</w:t>
            </w:r>
          </w:p>
        </w:tc>
        <w:tc>
          <w:tcPr>
            <w:tcW w:w="2906" w:type="dxa"/>
            <w:tcBorders>
              <w:top w:val="single" w:sz="6" w:space="0" w:color="000000"/>
            </w:tcBorders>
          </w:tcPr>
          <w:p w:rsidR="00FD54DD" w:rsidRPr="001C7BA2" w:rsidRDefault="00FD54DD" w:rsidP="00B675AB">
            <w:pPr>
              <w:spacing w:before="0"/>
              <w:rPr>
                <w:rFonts w:cs="Calibri"/>
                <w:sz w:val="20"/>
                <w:lang w:eastAsia="ko-KR"/>
              </w:rPr>
            </w:pPr>
            <w:r w:rsidRPr="001C7BA2">
              <w:rPr>
                <w:rFonts w:cs="Calibri"/>
                <w:b/>
                <w:bCs/>
                <w:sz w:val="20"/>
              </w:rPr>
              <w:t>ACP/</w:t>
            </w:r>
            <w:r>
              <w:rPr>
                <w:rFonts w:cs="Calibri"/>
                <w:b/>
                <w:bCs/>
                <w:sz w:val="20"/>
              </w:rPr>
              <w:t>67A1</w:t>
            </w:r>
            <w:r w:rsidRPr="001C7BA2">
              <w:rPr>
                <w:rFonts w:cs="Calibri"/>
                <w:b/>
                <w:bCs/>
                <w:sz w:val="20"/>
              </w:rPr>
              <w:t>/1</w:t>
            </w:r>
          </w:p>
        </w:tc>
        <w:tc>
          <w:tcPr>
            <w:tcW w:w="8140" w:type="dxa"/>
            <w:tcBorders>
              <w:top w:val="single" w:sz="6" w:space="0" w:color="000000"/>
            </w:tcBorders>
            <w:shd w:val="clear" w:color="auto" w:fill="auto"/>
          </w:tcPr>
          <w:p w:rsidR="00FD54DD" w:rsidRPr="002B64AD" w:rsidRDefault="002B64AD" w:rsidP="00C30314">
            <w:pPr>
              <w:spacing w:before="0"/>
              <w:rPr>
                <w:rFonts w:cs="Calibri"/>
                <w:bCs/>
                <w:sz w:val="20"/>
                <w:lang w:val="fr-CH" w:eastAsia="ko-KR"/>
              </w:rPr>
            </w:pPr>
            <w:r w:rsidRPr="002B64AD">
              <w:rPr>
                <w:bCs/>
                <w:sz w:val="20"/>
              </w:rPr>
              <w:t>Pas de modification de la structure générale de l'instrument fondamental de l</w:t>
            </w:r>
            <w:r w:rsidR="00C30314">
              <w:rPr>
                <w:bCs/>
                <w:sz w:val="20"/>
              </w:rPr>
              <w:t>'</w:t>
            </w:r>
            <w:r w:rsidRPr="002B64AD">
              <w:rPr>
                <w:bCs/>
                <w:sz w:val="20"/>
              </w:rPr>
              <w:t>Union</w:t>
            </w:r>
          </w:p>
        </w:tc>
      </w:tr>
      <w:tr w:rsidR="00FD54DD" w:rsidRPr="002B64AD" w:rsidTr="00BB7CB3">
        <w:trPr>
          <w:cantSplit/>
        </w:trPr>
        <w:tc>
          <w:tcPr>
            <w:tcW w:w="3129" w:type="dxa"/>
          </w:tcPr>
          <w:p w:rsidR="00FD54DD" w:rsidRPr="001C7BA2" w:rsidRDefault="00FD54DD" w:rsidP="00B675AB">
            <w:pPr>
              <w:spacing w:before="0"/>
              <w:rPr>
                <w:rFonts w:cs="Calibri"/>
                <w:b/>
                <w:bCs/>
                <w:sz w:val="20"/>
              </w:rPr>
            </w:pPr>
            <w:r>
              <w:rPr>
                <w:rFonts w:cs="Calibri"/>
                <w:b/>
                <w:bCs/>
                <w:sz w:val="20"/>
              </w:rPr>
              <w:t xml:space="preserve">Add.1 </w:t>
            </w:r>
            <w:r w:rsidR="0030529F">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sz w:val="20"/>
              </w:rPr>
            </w:pPr>
            <w:r w:rsidRPr="001C7BA2">
              <w:rPr>
                <w:rFonts w:cs="Calibri"/>
                <w:b/>
                <w:bCs/>
                <w:sz w:val="20"/>
              </w:rPr>
              <w:t>ACP/</w:t>
            </w:r>
            <w:r>
              <w:rPr>
                <w:rFonts w:cs="Calibri"/>
                <w:b/>
                <w:bCs/>
                <w:sz w:val="20"/>
              </w:rPr>
              <w:t>67A1</w:t>
            </w:r>
            <w:r w:rsidRPr="001C7BA2">
              <w:rPr>
                <w:rFonts w:cs="Calibri"/>
                <w:b/>
                <w:bCs/>
                <w:sz w:val="20"/>
              </w:rPr>
              <w:t>/2</w:t>
            </w:r>
          </w:p>
        </w:tc>
        <w:tc>
          <w:tcPr>
            <w:tcW w:w="8140" w:type="dxa"/>
            <w:shd w:val="clear" w:color="auto" w:fill="auto"/>
          </w:tcPr>
          <w:p w:rsidR="00FD54DD" w:rsidRPr="002B64AD" w:rsidRDefault="002B64AD" w:rsidP="00B675AB">
            <w:pPr>
              <w:spacing w:before="0"/>
              <w:rPr>
                <w:rFonts w:cs="Calibri"/>
                <w:bCs/>
                <w:sz w:val="20"/>
                <w:lang w:val="fr-CH" w:eastAsia="ko-KR"/>
              </w:rPr>
            </w:pPr>
            <w:r w:rsidRPr="002B64AD">
              <w:rPr>
                <w:rFonts w:asciiTheme="minorHAnsi" w:hAnsiTheme="minorHAnsi"/>
                <w:bCs/>
                <w:color w:val="000000" w:themeColor="text1"/>
                <w:sz w:val="20"/>
              </w:rPr>
              <w:t>Pas de modification du statut de la constitution et de la Convention</w:t>
            </w:r>
          </w:p>
        </w:tc>
      </w:tr>
      <w:tr w:rsidR="00FD54DD" w:rsidRPr="002B64AD" w:rsidTr="00BB7CB3">
        <w:trPr>
          <w:cantSplit/>
        </w:trPr>
        <w:tc>
          <w:tcPr>
            <w:tcW w:w="3129" w:type="dxa"/>
          </w:tcPr>
          <w:p w:rsidR="00FD54DD" w:rsidRPr="001C7BA2" w:rsidRDefault="00FD54DD" w:rsidP="00B675AB">
            <w:pPr>
              <w:spacing w:before="0"/>
              <w:rPr>
                <w:rFonts w:cs="Calibri"/>
                <w:b/>
                <w:bCs/>
                <w:sz w:val="20"/>
              </w:rPr>
            </w:pPr>
            <w:r>
              <w:rPr>
                <w:rFonts w:cs="Calibri"/>
                <w:b/>
                <w:bCs/>
                <w:sz w:val="20"/>
              </w:rPr>
              <w:t xml:space="preserve">Add.1 </w:t>
            </w:r>
            <w:r w:rsidR="0030529F">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sz w:val="20"/>
              </w:rPr>
            </w:pPr>
            <w:r w:rsidRPr="001C7BA2">
              <w:rPr>
                <w:rFonts w:cs="Calibri"/>
                <w:b/>
                <w:bCs/>
                <w:sz w:val="20"/>
              </w:rPr>
              <w:t>ACP/</w:t>
            </w:r>
            <w:r>
              <w:rPr>
                <w:rFonts w:cs="Calibri"/>
                <w:b/>
                <w:bCs/>
                <w:sz w:val="20"/>
              </w:rPr>
              <w:t>67A1</w:t>
            </w:r>
            <w:r w:rsidRPr="001C7BA2">
              <w:rPr>
                <w:rFonts w:cs="Calibri"/>
                <w:b/>
                <w:bCs/>
                <w:sz w:val="20"/>
              </w:rPr>
              <w:t>/3</w:t>
            </w:r>
          </w:p>
        </w:tc>
        <w:tc>
          <w:tcPr>
            <w:tcW w:w="8140" w:type="dxa"/>
            <w:shd w:val="clear" w:color="auto" w:fill="auto"/>
          </w:tcPr>
          <w:p w:rsidR="00FD54DD" w:rsidRPr="002B64AD" w:rsidRDefault="00DA0FA9" w:rsidP="00FE1775">
            <w:pPr>
              <w:spacing w:before="0"/>
              <w:rPr>
                <w:rFonts w:cs="Calibri"/>
                <w:sz w:val="20"/>
                <w:u w:val="single"/>
                <w:lang w:val="fr-CH" w:eastAsia="ko-KR"/>
              </w:rPr>
            </w:pPr>
            <w:r w:rsidRPr="00DA0FA9">
              <w:rPr>
                <w:rFonts w:cs="Calibri"/>
                <w:sz w:val="20"/>
                <w:lang w:val="fr-CH" w:eastAsia="ko-KR"/>
              </w:rPr>
              <w:t>Pas de modification (</w:t>
            </w:r>
            <w:r w:rsidR="00FD54DD" w:rsidRPr="002B64AD">
              <w:rPr>
                <w:rFonts w:cs="Calibri"/>
                <w:sz w:val="20"/>
                <w:u w:val="single"/>
                <w:lang w:val="fr-CH" w:eastAsia="ko-KR"/>
              </w:rPr>
              <w:t>NOC</w:t>
            </w:r>
            <w:r>
              <w:rPr>
                <w:rFonts w:cs="Calibri"/>
                <w:sz w:val="20"/>
                <w:lang w:val="fr-CH" w:eastAsia="ko-KR"/>
              </w:rPr>
              <w:t>)</w:t>
            </w:r>
            <w:r w:rsidR="00FD54DD" w:rsidRPr="002B64AD">
              <w:rPr>
                <w:rFonts w:cs="Calibri"/>
                <w:sz w:val="20"/>
                <w:lang w:val="fr-CH" w:eastAsia="ko-KR"/>
              </w:rPr>
              <w:t xml:space="preserve"> </w:t>
            </w:r>
            <w:r>
              <w:rPr>
                <w:rFonts w:cs="Calibri"/>
                <w:sz w:val="20"/>
                <w:lang w:val="fr-CH" w:eastAsia="ko-KR"/>
              </w:rPr>
              <w:t>de</w:t>
            </w:r>
            <w:r w:rsidR="002B64AD">
              <w:rPr>
                <w:rFonts w:cs="Calibri"/>
                <w:sz w:val="20"/>
                <w:lang w:val="fr-CH" w:eastAsia="ko-KR"/>
              </w:rPr>
              <w:t xml:space="preserve"> l'</w:t>
            </w:r>
            <w:r w:rsidR="00FE1775">
              <w:rPr>
                <w:rFonts w:cs="Calibri"/>
                <w:sz w:val="20"/>
                <w:lang w:val="fr-CH" w:eastAsia="ko-KR"/>
              </w:rPr>
              <w:t>a</w:t>
            </w:r>
            <w:r w:rsidR="00FD54DD" w:rsidRPr="002B64AD">
              <w:rPr>
                <w:rFonts w:cs="Calibri"/>
                <w:sz w:val="20"/>
                <w:lang w:val="fr-CH" w:eastAsia="ko-KR"/>
              </w:rPr>
              <w:t xml:space="preserve">rticle 4 </w:t>
            </w:r>
            <w:r w:rsidR="002B64AD">
              <w:rPr>
                <w:rFonts w:cs="Calibri"/>
                <w:sz w:val="20"/>
                <w:lang w:val="fr-CH" w:eastAsia="ko-KR"/>
              </w:rPr>
              <w:t xml:space="preserve">de la </w:t>
            </w:r>
            <w:r w:rsidR="002B64AD" w:rsidRPr="002B64AD">
              <w:rPr>
                <w:rFonts w:cs="Calibri"/>
                <w:sz w:val="20"/>
                <w:lang w:val="fr-CH" w:eastAsia="ko-KR"/>
              </w:rPr>
              <w:t>Constitution de l'Union internationale</w:t>
            </w:r>
            <w:r w:rsidR="002B64AD">
              <w:rPr>
                <w:rFonts w:cs="Calibri"/>
                <w:sz w:val="20"/>
                <w:lang w:val="fr-CH" w:eastAsia="ko-KR"/>
              </w:rPr>
              <w:t xml:space="preserve"> </w:t>
            </w:r>
            <w:r w:rsidR="002B64AD" w:rsidRPr="002B64AD">
              <w:rPr>
                <w:rFonts w:cs="Calibri"/>
                <w:sz w:val="20"/>
                <w:lang w:val="fr-CH" w:eastAsia="ko-KR"/>
              </w:rPr>
              <w:t xml:space="preserve">des télécommunications </w:t>
            </w:r>
            <w:r w:rsidR="00FD54DD" w:rsidRPr="002B64AD">
              <w:rPr>
                <w:rFonts w:cs="Calibri"/>
                <w:sz w:val="20"/>
                <w:lang w:val="fr-CH" w:eastAsia="ko-KR"/>
              </w:rPr>
              <w:t>–</w:t>
            </w:r>
            <w:bookmarkStart w:id="9" w:name="_Toc37575199"/>
            <w:r w:rsidR="002B64AD" w:rsidRPr="002B64AD">
              <w:rPr>
                <w:rFonts w:cs="Calibri"/>
                <w:sz w:val="20"/>
                <w:lang w:val="fr-CH" w:eastAsia="ko-KR"/>
              </w:rPr>
              <w:t xml:space="preserve"> Instruments de l'Union</w:t>
            </w:r>
            <w:bookmarkEnd w:id="9"/>
          </w:p>
        </w:tc>
      </w:tr>
      <w:tr w:rsidR="00FD54DD" w:rsidRPr="002B64AD" w:rsidTr="00BB7CB3">
        <w:trPr>
          <w:cantSplit/>
        </w:trPr>
        <w:tc>
          <w:tcPr>
            <w:tcW w:w="3129" w:type="dxa"/>
          </w:tcPr>
          <w:p w:rsidR="00FD54DD" w:rsidRPr="001C7BA2" w:rsidRDefault="00FD54DD" w:rsidP="00B675AB">
            <w:pPr>
              <w:spacing w:before="0"/>
              <w:rPr>
                <w:rFonts w:cs="Calibri"/>
                <w:b/>
                <w:bCs/>
                <w:sz w:val="20"/>
              </w:rPr>
            </w:pPr>
            <w:r>
              <w:rPr>
                <w:rFonts w:cs="Calibri"/>
                <w:b/>
                <w:bCs/>
                <w:sz w:val="20"/>
              </w:rPr>
              <w:t xml:space="preserve">Add.1 </w:t>
            </w:r>
            <w:r w:rsidR="0030529F">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sz w:val="20"/>
              </w:rPr>
            </w:pPr>
            <w:r w:rsidRPr="001C7BA2">
              <w:rPr>
                <w:rFonts w:cs="Calibri"/>
                <w:b/>
                <w:bCs/>
                <w:sz w:val="20"/>
              </w:rPr>
              <w:t>ACP/</w:t>
            </w:r>
            <w:r>
              <w:rPr>
                <w:rFonts w:cs="Calibri"/>
                <w:b/>
                <w:bCs/>
                <w:sz w:val="20"/>
              </w:rPr>
              <w:t>67A1</w:t>
            </w:r>
            <w:r w:rsidRPr="001C7BA2">
              <w:rPr>
                <w:rFonts w:cs="Calibri"/>
                <w:b/>
                <w:bCs/>
                <w:sz w:val="20"/>
              </w:rPr>
              <w:t>/4</w:t>
            </w:r>
          </w:p>
        </w:tc>
        <w:tc>
          <w:tcPr>
            <w:tcW w:w="8140" w:type="dxa"/>
            <w:shd w:val="clear" w:color="auto" w:fill="auto"/>
          </w:tcPr>
          <w:p w:rsidR="00FD54DD" w:rsidRPr="002B64AD" w:rsidRDefault="009202E4" w:rsidP="00B675AB">
            <w:pPr>
              <w:spacing w:before="0"/>
              <w:rPr>
                <w:rFonts w:cs="Calibri"/>
                <w:sz w:val="20"/>
                <w:lang w:val="fr-CH" w:eastAsia="ko-KR"/>
              </w:rPr>
            </w:pPr>
            <w:r>
              <w:rPr>
                <w:rFonts w:cs="Calibri"/>
                <w:sz w:val="20"/>
                <w:lang w:val="fr-CH" w:eastAsia="ko-KR"/>
              </w:rPr>
              <w:t xml:space="preserve">Suppression (SUP) de la </w:t>
            </w:r>
            <w:r w:rsidR="00FD54DD" w:rsidRPr="002B64AD">
              <w:rPr>
                <w:rFonts w:cs="Calibri"/>
                <w:sz w:val="20"/>
                <w:lang w:val="fr-CH" w:eastAsia="ko-KR"/>
              </w:rPr>
              <w:t>R</w:t>
            </w:r>
            <w:r w:rsidR="002B64AD" w:rsidRPr="002B64AD">
              <w:rPr>
                <w:rFonts w:cs="Calibri"/>
                <w:sz w:val="20"/>
                <w:lang w:val="fr-CH" w:eastAsia="ko-KR"/>
              </w:rPr>
              <w:t>é</w:t>
            </w:r>
            <w:r w:rsidR="00FD54DD" w:rsidRPr="002B64AD">
              <w:rPr>
                <w:rFonts w:cs="Calibri"/>
                <w:sz w:val="20"/>
                <w:lang w:val="fr-CH" w:eastAsia="ko-KR"/>
              </w:rPr>
              <w:t xml:space="preserve">solution 163 (Guadalajara, 2010) – </w:t>
            </w:r>
            <w:bookmarkStart w:id="10" w:name="OLE_LINK4"/>
            <w:r w:rsidR="002B64AD" w:rsidRPr="002B64AD">
              <w:rPr>
                <w:sz w:val="20"/>
              </w:rPr>
              <w:t>Création d'un groupe de travail du Conseil sur une Constitution stable de l'UIT</w:t>
            </w:r>
            <w:bookmarkEnd w:id="10"/>
          </w:p>
        </w:tc>
      </w:tr>
      <w:tr w:rsidR="00FD54DD" w:rsidRPr="002B64AD" w:rsidTr="00BB7CB3">
        <w:trPr>
          <w:cantSplit/>
        </w:trPr>
        <w:tc>
          <w:tcPr>
            <w:tcW w:w="3129" w:type="dxa"/>
          </w:tcPr>
          <w:p w:rsidR="00FD54DD" w:rsidRPr="001C7BA2" w:rsidRDefault="00FD54DD" w:rsidP="00B675AB">
            <w:pPr>
              <w:spacing w:before="0"/>
              <w:rPr>
                <w:rFonts w:cs="Calibri"/>
                <w:b/>
                <w:bCs/>
                <w:sz w:val="20"/>
              </w:rPr>
            </w:pPr>
            <w:r>
              <w:rPr>
                <w:rFonts w:cs="Calibri"/>
                <w:b/>
                <w:bCs/>
                <w:sz w:val="20"/>
              </w:rPr>
              <w:t xml:space="preserve">Add.1 </w:t>
            </w:r>
            <w:r w:rsidR="0030529F">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sz w:val="20"/>
              </w:rPr>
            </w:pPr>
            <w:r w:rsidRPr="001C7BA2">
              <w:rPr>
                <w:rFonts w:cs="Calibri"/>
                <w:b/>
                <w:bCs/>
                <w:sz w:val="20"/>
              </w:rPr>
              <w:t>ACP/</w:t>
            </w:r>
            <w:r>
              <w:rPr>
                <w:rFonts w:cs="Calibri"/>
                <w:b/>
                <w:bCs/>
                <w:sz w:val="20"/>
              </w:rPr>
              <w:t>67A1</w:t>
            </w:r>
            <w:r w:rsidRPr="001C7BA2">
              <w:rPr>
                <w:rFonts w:cs="Calibri"/>
                <w:b/>
                <w:bCs/>
                <w:sz w:val="20"/>
              </w:rPr>
              <w:t>/5</w:t>
            </w:r>
          </w:p>
        </w:tc>
        <w:tc>
          <w:tcPr>
            <w:tcW w:w="8140" w:type="dxa"/>
            <w:shd w:val="clear" w:color="auto" w:fill="auto"/>
          </w:tcPr>
          <w:p w:rsidR="00FD54DD" w:rsidRPr="002B64AD" w:rsidRDefault="009202E4" w:rsidP="00B675AB">
            <w:pPr>
              <w:spacing w:before="0"/>
              <w:rPr>
                <w:rFonts w:cs="Calibri"/>
                <w:sz w:val="20"/>
                <w:lang w:val="fr-CH" w:eastAsia="ko-KR"/>
              </w:rPr>
            </w:pPr>
            <w:r w:rsidRPr="00DA0FA9">
              <w:rPr>
                <w:rFonts w:cs="Calibri"/>
                <w:sz w:val="20"/>
                <w:lang w:val="fr-CH" w:eastAsia="ko-KR"/>
              </w:rPr>
              <w:t>Pas de modification (</w:t>
            </w:r>
            <w:r w:rsidRPr="002B64AD">
              <w:rPr>
                <w:rFonts w:cs="Calibri"/>
                <w:sz w:val="20"/>
                <w:u w:val="single"/>
                <w:lang w:val="fr-CH" w:eastAsia="ko-KR"/>
              </w:rPr>
              <w:t>NOC</w:t>
            </w:r>
            <w:r>
              <w:rPr>
                <w:rFonts w:cs="Calibri"/>
                <w:sz w:val="20"/>
                <w:lang w:val="fr-CH" w:eastAsia="ko-KR"/>
              </w:rPr>
              <w:t>)</w:t>
            </w:r>
            <w:r w:rsidRPr="002B64AD">
              <w:rPr>
                <w:rFonts w:cs="Calibri"/>
                <w:sz w:val="20"/>
                <w:lang w:val="fr-CH" w:eastAsia="ko-KR"/>
              </w:rPr>
              <w:t xml:space="preserve"> </w:t>
            </w:r>
            <w:r>
              <w:rPr>
                <w:rFonts w:cs="Calibri"/>
                <w:sz w:val="20"/>
                <w:lang w:val="fr-CH" w:eastAsia="ko-KR"/>
              </w:rPr>
              <w:t>de</w:t>
            </w:r>
            <w:r w:rsidRPr="002B64AD">
              <w:rPr>
                <w:rFonts w:cs="Calibri"/>
                <w:sz w:val="20"/>
                <w:lang w:val="fr-CH" w:eastAsia="ko-KR"/>
              </w:rPr>
              <w:t xml:space="preserve"> </w:t>
            </w:r>
            <w:r w:rsidR="002B64AD" w:rsidRPr="002B64AD">
              <w:rPr>
                <w:rFonts w:cs="Calibri"/>
                <w:sz w:val="20"/>
                <w:lang w:val="fr-CH" w:eastAsia="ko-KR"/>
              </w:rPr>
              <w:t>l'</w:t>
            </w:r>
            <w:r w:rsidR="00FD54DD" w:rsidRPr="002B64AD">
              <w:rPr>
                <w:rFonts w:cs="Calibri"/>
                <w:sz w:val="20"/>
                <w:lang w:val="fr-CH" w:eastAsia="ko-KR"/>
              </w:rPr>
              <w:t>Annex</w:t>
            </w:r>
            <w:r w:rsidR="002B64AD" w:rsidRPr="002B64AD">
              <w:rPr>
                <w:rFonts w:cs="Calibri"/>
                <w:sz w:val="20"/>
                <w:lang w:val="fr-CH" w:eastAsia="ko-KR"/>
              </w:rPr>
              <w:t>e</w:t>
            </w:r>
            <w:r w:rsidR="00FD54DD" w:rsidRPr="002B64AD">
              <w:rPr>
                <w:rFonts w:cs="Calibri"/>
                <w:sz w:val="20"/>
                <w:lang w:val="fr-CH" w:eastAsia="ko-KR"/>
              </w:rPr>
              <w:t xml:space="preserve"> </w:t>
            </w:r>
            <w:r w:rsidR="002B64AD">
              <w:rPr>
                <w:rFonts w:cs="Calibri"/>
                <w:sz w:val="20"/>
                <w:lang w:val="fr-CH" w:eastAsia="ko-KR"/>
              </w:rPr>
              <w:t xml:space="preserve">de la </w:t>
            </w:r>
            <w:r w:rsidR="00FD54DD" w:rsidRPr="002B64AD">
              <w:rPr>
                <w:rFonts w:cs="Calibri"/>
                <w:sz w:val="20"/>
                <w:lang w:val="fr-CH" w:eastAsia="ko-KR"/>
              </w:rPr>
              <w:t>Constitution</w:t>
            </w:r>
            <w:r w:rsidR="002B64AD">
              <w:rPr>
                <w:rFonts w:cs="Calibri"/>
                <w:sz w:val="20"/>
                <w:lang w:val="fr-CH" w:eastAsia="ko-KR"/>
              </w:rPr>
              <w:t xml:space="preserve"> de l'UIT</w:t>
            </w:r>
          </w:p>
        </w:tc>
      </w:tr>
      <w:tr w:rsidR="00FD54DD" w:rsidRPr="002B64AD" w:rsidTr="00BB7CB3">
        <w:trPr>
          <w:cantSplit/>
        </w:trPr>
        <w:tc>
          <w:tcPr>
            <w:tcW w:w="3129" w:type="dxa"/>
          </w:tcPr>
          <w:p w:rsidR="00FD54DD" w:rsidRPr="001C7BA2" w:rsidRDefault="00FD54DD" w:rsidP="00B675AB">
            <w:pPr>
              <w:spacing w:before="0"/>
              <w:rPr>
                <w:rFonts w:cs="Calibri"/>
                <w:b/>
                <w:bCs/>
                <w:sz w:val="20"/>
              </w:rPr>
            </w:pPr>
            <w:r>
              <w:rPr>
                <w:rFonts w:cs="Calibri"/>
                <w:b/>
                <w:bCs/>
                <w:sz w:val="20"/>
              </w:rPr>
              <w:t xml:space="preserve">Add.1 </w:t>
            </w:r>
            <w:r w:rsidR="0030529F">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sz w:val="20"/>
              </w:rPr>
            </w:pPr>
            <w:r w:rsidRPr="001C7BA2">
              <w:rPr>
                <w:rFonts w:cs="Calibri"/>
                <w:b/>
                <w:bCs/>
                <w:sz w:val="20"/>
              </w:rPr>
              <w:t>ACP/</w:t>
            </w:r>
            <w:r>
              <w:rPr>
                <w:rFonts w:cs="Calibri"/>
                <w:b/>
                <w:bCs/>
                <w:sz w:val="20"/>
              </w:rPr>
              <w:t>67A1</w:t>
            </w:r>
            <w:r w:rsidRPr="001C7BA2">
              <w:rPr>
                <w:rFonts w:cs="Calibri"/>
                <w:b/>
                <w:bCs/>
                <w:sz w:val="20"/>
              </w:rPr>
              <w:t>/6</w:t>
            </w:r>
          </w:p>
        </w:tc>
        <w:tc>
          <w:tcPr>
            <w:tcW w:w="8140" w:type="dxa"/>
            <w:shd w:val="clear" w:color="auto" w:fill="auto"/>
          </w:tcPr>
          <w:p w:rsidR="00FD54DD" w:rsidRPr="002B64AD" w:rsidRDefault="009202E4" w:rsidP="00B675AB">
            <w:pPr>
              <w:spacing w:before="0"/>
              <w:rPr>
                <w:rFonts w:cs="Calibri"/>
                <w:sz w:val="20"/>
                <w:lang w:val="fr-CH" w:eastAsia="ko-KR"/>
              </w:rPr>
            </w:pPr>
            <w:r w:rsidRPr="00DA0FA9">
              <w:rPr>
                <w:rFonts w:cs="Calibri"/>
                <w:sz w:val="20"/>
                <w:lang w:val="fr-CH" w:eastAsia="ko-KR"/>
              </w:rPr>
              <w:t>Pas de modification (</w:t>
            </w:r>
            <w:r w:rsidRPr="002B64AD">
              <w:rPr>
                <w:rFonts w:cs="Calibri"/>
                <w:sz w:val="20"/>
                <w:u w:val="single"/>
                <w:lang w:val="fr-CH" w:eastAsia="ko-KR"/>
              </w:rPr>
              <w:t>NOC</w:t>
            </w:r>
            <w:r>
              <w:rPr>
                <w:rFonts w:cs="Calibri"/>
                <w:sz w:val="20"/>
                <w:lang w:val="fr-CH" w:eastAsia="ko-KR"/>
              </w:rPr>
              <w:t>)</w:t>
            </w:r>
            <w:r w:rsidRPr="002B64AD">
              <w:rPr>
                <w:rFonts w:cs="Calibri"/>
                <w:sz w:val="20"/>
                <w:lang w:val="fr-CH" w:eastAsia="ko-KR"/>
              </w:rPr>
              <w:t xml:space="preserve"> </w:t>
            </w:r>
            <w:r>
              <w:rPr>
                <w:rFonts w:cs="Calibri"/>
                <w:sz w:val="20"/>
                <w:lang w:val="fr-CH" w:eastAsia="ko-KR"/>
              </w:rPr>
              <w:t>de</w:t>
            </w:r>
            <w:r w:rsidRPr="002B64AD">
              <w:rPr>
                <w:rFonts w:cs="Calibri"/>
                <w:sz w:val="20"/>
                <w:lang w:val="fr-CH" w:eastAsia="ko-KR"/>
              </w:rPr>
              <w:t xml:space="preserve"> </w:t>
            </w:r>
            <w:r w:rsidR="002B64AD" w:rsidRPr="002B64AD">
              <w:rPr>
                <w:rFonts w:cs="Calibri"/>
                <w:sz w:val="20"/>
                <w:lang w:val="fr-CH" w:eastAsia="ko-KR"/>
              </w:rPr>
              <w:t>l'</w:t>
            </w:r>
            <w:r w:rsidR="00FD54DD" w:rsidRPr="002B64AD">
              <w:rPr>
                <w:rFonts w:cs="Calibri"/>
                <w:sz w:val="20"/>
                <w:lang w:val="fr-CH" w:eastAsia="ko-KR"/>
              </w:rPr>
              <w:t>Annex</w:t>
            </w:r>
            <w:r w:rsidR="002B64AD" w:rsidRPr="002B64AD">
              <w:rPr>
                <w:rFonts w:cs="Calibri"/>
                <w:sz w:val="20"/>
                <w:lang w:val="fr-CH" w:eastAsia="ko-KR"/>
              </w:rPr>
              <w:t>e</w:t>
            </w:r>
            <w:r w:rsidR="002B64AD">
              <w:rPr>
                <w:rFonts w:cs="Calibri"/>
                <w:sz w:val="20"/>
                <w:lang w:val="fr-CH" w:eastAsia="ko-KR"/>
              </w:rPr>
              <w:t xml:space="preserve"> de la </w:t>
            </w:r>
            <w:r w:rsidR="002B64AD" w:rsidRPr="002B64AD">
              <w:rPr>
                <w:rFonts w:cs="Calibri"/>
                <w:sz w:val="20"/>
                <w:lang w:val="fr-CH" w:eastAsia="ko-KR"/>
              </w:rPr>
              <w:t xml:space="preserve">Convention </w:t>
            </w:r>
            <w:r w:rsidR="002B64AD">
              <w:rPr>
                <w:rFonts w:cs="Calibri"/>
                <w:sz w:val="20"/>
                <w:lang w:val="fr-CH" w:eastAsia="ko-KR"/>
              </w:rPr>
              <w:t>de l'UIT</w:t>
            </w:r>
            <w:r w:rsidR="00FD54DD" w:rsidRPr="002B64AD">
              <w:rPr>
                <w:rFonts w:cs="Calibri"/>
                <w:sz w:val="20"/>
                <w:lang w:val="fr-CH" w:eastAsia="ko-KR"/>
              </w:rPr>
              <w:t xml:space="preserve"> </w:t>
            </w:r>
          </w:p>
        </w:tc>
      </w:tr>
      <w:tr w:rsidR="00FD54DD" w:rsidRPr="002B64AD" w:rsidTr="00BB7CB3">
        <w:trPr>
          <w:cantSplit/>
        </w:trPr>
        <w:tc>
          <w:tcPr>
            <w:tcW w:w="3129" w:type="dxa"/>
          </w:tcPr>
          <w:p w:rsidR="00FD54DD" w:rsidRPr="001C7BA2" w:rsidRDefault="0030529F" w:rsidP="00B675AB">
            <w:pPr>
              <w:spacing w:before="0"/>
              <w:rPr>
                <w:rFonts w:cs="Calibri"/>
                <w:b/>
                <w:bCs/>
                <w:sz w:val="20"/>
              </w:rPr>
            </w:pPr>
            <w:r>
              <w:rPr>
                <w:rFonts w:cs="Calibri"/>
                <w:b/>
                <w:bCs/>
                <w:sz w:val="20"/>
              </w:rPr>
              <w:t>Add.1 au</w:t>
            </w:r>
            <w:r w:rsidR="00FD54DD">
              <w:rPr>
                <w:rFonts w:cs="Calibri"/>
                <w:b/>
                <w:bCs/>
                <w:sz w:val="20"/>
              </w:rPr>
              <w:t xml:space="preserve">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67A1</w:t>
            </w:r>
            <w:r w:rsidRPr="001C7BA2">
              <w:rPr>
                <w:rFonts w:cs="Calibri"/>
                <w:b/>
                <w:bCs/>
                <w:sz w:val="20"/>
              </w:rPr>
              <w:t>/7</w:t>
            </w:r>
          </w:p>
        </w:tc>
        <w:tc>
          <w:tcPr>
            <w:tcW w:w="8140" w:type="dxa"/>
            <w:shd w:val="clear" w:color="auto" w:fill="auto"/>
          </w:tcPr>
          <w:p w:rsidR="00FD54DD" w:rsidRPr="002B64AD" w:rsidRDefault="000A3D80" w:rsidP="00B675AB">
            <w:pPr>
              <w:spacing w:before="0"/>
              <w:rPr>
                <w:rFonts w:cs="Calibri"/>
                <w:sz w:val="20"/>
                <w:lang w:val="fr-CH" w:eastAsia="ko-KR"/>
              </w:rPr>
            </w:pPr>
            <w:r>
              <w:rPr>
                <w:rFonts w:cs="Calibri"/>
                <w:sz w:val="20"/>
                <w:lang w:val="fr-CH" w:eastAsia="ko-KR"/>
              </w:rPr>
              <w:t>Modification (</w:t>
            </w:r>
            <w:r w:rsidR="00FD54DD" w:rsidRPr="002B64AD">
              <w:rPr>
                <w:rFonts w:cs="Calibri"/>
                <w:sz w:val="20"/>
                <w:lang w:val="fr-CH" w:eastAsia="ko-KR"/>
              </w:rPr>
              <w:t>MOD</w:t>
            </w:r>
            <w:r>
              <w:rPr>
                <w:rFonts w:cs="Calibri"/>
                <w:sz w:val="20"/>
                <w:lang w:val="fr-CH" w:eastAsia="ko-KR"/>
              </w:rPr>
              <w:t>)</w:t>
            </w:r>
            <w:r w:rsidR="00FD54DD" w:rsidRPr="002B64AD">
              <w:rPr>
                <w:rFonts w:cs="Calibri"/>
                <w:sz w:val="20"/>
                <w:lang w:val="fr-CH" w:eastAsia="ko-KR"/>
              </w:rPr>
              <w:t xml:space="preserve"> </w:t>
            </w:r>
            <w:r>
              <w:rPr>
                <w:rFonts w:cs="Calibri"/>
                <w:sz w:val="20"/>
                <w:lang w:val="fr-CH" w:eastAsia="ko-KR"/>
              </w:rPr>
              <w:t>de la</w:t>
            </w:r>
            <w:r w:rsidR="002B64AD" w:rsidRPr="002B64AD">
              <w:rPr>
                <w:rFonts w:cs="Calibri"/>
                <w:sz w:val="20"/>
                <w:lang w:val="fr-CH" w:eastAsia="ko-KR"/>
              </w:rPr>
              <w:t xml:space="preserve"> </w:t>
            </w:r>
            <w:r w:rsidR="00FD54DD" w:rsidRPr="002B64AD">
              <w:rPr>
                <w:rFonts w:cs="Calibri"/>
                <w:sz w:val="20"/>
                <w:lang w:val="fr-CH" w:eastAsia="ko-KR"/>
              </w:rPr>
              <w:t>D</w:t>
            </w:r>
            <w:r w:rsidR="002B64AD" w:rsidRPr="002B64AD">
              <w:rPr>
                <w:rFonts w:cs="Calibri"/>
                <w:sz w:val="20"/>
                <w:lang w:val="fr-CH" w:eastAsia="ko-KR"/>
              </w:rPr>
              <w:t>é</w:t>
            </w:r>
            <w:r w:rsidR="00FD54DD" w:rsidRPr="002B64AD">
              <w:rPr>
                <w:rFonts w:cs="Calibri"/>
                <w:sz w:val="20"/>
                <w:lang w:val="fr-CH" w:eastAsia="ko-KR"/>
              </w:rPr>
              <w:t>cision 5 (R</w:t>
            </w:r>
            <w:r w:rsidR="002B64AD" w:rsidRPr="002B64AD">
              <w:rPr>
                <w:rFonts w:cs="Calibri"/>
                <w:sz w:val="20"/>
                <w:lang w:val="fr-CH" w:eastAsia="ko-KR"/>
              </w:rPr>
              <w:t>é</w:t>
            </w:r>
            <w:r w:rsidR="00FD54DD" w:rsidRPr="002B64AD">
              <w:rPr>
                <w:rFonts w:cs="Calibri"/>
                <w:sz w:val="20"/>
                <w:lang w:val="fr-CH" w:eastAsia="ko-KR"/>
              </w:rPr>
              <w:t xml:space="preserve">v. Guadalajara, 2010) – </w:t>
            </w:r>
            <w:r w:rsidR="00C02B75">
              <w:rPr>
                <w:sz w:val="20"/>
              </w:rPr>
              <w:t>Recettes et dépenses de l'Union pour la période 2012</w:t>
            </w:r>
            <w:r w:rsidR="002B64AD" w:rsidRPr="002B64AD">
              <w:rPr>
                <w:sz w:val="20"/>
              </w:rPr>
              <w:t>-201</w:t>
            </w:r>
            <w:r w:rsidR="00C02B75">
              <w:rPr>
                <w:sz w:val="20"/>
              </w:rPr>
              <w:t>5</w:t>
            </w:r>
          </w:p>
        </w:tc>
      </w:tr>
      <w:tr w:rsidR="00FD54DD" w:rsidRPr="002B64AD" w:rsidTr="00BB7CB3">
        <w:trPr>
          <w:cantSplit/>
        </w:trPr>
        <w:tc>
          <w:tcPr>
            <w:tcW w:w="3129" w:type="dxa"/>
          </w:tcPr>
          <w:p w:rsidR="00FD54DD" w:rsidRPr="001C7BA2" w:rsidRDefault="00FD54DD" w:rsidP="00B675AB">
            <w:pPr>
              <w:spacing w:before="0"/>
              <w:rPr>
                <w:rFonts w:cs="Calibri"/>
                <w:b/>
                <w:bCs/>
                <w:sz w:val="20"/>
              </w:rPr>
            </w:pPr>
            <w:r>
              <w:rPr>
                <w:rFonts w:cs="Calibri"/>
                <w:b/>
                <w:bCs/>
                <w:sz w:val="20"/>
              </w:rPr>
              <w:t xml:space="preserve">Add.1 </w:t>
            </w:r>
            <w:r w:rsidR="0030529F">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8</w:t>
            </w:r>
          </w:p>
        </w:tc>
        <w:tc>
          <w:tcPr>
            <w:tcW w:w="8140" w:type="dxa"/>
            <w:shd w:val="clear" w:color="auto" w:fill="auto"/>
          </w:tcPr>
          <w:p w:rsidR="00FD54DD" w:rsidRPr="002B64AD" w:rsidRDefault="007D6E8C" w:rsidP="00B675AB">
            <w:pPr>
              <w:spacing w:before="0"/>
              <w:rPr>
                <w:rFonts w:cs="Calibri"/>
                <w:sz w:val="20"/>
                <w:lang w:val="fr-CH" w:eastAsia="ko-KR"/>
              </w:rPr>
            </w:pPr>
            <w:r>
              <w:rPr>
                <w:rFonts w:cs="Calibri"/>
                <w:sz w:val="20"/>
                <w:lang w:val="fr-CH" w:eastAsia="ko-KR"/>
              </w:rPr>
              <w:t>Modification (</w:t>
            </w:r>
            <w:r w:rsidRPr="002B64AD">
              <w:rPr>
                <w:rFonts w:cs="Calibri"/>
                <w:sz w:val="20"/>
                <w:lang w:val="fr-CH" w:eastAsia="ko-KR"/>
              </w:rPr>
              <w:t>MOD</w:t>
            </w:r>
            <w:r>
              <w:rPr>
                <w:rFonts w:cs="Calibri"/>
                <w:sz w:val="20"/>
                <w:lang w:val="fr-CH" w:eastAsia="ko-KR"/>
              </w:rPr>
              <w:t>)</w:t>
            </w:r>
            <w:r w:rsidRPr="002B64AD">
              <w:rPr>
                <w:rFonts w:cs="Calibri"/>
                <w:sz w:val="20"/>
                <w:lang w:val="fr-CH" w:eastAsia="ko-KR"/>
              </w:rPr>
              <w:t xml:space="preserve"> </w:t>
            </w:r>
            <w:r>
              <w:rPr>
                <w:rFonts w:cs="Calibri"/>
                <w:sz w:val="20"/>
                <w:lang w:val="fr-CH" w:eastAsia="ko-KR"/>
              </w:rPr>
              <w:t>de la</w:t>
            </w:r>
            <w:r w:rsidRPr="002B64AD">
              <w:rPr>
                <w:rFonts w:cs="Calibri"/>
                <w:sz w:val="20"/>
                <w:lang w:val="fr-CH" w:eastAsia="ko-KR"/>
              </w:rPr>
              <w:t xml:space="preserve"> </w:t>
            </w:r>
            <w:r w:rsidR="002B64AD" w:rsidRPr="002B64AD">
              <w:rPr>
                <w:rFonts w:cs="Calibri"/>
                <w:sz w:val="20"/>
                <w:lang w:val="fr-CH" w:eastAsia="ko-KR"/>
              </w:rPr>
              <w:t>Dé</w:t>
            </w:r>
            <w:r w:rsidR="00FD54DD" w:rsidRPr="002B64AD">
              <w:rPr>
                <w:rFonts w:cs="Calibri"/>
                <w:sz w:val="20"/>
                <w:lang w:val="fr-CH" w:eastAsia="ko-KR"/>
              </w:rPr>
              <w:t>cision 11 (R</w:t>
            </w:r>
            <w:r w:rsidR="002B64AD" w:rsidRPr="002B64AD">
              <w:rPr>
                <w:rFonts w:cs="Calibri"/>
                <w:sz w:val="20"/>
                <w:lang w:val="fr-CH" w:eastAsia="ko-KR"/>
              </w:rPr>
              <w:t>é</w:t>
            </w:r>
            <w:r w:rsidR="00FD54DD" w:rsidRPr="002B64AD">
              <w:rPr>
                <w:rFonts w:cs="Calibri"/>
                <w:sz w:val="20"/>
                <w:lang w:val="fr-CH" w:eastAsia="ko-KR"/>
              </w:rPr>
              <w:t xml:space="preserve">v. Guadalajara, 2010) – </w:t>
            </w:r>
            <w:bookmarkStart w:id="11" w:name="OLE_LINK6"/>
            <w:r w:rsidR="002B64AD" w:rsidRPr="002B64AD">
              <w:rPr>
                <w:sz w:val="20"/>
              </w:rPr>
              <w:t>Création et gestion des groupes de travail du Conseil</w:t>
            </w:r>
            <w:bookmarkEnd w:id="11"/>
          </w:p>
        </w:tc>
      </w:tr>
      <w:tr w:rsidR="00FD54DD" w:rsidRPr="002B64AD" w:rsidTr="00BB7CB3">
        <w:trPr>
          <w:cantSplit/>
        </w:trPr>
        <w:tc>
          <w:tcPr>
            <w:tcW w:w="3129" w:type="dxa"/>
          </w:tcPr>
          <w:p w:rsidR="00FD54DD" w:rsidRPr="001C7BA2" w:rsidRDefault="00FD54DD" w:rsidP="00B675AB">
            <w:pPr>
              <w:spacing w:before="0"/>
              <w:rPr>
                <w:rFonts w:cs="Calibri"/>
                <w:b/>
                <w:bCs/>
                <w:sz w:val="20"/>
              </w:rPr>
            </w:pPr>
            <w:r>
              <w:rPr>
                <w:rFonts w:cs="Calibri"/>
                <w:b/>
                <w:bCs/>
                <w:sz w:val="20"/>
              </w:rPr>
              <w:t>Add.1 to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9</w:t>
            </w:r>
          </w:p>
        </w:tc>
        <w:tc>
          <w:tcPr>
            <w:tcW w:w="8140" w:type="dxa"/>
            <w:shd w:val="clear" w:color="auto" w:fill="auto"/>
          </w:tcPr>
          <w:p w:rsidR="00FD54DD" w:rsidRPr="002B64AD" w:rsidRDefault="007D6E8C" w:rsidP="00B675AB">
            <w:pPr>
              <w:spacing w:before="0"/>
              <w:rPr>
                <w:rFonts w:cs="Calibri"/>
                <w:sz w:val="20"/>
                <w:lang w:val="fr-CH" w:eastAsia="ko-KR"/>
              </w:rPr>
            </w:pPr>
            <w:r>
              <w:rPr>
                <w:rFonts w:cs="Calibri"/>
                <w:sz w:val="20"/>
                <w:lang w:val="fr-CH" w:eastAsia="ko-KR"/>
              </w:rPr>
              <w:t>Modification (</w:t>
            </w:r>
            <w:r w:rsidRPr="002B64AD">
              <w:rPr>
                <w:rFonts w:cs="Calibri"/>
                <w:sz w:val="20"/>
                <w:lang w:val="fr-CH" w:eastAsia="ko-KR"/>
              </w:rPr>
              <w:t>MOD</w:t>
            </w:r>
            <w:r>
              <w:rPr>
                <w:rFonts w:cs="Calibri"/>
                <w:sz w:val="20"/>
                <w:lang w:val="fr-CH" w:eastAsia="ko-KR"/>
              </w:rPr>
              <w:t>)</w:t>
            </w:r>
            <w:r w:rsidRPr="002B64AD">
              <w:rPr>
                <w:rFonts w:cs="Calibri"/>
                <w:sz w:val="20"/>
                <w:lang w:val="fr-CH" w:eastAsia="ko-KR"/>
              </w:rPr>
              <w:t xml:space="preserve"> </w:t>
            </w:r>
            <w:r>
              <w:rPr>
                <w:rFonts w:cs="Calibri"/>
                <w:sz w:val="20"/>
                <w:lang w:val="fr-CH" w:eastAsia="ko-KR"/>
              </w:rPr>
              <w:t>de la</w:t>
            </w:r>
            <w:r w:rsidRPr="002B64AD">
              <w:rPr>
                <w:rFonts w:cs="Calibri"/>
                <w:sz w:val="20"/>
                <w:lang w:val="fr-CH" w:eastAsia="ko-KR"/>
              </w:rPr>
              <w:t xml:space="preserve"> </w:t>
            </w:r>
            <w:r w:rsidR="002B64AD" w:rsidRPr="002B64AD">
              <w:rPr>
                <w:rFonts w:cs="Calibri"/>
                <w:sz w:val="20"/>
                <w:lang w:val="fr-CH" w:eastAsia="ko-KR"/>
              </w:rPr>
              <w:t>Ré</w:t>
            </w:r>
            <w:r w:rsidR="00FD54DD" w:rsidRPr="002B64AD">
              <w:rPr>
                <w:rFonts w:cs="Calibri"/>
                <w:sz w:val="20"/>
                <w:lang w:val="fr-CH" w:eastAsia="ko-KR"/>
              </w:rPr>
              <w:t>solution 22 (</w:t>
            </w:r>
            <w:r w:rsidR="002B64AD" w:rsidRPr="002B64AD">
              <w:rPr>
                <w:rFonts w:cs="Calibri"/>
                <w:sz w:val="20"/>
                <w:lang w:val="fr-CH" w:eastAsia="ko-KR"/>
              </w:rPr>
              <w:t>Rév</w:t>
            </w:r>
            <w:r w:rsidR="00FD54DD" w:rsidRPr="002B64AD">
              <w:rPr>
                <w:rFonts w:cs="Calibri"/>
                <w:sz w:val="20"/>
                <w:lang w:val="fr-CH" w:eastAsia="ko-KR"/>
              </w:rPr>
              <w:t xml:space="preserve">. Antalya, 2006) – </w:t>
            </w:r>
            <w:bookmarkStart w:id="12" w:name="_Toc165351380"/>
            <w:r w:rsidR="002B64AD" w:rsidRPr="002B64AD">
              <w:rPr>
                <w:sz w:val="20"/>
              </w:rPr>
              <w:t>Répartition des recettes provenant des services internationaux de télécommunication</w:t>
            </w:r>
            <w:bookmarkEnd w:id="12"/>
          </w:p>
        </w:tc>
      </w:tr>
      <w:tr w:rsidR="00FD54DD" w:rsidRPr="00B76372" w:rsidTr="00BB7CB3">
        <w:trPr>
          <w:cantSplit/>
        </w:trPr>
        <w:tc>
          <w:tcPr>
            <w:tcW w:w="3129" w:type="dxa"/>
          </w:tcPr>
          <w:p w:rsidR="00FD54DD" w:rsidRPr="001C7BA2" w:rsidRDefault="00FD54DD" w:rsidP="00B675AB">
            <w:pPr>
              <w:spacing w:before="0"/>
              <w:rPr>
                <w:rFonts w:cs="Calibri"/>
                <w:b/>
                <w:bCs/>
                <w:sz w:val="20"/>
              </w:rPr>
            </w:pPr>
            <w:r>
              <w:rPr>
                <w:rFonts w:cs="Calibri"/>
                <w:b/>
                <w:bCs/>
                <w:sz w:val="20"/>
              </w:rPr>
              <w:t xml:space="preserve">Add.1 </w:t>
            </w:r>
            <w:r w:rsidR="0030529F">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10</w:t>
            </w:r>
          </w:p>
        </w:tc>
        <w:tc>
          <w:tcPr>
            <w:tcW w:w="8140" w:type="dxa"/>
            <w:shd w:val="clear" w:color="auto" w:fill="auto"/>
          </w:tcPr>
          <w:p w:rsidR="00FD54DD" w:rsidRPr="00B76372" w:rsidRDefault="007D6E8C" w:rsidP="00B675AB">
            <w:pPr>
              <w:spacing w:before="0"/>
              <w:rPr>
                <w:rFonts w:cs="Calibri"/>
                <w:sz w:val="20"/>
                <w:lang w:val="fr-CH" w:eastAsia="ko-KR"/>
              </w:rPr>
            </w:pPr>
            <w:r>
              <w:rPr>
                <w:rFonts w:cs="Calibri"/>
                <w:sz w:val="20"/>
                <w:lang w:val="fr-CH" w:eastAsia="ko-KR"/>
              </w:rPr>
              <w:t>Modification (</w:t>
            </w:r>
            <w:r w:rsidRPr="002B64AD">
              <w:rPr>
                <w:rFonts w:cs="Calibri"/>
                <w:sz w:val="20"/>
                <w:lang w:val="fr-CH" w:eastAsia="ko-KR"/>
              </w:rPr>
              <w:t>MOD</w:t>
            </w:r>
            <w:r>
              <w:rPr>
                <w:rFonts w:cs="Calibri"/>
                <w:sz w:val="20"/>
                <w:lang w:val="fr-CH" w:eastAsia="ko-KR"/>
              </w:rPr>
              <w:t>)</w:t>
            </w:r>
            <w:r w:rsidRPr="002B64AD">
              <w:rPr>
                <w:rFonts w:cs="Calibri"/>
                <w:sz w:val="20"/>
                <w:lang w:val="fr-CH" w:eastAsia="ko-KR"/>
              </w:rPr>
              <w:t xml:space="preserve"> </w:t>
            </w:r>
            <w:r>
              <w:rPr>
                <w:rFonts w:cs="Calibri"/>
                <w:sz w:val="20"/>
                <w:lang w:val="fr-CH" w:eastAsia="ko-KR"/>
              </w:rPr>
              <w:t>de la</w:t>
            </w:r>
            <w:r w:rsidRPr="002B64AD">
              <w:rPr>
                <w:rFonts w:cs="Calibri"/>
                <w:sz w:val="20"/>
                <w:lang w:val="fr-CH" w:eastAsia="ko-KR"/>
              </w:rPr>
              <w:t xml:space="preserve"> </w:t>
            </w:r>
            <w:r w:rsidR="00FD54DD" w:rsidRPr="00B76372">
              <w:rPr>
                <w:rFonts w:cs="Calibri"/>
                <w:sz w:val="20"/>
                <w:lang w:val="fr-CH" w:eastAsia="ko-KR"/>
              </w:rPr>
              <w:t>R</w:t>
            </w:r>
            <w:r w:rsidR="00B76372">
              <w:rPr>
                <w:rFonts w:cs="Calibri"/>
                <w:sz w:val="20"/>
                <w:lang w:val="fr-CH" w:eastAsia="ko-KR"/>
              </w:rPr>
              <w:t>é</w:t>
            </w:r>
            <w:r w:rsidR="00FD54DD" w:rsidRPr="00B76372">
              <w:rPr>
                <w:rFonts w:cs="Calibri"/>
                <w:sz w:val="20"/>
                <w:lang w:val="fr-CH" w:eastAsia="ko-KR"/>
              </w:rPr>
              <w:t>solution 123 (R</w:t>
            </w:r>
            <w:r w:rsidR="00B76372">
              <w:rPr>
                <w:rFonts w:cs="Calibri"/>
                <w:sz w:val="20"/>
                <w:lang w:val="fr-CH" w:eastAsia="ko-KR"/>
              </w:rPr>
              <w:t>é</w:t>
            </w:r>
            <w:r w:rsidR="00FD54DD" w:rsidRPr="00B76372">
              <w:rPr>
                <w:rFonts w:cs="Calibri"/>
                <w:sz w:val="20"/>
                <w:lang w:val="fr-CH" w:eastAsia="ko-KR"/>
              </w:rPr>
              <w:t xml:space="preserve">v. Guadalajara, 2010) – </w:t>
            </w:r>
            <w:bookmarkStart w:id="13" w:name="_Toc165351494"/>
            <w:r w:rsidR="00B76372" w:rsidRPr="00B76372">
              <w:rPr>
                <w:sz w:val="20"/>
              </w:rPr>
              <w:t>Réduire l'écart qui existe en matière de normalisation</w:t>
            </w:r>
            <w:r w:rsidR="00B76372">
              <w:rPr>
                <w:sz w:val="20"/>
              </w:rPr>
              <w:t xml:space="preserve"> </w:t>
            </w:r>
            <w:r w:rsidR="00B76372" w:rsidRPr="00B76372">
              <w:rPr>
                <w:sz w:val="20"/>
              </w:rPr>
              <w:t>entre pays en développement et pays développés</w:t>
            </w:r>
            <w:bookmarkEnd w:id="13"/>
          </w:p>
        </w:tc>
      </w:tr>
      <w:tr w:rsidR="00FD54DD" w:rsidRPr="00BB7CB3" w:rsidTr="00BB7CB3">
        <w:trPr>
          <w:cantSplit/>
        </w:trPr>
        <w:tc>
          <w:tcPr>
            <w:tcW w:w="3129" w:type="dxa"/>
          </w:tcPr>
          <w:p w:rsidR="00FD54DD" w:rsidRPr="001C7BA2" w:rsidRDefault="00FD54DD" w:rsidP="00B675AB">
            <w:pPr>
              <w:spacing w:before="0"/>
              <w:rPr>
                <w:rFonts w:cs="Calibri"/>
                <w:b/>
                <w:bCs/>
                <w:sz w:val="20"/>
              </w:rPr>
            </w:pPr>
            <w:r>
              <w:rPr>
                <w:rFonts w:cs="Calibri"/>
                <w:b/>
                <w:bCs/>
                <w:sz w:val="20"/>
              </w:rPr>
              <w:t xml:space="preserve">Add.1 </w:t>
            </w:r>
            <w:r w:rsidR="0030529F">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11</w:t>
            </w:r>
          </w:p>
        </w:tc>
        <w:tc>
          <w:tcPr>
            <w:tcW w:w="8140" w:type="dxa"/>
            <w:shd w:val="clear" w:color="auto" w:fill="auto"/>
          </w:tcPr>
          <w:p w:rsidR="00FD54DD" w:rsidRPr="00BB7CB3" w:rsidRDefault="007D6E8C" w:rsidP="00B675AB">
            <w:pPr>
              <w:spacing w:before="0"/>
              <w:rPr>
                <w:rFonts w:cs="Calibri"/>
                <w:sz w:val="20"/>
                <w:lang w:val="fr-CH" w:eastAsia="ko-KR"/>
              </w:rPr>
            </w:pPr>
            <w:r>
              <w:rPr>
                <w:rFonts w:cs="Calibri"/>
                <w:sz w:val="20"/>
                <w:lang w:val="fr-CH" w:eastAsia="ko-KR"/>
              </w:rPr>
              <w:t>Modification (</w:t>
            </w:r>
            <w:r w:rsidRPr="002B64AD">
              <w:rPr>
                <w:rFonts w:cs="Calibri"/>
                <w:sz w:val="20"/>
                <w:lang w:val="fr-CH" w:eastAsia="ko-KR"/>
              </w:rPr>
              <w:t>MOD</w:t>
            </w:r>
            <w:r>
              <w:rPr>
                <w:rFonts w:cs="Calibri"/>
                <w:sz w:val="20"/>
                <w:lang w:val="fr-CH" w:eastAsia="ko-KR"/>
              </w:rPr>
              <w:t>)</w:t>
            </w:r>
            <w:r w:rsidRPr="002B64AD">
              <w:rPr>
                <w:rFonts w:cs="Calibri"/>
                <w:sz w:val="20"/>
                <w:lang w:val="fr-CH" w:eastAsia="ko-KR"/>
              </w:rPr>
              <w:t xml:space="preserve"> </w:t>
            </w:r>
            <w:r>
              <w:rPr>
                <w:rFonts w:cs="Calibri"/>
                <w:sz w:val="20"/>
                <w:lang w:val="fr-CH" w:eastAsia="ko-KR"/>
              </w:rPr>
              <w:t>de la</w:t>
            </w:r>
            <w:r w:rsidRPr="002B64AD">
              <w:rPr>
                <w:rFonts w:cs="Calibri"/>
                <w:sz w:val="20"/>
                <w:lang w:val="fr-CH" w:eastAsia="ko-KR"/>
              </w:rPr>
              <w:t xml:space="preserve"> </w:t>
            </w:r>
            <w:r w:rsidR="00FD54DD" w:rsidRPr="00BB7CB3">
              <w:rPr>
                <w:rFonts w:cs="Calibri"/>
                <w:sz w:val="20"/>
                <w:lang w:val="fr-CH" w:eastAsia="ko-KR"/>
              </w:rPr>
              <w:t>R</w:t>
            </w:r>
            <w:r w:rsidR="00BB7CB3">
              <w:rPr>
                <w:rFonts w:cs="Calibri"/>
                <w:sz w:val="20"/>
                <w:lang w:val="fr-CH" w:eastAsia="ko-KR"/>
              </w:rPr>
              <w:t>é</w:t>
            </w:r>
            <w:r w:rsidR="00FD54DD" w:rsidRPr="00BB7CB3">
              <w:rPr>
                <w:rFonts w:cs="Calibri"/>
                <w:sz w:val="20"/>
                <w:lang w:val="fr-CH" w:eastAsia="ko-KR"/>
              </w:rPr>
              <w:t>solution 131 (R</w:t>
            </w:r>
            <w:r w:rsidR="00BB7CB3">
              <w:rPr>
                <w:rFonts w:cs="Calibri"/>
                <w:sz w:val="20"/>
                <w:lang w:val="fr-CH" w:eastAsia="ko-KR"/>
              </w:rPr>
              <w:t>é</w:t>
            </w:r>
            <w:r w:rsidR="00FD54DD" w:rsidRPr="00BB7CB3">
              <w:rPr>
                <w:rFonts w:cs="Calibri"/>
                <w:sz w:val="20"/>
                <w:lang w:val="fr-CH" w:eastAsia="ko-KR"/>
              </w:rPr>
              <w:t xml:space="preserve">v. Guadalajara, 2010) – </w:t>
            </w:r>
            <w:r w:rsidR="00BB7CB3" w:rsidRPr="00BB7CB3">
              <w:rPr>
                <w:sz w:val="20"/>
              </w:rPr>
              <w:t>Indice d'accès aux technologies de l'information et de la communication et indicateurs de connectivité communautaire</w:t>
            </w:r>
          </w:p>
        </w:tc>
      </w:tr>
      <w:tr w:rsidR="00FD54DD" w:rsidRPr="00BB7CB3" w:rsidTr="00BB7CB3">
        <w:trPr>
          <w:cantSplit/>
        </w:trPr>
        <w:tc>
          <w:tcPr>
            <w:tcW w:w="3129" w:type="dxa"/>
          </w:tcPr>
          <w:p w:rsidR="00FD54DD" w:rsidRPr="001C7BA2" w:rsidRDefault="00FD54DD" w:rsidP="00B675AB">
            <w:pPr>
              <w:spacing w:before="0"/>
              <w:rPr>
                <w:rFonts w:cs="Calibri"/>
                <w:b/>
                <w:bCs/>
                <w:sz w:val="20"/>
              </w:rPr>
            </w:pPr>
            <w:r>
              <w:rPr>
                <w:rFonts w:cs="Calibri"/>
                <w:b/>
                <w:bCs/>
                <w:sz w:val="20"/>
              </w:rPr>
              <w:t xml:space="preserve">Add.1 </w:t>
            </w:r>
            <w:r w:rsidR="0030529F">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12</w:t>
            </w:r>
          </w:p>
        </w:tc>
        <w:tc>
          <w:tcPr>
            <w:tcW w:w="8140" w:type="dxa"/>
            <w:shd w:val="clear" w:color="auto" w:fill="auto"/>
          </w:tcPr>
          <w:p w:rsidR="00FD54DD" w:rsidRPr="00BB7CB3" w:rsidRDefault="007D6E8C" w:rsidP="00B675AB">
            <w:pPr>
              <w:spacing w:before="0"/>
              <w:rPr>
                <w:rFonts w:cs="Calibri"/>
                <w:sz w:val="20"/>
                <w:lang w:val="fr-CH" w:eastAsia="ko-KR"/>
              </w:rPr>
            </w:pPr>
            <w:r>
              <w:rPr>
                <w:rFonts w:cs="Calibri"/>
                <w:sz w:val="20"/>
                <w:lang w:val="fr-CH" w:eastAsia="ko-KR"/>
              </w:rPr>
              <w:t>Modification (</w:t>
            </w:r>
            <w:r w:rsidRPr="002B64AD">
              <w:rPr>
                <w:rFonts w:cs="Calibri"/>
                <w:sz w:val="20"/>
                <w:lang w:val="fr-CH" w:eastAsia="ko-KR"/>
              </w:rPr>
              <w:t>MOD</w:t>
            </w:r>
            <w:r>
              <w:rPr>
                <w:rFonts w:cs="Calibri"/>
                <w:sz w:val="20"/>
                <w:lang w:val="fr-CH" w:eastAsia="ko-KR"/>
              </w:rPr>
              <w:t>)</w:t>
            </w:r>
            <w:r w:rsidRPr="002B64AD">
              <w:rPr>
                <w:rFonts w:cs="Calibri"/>
                <w:sz w:val="20"/>
                <w:lang w:val="fr-CH" w:eastAsia="ko-KR"/>
              </w:rPr>
              <w:t xml:space="preserve"> </w:t>
            </w:r>
            <w:r>
              <w:rPr>
                <w:rFonts w:cs="Calibri"/>
                <w:sz w:val="20"/>
                <w:lang w:val="fr-CH" w:eastAsia="ko-KR"/>
              </w:rPr>
              <w:t>de la</w:t>
            </w:r>
            <w:r w:rsidRPr="002B64AD">
              <w:rPr>
                <w:rFonts w:cs="Calibri"/>
                <w:sz w:val="20"/>
                <w:lang w:val="fr-CH" w:eastAsia="ko-KR"/>
              </w:rPr>
              <w:t xml:space="preserve"> </w:t>
            </w:r>
            <w:r w:rsidR="00FD54DD" w:rsidRPr="00BB7CB3">
              <w:rPr>
                <w:rFonts w:cs="Calibri"/>
                <w:sz w:val="20"/>
                <w:lang w:val="fr-CH" w:eastAsia="ko-KR"/>
              </w:rPr>
              <w:t>R</w:t>
            </w:r>
            <w:r w:rsidR="00BB7CB3">
              <w:rPr>
                <w:rFonts w:cs="Calibri"/>
                <w:sz w:val="20"/>
                <w:lang w:val="fr-CH" w:eastAsia="ko-KR"/>
              </w:rPr>
              <w:t>é</w:t>
            </w:r>
            <w:r w:rsidR="00FD54DD" w:rsidRPr="00BB7CB3">
              <w:rPr>
                <w:rFonts w:cs="Calibri"/>
                <w:sz w:val="20"/>
                <w:lang w:val="fr-CH" w:eastAsia="ko-KR"/>
              </w:rPr>
              <w:t>solution 136 (R</w:t>
            </w:r>
            <w:r w:rsidR="00BB7CB3">
              <w:rPr>
                <w:rFonts w:cs="Calibri"/>
                <w:sz w:val="20"/>
                <w:lang w:val="fr-CH" w:eastAsia="ko-KR"/>
              </w:rPr>
              <w:t>é</w:t>
            </w:r>
            <w:r w:rsidR="00FD54DD" w:rsidRPr="00BB7CB3">
              <w:rPr>
                <w:rFonts w:cs="Calibri"/>
                <w:sz w:val="20"/>
                <w:lang w:val="fr-CH" w:eastAsia="ko-KR"/>
              </w:rPr>
              <w:t xml:space="preserve">v. Guadalajara, 2010) – </w:t>
            </w:r>
            <w:r w:rsidR="00BB7CB3" w:rsidRPr="00BB7CB3">
              <w:rPr>
                <w:sz w:val="20"/>
              </w:rPr>
              <w:t>Utilisation des télécommunication</w:t>
            </w:r>
            <w:r w:rsidR="00FE1775">
              <w:rPr>
                <w:sz w:val="20"/>
              </w:rPr>
              <w:t>s</w:t>
            </w:r>
            <w:r w:rsidR="00BB7CB3" w:rsidRPr="00BB7CB3">
              <w:rPr>
                <w:sz w:val="20"/>
              </w:rPr>
              <w:t>/technologies de l'information et de la communication dans le contrôle et la gestion des situations d'urgence et de catastrophe pour l'alerte rapide, la prévention, l'atténuation des effets des catastrophes et les opérations de secours</w:t>
            </w:r>
          </w:p>
        </w:tc>
      </w:tr>
      <w:tr w:rsidR="00FD54DD" w:rsidRPr="00BB7CB3" w:rsidTr="00BB7CB3">
        <w:trPr>
          <w:cantSplit/>
        </w:trPr>
        <w:tc>
          <w:tcPr>
            <w:tcW w:w="3129" w:type="dxa"/>
          </w:tcPr>
          <w:p w:rsidR="00FD54DD" w:rsidRPr="001C7BA2" w:rsidRDefault="00FD54DD" w:rsidP="00B675AB">
            <w:pPr>
              <w:spacing w:before="0"/>
              <w:rPr>
                <w:rFonts w:cs="Calibri"/>
                <w:b/>
                <w:bCs/>
                <w:sz w:val="20"/>
              </w:rPr>
            </w:pPr>
            <w:r>
              <w:rPr>
                <w:rFonts w:cs="Calibri"/>
                <w:b/>
                <w:bCs/>
                <w:sz w:val="20"/>
              </w:rPr>
              <w:t xml:space="preserve">Add.1 </w:t>
            </w:r>
            <w:r w:rsidR="0030529F">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13</w:t>
            </w:r>
          </w:p>
        </w:tc>
        <w:tc>
          <w:tcPr>
            <w:tcW w:w="8140" w:type="dxa"/>
            <w:shd w:val="clear" w:color="auto" w:fill="auto"/>
          </w:tcPr>
          <w:p w:rsidR="00FD54DD" w:rsidRPr="00BB7CB3" w:rsidRDefault="007D6E8C" w:rsidP="00B675AB">
            <w:pPr>
              <w:spacing w:before="0"/>
              <w:rPr>
                <w:rFonts w:cs="Calibri"/>
                <w:sz w:val="20"/>
                <w:lang w:val="fr-CH" w:eastAsia="ko-KR"/>
              </w:rPr>
            </w:pPr>
            <w:r>
              <w:rPr>
                <w:rFonts w:cs="Calibri"/>
                <w:sz w:val="20"/>
                <w:lang w:val="fr-CH" w:eastAsia="ko-KR"/>
              </w:rPr>
              <w:t>Modification (</w:t>
            </w:r>
            <w:r w:rsidRPr="002B64AD">
              <w:rPr>
                <w:rFonts w:cs="Calibri"/>
                <w:sz w:val="20"/>
                <w:lang w:val="fr-CH" w:eastAsia="ko-KR"/>
              </w:rPr>
              <w:t>MOD</w:t>
            </w:r>
            <w:r>
              <w:rPr>
                <w:rFonts w:cs="Calibri"/>
                <w:sz w:val="20"/>
                <w:lang w:val="fr-CH" w:eastAsia="ko-KR"/>
              </w:rPr>
              <w:t>)</w:t>
            </w:r>
            <w:r w:rsidRPr="002B64AD">
              <w:rPr>
                <w:rFonts w:cs="Calibri"/>
                <w:sz w:val="20"/>
                <w:lang w:val="fr-CH" w:eastAsia="ko-KR"/>
              </w:rPr>
              <w:t xml:space="preserve"> </w:t>
            </w:r>
            <w:r>
              <w:rPr>
                <w:rFonts w:cs="Calibri"/>
                <w:sz w:val="20"/>
                <w:lang w:val="fr-CH" w:eastAsia="ko-KR"/>
              </w:rPr>
              <w:t>de la</w:t>
            </w:r>
            <w:r w:rsidRPr="002B64AD">
              <w:rPr>
                <w:rFonts w:cs="Calibri"/>
                <w:sz w:val="20"/>
                <w:lang w:val="fr-CH" w:eastAsia="ko-KR"/>
              </w:rPr>
              <w:t xml:space="preserve"> </w:t>
            </w:r>
            <w:r w:rsidR="00FD54DD" w:rsidRPr="00BB7CB3">
              <w:rPr>
                <w:rFonts w:cs="Calibri"/>
                <w:sz w:val="20"/>
                <w:lang w:val="fr-CH" w:eastAsia="ko-KR"/>
              </w:rPr>
              <w:t>R</w:t>
            </w:r>
            <w:r w:rsidR="00BB7CB3">
              <w:rPr>
                <w:rFonts w:cs="Calibri"/>
                <w:sz w:val="20"/>
                <w:lang w:val="fr-CH" w:eastAsia="ko-KR"/>
              </w:rPr>
              <w:t>é</w:t>
            </w:r>
            <w:r w:rsidR="00FD54DD" w:rsidRPr="00BB7CB3">
              <w:rPr>
                <w:rFonts w:cs="Calibri"/>
                <w:sz w:val="20"/>
                <w:lang w:val="fr-CH" w:eastAsia="ko-KR"/>
              </w:rPr>
              <w:t>solution 137 (R</w:t>
            </w:r>
            <w:r w:rsidR="00BB7CB3">
              <w:rPr>
                <w:rFonts w:cs="Calibri"/>
                <w:sz w:val="20"/>
                <w:lang w:val="fr-CH" w:eastAsia="ko-KR"/>
              </w:rPr>
              <w:t>é</w:t>
            </w:r>
            <w:r w:rsidR="00FD54DD" w:rsidRPr="00BB7CB3">
              <w:rPr>
                <w:rFonts w:cs="Calibri"/>
                <w:sz w:val="20"/>
                <w:lang w:val="fr-CH" w:eastAsia="ko-KR"/>
              </w:rPr>
              <w:t xml:space="preserve">v. Guadalajara, 2010) – </w:t>
            </w:r>
            <w:r w:rsidR="00BB7CB3" w:rsidRPr="00BB7CB3">
              <w:rPr>
                <w:sz w:val="20"/>
              </w:rPr>
              <w:t>Déploiement de réseaux de prochaine génération dans les pays en développement</w:t>
            </w:r>
          </w:p>
        </w:tc>
      </w:tr>
      <w:tr w:rsidR="00FD54DD" w:rsidRPr="00BB7CB3" w:rsidTr="00BB7CB3">
        <w:trPr>
          <w:cantSplit/>
        </w:trPr>
        <w:tc>
          <w:tcPr>
            <w:tcW w:w="3129" w:type="dxa"/>
          </w:tcPr>
          <w:p w:rsidR="00FD54DD" w:rsidRPr="001C7BA2" w:rsidRDefault="00FD54DD" w:rsidP="00B675AB">
            <w:pPr>
              <w:spacing w:before="0"/>
              <w:rPr>
                <w:rFonts w:cs="Calibri"/>
                <w:b/>
                <w:bCs/>
                <w:sz w:val="20"/>
              </w:rPr>
            </w:pPr>
            <w:r>
              <w:rPr>
                <w:rFonts w:cs="Calibri"/>
                <w:b/>
                <w:bCs/>
                <w:sz w:val="20"/>
              </w:rPr>
              <w:t xml:space="preserve">Add.1 </w:t>
            </w:r>
            <w:r w:rsidR="0030529F">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14</w:t>
            </w:r>
          </w:p>
        </w:tc>
        <w:tc>
          <w:tcPr>
            <w:tcW w:w="8140" w:type="dxa"/>
            <w:shd w:val="clear" w:color="auto" w:fill="auto"/>
          </w:tcPr>
          <w:p w:rsidR="00FD54DD" w:rsidRPr="00BB7CB3" w:rsidRDefault="007D6E8C" w:rsidP="00B675AB">
            <w:pPr>
              <w:spacing w:before="0"/>
              <w:rPr>
                <w:rFonts w:cs="Calibri"/>
                <w:sz w:val="20"/>
                <w:lang w:val="fr-CH" w:eastAsia="ko-KR"/>
              </w:rPr>
            </w:pPr>
            <w:r>
              <w:rPr>
                <w:rFonts w:cs="Calibri"/>
                <w:sz w:val="20"/>
                <w:lang w:val="fr-CH" w:eastAsia="ko-KR"/>
              </w:rPr>
              <w:t>Modification (</w:t>
            </w:r>
            <w:r w:rsidRPr="002B64AD">
              <w:rPr>
                <w:rFonts w:cs="Calibri"/>
                <w:sz w:val="20"/>
                <w:lang w:val="fr-CH" w:eastAsia="ko-KR"/>
              </w:rPr>
              <w:t>MOD</w:t>
            </w:r>
            <w:r>
              <w:rPr>
                <w:rFonts w:cs="Calibri"/>
                <w:sz w:val="20"/>
                <w:lang w:val="fr-CH" w:eastAsia="ko-KR"/>
              </w:rPr>
              <w:t>)</w:t>
            </w:r>
            <w:r w:rsidRPr="002B64AD">
              <w:rPr>
                <w:rFonts w:cs="Calibri"/>
                <w:sz w:val="20"/>
                <w:lang w:val="fr-CH" w:eastAsia="ko-KR"/>
              </w:rPr>
              <w:t xml:space="preserve"> </w:t>
            </w:r>
            <w:r>
              <w:rPr>
                <w:rFonts w:cs="Calibri"/>
                <w:sz w:val="20"/>
                <w:lang w:val="fr-CH" w:eastAsia="ko-KR"/>
              </w:rPr>
              <w:t>de la</w:t>
            </w:r>
            <w:r w:rsidRPr="002B64AD">
              <w:rPr>
                <w:rFonts w:cs="Calibri"/>
                <w:sz w:val="20"/>
                <w:lang w:val="fr-CH" w:eastAsia="ko-KR"/>
              </w:rPr>
              <w:t xml:space="preserve"> </w:t>
            </w:r>
            <w:r w:rsidR="00FD54DD" w:rsidRPr="00BB7CB3">
              <w:rPr>
                <w:rFonts w:cs="Calibri"/>
                <w:sz w:val="20"/>
                <w:lang w:val="fr-CH" w:eastAsia="ko-KR"/>
              </w:rPr>
              <w:t>R</w:t>
            </w:r>
            <w:r w:rsidR="00BB7CB3" w:rsidRPr="00BB7CB3">
              <w:rPr>
                <w:rFonts w:cs="Calibri"/>
                <w:sz w:val="20"/>
                <w:lang w:val="fr-CH" w:eastAsia="ko-KR"/>
              </w:rPr>
              <w:t>é</w:t>
            </w:r>
            <w:r w:rsidR="00FD54DD" w:rsidRPr="00BB7CB3">
              <w:rPr>
                <w:rFonts w:cs="Calibri"/>
                <w:sz w:val="20"/>
                <w:lang w:val="fr-CH" w:eastAsia="ko-KR"/>
              </w:rPr>
              <w:t xml:space="preserve">solution 162 (Guadalajara, 2010) – </w:t>
            </w:r>
            <w:r w:rsidR="00BB7CB3" w:rsidRPr="00BB7CB3">
              <w:rPr>
                <w:sz w:val="20"/>
              </w:rPr>
              <w:t>Comité consultatif indépendant pour les questions de gestion</w:t>
            </w:r>
          </w:p>
        </w:tc>
      </w:tr>
      <w:tr w:rsidR="00FD54DD" w:rsidRPr="00BB7CB3" w:rsidTr="00BB7CB3">
        <w:trPr>
          <w:cantSplit/>
        </w:trPr>
        <w:tc>
          <w:tcPr>
            <w:tcW w:w="3129" w:type="dxa"/>
          </w:tcPr>
          <w:p w:rsidR="00FD54DD" w:rsidRPr="00BB7CB3" w:rsidRDefault="00FD54DD" w:rsidP="00B675AB">
            <w:pPr>
              <w:spacing w:before="0"/>
              <w:rPr>
                <w:rFonts w:cs="Calibri"/>
                <w:b/>
                <w:bCs/>
                <w:sz w:val="20"/>
                <w:lang w:val="en-US"/>
              </w:rPr>
            </w:pPr>
            <w:r w:rsidRPr="00BB7CB3">
              <w:rPr>
                <w:rFonts w:cs="Calibri"/>
                <w:b/>
                <w:bCs/>
                <w:sz w:val="20"/>
                <w:lang w:val="en-US"/>
              </w:rPr>
              <w:t xml:space="preserve">Add.1 </w:t>
            </w:r>
            <w:r w:rsidR="0030529F">
              <w:rPr>
                <w:rFonts w:cs="Calibri"/>
                <w:b/>
                <w:bCs/>
                <w:sz w:val="20"/>
              </w:rPr>
              <w:t>au</w:t>
            </w:r>
            <w:r w:rsidRPr="00BB7CB3">
              <w:rPr>
                <w:rFonts w:cs="Calibri"/>
                <w:b/>
                <w:bCs/>
                <w:sz w:val="20"/>
                <w:lang w:val="en-US"/>
              </w:rPr>
              <w:t xml:space="preserve"> Document 67</w:t>
            </w:r>
          </w:p>
        </w:tc>
        <w:tc>
          <w:tcPr>
            <w:tcW w:w="2906" w:type="dxa"/>
          </w:tcPr>
          <w:p w:rsidR="00FD54DD" w:rsidRPr="00BB7CB3" w:rsidRDefault="00FD54DD" w:rsidP="00B675AB">
            <w:pPr>
              <w:spacing w:before="0"/>
              <w:rPr>
                <w:rFonts w:cs="Calibri"/>
                <w:b/>
                <w:bCs/>
                <w:sz w:val="20"/>
                <w:lang w:val="en-US"/>
              </w:rPr>
            </w:pPr>
            <w:r w:rsidRPr="00BB7CB3">
              <w:rPr>
                <w:rFonts w:cs="Calibri"/>
                <w:b/>
                <w:bCs/>
                <w:sz w:val="20"/>
                <w:lang w:val="en-US"/>
              </w:rPr>
              <w:t>ACP/67A1/15</w:t>
            </w:r>
          </w:p>
        </w:tc>
        <w:tc>
          <w:tcPr>
            <w:tcW w:w="8140" w:type="dxa"/>
            <w:shd w:val="clear" w:color="auto" w:fill="auto"/>
          </w:tcPr>
          <w:p w:rsidR="00FD54DD" w:rsidRPr="00BB7CB3" w:rsidRDefault="007D6E8C" w:rsidP="00B675AB">
            <w:pPr>
              <w:spacing w:before="0"/>
              <w:rPr>
                <w:rFonts w:cs="Calibri"/>
                <w:sz w:val="20"/>
                <w:lang w:val="fr-CH" w:eastAsia="ko-KR"/>
              </w:rPr>
            </w:pPr>
            <w:r>
              <w:rPr>
                <w:rFonts w:cs="Calibri"/>
                <w:sz w:val="20"/>
                <w:lang w:val="fr-CH" w:eastAsia="ko-KR"/>
              </w:rPr>
              <w:t>Modification (</w:t>
            </w:r>
            <w:r w:rsidRPr="002B64AD">
              <w:rPr>
                <w:rFonts w:cs="Calibri"/>
                <w:sz w:val="20"/>
                <w:lang w:val="fr-CH" w:eastAsia="ko-KR"/>
              </w:rPr>
              <w:t>MOD</w:t>
            </w:r>
            <w:r>
              <w:rPr>
                <w:rFonts w:cs="Calibri"/>
                <w:sz w:val="20"/>
                <w:lang w:val="fr-CH" w:eastAsia="ko-KR"/>
              </w:rPr>
              <w:t>)</w:t>
            </w:r>
            <w:r w:rsidRPr="002B64AD">
              <w:rPr>
                <w:rFonts w:cs="Calibri"/>
                <w:sz w:val="20"/>
                <w:lang w:val="fr-CH" w:eastAsia="ko-KR"/>
              </w:rPr>
              <w:t xml:space="preserve"> </w:t>
            </w:r>
            <w:r>
              <w:rPr>
                <w:rFonts w:cs="Calibri"/>
                <w:sz w:val="20"/>
                <w:lang w:val="fr-CH" w:eastAsia="ko-KR"/>
              </w:rPr>
              <w:t>de la</w:t>
            </w:r>
            <w:r w:rsidRPr="002B64AD">
              <w:rPr>
                <w:rFonts w:cs="Calibri"/>
                <w:sz w:val="20"/>
                <w:lang w:val="fr-CH" w:eastAsia="ko-KR"/>
              </w:rPr>
              <w:t xml:space="preserve"> </w:t>
            </w:r>
            <w:r w:rsidR="00FD54DD" w:rsidRPr="00BB7CB3">
              <w:rPr>
                <w:rFonts w:cs="Calibri"/>
                <w:sz w:val="20"/>
                <w:lang w:val="fr-CH" w:eastAsia="ko-KR"/>
              </w:rPr>
              <w:t>R</w:t>
            </w:r>
            <w:r w:rsidR="00BB7CB3">
              <w:rPr>
                <w:rFonts w:cs="Calibri"/>
                <w:sz w:val="20"/>
                <w:lang w:val="fr-CH" w:eastAsia="ko-KR"/>
              </w:rPr>
              <w:t>é</w:t>
            </w:r>
            <w:r w:rsidR="00FD54DD" w:rsidRPr="00BB7CB3">
              <w:rPr>
                <w:rFonts w:cs="Calibri"/>
                <w:sz w:val="20"/>
                <w:lang w:val="fr-CH" w:eastAsia="ko-KR"/>
              </w:rPr>
              <w:t xml:space="preserve">solution 176 (Guadalajara, 2010) – </w:t>
            </w:r>
            <w:r w:rsidR="00BB7CB3" w:rsidRPr="00BB7CB3">
              <w:rPr>
                <w:sz w:val="20"/>
              </w:rPr>
              <w:t>Exposition des personnes aux champs électromagnétiques</w:t>
            </w:r>
            <w:r w:rsidR="00BB7CB3">
              <w:rPr>
                <w:sz w:val="20"/>
              </w:rPr>
              <w:t xml:space="preserve"> </w:t>
            </w:r>
            <w:r w:rsidR="00BB7CB3" w:rsidRPr="00BB7CB3">
              <w:rPr>
                <w:sz w:val="20"/>
              </w:rPr>
              <w:t>et mesure de ces champs</w:t>
            </w:r>
          </w:p>
        </w:tc>
      </w:tr>
      <w:tr w:rsidR="00FD54DD" w:rsidRPr="00BB7CB3" w:rsidTr="00BB7CB3">
        <w:trPr>
          <w:cantSplit/>
        </w:trPr>
        <w:tc>
          <w:tcPr>
            <w:tcW w:w="3129" w:type="dxa"/>
          </w:tcPr>
          <w:p w:rsidR="00FD54DD" w:rsidRPr="001C7BA2" w:rsidRDefault="00FD54DD" w:rsidP="00B675AB">
            <w:pPr>
              <w:spacing w:before="0"/>
              <w:rPr>
                <w:rFonts w:cs="Calibri"/>
                <w:b/>
                <w:bCs/>
                <w:sz w:val="20"/>
              </w:rPr>
            </w:pPr>
            <w:r>
              <w:rPr>
                <w:rFonts w:cs="Calibri"/>
                <w:b/>
                <w:bCs/>
                <w:sz w:val="20"/>
              </w:rPr>
              <w:t xml:space="preserve">Add.1 </w:t>
            </w:r>
            <w:r w:rsidR="0030529F">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16</w:t>
            </w:r>
          </w:p>
        </w:tc>
        <w:tc>
          <w:tcPr>
            <w:tcW w:w="8140" w:type="dxa"/>
            <w:shd w:val="clear" w:color="auto" w:fill="auto"/>
          </w:tcPr>
          <w:p w:rsidR="00FD54DD" w:rsidRPr="00BB7CB3" w:rsidRDefault="007D6E8C" w:rsidP="00B675AB">
            <w:pPr>
              <w:spacing w:before="0"/>
              <w:rPr>
                <w:rFonts w:cs="Calibri"/>
                <w:sz w:val="20"/>
                <w:lang w:val="fr-CH" w:eastAsia="ko-KR"/>
              </w:rPr>
            </w:pPr>
            <w:r>
              <w:rPr>
                <w:rFonts w:cs="Calibri"/>
                <w:sz w:val="20"/>
                <w:lang w:val="fr-CH" w:eastAsia="ko-KR"/>
              </w:rPr>
              <w:t>Modification (</w:t>
            </w:r>
            <w:r w:rsidRPr="002B64AD">
              <w:rPr>
                <w:rFonts w:cs="Calibri"/>
                <w:sz w:val="20"/>
                <w:lang w:val="fr-CH" w:eastAsia="ko-KR"/>
              </w:rPr>
              <w:t>MOD</w:t>
            </w:r>
            <w:r>
              <w:rPr>
                <w:rFonts w:cs="Calibri"/>
                <w:sz w:val="20"/>
                <w:lang w:val="fr-CH" w:eastAsia="ko-KR"/>
              </w:rPr>
              <w:t>)</w:t>
            </w:r>
            <w:r w:rsidRPr="002B64AD">
              <w:rPr>
                <w:rFonts w:cs="Calibri"/>
                <w:sz w:val="20"/>
                <w:lang w:val="fr-CH" w:eastAsia="ko-KR"/>
              </w:rPr>
              <w:t xml:space="preserve"> </w:t>
            </w:r>
            <w:r>
              <w:rPr>
                <w:rFonts w:cs="Calibri"/>
                <w:sz w:val="20"/>
                <w:lang w:val="fr-CH" w:eastAsia="ko-KR"/>
              </w:rPr>
              <w:t>de la</w:t>
            </w:r>
            <w:r w:rsidRPr="002B64AD">
              <w:rPr>
                <w:rFonts w:cs="Calibri"/>
                <w:sz w:val="20"/>
                <w:lang w:val="fr-CH" w:eastAsia="ko-KR"/>
              </w:rPr>
              <w:t xml:space="preserve"> </w:t>
            </w:r>
            <w:r w:rsidR="00FD54DD" w:rsidRPr="00BB7CB3">
              <w:rPr>
                <w:rFonts w:cs="Calibri"/>
                <w:sz w:val="20"/>
                <w:lang w:val="fr-CH" w:eastAsia="ko-KR"/>
              </w:rPr>
              <w:t>R</w:t>
            </w:r>
            <w:r w:rsidR="00BB7CB3" w:rsidRPr="00BB7CB3">
              <w:rPr>
                <w:rFonts w:cs="Calibri"/>
                <w:sz w:val="20"/>
                <w:lang w:val="fr-CH" w:eastAsia="ko-KR"/>
              </w:rPr>
              <w:t>é</w:t>
            </w:r>
            <w:r w:rsidR="00FD54DD" w:rsidRPr="00BB7CB3">
              <w:rPr>
                <w:rFonts w:cs="Calibri"/>
                <w:sz w:val="20"/>
                <w:lang w:val="fr-CH" w:eastAsia="ko-KR"/>
              </w:rPr>
              <w:t xml:space="preserve">solution 182 (Guadalajara, 2010) – </w:t>
            </w:r>
            <w:r w:rsidR="00BB7CB3" w:rsidRPr="00BB7CB3">
              <w:rPr>
                <w:sz w:val="20"/>
              </w:rPr>
              <w:t>Rôle des télécommunications/technologies de l'information et de</w:t>
            </w:r>
            <w:r w:rsidR="00BB7CB3">
              <w:rPr>
                <w:sz w:val="20"/>
              </w:rPr>
              <w:t xml:space="preserve"> </w:t>
            </w:r>
            <w:r w:rsidR="00BB7CB3" w:rsidRPr="00BB7CB3">
              <w:rPr>
                <w:sz w:val="20"/>
              </w:rPr>
              <w:t>la communication en ce qui concerne les changements climatiques et la protection de l'environnement</w:t>
            </w:r>
          </w:p>
        </w:tc>
      </w:tr>
      <w:tr w:rsidR="00FD54DD" w:rsidRPr="00BB7CB3" w:rsidTr="00BB7CB3">
        <w:trPr>
          <w:cantSplit/>
        </w:trPr>
        <w:tc>
          <w:tcPr>
            <w:tcW w:w="3129" w:type="dxa"/>
          </w:tcPr>
          <w:p w:rsidR="00FD54DD" w:rsidRPr="00BB7CB3" w:rsidRDefault="00FD54DD" w:rsidP="00B675AB">
            <w:pPr>
              <w:spacing w:before="0"/>
              <w:rPr>
                <w:rFonts w:cs="Calibri"/>
                <w:b/>
                <w:bCs/>
                <w:sz w:val="20"/>
                <w:lang w:val="en-US"/>
              </w:rPr>
            </w:pPr>
            <w:r w:rsidRPr="00BB7CB3">
              <w:rPr>
                <w:rFonts w:cs="Calibri"/>
                <w:b/>
                <w:bCs/>
                <w:sz w:val="20"/>
                <w:lang w:val="en-US"/>
              </w:rPr>
              <w:t xml:space="preserve">Add.1 </w:t>
            </w:r>
            <w:r w:rsidR="0030529F">
              <w:rPr>
                <w:rFonts w:cs="Calibri"/>
                <w:b/>
                <w:bCs/>
                <w:sz w:val="20"/>
              </w:rPr>
              <w:t>au</w:t>
            </w:r>
            <w:r w:rsidRPr="00BB7CB3">
              <w:rPr>
                <w:rFonts w:cs="Calibri"/>
                <w:b/>
                <w:bCs/>
                <w:sz w:val="20"/>
                <w:lang w:val="en-US"/>
              </w:rPr>
              <w:t xml:space="preserve"> Document 67</w:t>
            </w:r>
          </w:p>
        </w:tc>
        <w:tc>
          <w:tcPr>
            <w:tcW w:w="2906" w:type="dxa"/>
          </w:tcPr>
          <w:p w:rsidR="00FD54DD" w:rsidRPr="00BB7CB3" w:rsidRDefault="00FD54DD" w:rsidP="00B675AB">
            <w:pPr>
              <w:spacing w:before="0"/>
              <w:rPr>
                <w:rFonts w:cs="Calibri"/>
                <w:b/>
                <w:bCs/>
                <w:sz w:val="20"/>
                <w:lang w:val="en-US"/>
              </w:rPr>
            </w:pPr>
            <w:r w:rsidRPr="00BB7CB3">
              <w:rPr>
                <w:rFonts w:cs="Calibri"/>
                <w:b/>
                <w:bCs/>
                <w:sz w:val="20"/>
                <w:lang w:val="en-US"/>
              </w:rPr>
              <w:t>ACP/67A1/17</w:t>
            </w:r>
          </w:p>
        </w:tc>
        <w:tc>
          <w:tcPr>
            <w:tcW w:w="8140" w:type="dxa"/>
            <w:shd w:val="clear" w:color="auto" w:fill="auto"/>
          </w:tcPr>
          <w:p w:rsidR="00FD54DD" w:rsidRPr="00BB7CB3" w:rsidRDefault="00FD54DD" w:rsidP="00B675AB">
            <w:pPr>
              <w:spacing w:before="0"/>
              <w:rPr>
                <w:rFonts w:cs="Calibri"/>
                <w:sz w:val="20"/>
                <w:lang w:val="fr-CH" w:eastAsia="ko-KR"/>
              </w:rPr>
            </w:pPr>
            <w:r w:rsidRPr="00BB7CB3">
              <w:rPr>
                <w:rFonts w:cs="Calibri"/>
                <w:sz w:val="20"/>
                <w:lang w:val="fr-CH" w:eastAsia="ko-KR"/>
              </w:rPr>
              <w:t xml:space="preserve">ADD </w:t>
            </w:r>
            <w:r w:rsidR="00BB7CB3">
              <w:rPr>
                <w:rFonts w:cs="Calibri"/>
                <w:sz w:val="20"/>
                <w:lang w:val="fr-CH" w:eastAsia="ko-KR"/>
              </w:rPr>
              <w:t>Projet de nouvelle</w:t>
            </w:r>
            <w:r w:rsidRPr="00BB7CB3">
              <w:rPr>
                <w:rFonts w:cs="Calibri"/>
                <w:sz w:val="20"/>
                <w:lang w:val="fr-CH" w:eastAsia="ko-KR"/>
              </w:rPr>
              <w:t xml:space="preserve"> R</w:t>
            </w:r>
            <w:r w:rsidR="00BB7CB3">
              <w:rPr>
                <w:rFonts w:cs="Calibri"/>
                <w:sz w:val="20"/>
                <w:lang w:val="fr-CH" w:eastAsia="ko-KR"/>
              </w:rPr>
              <w:t>é</w:t>
            </w:r>
            <w:r w:rsidRPr="00BB7CB3">
              <w:rPr>
                <w:rFonts w:cs="Calibri"/>
                <w:sz w:val="20"/>
                <w:lang w:val="fr-CH" w:eastAsia="ko-KR"/>
              </w:rPr>
              <w:t xml:space="preserve">solution [ACP-1] – </w:t>
            </w:r>
            <w:r w:rsidR="00BB7CB3" w:rsidRPr="00BB7CB3">
              <w:rPr>
                <w:rFonts w:eastAsiaTheme="minorEastAsia"/>
                <w:noProof/>
                <w:sz w:val="20"/>
                <w:lang w:eastAsia="ko-KR"/>
              </w:rPr>
              <w:t>Tirer parti des avantages de la convergence grâce à l'utilisation des applications des TIC</w:t>
            </w:r>
            <w:r w:rsidR="00BB7CB3" w:rsidRPr="00E31B64">
              <w:rPr>
                <w:rFonts w:eastAsiaTheme="minorEastAsia"/>
                <w:noProof/>
                <w:lang w:eastAsia="ko-KR"/>
              </w:rPr>
              <w:t xml:space="preserve"> </w:t>
            </w:r>
          </w:p>
        </w:tc>
      </w:tr>
      <w:tr w:rsidR="00FD54DD" w:rsidRPr="00BB7CB3" w:rsidTr="00BB7CB3">
        <w:trPr>
          <w:cantSplit/>
        </w:trPr>
        <w:tc>
          <w:tcPr>
            <w:tcW w:w="3129" w:type="dxa"/>
          </w:tcPr>
          <w:p w:rsidR="00FD54DD" w:rsidRPr="001C7BA2" w:rsidRDefault="00FD54DD" w:rsidP="00B675AB">
            <w:pPr>
              <w:spacing w:before="0"/>
              <w:rPr>
                <w:rFonts w:cs="Calibri"/>
                <w:b/>
                <w:bCs/>
                <w:sz w:val="20"/>
              </w:rPr>
            </w:pPr>
            <w:r>
              <w:rPr>
                <w:rFonts w:cs="Calibri"/>
                <w:b/>
                <w:bCs/>
                <w:sz w:val="20"/>
              </w:rPr>
              <w:t xml:space="preserve">Add.1 </w:t>
            </w:r>
            <w:r w:rsidR="0030529F">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18</w:t>
            </w:r>
          </w:p>
        </w:tc>
        <w:tc>
          <w:tcPr>
            <w:tcW w:w="8140" w:type="dxa"/>
            <w:shd w:val="clear" w:color="auto" w:fill="auto"/>
          </w:tcPr>
          <w:p w:rsidR="00FD54DD" w:rsidRPr="00BB7CB3" w:rsidRDefault="00FD54DD" w:rsidP="00B675AB">
            <w:pPr>
              <w:spacing w:before="0"/>
              <w:rPr>
                <w:rFonts w:cs="Calibri"/>
                <w:sz w:val="20"/>
                <w:lang w:val="fr-CH" w:eastAsia="ko-KR"/>
              </w:rPr>
            </w:pPr>
            <w:r w:rsidRPr="00BB7CB3">
              <w:rPr>
                <w:rFonts w:cs="Calibri"/>
                <w:sz w:val="20"/>
                <w:lang w:val="fr-CH" w:eastAsia="ko-KR"/>
              </w:rPr>
              <w:t xml:space="preserve">ADD </w:t>
            </w:r>
            <w:r w:rsidR="00BB7CB3">
              <w:rPr>
                <w:rFonts w:cs="Calibri"/>
                <w:sz w:val="20"/>
                <w:lang w:val="fr-CH" w:eastAsia="ko-KR"/>
              </w:rPr>
              <w:t>Projet de nouvelle</w:t>
            </w:r>
            <w:r w:rsidR="00BB7CB3" w:rsidRPr="00BB7CB3">
              <w:rPr>
                <w:rFonts w:cs="Calibri"/>
                <w:sz w:val="20"/>
                <w:lang w:val="fr-CH" w:eastAsia="ko-KR"/>
              </w:rPr>
              <w:t xml:space="preserve"> </w:t>
            </w:r>
            <w:r w:rsidRPr="00BB7CB3">
              <w:rPr>
                <w:rFonts w:cs="Calibri"/>
                <w:sz w:val="20"/>
                <w:lang w:val="fr-CH" w:eastAsia="ko-KR"/>
              </w:rPr>
              <w:t>R</w:t>
            </w:r>
            <w:r w:rsidR="00BB7CB3">
              <w:rPr>
                <w:rFonts w:cs="Calibri"/>
                <w:sz w:val="20"/>
                <w:lang w:val="fr-CH" w:eastAsia="ko-KR"/>
              </w:rPr>
              <w:t>é</w:t>
            </w:r>
            <w:r w:rsidRPr="00BB7CB3">
              <w:rPr>
                <w:rFonts w:cs="Calibri"/>
                <w:sz w:val="20"/>
                <w:lang w:val="fr-CH" w:eastAsia="ko-KR"/>
              </w:rPr>
              <w:t xml:space="preserve">solution [ACP-2] – </w:t>
            </w:r>
            <w:r w:rsidR="00BB7CB3" w:rsidRPr="00BB7CB3">
              <w:rPr>
                <w:rFonts w:eastAsiaTheme="minorEastAsia"/>
                <w:noProof/>
                <w:sz w:val="20"/>
                <w:lang w:eastAsia="ko-KR"/>
              </w:rPr>
              <w:t>Faciliter l'avènement de l'Internet des objets (IoT) dans la perspective d'un monde global interconnecté</w:t>
            </w:r>
          </w:p>
        </w:tc>
      </w:tr>
      <w:tr w:rsidR="00FD54DD" w:rsidRPr="00BB7CB3" w:rsidTr="00BB7CB3">
        <w:trPr>
          <w:cantSplit/>
        </w:trPr>
        <w:tc>
          <w:tcPr>
            <w:tcW w:w="3129" w:type="dxa"/>
          </w:tcPr>
          <w:p w:rsidR="00FD54DD" w:rsidRPr="001C7BA2" w:rsidRDefault="00FD54DD" w:rsidP="00B675AB">
            <w:pPr>
              <w:spacing w:before="0"/>
              <w:rPr>
                <w:rFonts w:cs="Calibri"/>
                <w:b/>
                <w:bCs/>
                <w:sz w:val="20"/>
              </w:rPr>
            </w:pPr>
            <w:r>
              <w:rPr>
                <w:rFonts w:cs="Calibri"/>
                <w:b/>
                <w:bCs/>
                <w:sz w:val="20"/>
              </w:rPr>
              <w:t xml:space="preserve">Add.1 </w:t>
            </w:r>
            <w:r w:rsidR="0030529F">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19</w:t>
            </w:r>
          </w:p>
        </w:tc>
        <w:tc>
          <w:tcPr>
            <w:tcW w:w="8140" w:type="dxa"/>
            <w:shd w:val="clear" w:color="auto" w:fill="auto"/>
          </w:tcPr>
          <w:p w:rsidR="00FD54DD" w:rsidRPr="00BB7CB3" w:rsidRDefault="00BB7CB3" w:rsidP="00B675AB">
            <w:pPr>
              <w:spacing w:before="0"/>
              <w:rPr>
                <w:rFonts w:cs="Calibri"/>
                <w:sz w:val="20"/>
                <w:lang w:val="fr-CH" w:eastAsia="ko-KR"/>
              </w:rPr>
            </w:pPr>
            <w:r w:rsidRPr="00BB7CB3">
              <w:rPr>
                <w:sz w:val="20"/>
                <w:lang w:eastAsia="ko-KR"/>
              </w:rPr>
              <w:t xml:space="preserve">Définition de travail du sigle </w:t>
            </w:r>
            <w:r w:rsidRPr="00BB7CB3">
              <w:rPr>
                <w:rFonts w:asciiTheme="minorHAnsi" w:hAnsiTheme="minorHAnsi"/>
                <w:sz w:val="20"/>
                <w:lang w:eastAsia="zh-CN"/>
              </w:rPr>
              <w:t>"TIC"</w:t>
            </w:r>
          </w:p>
        </w:tc>
      </w:tr>
      <w:tr w:rsidR="00FD54DD" w:rsidRPr="00005513" w:rsidTr="00BB7CB3">
        <w:trPr>
          <w:cantSplit/>
        </w:trPr>
        <w:tc>
          <w:tcPr>
            <w:tcW w:w="3129" w:type="dxa"/>
          </w:tcPr>
          <w:p w:rsidR="00FD54DD" w:rsidRPr="001C7BA2" w:rsidRDefault="00FD54DD" w:rsidP="00B675AB">
            <w:pPr>
              <w:spacing w:before="0"/>
              <w:rPr>
                <w:rFonts w:cs="Calibri"/>
                <w:b/>
                <w:bCs/>
                <w:sz w:val="20"/>
              </w:rPr>
            </w:pPr>
            <w:r>
              <w:rPr>
                <w:rFonts w:cs="Calibri"/>
                <w:b/>
                <w:bCs/>
                <w:sz w:val="20"/>
              </w:rPr>
              <w:t xml:space="preserve">Add.1 </w:t>
            </w:r>
            <w:r w:rsidR="0030529F">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20</w:t>
            </w:r>
          </w:p>
        </w:tc>
        <w:tc>
          <w:tcPr>
            <w:tcW w:w="8140" w:type="dxa"/>
            <w:shd w:val="clear" w:color="auto" w:fill="auto"/>
          </w:tcPr>
          <w:p w:rsidR="00FD54DD" w:rsidRPr="00005513" w:rsidRDefault="00F85B44" w:rsidP="00B675AB">
            <w:pPr>
              <w:spacing w:before="0"/>
              <w:rPr>
                <w:rFonts w:cs="Calibri"/>
                <w:sz w:val="20"/>
                <w:lang w:val="fr-CH" w:eastAsia="ko-KR"/>
              </w:rPr>
            </w:pPr>
            <w:r>
              <w:rPr>
                <w:sz w:val="20"/>
              </w:rPr>
              <w:t>N</w:t>
            </w:r>
            <w:r w:rsidR="00005513" w:rsidRPr="00005513">
              <w:rPr>
                <w:sz w:val="20"/>
              </w:rPr>
              <w:t>écessité de faciliter les opérations visant à compléter la surveillance terrestre par une surveillance continue des aéronefs par satellite</w:t>
            </w:r>
          </w:p>
        </w:tc>
      </w:tr>
      <w:tr w:rsidR="00FD54DD" w:rsidRPr="00005513" w:rsidTr="00BB7CB3">
        <w:trPr>
          <w:cantSplit/>
        </w:trPr>
        <w:tc>
          <w:tcPr>
            <w:tcW w:w="3129" w:type="dxa"/>
          </w:tcPr>
          <w:p w:rsidR="00FD54DD" w:rsidRDefault="00FD54DD" w:rsidP="00B675AB">
            <w:pPr>
              <w:spacing w:before="0"/>
              <w:rPr>
                <w:rFonts w:cs="Calibri"/>
                <w:b/>
                <w:bCs/>
                <w:sz w:val="20"/>
              </w:rPr>
            </w:pPr>
            <w:r>
              <w:rPr>
                <w:rFonts w:cs="Calibri"/>
                <w:b/>
                <w:bCs/>
                <w:sz w:val="20"/>
              </w:rPr>
              <w:t xml:space="preserve">Add.1 </w:t>
            </w:r>
            <w:r w:rsidR="0030529F">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67A1</w:t>
            </w:r>
            <w:r w:rsidRPr="001C7BA2">
              <w:rPr>
                <w:rFonts w:cs="Calibri"/>
                <w:b/>
                <w:bCs/>
                <w:sz w:val="20"/>
              </w:rPr>
              <w:t>/</w:t>
            </w:r>
            <w:r>
              <w:rPr>
                <w:rFonts w:cs="Calibri"/>
                <w:b/>
                <w:bCs/>
                <w:sz w:val="20"/>
              </w:rPr>
              <w:t>21</w:t>
            </w:r>
          </w:p>
        </w:tc>
        <w:tc>
          <w:tcPr>
            <w:tcW w:w="8140" w:type="dxa"/>
            <w:shd w:val="clear" w:color="auto" w:fill="auto"/>
          </w:tcPr>
          <w:p w:rsidR="00FD54DD" w:rsidRPr="00005513" w:rsidRDefault="00F85B44" w:rsidP="00B675AB">
            <w:pPr>
              <w:spacing w:before="0"/>
              <w:rPr>
                <w:rFonts w:cs="Calibri"/>
                <w:sz w:val="20"/>
                <w:lang w:val="fr-CH" w:eastAsia="ko-KR"/>
              </w:rPr>
            </w:pPr>
            <w:r>
              <w:rPr>
                <w:sz w:val="20"/>
              </w:rPr>
              <w:t>N</w:t>
            </w:r>
            <w:r w:rsidR="00005513" w:rsidRPr="00005513">
              <w:rPr>
                <w:sz w:val="20"/>
              </w:rPr>
              <w:t>écessité de faciliter les opérations visant à compléter la surveillance terrestre par une surveillance continue des aéronefs par satellite</w:t>
            </w:r>
          </w:p>
        </w:tc>
      </w:tr>
      <w:tr w:rsidR="00FD54DD" w:rsidRPr="00FD54DD" w:rsidTr="00BB7CB3">
        <w:trPr>
          <w:cantSplit/>
        </w:trPr>
        <w:tc>
          <w:tcPr>
            <w:tcW w:w="3129" w:type="dxa"/>
          </w:tcPr>
          <w:p w:rsidR="00FD54DD" w:rsidRDefault="00FD54DD" w:rsidP="00B675AB">
            <w:pPr>
              <w:spacing w:before="0"/>
              <w:rPr>
                <w:rFonts w:cs="Calibri"/>
                <w:b/>
                <w:bCs/>
                <w:sz w:val="20"/>
              </w:rPr>
            </w:pPr>
            <w:r>
              <w:rPr>
                <w:rFonts w:cs="Calibri"/>
                <w:b/>
                <w:bCs/>
                <w:sz w:val="20"/>
              </w:rPr>
              <w:t xml:space="preserve">Add.2 </w:t>
            </w:r>
            <w:r w:rsidR="007C3C9A">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67A2</w:t>
            </w:r>
            <w:r w:rsidRPr="001C7BA2">
              <w:rPr>
                <w:rFonts w:cs="Calibri"/>
                <w:b/>
                <w:bCs/>
                <w:sz w:val="20"/>
              </w:rPr>
              <w:t>/</w:t>
            </w:r>
            <w:r>
              <w:rPr>
                <w:rFonts w:cs="Calibri"/>
                <w:b/>
                <w:bCs/>
                <w:sz w:val="20"/>
              </w:rPr>
              <w:t>1</w:t>
            </w:r>
          </w:p>
        </w:tc>
        <w:tc>
          <w:tcPr>
            <w:tcW w:w="8140" w:type="dxa"/>
            <w:shd w:val="clear" w:color="auto" w:fill="auto"/>
          </w:tcPr>
          <w:p w:rsidR="00FD54DD" w:rsidRPr="00921B18" w:rsidRDefault="00921B18" w:rsidP="00B675AB">
            <w:pPr>
              <w:spacing w:before="0"/>
              <w:rPr>
                <w:rFonts w:cs="Calibri"/>
                <w:sz w:val="20"/>
                <w:lang w:val="fr-CH" w:eastAsia="ko-KR"/>
              </w:rPr>
            </w:pPr>
            <w:r w:rsidRPr="00DA0FA9">
              <w:rPr>
                <w:rFonts w:cs="Calibri"/>
                <w:sz w:val="20"/>
                <w:lang w:val="fr-CH" w:eastAsia="ko-KR"/>
              </w:rPr>
              <w:t>Pas de modification (</w:t>
            </w:r>
            <w:r w:rsidRPr="002B64AD">
              <w:rPr>
                <w:rFonts w:cs="Calibri"/>
                <w:sz w:val="20"/>
                <w:u w:val="single"/>
                <w:lang w:val="fr-CH" w:eastAsia="ko-KR"/>
              </w:rPr>
              <w:t>NOC</w:t>
            </w:r>
            <w:r>
              <w:rPr>
                <w:rFonts w:cs="Calibri"/>
                <w:sz w:val="20"/>
                <w:lang w:val="fr-CH" w:eastAsia="ko-KR"/>
              </w:rPr>
              <w:t>)</w:t>
            </w:r>
            <w:r w:rsidRPr="002B64AD">
              <w:rPr>
                <w:rFonts w:cs="Calibri"/>
                <w:sz w:val="20"/>
                <w:lang w:val="fr-CH" w:eastAsia="ko-KR"/>
              </w:rPr>
              <w:t xml:space="preserve"> </w:t>
            </w:r>
            <w:r>
              <w:rPr>
                <w:rFonts w:cs="Calibri"/>
                <w:sz w:val="20"/>
                <w:lang w:val="fr-CH" w:eastAsia="ko-KR"/>
              </w:rPr>
              <w:t xml:space="preserve">de la </w:t>
            </w:r>
            <w:r w:rsidR="00FD54DD" w:rsidRPr="00921B18">
              <w:rPr>
                <w:rFonts w:cs="Calibri"/>
                <w:sz w:val="20"/>
                <w:lang w:val="fr-CH" w:eastAsia="ko-KR"/>
              </w:rPr>
              <w:t xml:space="preserve">Constitution </w:t>
            </w:r>
            <w:r w:rsidR="00005513" w:rsidRPr="00921B18">
              <w:rPr>
                <w:rFonts w:cs="Calibri"/>
                <w:sz w:val="20"/>
                <w:lang w:val="fr-CH" w:eastAsia="ko-KR"/>
              </w:rPr>
              <w:t xml:space="preserve">de </w:t>
            </w:r>
            <w:r w:rsidR="00005513" w:rsidRPr="007C3C9A">
              <w:rPr>
                <w:rFonts w:cs="Calibri"/>
                <w:sz w:val="20"/>
                <w:lang w:val="fr-CH" w:eastAsia="ko-KR"/>
              </w:rPr>
              <w:t>l'UIT</w:t>
            </w:r>
          </w:p>
        </w:tc>
      </w:tr>
      <w:tr w:rsidR="00FD54DD" w:rsidRPr="00005513" w:rsidTr="00BB7CB3">
        <w:trPr>
          <w:cantSplit/>
        </w:trPr>
        <w:tc>
          <w:tcPr>
            <w:tcW w:w="3129" w:type="dxa"/>
          </w:tcPr>
          <w:p w:rsidR="00FD54DD" w:rsidRPr="00005513" w:rsidRDefault="00FD54DD" w:rsidP="00B675AB">
            <w:pPr>
              <w:spacing w:before="0"/>
              <w:rPr>
                <w:rFonts w:cs="Calibri"/>
                <w:b/>
                <w:bCs/>
                <w:sz w:val="20"/>
                <w:lang w:val="en-US"/>
              </w:rPr>
            </w:pPr>
            <w:r w:rsidRPr="00005513">
              <w:rPr>
                <w:rFonts w:cs="Calibri"/>
                <w:b/>
                <w:bCs/>
                <w:sz w:val="20"/>
                <w:lang w:val="en-US"/>
              </w:rPr>
              <w:t xml:space="preserve">Add.2 </w:t>
            </w:r>
            <w:r w:rsidR="007C3C9A">
              <w:rPr>
                <w:rFonts w:cs="Calibri"/>
                <w:b/>
                <w:bCs/>
                <w:sz w:val="20"/>
              </w:rPr>
              <w:t>au</w:t>
            </w:r>
            <w:r w:rsidRPr="00005513">
              <w:rPr>
                <w:rFonts w:cs="Calibri"/>
                <w:b/>
                <w:bCs/>
                <w:sz w:val="20"/>
                <w:lang w:val="en-US"/>
              </w:rPr>
              <w:t xml:space="preserve"> Document 67</w:t>
            </w:r>
          </w:p>
        </w:tc>
        <w:tc>
          <w:tcPr>
            <w:tcW w:w="2906" w:type="dxa"/>
          </w:tcPr>
          <w:p w:rsidR="00FD54DD" w:rsidRPr="00005513" w:rsidRDefault="00FD54DD" w:rsidP="00B675AB">
            <w:pPr>
              <w:spacing w:before="0"/>
              <w:rPr>
                <w:rFonts w:cs="Calibri"/>
                <w:b/>
                <w:bCs/>
                <w:sz w:val="20"/>
                <w:lang w:val="en-US"/>
              </w:rPr>
            </w:pPr>
            <w:r w:rsidRPr="00005513">
              <w:rPr>
                <w:rFonts w:cs="Calibri"/>
                <w:b/>
                <w:bCs/>
                <w:sz w:val="20"/>
                <w:lang w:val="en-US"/>
              </w:rPr>
              <w:t>ACP/67A2/2</w:t>
            </w:r>
          </w:p>
        </w:tc>
        <w:tc>
          <w:tcPr>
            <w:tcW w:w="8140" w:type="dxa"/>
            <w:shd w:val="clear" w:color="auto" w:fill="auto"/>
          </w:tcPr>
          <w:p w:rsidR="00FD54DD" w:rsidRPr="00005513" w:rsidRDefault="00921B18" w:rsidP="00B675AB">
            <w:pPr>
              <w:spacing w:before="0"/>
              <w:rPr>
                <w:rFonts w:cs="Calibri"/>
                <w:sz w:val="20"/>
                <w:lang w:val="fr-CH" w:eastAsia="ko-KR"/>
              </w:rPr>
            </w:pPr>
            <w:r w:rsidRPr="00DA0FA9">
              <w:rPr>
                <w:rFonts w:cs="Calibri"/>
                <w:sz w:val="20"/>
                <w:lang w:val="fr-CH" w:eastAsia="ko-KR"/>
              </w:rPr>
              <w:t>Pas de modification (</w:t>
            </w:r>
            <w:r w:rsidRPr="002B64AD">
              <w:rPr>
                <w:rFonts w:cs="Calibri"/>
                <w:sz w:val="20"/>
                <w:u w:val="single"/>
                <w:lang w:val="fr-CH" w:eastAsia="ko-KR"/>
              </w:rPr>
              <w:t>NOC</w:t>
            </w:r>
            <w:r>
              <w:rPr>
                <w:rFonts w:cs="Calibri"/>
                <w:sz w:val="20"/>
                <w:lang w:val="fr-CH" w:eastAsia="ko-KR"/>
              </w:rPr>
              <w:t>)</w:t>
            </w:r>
            <w:r w:rsidRPr="002B64AD">
              <w:rPr>
                <w:rFonts w:cs="Calibri"/>
                <w:sz w:val="20"/>
                <w:lang w:val="fr-CH" w:eastAsia="ko-KR"/>
              </w:rPr>
              <w:t xml:space="preserve"> </w:t>
            </w:r>
            <w:r>
              <w:rPr>
                <w:rFonts w:cs="Calibri"/>
                <w:sz w:val="20"/>
                <w:lang w:val="fr-CH" w:eastAsia="ko-KR"/>
              </w:rPr>
              <w:t xml:space="preserve">de la </w:t>
            </w:r>
            <w:r w:rsidR="00FD54DD" w:rsidRPr="00005513">
              <w:rPr>
                <w:rFonts w:cs="Calibri"/>
                <w:sz w:val="20"/>
                <w:lang w:val="fr-CH" w:eastAsia="ko-KR"/>
              </w:rPr>
              <w:t xml:space="preserve">Convention </w:t>
            </w:r>
            <w:r w:rsidR="00005513" w:rsidRPr="00005513">
              <w:rPr>
                <w:rFonts w:cs="Calibri"/>
                <w:sz w:val="20"/>
                <w:lang w:val="fr-CH" w:eastAsia="ko-KR"/>
              </w:rPr>
              <w:t>de l'UIT</w:t>
            </w:r>
          </w:p>
        </w:tc>
      </w:tr>
      <w:tr w:rsidR="00FD54DD" w:rsidRPr="007C3C9A" w:rsidTr="00BB7CB3">
        <w:trPr>
          <w:cantSplit/>
        </w:trPr>
        <w:tc>
          <w:tcPr>
            <w:tcW w:w="3129" w:type="dxa"/>
          </w:tcPr>
          <w:p w:rsidR="00FD54DD" w:rsidRPr="00005513" w:rsidRDefault="00FD54DD" w:rsidP="00B675AB">
            <w:pPr>
              <w:spacing w:before="0"/>
              <w:rPr>
                <w:rFonts w:cs="Calibri"/>
                <w:b/>
                <w:bCs/>
                <w:sz w:val="20"/>
                <w:lang w:val="en-US"/>
              </w:rPr>
            </w:pPr>
            <w:r w:rsidRPr="00005513">
              <w:rPr>
                <w:rFonts w:cs="Calibri"/>
                <w:b/>
                <w:bCs/>
                <w:sz w:val="20"/>
                <w:lang w:val="en-US"/>
              </w:rPr>
              <w:lastRenderedPageBreak/>
              <w:t xml:space="preserve">Add.2 </w:t>
            </w:r>
            <w:r w:rsidR="007C3C9A">
              <w:rPr>
                <w:rFonts w:cs="Calibri"/>
                <w:b/>
                <w:bCs/>
                <w:sz w:val="20"/>
              </w:rPr>
              <w:t>au</w:t>
            </w:r>
            <w:r w:rsidRPr="00005513">
              <w:rPr>
                <w:rFonts w:cs="Calibri"/>
                <w:b/>
                <w:bCs/>
                <w:sz w:val="20"/>
                <w:lang w:val="en-US"/>
              </w:rPr>
              <w:t xml:space="preserve"> Document 67</w:t>
            </w:r>
          </w:p>
        </w:tc>
        <w:tc>
          <w:tcPr>
            <w:tcW w:w="2906" w:type="dxa"/>
          </w:tcPr>
          <w:p w:rsidR="00FD54DD" w:rsidRPr="00005513" w:rsidRDefault="00FD54DD" w:rsidP="00B675AB">
            <w:pPr>
              <w:spacing w:before="0"/>
              <w:rPr>
                <w:rFonts w:cs="Calibri"/>
                <w:b/>
                <w:bCs/>
                <w:sz w:val="20"/>
                <w:lang w:val="en-US"/>
              </w:rPr>
            </w:pPr>
            <w:r w:rsidRPr="00005513">
              <w:rPr>
                <w:rFonts w:cs="Calibri"/>
                <w:b/>
                <w:bCs/>
                <w:sz w:val="20"/>
                <w:lang w:val="en-US"/>
              </w:rPr>
              <w:t>ACP/67A2/3</w:t>
            </w:r>
          </w:p>
        </w:tc>
        <w:tc>
          <w:tcPr>
            <w:tcW w:w="8140" w:type="dxa"/>
            <w:shd w:val="clear" w:color="auto" w:fill="auto"/>
          </w:tcPr>
          <w:p w:rsidR="00FD54DD" w:rsidRPr="007C3C9A" w:rsidRDefault="007D6E8C" w:rsidP="00B675AB">
            <w:pPr>
              <w:spacing w:before="0"/>
              <w:rPr>
                <w:rFonts w:cs="Calibri"/>
                <w:sz w:val="20"/>
                <w:lang w:val="fr-CH" w:eastAsia="ko-KR"/>
              </w:rPr>
            </w:pPr>
            <w:r>
              <w:rPr>
                <w:rFonts w:cs="Calibri"/>
                <w:sz w:val="20"/>
                <w:lang w:val="fr-CH" w:eastAsia="ko-KR"/>
              </w:rPr>
              <w:t>Modification (</w:t>
            </w:r>
            <w:r w:rsidRPr="002B64AD">
              <w:rPr>
                <w:rFonts w:cs="Calibri"/>
                <w:sz w:val="20"/>
                <w:lang w:val="fr-CH" w:eastAsia="ko-KR"/>
              </w:rPr>
              <w:t>MOD</w:t>
            </w:r>
            <w:r>
              <w:rPr>
                <w:rFonts w:cs="Calibri"/>
                <w:sz w:val="20"/>
                <w:lang w:val="fr-CH" w:eastAsia="ko-KR"/>
              </w:rPr>
              <w:t>)</w:t>
            </w:r>
            <w:r w:rsidRPr="002B64AD">
              <w:rPr>
                <w:rFonts w:cs="Calibri"/>
                <w:sz w:val="20"/>
                <w:lang w:val="fr-CH" w:eastAsia="ko-KR"/>
              </w:rPr>
              <w:t xml:space="preserve"> </w:t>
            </w:r>
            <w:r>
              <w:rPr>
                <w:rFonts w:cs="Calibri"/>
                <w:sz w:val="20"/>
                <w:lang w:val="fr-CH" w:eastAsia="ko-KR"/>
              </w:rPr>
              <w:t>de la</w:t>
            </w:r>
            <w:r w:rsidRPr="002B64AD">
              <w:rPr>
                <w:rFonts w:cs="Calibri"/>
                <w:sz w:val="20"/>
                <w:lang w:val="fr-CH" w:eastAsia="ko-KR"/>
              </w:rPr>
              <w:t xml:space="preserve"> </w:t>
            </w:r>
            <w:r w:rsidR="00FD54DD" w:rsidRPr="007C3C9A">
              <w:rPr>
                <w:rFonts w:cs="Calibri"/>
                <w:sz w:val="20"/>
                <w:lang w:val="fr-CH" w:eastAsia="ko-KR"/>
              </w:rPr>
              <w:t>R</w:t>
            </w:r>
            <w:r w:rsidR="007C3C9A" w:rsidRPr="007C3C9A">
              <w:rPr>
                <w:rFonts w:cs="Calibri"/>
                <w:sz w:val="20"/>
                <w:lang w:val="fr-CH" w:eastAsia="ko-KR"/>
              </w:rPr>
              <w:t>é</w:t>
            </w:r>
            <w:r w:rsidR="00FD54DD" w:rsidRPr="007C3C9A">
              <w:rPr>
                <w:rFonts w:cs="Calibri"/>
                <w:sz w:val="20"/>
                <w:lang w:val="fr-CH" w:eastAsia="ko-KR"/>
              </w:rPr>
              <w:t>solution 25 (R</w:t>
            </w:r>
            <w:r w:rsidR="007C3C9A">
              <w:rPr>
                <w:rFonts w:cs="Calibri"/>
                <w:sz w:val="20"/>
                <w:lang w:val="fr-CH" w:eastAsia="ko-KR"/>
              </w:rPr>
              <w:t>é</w:t>
            </w:r>
            <w:r w:rsidR="00FD54DD" w:rsidRPr="007C3C9A">
              <w:rPr>
                <w:rFonts w:cs="Calibri"/>
                <w:sz w:val="20"/>
                <w:lang w:val="fr-CH" w:eastAsia="ko-KR"/>
              </w:rPr>
              <w:t xml:space="preserve">v. Guadalajara, 2010) – </w:t>
            </w:r>
            <w:r w:rsidR="007C3C9A" w:rsidRPr="007C3C9A">
              <w:rPr>
                <w:sz w:val="20"/>
                <w:lang w:val="fr-CH"/>
              </w:rPr>
              <w:t>Renforcement de la présence régionale</w:t>
            </w:r>
          </w:p>
        </w:tc>
      </w:tr>
      <w:tr w:rsidR="00FD54DD" w:rsidRPr="007C3C9A" w:rsidTr="00BB7CB3">
        <w:trPr>
          <w:cantSplit/>
        </w:trPr>
        <w:tc>
          <w:tcPr>
            <w:tcW w:w="3129" w:type="dxa"/>
          </w:tcPr>
          <w:p w:rsidR="00FD54DD" w:rsidRPr="007C3C9A" w:rsidRDefault="00FD54DD" w:rsidP="00B675AB">
            <w:pPr>
              <w:spacing w:before="0"/>
              <w:rPr>
                <w:rFonts w:cs="Calibri"/>
                <w:b/>
                <w:bCs/>
                <w:sz w:val="20"/>
                <w:lang w:val="en-US"/>
              </w:rPr>
            </w:pPr>
            <w:r w:rsidRPr="00005513">
              <w:rPr>
                <w:rFonts w:cs="Calibri"/>
                <w:b/>
                <w:bCs/>
                <w:sz w:val="20"/>
                <w:lang w:val="en-US"/>
              </w:rPr>
              <w:t xml:space="preserve">Add.2 </w:t>
            </w:r>
            <w:r w:rsidR="007C3C9A">
              <w:rPr>
                <w:rFonts w:cs="Calibri"/>
                <w:b/>
                <w:bCs/>
                <w:sz w:val="20"/>
              </w:rPr>
              <w:t>au</w:t>
            </w:r>
            <w:r w:rsidRPr="00005513">
              <w:rPr>
                <w:rFonts w:cs="Calibri"/>
                <w:b/>
                <w:bCs/>
                <w:sz w:val="20"/>
                <w:lang w:val="en-US"/>
              </w:rPr>
              <w:t xml:space="preserve"> </w:t>
            </w:r>
            <w:r w:rsidRPr="007C3C9A">
              <w:rPr>
                <w:rFonts w:cs="Calibri"/>
                <w:b/>
                <w:bCs/>
                <w:sz w:val="20"/>
                <w:lang w:val="en-US"/>
              </w:rPr>
              <w:t>Document 67</w:t>
            </w:r>
          </w:p>
        </w:tc>
        <w:tc>
          <w:tcPr>
            <w:tcW w:w="2906" w:type="dxa"/>
          </w:tcPr>
          <w:p w:rsidR="00FD54DD" w:rsidRPr="007C3C9A" w:rsidRDefault="00FD54DD" w:rsidP="00B675AB">
            <w:pPr>
              <w:spacing w:before="0"/>
              <w:rPr>
                <w:rFonts w:cs="Calibri"/>
                <w:b/>
                <w:bCs/>
                <w:sz w:val="20"/>
                <w:lang w:val="en-US"/>
              </w:rPr>
            </w:pPr>
            <w:r w:rsidRPr="007C3C9A">
              <w:rPr>
                <w:rFonts w:cs="Calibri"/>
                <w:b/>
                <w:bCs/>
                <w:sz w:val="20"/>
                <w:lang w:val="en-US"/>
              </w:rPr>
              <w:t>ACP/67A2/4</w:t>
            </w:r>
          </w:p>
        </w:tc>
        <w:tc>
          <w:tcPr>
            <w:tcW w:w="8140" w:type="dxa"/>
            <w:shd w:val="clear" w:color="auto" w:fill="auto"/>
          </w:tcPr>
          <w:p w:rsidR="00FD54DD" w:rsidRPr="007C3C9A" w:rsidRDefault="00921B18" w:rsidP="00B675AB">
            <w:pPr>
              <w:spacing w:before="0"/>
              <w:rPr>
                <w:rFonts w:cs="Calibri"/>
                <w:sz w:val="20"/>
                <w:lang w:val="fr-CH" w:eastAsia="ko-KR"/>
              </w:rPr>
            </w:pPr>
            <w:r>
              <w:rPr>
                <w:rFonts w:cs="Calibri"/>
                <w:sz w:val="20"/>
                <w:lang w:val="fr-CH" w:eastAsia="ko-KR"/>
              </w:rPr>
              <w:t>Modification (</w:t>
            </w:r>
            <w:r w:rsidRPr="002B64AD">
              <w:rPr>
                <w:rFonts w:cs="Calibri"/>
                <w:sz w:val="20"/>
                <w:lang w:val="fr-CH" w:eastAsia="ko-KR"/>
              </w:rPr>
              <w:t>MOD</w:t>
            </w:r>
            <w:r>
              <w:rPr>
                <w:rFonts w:cs="Calibri"/>
                <w:sz w:val="20"/>
                <w:lang w:val="fr-CH" w:eastAsia="ko-KR"/>
              </w:rPr>
              <w:t>)</w:t>
            </w:r>
            <w:r w:rsidRPr="002B64AD">
              <w:rPr>
                <w:rFonts w:cs="Calibri"/>
                <w:sz w:val="20"/>
                <w:lang w:val="fr-CH" w:eastAsia="ko-KR"/>
              </w:rPr>
              <w:t xml:space="preserve"> </w:t>
            </w:r>
            <w:r>
              <w:rPr>
                <w:rFonts w:cs="Calibri"/>
                <w:sz w:val="20"/>
                <w:lang w:val="fr-CH" w:eastAsia="ko-KR"/>
              </w:rPr>
              <w:t>de la</w:t>
            </w:r>
            <w:r w:rsidRPr="002B64AD">
              <w:rPr>
                <w:rFonts w:cs="Calibri"/>
                <w:sz w:val="20"/>
                <w:lang w:val="fr-CH" w:eastAsia="ko-KR"/>
              </w:rPr>
              <w:t xml:space="preserve"> </w:t>
            </w:r>
            <w:r w:rsidR="00FD54DD" w:rsidRPr="007C3C9A">
              <w:rPr>
                <w:rFonts w:cs="Calibri"/>
                <w:sz w:val="20"/>
                <w:lang w:val="fr-CH" w:eastAsia="ko-KR"/>
              </w:rPr>
              <w:t>R</w:t>
            </w:r>
            <w:r w:rsidR="007C3C9A">
              <w:rPr>
                <w:rFonts w:cs="Calibri"/>
                <w:sz w:val="20"/>
                <w:lang w:val="fr-CH" w:eastAsia="ko-KR"/>
              </w:rPr>
              <w:t>é</w:t>
            </w:r>
            <w:r w:rsidR="00FD54DD" w:rsidRPr="007C3C9A">
              <w:rPr>
                <w:rFonts w:cs="Calibri"/>
                <w:sz w:val="20"/>
                <w:lang w:val="fr-CH" w:eastAsia="ko-KR"/>
              </w:rPr>
              <w:t>solution 58 (R</w:t>
            </w:r>
            <w:r w:rsidR="007C3C9A">
              <w:rPr>
                <w:rFonts w:cs="Calibri"/>
                <w:sz w:val="20"/>
                <w:lang w:val="fr-CH" w:eastAsia="ko-KR"/>
              </w:rPr>
              <w:t>é</w:t>
            </w:r>
            <w:r w:rsidR="00FD54DD" w:rsidRPr="007C3C9A">
              <w:rPr>
                <w:rFonts w:cs="Calibri"/>
                <w:sz w:val="20"/>
                <w:lang w:val="fr-CH" w:eastAsia="ko-KR"/>
              </w:rPr>
              <w:t xml:space="preserve">v. Guadalajara, 2010) – </w:t>
            </w:r>
            <w:bookmarkStart w:id="14" w:name="_Toc165351424"/>
            <w:r w:rsidR="007C3C9A" w:rsidRPr="007C3C9A">
              <w:rPr>
                <w:sz w:val="20"/>
              </w:rPr>
              <w:t>Renforcement des relations entre l'UIT et les organisations régionales de télécommunication</w:t>
            </w:r>
            <w:bookmarkEnd w:id="14"/>
            <w:r w:rsidR="007C3C9A" w:rsidRPr="007C3C9A">
              <w:rPr>
                <w:sz w:val="20"/>
              </w:rPr>
              <w:t xml:space="preserve"> et travaux préparatoires régionaux en vue de la Conférence de plénipotentiaires</w:t>
            </w:r>
          </w:p>
        </w:tc>
      </w:tr>
      <w:tr w:rsidR="00FD54DD" w:rsidRPr="007C3C9A" w:rsidTr="00BB7CB3">
        <w:trPr>
          <w:cantSplit/>
        </w:trPr>
        <w:tc>
          <w:tcPr>
            <w:tcW w:w="3129" w:type="dxa"/>
          </w:tcPr>
          <w:p w:rsidR="00FD54DD" w:rsidRDefault="00FD54DD" w:rsidP="00B675AB">
            <w:pPr>
              <w:spacing w:before="0"/>
              <w:rPr>
                <w:rFonts w:cs="Calibri"/>
                <w:b/>
                <w:bCs/>
                <w:sz w:val="20"/>
              </w:rPr>
            </w:pPr>
            <w:r>
              <w:rPr>
                <w:rFonts w:cs="Calibri"/>
                <w:b/>
                <w:bCs/>
                <w:sz w:val="20"/>
              </w:rPr>
              <w:t xml:space="preserve">Add.2 </w:t>
            </w:r>
            <w:r w:rsidR="007C3C9A">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67A2</w:t>
            </w:r>
            <w:r w:rsidRPr="001C7BA2">
              <w:rPr>
                <w:rFonts w:cs="Calibri"/>
                <w:b/>
                <w:bCs/>
                <w:sz w:val="20"/>
              </w:rPr>
              <w:t>/</w:t>
            </w:r>
            <w:r>
              <w:rPr>
                <w:rFonts w:cs="Calibri"/>
                <w:b/>
                <w:bCs/>
                <w:sz w:val="20"/>
              </w:rPr>
              <w:t>5</w:t>
            </w:r>
          </w:p>
        </w:tc>
        <w:tc>
          <w:tcPr>
            <w:tcW w:w="8140" w:type="dxa"/>
            <w:shd w:val="clear" w:color="auto" w:fill="auto"/>
          </w:tcPr>
          <w:p w:rsidR="00FD54DD" w:rsidRPr="007C3C9A" w:rsidRDefault="00921B18" w:rsidP="00B675AB">
            <w:pPr>
              <w:spacing w:before="0"/>
              <w:rPr>
                <w:rFonts w:cs="Calibri"/>
                <w:sz w:val="20"/>
                <w:lang w:val="fr-CH" w:eastAsia="ko-KR"/>
              </w:rPr>
            </w:pPr>
            <w:r>
              <w:rPr>
                <w:rFonts w:cs="Calibri"/>
                <w:sz w:val="20"/>
                <w:lang w:val="fr-CH" w:eastAsia="ko-KR"/>
              </w:rPr>
              <w:t>Modification (</w:t>
            </w:r>
            <w:r w:rsidRPr="002B64AD">
              <w:rPr>
                <w:rFonts w:cs="Calibri"/>
                <w:sz w:val="20"/>
                <w:lang w:val="fr-CH" w:eastAsia="ko-KR"/>
              </w:rPr>
              <w:t>MOD</w:t>
            </w:r>
            <w:r>
              <w:rPr>
                <w:rFonts w:cs="Calibri"/>
                <w:sz w:val="20"/>
                <w:lang w:val="fr-CH" w:eastAsia="ko-KR"/>
              </w:rPr>
              <w:t>)</w:t>
            </w:r>
            <w:r w:rsidRPr="002B64AD">
              <w:rPr>
                <w:rFonts w:cs="Calibri"/>
                <w:sz w:val="20"/>
                <w:lang w:val="fr-CH" w:eastAsia="ko-KR"/>
              </w:rPr>
              <w:t xml:space="preserve"> </w:t>
            </w:r>
            <w:r>
              <w:rPr>
                <w:rFonts w:cs="Calibri"/>
                <w:sz w:val="20"/>
                <w:lang w:val="fr-CH" w:eastAsia="ko-KR"/>
              </w:rPr>
              <w:t>de la</w:t>
            </w:r>
            <w:r w:rsidRPr="002B64AD">
              <w:rPr>
                <w:rFonts w:cs="Calibri"/>
                <w:sz w:val="20"/>
                <w:lang w:val="fr-CH" w:eastAsia="ko-KR"/>
              </w:rPr>
              <w:t xml:space="preserve"> </w:t>
            </w:r>
            <w:r w:rsidR="00FD54DD" w:rsidRPr="007C3C9A">
              <w:rPr>
                <w:rFonts w:cs="Calibri"/>
                <w:sz w:val="20"/>
                <w:lang w:val="fr-CH" w:eastAsia="ko-KR"/>
              </w:rPr>
              <w:t>R</w:t>
            </w:r>
            <w:r w:rsidR="007C3C9A">
              <w:rPr>
                <w:rFonts w:cs="Calibri"/>
                <w:sz w:val="20"/>
                <w:lang w:val="fr-CH" w:eastAsia="ko-KR"/>
              </w:rPr>
              <w:t>é</w:t>
            </w:r>
            <w:r w:rsidR="00FD54DD" w:rsidRPr="007C3C9A">
              <w:rPr>
                <w:rFonts w:cs="Calibri"/>
                <w:sz w:val="20"/>
                <w:lang w:val="fr-CH" w:eastAsia="ko-KR"/>
              </w:rPr>
              <w:t>solution 140 (R</w:t>
            </w:r>
            <w:r w:rsidR="007C3C9A">
              <w:rPr>
                <w:rFonts w:cs="Calibri"/>
                <w:sz w:val="20"/>
                <w:lang w:val="fr-CH" w:eastAsia="ko-KR"/>
              </w:rPr>
              <w:t>é</w:t>
            </w:r>
            <w:r w:rsidR="00FD54DD" w:rsidRPr="007C3C9A">
              <w:rPr>
                <w:rFonts w:cs="Calibri"/>
                <w:sz w:val="20"/>
                <w:lang w:val="fr-CH" w:eastAsia="ko-KR"/>
              </w:rPr>
              <w:t xml:space="preserve">v. Guadalajara, 2010) – </w:t>
            </w:r>
            <w:bookmarkStart w:id="15" w:name="_Toc165351524"/>
            <w:r w:rsidR="007C3C9A" w:rsidRPr="007C3C9A">
              <w:rPr>
                <w:sz w:val="20"/>
                <w:lang w:val="fr-CH"/>
              </w:rPr>
              <w:t>Rôle de l'UIT dans la mise en œuvre des résultats du Sommet mondial sur la société de l'information</w:t>
            </w:r>
            <w:bookmarkEnd w:id="15"/>
          </w:p>
        </w:tc>
      </w:tr>
      <w:tr w:rsidR="00FD54DD" w:rsidRPr="007C3C9A" w:rsidTr="00BB7CB3">
        <w:trPr>
          <w:cantSplit/>
        </w:trPr>
        <w:tc>
          <w:tcPr>
            <w:tcW w:w="3129" w:type="dxa"/>
          </w:tcPr>
          <w:p w:rsidR="00FD54DD" w:rsidRDefault="00FD54DD" w:rsidP="00B675AB">
            <w:pPr>
              <w:spacing w:before="0"/>
              <w:rPr>
                <w:rFonts w:cs="Calibri"/>
                <w:b/>
                <w:bCs/>
                <w:sz w:val="20"/>
              </w:rPr>
            </w:pPr>
            <w:r>
              <w:rPr>
                <w:rFonts w:cs="Calibri"/>
                <w:b/>
                <w:bCs/>
                <w:sz w:val="20"/>
              </w:rPr>
              <w:t xml:space="preserve">Add.2 </w:t>
            </w:r>
            <w:r w:rsidR="007C3C9A">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67A2</w:t>
            </w:r>
            <w:r w:rsidRPr="001C7BA2">
              <w:rPr>
                <w:rFonts w:cs="Calibri"/>
                <w:b/>
                <w:bCs/>
                <w:sz w:val="20"/>
              </w:rPr>
              <w:t>/</w:t>
            </w:r>
            <w:r>
              <w:rPr>
                <w:rFonts w:cs="Calibri"/>
                <w:b/>
                <w:bCs/>
                <w:sz w:val="20"/>
              </w:rPr>
              <w:t>6</w:t>
            </w:r>
          </w:p>
        </w:tc>
        <w:tc>
          <w:tcPr>
            <w:tcW w:w="8140" w:type="dxa"/>
            <w:shd w:val="clear" w:color="auto" w:fill="auto"/>
          </w:tcPr>
          <w:p w:rsidR="00FD54DD" w:rsidRPr="007C3C9A" w:rsidRDefault="00921B18" w:rsidP="00B675AB">
            <w:pPr>
              <w:spacing w:before="0"/>
              <w:rPr>
                <w:rFonts w:cs="Calibri"/>
                <w:sz w:val="20"/>
                <w:lang w:val="fr-CH" w:eastAsia="ko-KR"/>
              </w:rPr>
            </w:pPr>
            <w:r>
              <w:rPr>
                <w:rFonts w:cs="Calibri"/>
                <w:sz w:val="20"/>
                <w:lang w:val="fr-CH" w:eastAsia="ko-KR"/>
              </w:rPr>
              <w:t>Modification (</w:t>
            </w:r>
            <w:r w:rsidRPr="002B64AD">
              <w:rPr>
                <w:rFonts w:cs="Calibri"/>
                <w:sz w:val="20"/>
                <w:lang w:val="fr-CH" w:eastAsia="ko-KR"/>
              </w:rPr>
              <w:t>MOD</w:t>
            </w:r>
            <w:r>
              <w:rPr>
                <w:rFonts w:cs="Calibri"/>
                <w:sz w:val="20"/>
                <w:lang w:val="fr-CH" w:eastAsia="ko-KR"/>
              </w:rPr>
              <w:t>)</w:t>
            </w:r>
            <w:r w:rsidRPr="002B64AD">
              <w:rPr>
                <w:rFonts w:cs="Calibri"/>
                <w:sz w:val="20"/>
                <w:lang w:val="fr-CH" w:eastAsia="ko-KR"/>
              </w:rPr>
              <w:t xml:space="preserve"> </w:t>
            </w:r>
            <w:r>
              <w:rPr>
                <w:rFonts w:cs="Calibri"/>
                <w:sz w:val="20"/>
                <w:lang w:val="fr-CH" w:eastAsia="ko-KR"/>
              </w:rPr>
              <w:t>de la</w:t>
            </w:r>
            <w:r w:rsidRPr="002B64AD">
              <w:rPr>
                <w:rFonts w:cs="Calibri"/>
                <w:sz w:val="20"/>
                <w:lang w:val="fr-CH" w:eastAsia="ko-KR"/>
              </w:rPr>
              <w:t xml:space="preserve"> </w:t>
            </w:r>
            <w:r w:rsidR="00FD54DD" w:rsidRPr="007C3C9A">
              <w:rPr>
                <w:rFonts w:cs="Calibri"/>
                <w:sz w:val="20"/>
                <w:lang w:val="fr-CH" w:eastAsia="ko-KR"/>
              </w:rPr>
              <w:t>R</w:t>
            </w:r>
            <w:r w:rsidR="007C3C9A">
              <w:rPr>
                <w:rFonts w:cs="Calibri"/>
                <w:sz w:val="20"/>
                <w:lang w:val="fr-CH" w:eastAsia="ko-KR"/>
              </w:rPr>
              <w:t>é</w:t>
            </w:r>
            <w:r w:rsidR="00FD54DD" w:rsidRPr="007C3C9A">
              <w:rPr>
                <w:rFonts w:cs="Calibri"/>
                <w:sz w:val="20"/>
                <w:lang w:val="fr-CH" w:eastAsia="ko-KR"/>
              </w:rPr>
              <w:t xml:space="preserve">solution 169 (Guadalajara, 2010) – </w:t>
            </w:r>
            <w:r w:rsidR="007C3C9A" w:rsidRPr="007C3C9A">
              <w:rPr>
                <w:sz w:val="20"/>
              </w:rPr>
              <w:t>Admission d'établissements universitaires, d'universités et d'instituts de recherche associés à participer aux travaux des trois Secteurs de l'Union</w:t>
            </w:r>
          </w:p>
        </w:tc>
      </w:tr>
      <w:tr w:rsidR="00FD54DD" w:rsidRPr="007C3C9A" w:rsidTr="00BB7CB3">
        <w:trPr>
          <w:cantSplit/>
        </w:trPr>
        <w:tc>
          <w:tcPr>
            <w:tcW w:w="3129" w:type="dxa"/>
          </w:tcPr>
          <w:p w:rsidR="00FD54DD" w:rsidRDefault="00FD54DD" w:rsidP="00B675AB">
            <w:pPr>
              <w:spacing w:before="0"/>
              <w:rPr>
                <w:rFonts w:cs="Calibri"/>
                <w:b/>
                <w:bCs/>
                <w:sz w:val="20"/>
              </w:rPr>
            </w:pPr>
            <w:r>
              <w:rPr>
                <w:rFonts w:cs="Calibri"/>
                <w:b/>
                <w:bCs/>
                <w:sz w:val="20"/>
              </w:rPr>
              <w:t xml:space="preserve">Add.2 </w:t>
            </w:r>
            <w:r w:rsidR="009A0692">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67A2</w:t>
            </w:r>
            <w:r w:rsidRPr="001C7BA2">
              <w:rPr>
                <w:rFonts w:cs="Calibri"/>
                <w:b/>
                <w:bCs/>
                <w:sz w:val="20"/>
              </w:rPr>
              <w:t>/</w:t>
            </w:r>
            <w:r>
              <w:rPr>
                <w:rFonts w:cs="Calibri"/>
                <w:b/>
                <w:bCs/>
                <w:sz w:val="20"/>
              </w:rPr>
              <w:t>7</w:t>
            </w:r>
          </w:p>
        </w:tc>
        <w:tc>
          <w:tcPr>
            <w:tcW w:w="8140" w:type="dxa"/>
            <w:shd w:val="clear" w:color="auto" w:fill="auto"/>
          </w:tcPr>
          <w:p w:rsidR="00FD54DD" w:rsidRPr="007C3C9A" w:rsidRDefault="00921B18" w:rsidP="00B675AB">
            <w:pPr>
              <w:spacing w:before="0"/>
              <w:rPr>
                <w:rFonts w:cs="Calibri"/>
                <w:sz w:val="20"/>
                <w:lang w:val="fr-CH" w:eastAsia="ko-KR"/>
              </w:rPr>
            </w:pPr>
            <w:r>
              <w:rPr>
                <w:rFonts w:cs="Calibri"/>
                <w:sz w:val="20"/>
                <w:lang w:val="fr-CH" w:eastAsia="ko-KR"/>
              </w:rPr>
              <w:t>Modification (</w:t>
            </w:r>
            <w:r w:rsidRPr="002B64AD">
              <w:rPr>
                <w:rFonts w:cs="Calibri"/>
                <w:sz w:val="20"/>
                <w:lang w:val="fr-CH" w:eastAsia="ko-KR"/>
              </w:rPr>
              <w:t>MOD</w:t>
            </w:r>
            <w:r>
              <w:rPr>
                <w:rFonts w:cs="Calibri"/>
                <w:sz w:val="20"/>
                <w:lang w:val="fr-CH" w:eastAsia="ko-KR"/>
              </w:rPr>
              <w:t>)</w:t>
            </w:r>
            <w:r w:rsidRPr="002B64AD">
              <w:rPr>
                <w:rFonts w:cs="Calibri"/>
                <w:sz w:val="20"/>
                <w:lang w:val="fr-CH" w:eastAsia="ko-KR"/>
              </w:rPr>
              <w:t xml:space="preserve"> </w:t>
            </w:r>
            <w:r>
              <w:rPr>
                <w:rFonts w:cs="Calibri"/>
                <w:sz w:val="20"/>
                <w:lang w:val="fr-CH" w:eastAsia="ko-KR"/>
              </w:rPr>
              <w:t>de la</w:t>
            </w:r>
            <w:r w:rsidRPr="002B64AD">
              <w:rPr>
                <w:rFonts w:cs="Calibri"/>
                <w:sz w:val="20"/>
                <w:lang w:val="fr-CH" w:eastAsia="ko-KR"/>
              </w:rPr>
              <w:t xml:space="preserve"> </w:t>
            </w:r>
            <w:r w:rsidR="00FD54DD" w:rsidRPr="007C3C9A">
              <w:rPr>
                <w:rFonts w:cs="Calibri"/>
                <w:sz w:val="20"/>
                <w:lang w:val="fr-CH" w:eastAsia="ko-KR"/>
              </w:rPr>
              <w:t>R</w:t>
            </w:r>
            <w:r w:rsidR="007C3C9A">
              <w:rPr>
                <w:rFonts w:cs="Calibri"/>
                <w:sz w:val="20"/>
                <w:lang w:val="fr-CH" w:eastAsia="ko-KR"/>
              </w:rPr>
              <w:t>é</w:t>
            </w:r>
            <w:r w:rsidR="00FD54DD" w:rsidRPr="007C3C9A">
              <w:rPr>
                <w:rFonts w:cs="Calibri"/>
                <w:sz w:val="20"/>
                <w:lang w:val="fr-CH" w:eastAsia="ko-KR"/>
              </w:rPr>
              <w:t xml:space="preserve">solution 183 (Guadalajara, 2010) – </w:t>
            </w:r>
            <w:r w:rsidR="007C3C9A" w:rsidRPr="007C3C9A">
              <w:rPr>
                <w:sz w:val="20"/>
              </w:rPr>
              <w:t>Les applications des télécommunications/technologies de l'information et de la communication au service de la cybersanté</w:t>
            </w:r>
          </w:p>
        </w:tc>
      </w:tr>
      <w:tr w:rsidR="00FD54DD" w:rsidRPr="007C3C9A" w:rsidTr="00BB7CB3">
        <w:trPr>
          <w:cantSplit/>
        </w:trPr>
        <w:tc>
          <w:tcPr>
            <w:tcW w:w="3129" w:type="dxa"/>
          </w:tcPr>
          <w:p w:rsidR="00FD54DD" w:rsidRDefault="00FD54DD" w:rsidP="00B675AB">
            <w:pPr>
              <w:spacing w:before="0"/>
              <w:rPr>
                <w:rFonts w:cs="Calibri"/>
                <w:b/>
                <w:bCs/>
                <w:sz w:val="20"/>
              </w:rPr>
            </w:pPr>
            <w:r>
              <w:rPr>
                <w:rFonts w:cs="Calibri"/>
                <w:b/>
                <w:bCs/>
                <w:sz w:val="20"/>
              </w:rPr>
              <w:t xml:space="preserve">Add.2 </w:t>
            </w:r>
            <w:r w:rsidR="009A0692">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67A2</w:t>
            </w:r>
            <w:r w:rsidRPr="001C7BA2">
              <w:rPr>
                <w:rFonts w:cs="Calibri"/>
                <w:b/>
                <w:bCs/>
                <w:sz w:val="20"/>
              </w:rPr>
              <w:t>/</w:t>
            </w:r>
            <w:r>
              <w:rPr>
                <w:rFonts w:cs="Calibri"/>
                <w:b/>
                <w:bCs/>
                <w:sz w:val="20"/>
              </w:rPr>
              <w:t>8</w:t>
            </w:r>
          </w:p>
        </w:tc>
        <w:tc>
          <w:tcPr>
            <w:tcW w:w="8140" w:type="dxa"/>
            <w:shd w:val="clear" w:color="auto" w:fill="auto"/>
          </w:tcPr>
          <w:p w:rsidR="00FD54DD" w:rsidRPr="007C3C9A" w:rsidRDefault="007C3C9A" w:rsidP="00B675AB">
            <w:pPr>
              <w:spacing w:before="0"/>
              <w:rPr>
                <w:rFonts w:cs="Calibri"/>
                <w:sz w:val="20"/>
                <w:lang w:val="fr-CH" w:eastAsia="ko-KR"/>
              </w:rPr>
            </w:pPr>
            <w:r w:rsidRPr="007C3C9A">
              <w:rPr>
                <w:sz w:val="20"/>
              </w:rPr>
              <w:t>Accès aux documents</w:t>
            </w:r>
            <w:r w:rsidR="00D02515">
              <w:rPr>
                <w:sz w:val="20"/>
              </w:rPr>
              <w:t xml:space="preserve"> de l</w:t>
            </w:r>
            <w:r w:rsidR="00590B91">
              <w:rPr>
                <w:sz w:val="20"/>
              </w:rPr>
              <w:t>'</w:t>
            </w:r>
            <w:r w:rsidR="00D02515">
              <w:rPr>
                <w:sz w:val="20"/>
              </w:rPr>
              <w:t>UIT</w:t>
            </w:r>
          </w:p>
        </w:tc>
      </w:tr>
      <w:tr w:rsidR="00FD54DD" w:rsidRPr="007C3C9A" w:rsidTr="00BB7CB3">
        <w:trPr>
          <w:cantSplit/>
        </w:trPr>
        <w:tc>
          <w:tcPr>
            <w:tcW w:w="3129" w:type="dxa"/>
          </w:tcPr>
          <w:p w:rsidR="00FD54DD" w:rsidRDefault="00FD54DD" w:rsidP="00B675AB">
            <w:pPr>
              <w:spacing w:before="0"/>
              <w:rPr>
                <w:rFonts w:cs="Calibri"/>
                <w:b/>
                <w:bCs/>
                <w:sz w:val="20"/>
              </w:rPr>
            </w:pPr>
            <w:r>
              <w:rPr>
                <w:rFonts w:cs="Calibri"/>
                <w:b/>
                <w:bCs/>
                <w:sz w:val="20"/>
              </w:rPr>
              <w:t xml:space="preserve">Add.3 </w:t>
            </w:r>
            <w:r w:rsidR="009A0692">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67A3</w:t>
            </w:r>
            <w:r w:rsidRPr="001C7BA2">
              <w:rPr>
                <w:rFonts w:cs="Calibri"/>
                <w:b/>
                <w:bCs/>
                <w:sz w:val="20"/>
              </w:rPr>
              <w:t>/</w:t>
            </w:r>
            <w:r>
              <w:rPr>
                <w:rFonts w:cs="Calibri"/>
                <w:b/>
                <w:bCs/>
                <w:sz w:val="20"/>
              </w:rPr>
              <w:t>1</w:t>
            </w:r>
          </w:p>
        </w:tc>
        <w:tc>
          <w:tcPr>
            <w:tcW w:w="8140" w:type="dxa"/>
            <w:shd w:val="clear" w:color="auto" w:fill="auto"/>
          </w:tcPr>
          <w:p w:rsidR="00FD54DD" w:rsidRPr="007C3C9A" w:rsidRDefault="00FD54DD" w:rsidP="00B675AB">
            <w:pPr>
              <w:spacing w:before="0"/>
              <w:jc w:val="both"/>
              <w:rPr>
                <w:rFonts w:cs="Calibri"/>
                <w:sz w:val="20"/>
                <w:lang w:val="fr-CH" w:eastAsia="ko-KR"/>
              </w:rPr>
            </w:pPr>
            <w:r w:rsidRPr="007C3C9A">
              <w:rPr>
                <w:rFonts w:cs="Calibri"/>
                <w:sz w:val="20"/>
                <w:lang w:val="fr-CH" w:eastAsia="ko-KR"/>
              </w:rPr>
              <w:t>Proc</w:t>
            </w:r>
            <w:r w:rsidR="009A0692">
              <w:rPr>
                <w:rFonts w:cs="Calibri"/>
                <w:sz w:val="20"/>
                <w:lang w:val="fr-CH" w:eastAsia="ko-KR"/>
              </w:rPr>
              <w:t>é</w:t>
            </w:r>
            <w:r w:rsidRPr="007C3C9A">
              <w:rPr>
                <w:rFonts w:cs="Calibri"/>
                <w:sz w:val="20"/>
                <w:lang w:val="fr-CH" w:eastAsia="ko-KR"/>
              </w:rPr>
              <w:t>dure</w:t>
            </w:r>
            <w:r w:rsidR="009A0692">
              <w:rPr>
                <w:rFonts w:cs="Calibri"/>
                <w:sz w:val="20"/>
                <w:lang w:val="fr-CH" w:eastAsia="ko-KR"/>
              </w:rPr>
              <w:t>s</w:t>
            </w:r>
            <w:r w:rsidRPr="007C3C9A">
              <w:rPr>
                <w:rFonts w:cs="Calibri"/>
                <w:sz w:val="20"/>
                <w:lang w:val="fr-CH" w:eastAsia="ko-KR"/>
              </w:rPr>
              <w:t xml:space="preserve"> </w:t>
            </w:r>
            <w:r w:rsidR="009A0692">
              <w:rPr>
                <w:rFonts w:cs="Calibri"/>
                <w:sz w:val="20"/>
                <w:lang w:val="fr-CH" w:eastAsia="ko-KR"/>
              </w:rPr>
              <w:t>et méthodes de travail du</w:t>
            </w:r>
            <w:r w:rsidRPr="007C3C9A">
              <w:rPr>
                <w:rFonts w:cs="Calibri"/>
                <w:sz w:val="20"/>
                <w:lang w:val="fr-CH" w:eastAsia="ko-KR"/>
              </w:rPr>
              <w:t xml:space="preserve"> RRB</w:t>
            </w:r>
          </w:p>
        </w:tc>
      </w:tr>
      <w:tr w:rsidR="00FD54DD" w:rsidRPr="009A0692" w:rsidTr="00BB7CB3">
        <w:trPr>
          <w:cantSplit/>
        </w:trPr>
        <w:tc>
          <w:tcPr>
            <w:tcW w:w="3129" w:type="dxa"/>
          </w:tcPr>
          <w:p w:rsidR="00FD54DD" w:rsidRDefault="00FD54DD" w:rsidP="00B675AB">
            <w:pPr>
              <w:spacing w:before="0"/>
              <w:rPr>
                <w:rFonts w:cs="Calibri"/>
                <w:b/>
                <w:bCs/>
                <w:sz w:val="20"/>
              </w:rPr>
            </w:pPr>
            <w:r>
              <w:rPr>
                <w:rFonts w:cs="Calibri"/>
                <w:b/>
                <w:bCs/>
                <w:sz w:val="20"/>
              </w:rPr>
              <w:t xml:space="preserve">Add.3 </w:t>
            </w:r>
            <w:r w:rsidR="009A0692">
              <w:rPr>
                <w:rFonts w:cs="Calibri"/>
                <w:b/>
                <w:bCs/>
                <w:sz w:val="20"/>
              </w:rPr>
              <w:t>au</w:t>
            </w:r>
            <w:r>
              <w:rPr>
                <w:rFonts w:cs="Calibri"/>
                <w:b/>
                <w:bCs/>
                <w:sz w:val="20"/>
              </w:rPr>
              <w:t xml:space="preserve"> Document 67</w:t>
            </w:r>
          </w:p>
        </w:tc>
        <w:tc>
          <w:tcPr>
            <w:tcW w:w="2906" w:type="dxa"/>
          </w:tcPr>
          <w:p w:rsidR="00FD54DD" w:rsidRPr="001C7BA2" w:rsidRDefault="00FD54DD" w:rsidP="00B675AB">
            <w:pPr>
              <w:spacing w:before="0"/>
              <w:rPr>
                <w:rFonts w:cs="Calibri"/>
                <w:b/>
                <w:bCs/>
                <w:sz w:val="20"/>
              </w:rPr>
            </w:pPr>
            <w:r w:rsidRPr="001C7BA2">
              <w:rPr>
                <w:rFonts w:cs="Calibri"/>
                <w:b/>
                <w:bCs/>
                <w:sz w:val="20"/>
              </w:rPr>
              <w:t>ACP/</w:t>
            </w:r>
            <w:r>
              <w:rPr>
                <w:rFonts w:cs="Calibri"/>
                <w:b/>
                <w:bCs/>
                <w:sz w:val="20"/>
              </w:rPr>
              <w:t>67A3</w:t>
            </w:r>
            <w:r w:rsidRPr="001C7BA2">
              <w:rPr>
                <w:rFonts w:cs="Calibri"/>
                <w:b/>
                <w:bCs/>
                <w:sz w:val="20"/>
              </w:rPr>
              <w:t>/</w:t>
            </w:r>
            <w:r>
              <w:rPr>
                <w:rFonts w:cs="Calibri"/>
                <w:b/>
                <w:bCs/>
                <w:sz w:val="20"/>
              </w:rPr>
              <w:t>2</w:t>
            </w:r>
          </w:p>
        </w:tc>
        <w:tc>
          <w:tcPr>
            <w:tcW w:w="8140" w:type="dxa"/>
            <w:shd w:val="clear" w:color="auto" w:fill="auto"/>
          </w:tcPr>
          <w:p w:rsidR="00FD54DD" w:rsidRPr="009A0692" w:rsidRDefault="009A0692" w:rsidP="00B675AB">
            <w:pPr>
              <w:spacing w:before="0"/>
              <w:jc w:val="both"/>
              <w:rPr>
                <w:rFonts w:cs="Calibri"/>
                <w:sz w:val="20"/>
                <w:lang w:val="fr-CH" w:eastAsia="ko-KR"/>
              </w:rPr>
            </w:pPr>
            <w:r w:rsidRPr="009A0692">
              <w:rPr>
                <w:rFonts w:cs="Calibri"/>
                <w:sz w:val="20"/>
                <w:lang w:val="fr-CH" w:eastAsia="ko-KR"/>
              </w:rPr>
              <w:t>Brou</w:t>
            </w:r>
            <w:r>
              <w:rPr>
                <w:rFonts w:cs="Calibri"/>
                <w:sz w:val="20"/>
                <w:lang w:val="fr-CH" w:eastAsia="ko-KR"/>
              </w:rPr>
              <w:t>i</w:t>
            </w:r>
            <w:r w:rsidR="008C457E">
              <w:rPr>
                <w:rFonts w:cs="Calibri"/>
                <w:sz w:val="20"/>
                <w:lang w:val="fr-CH" w:eastAsia="ko-KR"/>
              </w:rPr>
              <w:t>llages et contrôle</w:t>
            </w:r>
            <w:r w:rsidRPr="009A0692">
              <w:rPr>
                <w:rFonts w:cs="Calibri"/>
                <w:sz w:val="20"/>
                <w:lang w:val="fr-CH" w:eastAsia="ko-KR"/>
              </w:rPr>
              <w:t xml:space="preserve"> des </w:t>
            </w:r>
            <w:r>
              <w:rPr>
                <w:rFonts w:cs="Calibri"/>
                <w:sz w:val="20"/>
                <w:lang w:val="fr-CH" w:eastAsia="ko-KR"/>
              </w:rPr>
              <w:t>é</w:t>
            </w:r>
            <w:r w:rsidR="00FD54DD" w:rsidRPr="009A0692">
              <w:rPr>
                <w:rFonts w:cs="Calibri"/>
                <w:sz w:val="20"/>
                <w:lang w:val="fr-CH" w:eastAsia="ko-KR"/>
              </w:rPr>
              <w:t>missions</w:t>
            </w:r>
          </w:p>
        </w:tc>
      </w:tr>
    </w:tbl>
    <w:p w:rsidR="00FD54DD" w:rsidRPr="009A0692" w:rsidRDefault="00FD54DD" w:rsidP="00B675AB">
      <w:pPr>
        <w:tabs>
          <w:tab w:val="clear" w:pos="567"/>
          <w:tab w:val="clear" w:pos="1134"/>
          <w:tab w:val="clear" w:pos="1701"/>
          <w:tab w:val="clear" w:pos="2268"/>
          <w:tab w:val="clear" w:pos="2835"/>
        </w:tabs>
        <w:snapToGrid w:val="0"/>
        <w:spacing w:before="360" w:after="120"/>
        <w:jc w:val="both"/>
        <w:rPr>
          <w:b/>
          <w:bCs/>
          <w:lang w:val="fr-CH"/>
        </w:rPr>
      </w:pPr>
    </w:p>
    <w:p w:rsidR="00FD54DD" w:rsidRPr="009A0692" w:rsidRDefault="00FD54DD" w:rsidP="00B675AB">
      <w:pPr>
        <w:tabs>
          <w:tab w:val="clear" w:pos="567"/>
          <w:tab w:val="clear" w:pos="1134"/>
          <w:tab w:val="clear" w:pos="1701"/>
          <w:tab w:val="clear" w:pos="2268"/>
          <w:tab w:val="clear" w:pos="2835"/>
        </w:tabs>
        <w:snapToGrid w:val="0"/>
        <w:spacing w:before="360" w:after="120"/>
        <w:jc w:val="both"/>
        <w:rPr>
          <w:b/>
          <w:bCs/>
          <w:lang w:val="fr-CH"/>
        </w:rPr>
        <w:sectPr w:rsidR="00FD54DD" w:rsidRPr="009A0692" w:rsidSect="00BB7CB3">
          <w:headerReference w:type="first" r:id="rId15"/>
          <w:footerReference w:type="first" r:id="rId16"/>
          <w:pgSz w:w="16840" w:h="11907" w:orient="landscape" w:code="9"/>
          <w:pgMar w:top="1134" w:right="1418" w:bottom="1134" w:left="1418" w:header="720" w:footer="720" w:gutter="0"/>
          <w:cols w:space="720"/>
          <w:titlePg/>
        </w:sectPr>
      </w:pPr>
    </w:p>
    <w:p w:rsidR="00FD54DD" w:rsidRPr="00590B91" w:rsidRDefault="00FD54DD" w:rsidP="00B675AB">
      <w:pPr>
        <w:pStyle w:val="AnnexNo"/>
        <w:rPr>
          <w:lang w:val="fr-CH"/>
        </w:rPr>
      </w:pPr>
      <w:r w:rsidRPr="00590B91">
        <w:rPr>
          <w:lang w:val="fr-CH"/>
        </w:rPr>
        <w:lastRenderedPageBreak/>
        <w:t>Annex</w:t>
      </w:r>
      <w:r w:rsidR="008B765E" w:rsidRPr="00590B91">
        <w:rPr>
          <w:lang w:val="fr-CH"/>
        </w:rPr>
        <w:t>E</w:t>
      </w:r>
      <w:r w:rsidRPr="00590B91">
        <w:rPr>
          <w:lang w:val="fr-CH"/>
        </w:rPr>
        <w:t xml:space="preserve"> 2</w:t>
      </w:r>
    </w:p>
    <w:p w:rsidR="00FD54DD" w:rsidRPr="00203B18" w:rsidRDefault="00203B18" w:rsidP="00B675AB">
      <w:pPr>
        <w:pStyle w:val="Annextitle"/>
        <w:rPr>
          <w:lang w:val="fr-CH"/>
        </w:rPr>
      </w:pPr>
      <w:r w:rsidRPr="00203B18">
        <w:rPr>
          <w:lang w:val="fr-CH"/>
        </w:rPr>
        <w:t>Administrations des pays membres de l'APT appuyant les propositions c</w:t>
      </w:r>
      <w:r>
        <w:rPr>
          <w:lang w:val="fr-CH"/>
        </w:rPr>
        <w:t>ommunes soumises par l'APT à la</w:t>
      </w:r>
      <w:r w:rsidR="00FD54DD" w:rsidRPr="00203B18">
        <w:rPr>
          <w:lang w:val="fr-CH"/>
        </w:rPr>
        <w:t xml:space="preserve"> PP-14</w:t>
      </w:r>
    </w:p>
    <w:tbl>
      <w:tblPr>
        <w:tblW w:w="15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tblCellMar>
        <w:tblLook w:val="01E0" w:firstRow="1" w:lastRow="1" w:firstColumn="1" w:lastColumn="1" w:noHBand="0" w:noVBand="0"/>
      </w:tblPr>
      <w:tblGrid>
        <w:gridCol w:w="1260"/>
        <w:gridCol w:w="360"/>
        <w:gridCol w:w="360"/>
        <w:gridCol w:w="360"/>
        <w:gridCol w:w="360"/>
        <w:gridCol w:w="360"/>
        <w:gridCol w:w="360"/>
        <w:gridCol w:w="360"/>
        <w:gridCol w:w="360"/>
        <w:gridCol w:w="360"/>
        <w:gridCol w:w="360"/>
        <w:gridCol w:w="360"/>
        <w:gridCol w:w="360"/>
        <w:gridCol w:w="360"/>
        <w:gridCol w:w="360"/>
        <w:gridCol w:w="360"/>
        <w:gridCol w:w="360"/>
        <w:gridCol w:w="325"/>
        <w:gridCol w:w="467"/>
        <w:gridCol w:w="295"/>
        <w:gridCol w:w="360"/>
        <w:gridCol w:w="360"/>
        <w:gridCol w:w="360"/>
        <w:gridCol w:w="360"/>
        <w:gridCol w:w="360"/>
        <w:gridCol w:w="360"/>
        <w:gridCol w:w="360"/>
        <w:gridCol w:w="360"/>
        <w:gridCol w:w="360"/>
        <w:gridCol w:w="360"/>
        <w:gridCol w:w="360"/>
        <w:gridCol w:w="360"/>
        <w:gridCol w:w="360"/>
        <w:gridCol w:w="360"/>
        <w:gridCol w:w="360"/>
        <w:gridCol w:w="360"/>
        <w:gridCol w:w="360"/>
        <w:gridCol w:w="450"/>
        <w:gridCol w:w="360"/>
        <w:gridCol w:w="630"/>
      </w:tblGrid>
      <w:tr w:rsidR="00B21887" w:rsidRPr="001C7BA2" w:rsidTr="00FE1775">
        <w:trPr>
          <w:cantSplit/>
          <w:trHeight w:val="946"/>
          <w:tblHeader/>
          <w:jc w:val="center"/>
        </w:trPr>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FD54DD" w:rsidRPr="001C7BA2" w:rsidRDefault="00FD54DD" w:rsidP="00B675AB">
            <w:pPr>
              <w:tabs>
                <w:tab w:val="left" w:pos="1440"/>
              </w:tabs>
              <w:spacing w:before="40" w:after="40"/>
              <w:jc w:val="center"/>
              <w:rPr>
                <w:rFonts w:cs="Arial"/>
                <w:b/>
                <w:bCs/>
                <w:sz w:val="18"/>
                <w:szCs w:val="18"/>
              </w:rPr>
            </w:pPr>
            <w:r w:rsidRPr="00203B18">
              <w:rPr>
                <w:rFonts w:cs="Arial"/>
                <w:b/>
                <w:bCs/>
                <w:sz w:val="18"/>
                <w:szCs w:val="18"/>
                <w:u w:val="single"/>
                <w:lang w:val="fr-CH"/>
              </w:rPr>
              <w:br w:type="page"/>
            </w:r>
            <w:r w:rsidR="00276423" w:rsidRPr="00276423">
              <w:rPr>
                <w:rFonts w:cs="Arial"/>
                <w:b/>
                <w:bCs/>
                <w:sz w:val="18"/>
                <w:szCs w:val="18"/>
                <w:lang w:val="fr-CH"/>
              </w:rPr>
              <w:t xml:space="preserve">Numéro </w:t>
            </w:r>
            <w:r w:rsidRPr="00276423">
              <w:rPr>
                <w:rFonts w:cs="Arial"/>
                <w:b/>
                <w:bCs/>
                <w:sz w:val="18"/>
                <w:szCs w:val="18"/>
              </w:rPr>
              <w:t>A</w:t>
            </w:r>
            <w:r w:rsidRPr="001C7BA2">
              <w:rPr>
                <w:rFonts w:cs="Arial"/>
                <w:b/>
                <w:bCs/>
                <w:sz w:val="18"/>
                <w:szCs w:val="18"/>
              </w:rPr>
              <w:t>CP</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AFG</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AUS</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BGD</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BTN</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BRU</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CBG</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CHN</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FJI</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IND</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INS</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IRN</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JPN</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KIR</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KRE</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KOR</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LAO</w:t>
            </w:r>
          </w:p>
        </w:tc>
        <w:tc>
          <w:tcPr>
            <w:tcW w:w="32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MLA</w:t>
            </w:r>
          </w:p>
        </w:tc>
        <w:tc>
          <w:tcPr>
            <w:tcW w:w="467"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MLD</w:t>
            </w:r>
          </w:p>
        </w:tc>
        <w:tc>
          <w:tcPr>
            <w:tcW w:w="295"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MHL</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FSM</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MNG</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BRM</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NRU</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NPL</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NZL</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PAK</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PAL</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PNG</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PHL</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SMO</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SNG</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SLM</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CLN</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THA</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TON</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TUV</w:t>
            </w:r>
          </w:p>
        </w:tc>
        <w:tc>
          <w:tcPr>
            <w:tcW w:w="45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VUT</w:t>
            </w:r>
          </w:p>
        </w:tc>
        <w:tc>
          <w:tcPr>
            <w:tcW w:w="360" w:type="dxa"/>
            <w:tcBorders>
              <w:top w:val="single" w:sz="4" w:space="0" w:color="auto"/>
              <w:left w:val="single" w:sz="4" w:space="0" w:color="auto"/>
              <w:bottom w:val="single" w:sz="4" w:space="0" w:color="auto"/>
              <w:right w:val="double" w:sz="4" w:space="0" w:color="auto"/>
            </w:tcBorders>
            <w:shd w:val="clear" w:color="auto" w:fill="D9D9D9"/>
            <w:textDirection w:val="btLr"/>
            <w:vAlign w:val="center"/>
          </w:tcPr>
          <w:p w:rsidR="00FD54DD" w:rsidRPr="001C7BA2" w:rsidRDefault="00FD54DD" w:rsidP="00B675AB">
            <w:pPr>
              <w:tabs>
                <w:tab w:val="left" w:pos="1440"/>
              </w:tabs>
              <w:spacing w:before="40" w:after="40"/>
              <w:ind w:left="113" w:right="113"/>
              <w:rPr>
                <w:rFonts w:cs="Arial"/>
                <w:b/>
                <w:bCs/>
                <w:sz w:val="18"/>
                <w:szCs w:val="18"/>
              </w:rPr>
            </w:pPr>
            <w:r w:rsidRPr="001C7BA2">
              <w:rPr>
                <w:rFonts w:cs="Arial"/>
                <w:b/>
                <w:bCs/>
                <w:sz w:val="18"/>
                <w:szCs w:val="18"/>
              </w:rPr>
              <w:t>VTN</w:t>
            </w:r>
          </w:p>
        </w:tc>
        <w:tc>
          <w:tcPr>
            <w:tcW w:w="630" w:type="dxa"/>
            <w:tcBorders>
              <w:top w:val="single" w:sz="4" w:space="0" w:color="auto"/>
              <w:left w:val="single" w:sz="4" w:space="0" w:color="auto"/>
              <w:bottom w:val="single" w:sz="4" w:space="0" w:color="auto"/>
              <w:right w:val="double" w:sz="4" w:space="0" w:color="auto"/>
            </w:tcBorders>
            <w:shd w:val="clear" w:color="auto" w:fill="D9D9D9"/>
            <w:textDirection w:val="btLr"/>
          </w:tcPr>
          <w:p w:rsidR="00FD54DD" w:rsidRPr="001C7BA2" w:rsidRDefault="00FD54DD" w:rsidP="00B675AB">
            <w:pPr>
              <w:tabs>
                <w:tab w:val="left" w:pos="1440"/>
              </w:tabs>
              <w:spacing w:before="40" w:after="40"/>
              <w:ind w:left="113" w:right="113"/>
              <w:rPr>
                <w:rFonts w:cs="Arial"/>
                <w:b/>
                <w:bCs/>
                <w:sz w:val="18"/>
                <w:szCs w:val="18"/>
              </w:rPr>
            </w:pPr>
            <w:r>
              <w:rPr>
                <w:rFonts w:cs="Arial"/>
                <w:b/>
                <w:bCs/>
                <w:sz w:val="18"/>
                <w:szCs w:val="18"/>
              </w:rPr>
              <w:t>Total</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tabs>
                <w:tab w:val="left" w:pos="1440"/>
              </w:tabs>
              <w:spacing w:before="40" w:after="40"/>
              <w:jc w:val="center"/>
              <w:rPr>
                <w:sz w:val="18"/>
                <w:szCs w:val="18"/>
              </w:rPr>
            </w:pPr>
            <w:r w:rsidRPr="001C7BA2">
              <w:rPr>
                <w:b/>
                <w:bCs/>
                <w:sz w:val="18"/>
                <w:szCs w:val="18"/>
              </w:rPr>
              <w:t>ACP/</w:t>
            </w:r>
            <w:r>
              <w:rPr>
                <w:b/>
                <w:bCs/>
                <w:sz w:val="18"/>
                <w:szCs w:val="18"/>
              </w:rPr>
              <w:t>67A1</w:t>
            </w:r>
            <w:r w:rsidRPr="001C7BA2">
              <w:rPr>
                <w:b/>
                <w:bCs/>
                <w:sz w:val="18"/>
                <w:szCs w:val="18"/>
              </w:rPr>
              <w:t>/1</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tabs>
                <w:tab w:val="left" w:pos="1440"/>
              </w:tabs>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23</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23</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/3</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23</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/4</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22</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/5</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22</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/6</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22</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/7</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24</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/8</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24</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/9</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18</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/10</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24</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/11</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23</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/12</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25</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/13</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23</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/14</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23</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/15</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20</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/16</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21</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/17</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22</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lastRenderedPageBreak/>
              <w:t>ACP/</w:t>
            </w:r>
            <w:r>
              <w:rPr>
                <w:b/>
                <w:bCs/>
                <w:sz w:val="18"/>
                <w:szCs w:val="18"/>
              </w:rPr>
              <w:t>67A1</w:t>
            </w:r>
            <w:r w:rsidRPr="001C7BA2">
              <w:rPr>
                <w:b/>
                <w:bCs/>
                <w:sz w:val="18"/>
                <w:szCs w:val="18"/>
              </w:rPr>
              <w:t>/18</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22</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/19</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19</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/20</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22</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sz w:val="18"/>
                <w:szCs w:val="18"/>
              </w:rPr>
            </w:pPr>
            <w:r w:rsidRPr="001C7BA2">
              <w:rPr>
                <w:b/>
                <w:bCs/>
                <w:sz w:val="18"/>
                <w:szCs w:val="18"/>
              </w:rPr>
              <w:t>ACP/</w:t>
            </w:r>
            <w:r>
              <w:rPr>
                <w:b/>
                <w:bCs/>
                <w:sz w:val="18"/>
                <w:szCs w:val="18"/>
              </w:rPr>
              <w:t>67A1</w:t>
            </w:r>
            <w:r w:rsidRPr="001C7BA2">
              <w:rPr>
                <w:b/>
                <w:bCs/>
                <w:sz w:val="18"/>
                <w:szCs w:val="18"/>
              </w:rPr>
              <w:t>/21</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21</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b/>
                <w:bCs/>
                <w:sz w:val="18"/>
                <w:szCs w:val="18"/>
              </w:rPr>
            </w:pPr>
            <w:r w:rsidRPr="001C7BA2">
              <w:rPr>
                <w:b/>
                <w:bCs/>
                <w:sz w:val="18"/>
                <w:szCs w:val="18"/>
              </w:rPr>
              <w:t>ACP/</w:t>
            </w:r>
            <w:r>
              <w:rPr>
                <w:b/>
                <w:bCs/>
                <w:sz w:val="18"/>
                <w:szCs w:val="18"/>
              </w:rPr>
              <w:t>67A2/</w:t>
            </w:r>
            <w:r w:rsidRPr="001C7BA2">
              <w:rPr>
                <w:b/>
                <w:bCs/>
                <w:sz w:val="18"/>
                <w:szCs w:val="18"/>
              </w:rPr>
              <w:t>1</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19</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b/>
                <w:bCs/>
                <w:sz w:val="18"/>
                <w:szCs w:val="18"/>
              </w:rPr>
            </w:pPr>
            <w:r w:rsidRPr="001C7BA2">
              <w:rPr>
                <w:b/>
                <w:bCs/>
                <w:sz w:val="18"/>
                <w:szCs w:val="18"/>
              </w:rPr>
              <w:t>ACP/</w:t>
            </w:r>
            <w:r>
              <w:rPr>
                <w:b/>
                <w:bCs/>
                <w:sz w:val="18"/>
                <w:szCs w:val="18"/>
              </w:rPr>
              <w:t>67A2/2</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18</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b/>
                <w:bCs/>
                <w:sz w:val="18"/>
                <w:szCs w:val="18"/>
              </w:rPr>
            </w:pPr>
            <w:r w:rsidRPr="001C7BA2">
              <w:rPr>
                <w:b/>
                <w:bCs/>
                <w:sz w:val="18"/>
                <w:szCs w:val="18"/>
              </w:rPr>
              <w:t>ACP/</w:t>
            </w:r>
            <w:r>
              <w:rPr>
                <w:b/>
                <w:bCs/>
                <w:sz w:val="18"/>
                <w:szCs w:val="18"/>
              </w:rPr>
              <w:t>67A2/3</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21</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b/>
                <w:bCs/>
                <w:sz w:val="18"/>
                <w:szCs w:val="18"/>
              </w:rPr>
            </w:pPr>
            <w:r w:rsidRPr="001C7BA2">
              <w:rPr>
                <w:b/>
                <w:bCs/>
                <w:sz w:val="18"/>
                <w:szCs w:val="18"/>
              </w:rPr>
              <w:t>ACP/</w:t>
            </w:r>
            <w:r>
              <w:rPr>
                <w:b/>
                <w:bCs/>
                <w:sz w:val="18"/>
                <w:szCs w:val="18"/>
              </w:rPr>
              <w:t>67A2/4</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21</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b/>
                <w:bCs/>
                <w:sz w:val="18"/>
                <w:szCs w:val="18"/>
              </w:rPr>
            </w:pPr>
            <w:r w:rsidRPr="001C7BA2">
              <w:rPr>
                <w:b/>
                <w:bCs/>
                <w:sz w:val="18"/>
                <w:szCs w:val="18"/>
              </w:rPr>
              <w:t>ACP/</w:t>
            </w:r>
            <w:r>
              <w:rPr>
                <w:b/>
                <w:bCs/>
                <w:sz w:val="18"/>
                <w:szCs w:val="18"/>
              </w:rPr>
              <w:t>67A2/5</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21</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b/>
                <w:bCs/>
                <w:sz w:val="18"/>
                <w:szCs w:val="18"/>
              </w:rPr>
            </w:pPr>
            <w:r w:rsidRPr="001C7BA2">
              <w:rPr>
                <w:b/>
                <w:bCs/>
                <w:sz w:val="18"/>
                <w:szCs w:val="18"/>
              </w:rPr>
              <w:t>ACP/</w:t>
            </w:r>
            <w:r>
              <w:rPr>
                <w:b/>
                <w:bCs/>
                <w:sz w:val="18"/>
                <w:szCs w:val="18"/>
              </w:rPr>
              <w:t>67A2/6</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22</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b/>
                <w:bCs/>
                <w:sz w:val="18"/>
                <w:szCs w:val="18"/>
              </w:rPr>
            </w:pPr>
            <w:r w:rsidRPr="001C7BA2">
              <w:rPr>
                <w:b/>
                <w:bCs/>
                <w:sz w:val="18"/>
                <w:szCs w:val="18"/>
              </w:rPr>
              <w:t>ACP/</w:t>
            </w:r>
            <w:r>
              <w:rPr>
                <w:b/>
                <w:bCs/>
                <w:sz w:val="18"/>
                <w:szCs w:val="18"/>
              </w:rPr>
              <w:t>67A2/7</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22</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b/>
                <w:bCs/>
                <w:sz w:val="18"/>
                <w:szCs w:val="18"/>
              </w:rPr>
            </w:pPr>
            <w:r w:rsidRPr="001C7BA2">
              <w:rPr>
                <w:b/>
                <w:bCs/>
                <w:sz w:val="18"/>
                <w:szCs w:val="18"/>
              </w:rPr>
              <w:t>ACP/</w:t>
            </w:r>
            <w:r>
              <w:rPr>
                <w:b/>
                <w:bCs/>
                <w:sz w:val="18"/>
                <w:szCs w:val="18"/>
              </w:rPr>
              <w:t>67A2/8</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21</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b/>
                <w:bCs/>
                <w:sz w:val="18"/>
                <w:szCs w:val="18"/>
              </w:rPr>
            </w:pPr>
            <w:r w:rsidRPr="001C7BA2">
              <w:rPr>
                <w:b/>
                <w:bCs/>
                <w:sz w:val="18"/>
                <w:szCs w:val="18"/>
              </w:rPr>
              <w:t>ACP/</w:t>
            </w:r>
            <w:r>
              <w:rPr>
                <w:b/>
                <w:bCs/>
                <w:sz w:val="18"/>
                <w:szCs w:val="18"/>
              </w:rPr>
              <w:t>67A3/1</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031B05"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19</w:t>
            </w:r>
          </w:p>
        </w:tc>
      </w:tr>
      <w:tr w:rsidR="00FD54DD" w:rsidRPr="001C7BA2" w:rsidTr="00FE1775">
        <w:trPr>
          <w:jc w:val="center"/>
        </w:trPr>
        <w:tc>
          <w:tcPr>
            <w:tcW w:w="1260" w:type="dxa"/>
            <w:tcBorders>
              <w:top w:val="single" w:sz="4" w:space="0" w:color="auto"/>
              <w:left w:val="single" w:sz="4" w:space="0" w:color="auto"/>
              <w:bottom w:val="single" w:sz="4" w:space="0" w:color="auto"/>
              <w:right w:val="single" w:sz="4" w:space="0" w:color="auto"/>
            </w:tcBorders>
          </w:tcPr>
          <w:p w:rsidR="00FD54DD" w:rsidRPr="001C7BA2" w:rsidRDefault="00FD54DD" w:rsidP="00B675AB">
            <w:pPr>
              <w:spacing w:before="40" w:after="40"/>
              <w:jc w:val="center"/>
              <w:rPr>
                <w:b/>
                <w:bCs/>
                <w:sz w:val="18"/>
                <w:szCs w:val="18"/>
              </w:rPr>
            </w:pPr>
            <w:r w:rsidRPr="001C7BA2">
              <w:rPr>
                <w:b/>
                <w:bCs/>
                <w:sz w:val="18"/>
                <w:szCs w:val="18"/>
              </w:rPr>
              <w:t>ACP/</w:t>
            </w:r>
            <w:r>
              <w:rPr>
                <w:b/>
                <w:bCs/>
                <w:sz w:val="18"/>
                <w:szCs w:val="18"/>
              </w:rPr>
              <w:t>67A3/2</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031B05"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25"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295"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Pr="001C7BA2" w:rsidRDefault="00FD54DD" w:rsidP="00B675AB">
            <w:pPr>
              <w:spacing w:before="40" w:after="40"/>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450" w:type="dxa"/>
            <w:tcBorders>
              <w:top w:val="single" w:sz="4" w:space="0" w:color="auto"/>
              <w:left w:val="single" w:sz="4" w:space="0" w:color="auto"/>
              <w:bottom w:val="single" w:sz="4" w:space="0" w:color="auto"/>
              <w:right w:val="single" w:sz="4" w:space="0" w:color="auto"/>
            </w:tcBorders>
            <w:vAlign w:val="center"/>
          </w:tcPr>
          <w:p w:rsidR="00FD54DD" w:rsidRDefault="00FD54DD" w:rsidP="00B675AB">
            <w:pPr>
              <w:spacing w:before="40" w:after="40"/>
              <w:jc w:val="center"/>
              <w:rPr>
                <w:sz w:val="18"/>
                <w:szCs w:val="18"/>
              </w:rPr>
            </w:pPr>
            <w:r>
              <w:rPr>
                <w:sz w:val="18"/>
                <w:szCs w:val="18"/>
              </w:rPr>
              <w:t>Y</w:t>
            </w:r>
          </w:p>
        </w:tc>
        <w:tc>
          <w:tcPr>
            <w:tcW w:w="360" w:type="dxa"/>
            <w:tcBorders>
              <w:top w:val="single" w:sz="4" w:space="0" w:color="auto"/>
              <w:left w:val="single" w:sz="4" w:space="0" w:color="auto"/>
              <w:bottom w:val="single" w:sz="4" w:space="0" w:color="auto"/>
              <w:right w:val="double" w:sz="4" w:space="0" w:color="auto"/>
            </w:tcBorders>
            <w:vAlign w:val="center"/>
          </w:tcPr>
          <w:p w:rsidR="00FD54DD" w:rsidRDefault="00FD54DD" w:rsidP="00B675AB">
            <w:pPr>
              <w:spacing w:before="40" w:after="40"/>
              <w:jc w:val="center"/>
              <w:rPr>
                <w:sz w:val="18"/>
                <w:szCs w:val="18"/>
              </w:rPr>
            </w:pPr>
            <w:r>
              <w:rPr>
                <w:sz w:val="18"/>
                <w:szCs w:val="18"/>
              </w:rPr>
              <w:t>Y</w:t>
            </w:r>
          </w:p>
        </w:tc>
        <w:tc>
          <w:tcPr>
            <w:tcW w:w="630" w:type="dxa"/>
            <w:tcBorders>
              <w:top w:val="single" w:sz="4" w:space="0" w:color="auto"/>
              <w:left w:val="single" w:sz="4" w:space="0" w:color="auto"/>
              <w:bottom w:val="single" w:sz="4" w:space="0" w:color="auto"/>
              <w:right w:val="double" w:sz="4" w:space="0" w:color="auto"/>
            </w:tcBorders>
          </w:tcPr>
          <w:p w:rsidR="00FD54DD" w:rsidRPr="001C7BA2" w:rsidRDefault="00FD54DD" w:rsidP="00B675AB">
            <w:pPr>
              <w:spacing w:before="40" w:after="40"/>
              <w:jc w:val="center"/>
              <w:rPr>
                <w:sz w:val="18"/>
                <w:szCs w:val="18"/>
              </w:rPr>
            </w:pPr>
            <w:r>
              <w:rPr>
                <w:sz w:val="18"/>
                <w:szCs w:val="18"/>
              </w:rPr>
              <w:t>20</w:t>
            </w:r>
          </w:p>
        </w:tc>
      </w:tr>
    </w:tbl>
    <w:p w:rsidR="00FD54DD" w:rsidRDefault="00FD54DD" w:rsidP="00B675AB">
      <w:pPr>
        <w:tabs>
          <w:tab w:val="clear" w:pos="567"/>
          <w:tab w:val="clear" w:pos="1134"/>
          <w:tab w:val="clear" w:pos="1701"/>
          <w:tab w:val="clear" w:pos="2268"/>
          <w:tab w:val="clear" w:pos="2835"/>
        </w:tabs>
        <w:overflowPunct/>
        <w:autoSpaceDE/>
        <w:autoSpaceDN/>
        <w:adjustRightInd/>
        <w:spacing w:before="0"/>
        <w:textAlignment w:val="auto"/>
        <w:rPr>
          <w:b/>
          <w:bCs/>
        </w:rPr>
      </w:pPr>
    </w:p>
    <w:p w:rsidR="00FD54DD" w:rsidRDefault="00FD54DD" w:rsidP="00B675AB">
      <w:pPr>
        <w:tabs>
          <w:tab w:val="clear" w:pos="567"/>
          <w:tab w:val="clear" w:pos="1134"/>
          <w:tab w:val="clear" w:pos="1701"/>
          <w:tab w:val="clear" w:pos="2268"/>
          <w:tab w:val="clear" w:pos="2835"/>
        </w:tabs>
        <w:overflowPunct/>
        <w:autoSpaceDE/>
        <w:autoSpaceDN/>
        <w:adjustRightInd/>
        <w:spacing w:before="0"/>
        <w:textAlignment w:val="auto"/>
        <w:rPr>
          <w:b/>
          <w:bCs/>
        </w:rPr>
      </w:pPr>
    </w:p>
    <w:p w:rsidR="008B765E" w:rsidRDefault="008B765E" w:rsidP="00B675AB">
      <w:pPr>
        <w:pStyle w:val="Reasons"/>
      </w:pPr>
    </w:p>
    <w:p w:rsidR="008B765E" w:rsidRDefault="008B765E" w:rsidP="00B675AB">
      <w:pPr>
        <w:jc w:val="center"/>
      </w:pPr>
      <w:r>
        <w:t>______________</w:t>
      </w:r>
    </w:p>
    <w:sectPr w:rsidR="008B765E" w:rsidSect="00FE1775">
      <w:footerReference w:type="first" r:id="rId17"/>
      <w:pgSz w:w="16834" w:h="11913" w:orient="landscape"/>
      <w:pgMar w:top="1134" w:right="1134" w:bottom="1134" w:left="1134" w:header="720" w:footer="720" w:gutter="0"/>
      <w:paperSrc w:first="7" w:other="7"/>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B91" w:rsidRDefault="00590B91">
      <w:r>
        <w:separator/>
      </w:r>
    </w:p>
  </w:endnote>
  <w:endnote w:type="continuationSeparator" w:id="0">
    <w:p w:rsidR="00590B91" w:rsidRDefault="0059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B91" w:rsidRPr="00590B91" w:rsidRDefault="00590B91" w:rsidP="00DE40CA">
    <w:pPr>
      <w:pStyle w:val="Footer"/>
      <w:tabs>
        <w:tab w:val="clear" w:pos="5954"/>
        <w:tab w:val="clear" w:pos="9639"/>
        <w:tab w:val="left" w:pos="7655"/>
        <w:tab w:val="right" w:pos="9498"/>
      </w:tabs>
      <w:rPr>
        <w:lang w:val="en-US"/>
      </w:rPr>
    </w:pPr>
    <w:r>
      <w:fldChar w:fldCharType="begin"/>
    </w:r>
    <w:r w:rsidRPr="00590B91">
      <w:rPr>
        <w:lang w:val="en-US"/>
      </w:rPr>
      <w:instrText xml:space="preserve"> FILENAME \p \* MERGEFORMAT </w:instrText>
    </w:r>
    <w:r>
      <w:fldChar w:fldCharType="separate"/>
    </w:r>
    <w:r w:rsidR="00D52E79">
      <w:rPr>
        <w:lang w:val="en-US"/>
      </w:rPr>
      <w:t>P:\FRA\SG\CONF-SG\PP14\000\067F.docx</w:t>
    </w:r>
    <w:r>
      <w:fldChar w:fldCharType="end"/>
    </w:r>
    <w:r w:rsidRPr="00590B91">
      <w:rPr>
        <w:lang w:val="en-US"/>
      </w:rPr>
      <w:t xml:space="preserve"> (367858)</w:t>
    </w:r>
    <w:r w:rsidRPr="00590B91">
      <w:rPr>
        <w:lang w:val="en-US"/>
      </w:rPr>
      <w:tab/>
    </w:r>
    <w:r>
      <w:fldChar w:fldCharType="begin"/>
    </w:r>
    <w:r>
      <w:instrText xml:space="preserve"> savedate \@ dd.MM.yy </w:instrText>
    </w:r>
    <w:r>
      <w:fldChar w:fldCharType="separate"/>
    </w:r>
    <w:r w:rsidR="00B21887">
      <w:t>10.10.14</w:t>
    </w:r>
    <w:r>
      <w:fldChar w:fldCharType="end"/>
    </w:r>
    <w:r w:rsidRPr="00590B91">
      <w:rPr>
        <w:lang w:val="en-US"/>
      </w:rPr>
      <w:tab/>
    </w:r>
    <w:r>
      <w:fldChar w:fldCharType="begin"/>
    </w:r>
    <w:r>
      <w:instrText xml:space="preserve"> printdate \@ dd.MM.yy </w:instrText>
    </w:r>
    <w:r>
      <w:fldChar w:fldCharType="separate"/>
    </w:r>
    <w:r w:rsidR="00D52E79">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B91" w:rsidRDefault="00590B91"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590B91" w:rsidRPr="00590B91" w:rsidRDefault="00590B91">
    <w:pPr>
      <w:pStyle w:val="FirstFooter"/>
      <w:jc w:val="center"/>
      <w:rPr>
        <w:lang w:val="en-US"/>
      </w:rPr>
    </w:pPr>
  </w:p>
  <w:p w:rsidR="00590B91" w:rsidRPr="00B21887" w:rsidRDefault="00590B91" w:rsidP="00D2263F">
    <w:pPr>
      <w:pStyle w:val="Footer"/>
      <w:tabs>
        <w:tab w:val="clear" w:pos="5954"/>
        <w:tab w:val="clear" w:pos="9639"/>
        <w:tab w:val="left" w:pos="7655"/>
        <w:tab w:val="right" w:pos="9498"/>
      </w:tabs>
      <w:rPr>
        <w:color w:val="FFFFFF" w:themeColor="background1"/>
        <w:lang w:val="en-US"/>
      </w:rPr>
    </w:pPr>
    <w:r w:rsidRPr="00B21887">
      <w:rPr>
        <w:color w:val="FFFFFF" w:themeColor="background1"/>
      </w:rPr>
      <w:fldChar w:fldCharType="begin"/>
    </w:r>
    <w:r w:rsidRPr="00B21887">
      <w:rPr>
        <w:color w:val="FFFFFF" w:themeColor="background1"/>
        <w:lang w:val="en-US"/>
      </w:rPr>
      <w:instrText xml:space="preserve"> FILENAME \p \* MERGEFORMAT </w:instrText>
    </w:r>
    <w:r w:rsidRPr="00B21887">
      <w:rPr>
        <w:color w:val="FFFFFF" w:themeColor="background1"/>
      </w:rPr>
      <w:fldChar w:fldCharType="separate"/>
    </w:r>
    <w:r w:rsidR="00D52E79" w:rsidRPr="00B21887">
      <w:rPr>
        <w:color w:val="FFFFFF" w:themeColor="background1"/>
        <w:lang w:val="en-US"/>
      </w:rPr>
      <w:t>P:\FRA\SG\CONF-SG\PP14\000\067F.docx</w:t>
    </w:r>
    <w:r w:rsidRPr="00B21887">
      <w:rPr>
        <w:color w:val="FFFFFF" w:themeColor="background1"/>
      </w:rPr>
      <w:fldChar w:fldCharType="end"/>
    </w:r>
    <w:r w:rsidRPr="00B21887">
      <w:rPr>
        <w:color w:val="FFFFFF" w:themeColor="background1"/>
        <w:lang w:val="en-US"/>
      </w:rPr>
      <w:t xml:space="preserve"> (367858)</w:t>
    </w:r>
    <w:r w:rsidRPr="00B21887">
      <w:rPr>
        <w:color w:val="FFFFFF" w:themeColor="background1"/>
        <w:lang w:val="en-US"/>
      </w:rPr>
      <w:tab/>
    </w:r>
    <w:r w:rsidRPr="00B21887">
      <w:rPr>
        <w:color w:val="FFFFFF" w:themeColor="background1"/>
      </w:rPr>
      <w:fldChar w:fldCharType="begin"/>
    </w:r>
    <w:r w:rsidRPr="00B21887">
      <w:rPr>
        <w:color w:val="FFFFFF" w:themeColor="background1"/>
      </w:rPr>
      <w:instrText xml:space="preserve"> savedate \@ dd.MM.yy </w:instrText>
    </w:r>
    <w:r w:rsidRPr="00B21887">
      <w:rPr>
        <w:color w:val="FFFFFF" w:themeColor="background1"/>
      </w:rPr>
      <w:fldChar w:fldCharType="separate"/>
    </w:r>
    <w:r w:rsidR="00B21887" w:rsidRPr="00B21887">
      <w:rPr>
        <w:color w:val="FFFFFF" w:themeColor="background1"/>
      </w:rPr>
      <w:t>10.10.14</w:t>
    </w:r>
    <w:r w:rsidRPr="00B21887">
      <w:rPr>
        <w:color w:val="FFFFFF" w:themeColor="background1"/>
      </w:rPr>
      <w:fldChar w:fldCharType="end"/>
    </w:r>
    <w:r w:rsidRPr="00B21887">
      <w:rPr>
        <w:color w:val="FFFFFF" w:themeColor="background1"/>
        <w:lang w:val="en-US"/>
      </w:rPr>
      <w:tab/>
    </w:r>
    <w:r w:rsidRPr="00B21887">
      <w:rPr>
        <w:color w:val="FFFFFF" w:themeColor="background1"/>
      </w:rPr>
      <w:fldChar w:fldCharType="begin"/>
    </w:r>
    <w:r w:rsidRPr="00B21887">
      <w:rPr>
        <w:color w:val="FFFFFF" w:themeColor="background1"/>
      </w:rPr>
      <w:instrText xml:space="preserve"> printdate \@ dd.MM.yy </w:instrText>
    </w:r>
    <w:r w:rsidRPr="00B21887">
      <w:rPr>
        <w:color w:val="FFFFFF" w:themeColor="background1"/>
      </w:rPr>
      <w:fldChar w:fldCharType="separate"/>
    </w:r>
    <w:r w:rsidR="00D52E79" w:rsidRPr="00B21887">
      <w:rPr>
        <w:color w:val="FFFFFF" w:themeColor="background1"/>
      </w:rPr>
      <w:t>00.00.00</w:t>
    </w:r>
    <w:r w:rsidRPr="00B21887">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B91" w:rsidRPr="00B21887" w:rsidRDefault="00590B91" w:rsidP="00DE40CA">
    <w:pPr>
      <w:pStyle w:val="Footer"/>
      <w:tabs>
        <w:tab w:val="clear" w:pos="5954"/>
        <w:tab w:val="clear" w:pos="9639"/>
        <w:tab w:val="left" w:pos="7655"/>
        <w:tab w:val="right" w:pos="9498"/>
      </w:tabs>
      <w:rPr>
        <w:color w:val="FFFFFF" w:themeColor="background1"/>
        <w:lang w:val="en-US"/>
      </w:rPr>
    </w:pPr>
    <w:r w:rsidRPr="00B21887">
      <w:rPr>
        <w:color w:val="FFFFFF" w:themeColor="background1"/>
      </w:rPr>
      <w:fldChar w:fldCharType="begin"/>
    </w:r>
    <w:r w:rsidRPr="00B21887">
      <w:rPr>
        <w:color w:val="FFFFFF" w:themeColor="background1"/>
        <w:lang w:val="en-US"/>
      </w:rPr>
      <w:instrText xml:space="preserve"> FILENAME \p \* MERGEFORMAT </w:instrText>
    </w:r>
    <w:r w:rsidRPr="00B21887">
      <w:rPr>
        <w:color w:val="FFFFFF" w:themeColor="background1"/>
      </w:rPr>
      <w:fldChar w:fldCharType="separate"/>
    </w:r>
    <w:r w:rsidR="00D52E79" w:rsidRPr="00B21887">
      <w:rPr>
        <w:color w:val="FFFFFF" w:themeColor="background1"/>
        <w:lang w:val="en-US"/>
      </w:rPr>
      <w:t>P:\FRA\SG\CONF-SG\PP14\000\067F.docx</w:t>
    </w:r>
    <w:r w:rsidRPr="00B21887">
      <w:rPr>
        <w:color w:val="FFFFFF" w:themeColor="background1"/>
      </w:rPr>
      <w:fldChar w:fldCharType="end"/>
    </w:r>
    <w:r w:rsidRPr="00B21887">
      <w:rPr>
        <w:color w:val="FFFFFF" w:themeColor="background1"/>
        <w:lang w:val="en-US"/>
      </w:rPr>
      <w:t xml:space="preserve"> (367858)</w:t>
    </w:r>
    <w:r w:rsidRPr="00B21887">
      <w:rPr>
        <w:color w:val="FFFFFF" w:themeColor="background1"/>
        <w:lang w:val="en-US"/>
      </w:rPr>
      <w:tab/>
    </w:r>
    <w:r w:rsidRPr="00B21887">
      <w:rPr>
        <w:color w:val="FFFFFF" w:themeColor="background1"/>
      </w:rPr>
      <w:fldChar w:fldCharType="begin"/>
    </w:r>
    <w:r w:rsidRPr="00B21887">
      <w:rPr>
        <w:color w:val="FFFFFF" w:themeColor="background1"/>
      </w:rPr>
      <w:instrText xml:space="preserve"> savedate \@ dd.MM.yy </w:instrText>
    </w:r>
    <w:r w:rsidRPr="00B21887">
      <w:rPr>
        <w:color w:val="FFFFFF" w:themeColor="background1"/>
      </w:rPr>
      <w:fldChar w:fldCharType="separate"/>
    </w:r>
    <w:r w:rsidR="00B21887" w:rsidRPr="00B21887">
      <w:rPr>
        <w:color w:val="FFFFFF" w:themeColor="background1"/>
      </w:rPr>
      <w:t>10.10.14</w:t>
    </w:r>
    <w:r w:rsidRPr="00B21887">
      <w:rPr>
        <w:color w:val="FFFFFF" w:themeColor="background1"/>
      </w:rPr>
      <w:fldChar w:fldCharType="end"/>
    </w:r>
    <w:r w:rsidRPr="00B21887">
      <w:rPr>
        <w:color w:val="FFFFFF" w:themeColor="background1"/>
        <w:lang w:val="en-US"/>
      </w:rPr>
      <w:tab/>
    </w:r>
    <w:r w:rsidRPr="00B21887">
      <w:rPr>
        <w:color w:val="FFFFFF" w:themeColor="background1"/>
      </w:rPr>
      <w:fldChar w:fldCharType="begin"/>
    </w:r>
    <w:r w:rsidRPr="00B21887">
      <w:rPr>
        <w:color w:val="FFFFFF" w:themeColor="background1"/>
      </w:rPr>
      <w:instrText xml:space="preserve"> printdate \@ dd.MM.yy </w:instrText>
    </w:r>
    <w:r w:rsidRPr="00B21887">
      <w:rPr>
        <w:color w:val="FFFFFF" w:themeColor="background1"/>
      </w:rPr>
      <w:fldChar w:fldCharType="separate"/>
    </w:r>
    <w:r w:rsidR="00D52E79" w:rsidRPr="00B21887">
      <w:rPr>
        <w:color w:val="FFFFFF" w:themeColor="background1"/>
      </w:rPr>
      <w:t>00.00.00</w:t>
    </w:r>
    <w:r w:rsidRPr="00B21887">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B91" w:rsidRPr="00590B91" w:rsidRDefault="00590B91" w:rsidP="00DE40CA">
    <w:pPr>
      <w:pStyle w:val="Footer"/>
      <w:tabs>
        <w:tab w:val="clear" w:pos="5954"/>
        <w:tab w:val="clear" w:pos="9639"/>
        <w:tab w:val="left" w:pos="7655"/>
        <w:tab w:val="right" w:pos="9498"/>
      </w:tabs>
      <w:rPr>
        <w:lang w:val="en-US"/>
      </w:rPr>
    </w:pPr>
    <w:r>
      <w:fldChar w:fldCharType="begin"/>
    </w:r>
    <w:r w:rsidRPr="00590B91">
      <w:rPr>
        <w:lang w:val="en-US"/>
      </w:rPr>
      <w:instrText xml:space="preserve"> FILENAME \p \* MERGEFORMAT </w:instrText>
    </w:r>
    <w:r>
      <w:fldChar w:fldCharType="separate"/>
    </w:r>
    <w:r w:rsidR="00D52E79">
      <w:rPr>
        <w:lang w:val="en-US"/>
      </w:rPr>
      <w:t>P:\FRA\SG\CONF-SG\PP14\000\067F.docx</w:t>
    </w:r>
    <w:r>
      <w:fldChar w:fldCharType="end"/>
    </w:r>
    <w:r w:rsidRPr="00590B91">
      <w:rPr>
        <w:lang w:val="en-US"/>
      </w:rPr>
      <w:t xml:space="preserve"> (367858)</w:t>
    </w:r>
    <w:r w:rsidRPr="00590B91">
      <w:rPr>
        <w:lang w:val="en-US"/>
      </w:rPr>
      <w:tab/>
    </w:r>
    <w:r>
      <w:fldChar w:fldCharType="begin"/>
    </w:r>
    <w:r>
      <w:instrText xml:space="preserve"> savedate \@ dd.MM.yy </w:instrText>
    </w:r>
    <w:r>
      <w:fldChar w:fldCharType="separate"/>
    </w:r>
    <w:r w:rsidR="00B21887">
      <w:t>10.10.14</w:t>
    </w:r>
    <w:r>
      <w:fldChar w:fldCharType="end"/>
    </w:r>
    <w:r w:rsidRPr="00590B91">
      <w:rPr>
        <w:lang w:val="en-US"/>
      </w:rPr>
      <w:tab/>
    </w:r>
    <w:r>
      <w:fldChar w:fldCharType="begin"/>
    </w:r>
    <w:r>
      <w:instrText xml:space="preserve"> printdate \@ dd.MM.yy </w:instrText>
    </w:r>
    <w:r>
      <w:fldChar w:fldCharType="separate"/>
    </w:r>
    <w:r w:rsidR="00D52E79">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B91" w:rsidRDefault="00590B91">
      <w:r>
        <w:t>____________________</w:t>
      </w:r>
    </w:p>
  </w:footnote>
  <w:footnote w:type="continuationSeparator" w:id="0">
    <w:p w:rsidR="00590B91" w:rsidRDefault="00590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B91" w:rsidRDefault="00590B91" w:rsidP="00BD1614">
    <w:pPr>
      <w:pStyle w:val="Header"/>
    </w:pPr>
    <w:r>
      <w:fldChar w:fldCharType="begin"/>
    </w:r>
    <w:r>
      <w:instrText xml:space="preserve"> PAGE </w:instrText>
    </w:r>
    <w:r>
      <w:fldChar w:fldCharType="separate"/>
    </w:r>
    <w:r w:rsidR="00B21887">
      <w:rPr>
        <w:noProof/>
      </w:rPr>
      <w:t>3</w:t>
    </w:r>
    <w:r>
      <w:fldChar w:fldCharType="end"/>
    </w:r>
  </w:p>
  <w:p w:rsidR="00590B91" w:rsidRDefault="00590B91" w:rsidP="00DE40CA">
    <w:pPr>
      <w:pStyle w:val="Header"/>
      <w:spacing w:after="120"/>
    </w:pPr>
    <w:r>
      <w:t>PP14/67-</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401767"/>
      <w:docPartObj>
        <w:docPartGallery w:val="Page Numbers (Top of Page)"/>
        <w:docPartUnique/>
      </w:docPartObj>
    </w:sdtPr>
    <w:sdtEndPr>
      <w:rPr>
        <w:noProof/>
      </w:rPr>
    </w:sdtEndPr>
    <w:sdtContent>
      <w:p w:rsidR="00590B91" w:rsidRDefault="00590B91">
        <w:pPr>
          <w:pStyle w:val="Header"/>
        </w:pPr>
        <w:r>
          <w:fldChar w:fldCharType="begin"/>
        </w:r>
        <w:r>
          <w:instrText xml:space="preserve"> PAGE   \* MERGEFORMAT </w:instrText>
        </w:r>
        <w:r>
          <w:fldChar w:fldCharType="separate"/>
        </w:r>
        <w:r w:rsidR="00B21887">
          <w:rPr>
            <w:noProof/>
          </w:rPr>
          <w:t>4</w:t>
        </w:r>
        <w:r>
          <w:rPr>
            <w:noProof/>
          </w:rPr>
          <w:fldChar w:fldCharType="end"/>
        </w:r>
      </w:p>
    </w:sdtContent>
  </w:sdt>
  <w:p w:rsidR="00590B91" w:rsidRDefault="00590B91">
    <w:pPr>
      <w:pStyle w:val="Header"/>
    </w:pPr>
    <w:r>
      <w:t>PP14/67-F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49AE0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5FEE01C"/>
    <w:lvl w:ilvl="0">
      <w:start w:val="1"/>
      <w:numFmt w:val="decimal"/>
      <w:lvlText w:val="%1."/>
      <w:lvlJc w:val="left"/>
      <w:pPr>
        <w:tabs>
          <w:tab w:val="num" w:pos="1492"/>
        </w:tabs>
        <w:ind w:left="1492" w:hanging="360"/>
      </w:pPr>
    </w:lvl>
  </w:abstractNum>
  <w:abstractNum w:abstractNumId="2">
    <w:nsid w:val="FFFFFF7D"/>
    <w:multiLevelType w:val="singleLevel"/>
    <w:tmpl w:val="2B723E92"/>
    <w:lvl w:ilvl="0">
      <w:start w:val="1"/>
      <w:numFmt w:val="decimal"/>
      <w:lvlText w:val="%1."/>
      <w:lvlJc w:val="left"/>
      <w:pPr>
        <w:tabs>
          <w:tab w:val="num" w:pos="1209"/>
        </w:tabs>
        <w:ind w:left="1209" w:hanging="360"/>
      </w:pPr>
    </w:lvl>
  </w:abstractNum>
  <w:abstractNum w:abstractNumId="3">
    <w:nsid w:val="FFFFFF7E"/>
    <w:multiLevelType w:val="singleLevel"/>
    <w:tmpl w:val="63342718"/>
    <w:lvl w:ilvl="0">
      <w:start w:val="1"/>
      <w:numFmt w:val="decimal"/>
      <w:lvlText w:val="%1."/>
      <w:lvlJc w:val="left"/>
      <w:pPr>
        <w:tabs>
          <w:tab w:val="num" w:pos="926"/>
        </w:tabs>
        <w:ind w:left="926" w:hanging="360"/>
      </w:pPr>
    </w:lvl>
  </w:abstractNum>
  <w:abstractNum w:abstractNumId="4">
    <w:nsid w:val="FFFFFF7F"/>
    <w:multiLevelType w:val="singleLevel"/>
    <w:tmpl w:val="BB5C36D2"/>
    <w:lvl w:ilvl="0">
      <w:start w:val="1"/>
      <w:numFmt w:val="decimal"/>
      <w:lvlText w:val="%1."/>
      <w:lvlJc w:val="left"/>
      <w:pPr>
        <w:tabs>
          <w:tab w:val="num" w:pos="643"/>
        </w:tabs>
        <w:ind w:left="643" w:hanging="360"/>
      </w:pPr>
    </w:lvl>
  </w:abstractNum>
  <w:abstractNum w:abstractNumId="5">
    <w:nsid w:val="FFFFFF80"/>
    <w:multiLevelType w:val="singleLevel"/>
    <w:tmpl w:val="5A328F8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B86953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954BAE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1F256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A6420C0"/>
    <w:lvl w:ilvl="0">
      <w:start w:val="1"/>
      <w:numFmt w:val="decimal"/>
      <w:lvlText w:val="%1."/>
      <w:lvlJc w:val="left"/>
      <w:pPr>
        <w:tabs>
          <w:tab w:val="num" w:pos="360"/>
        </w:tabs>
        <w:ind w:left="360" w:hanging="360"/>
      </w:pPr>
    </w:lvl>
  </w:abstractNum>
  <w:abstractNum w:abstractNumId="10">
    <w:nsid w:val="FFFFFF89"/>
    <w:multiLevelType w:val="singleLevel"/>
    <w:tmpl w:val="4CB04DC2"/>
    <w:lvl w:ilvl="0">
      <w:start w:val="1"/>
      <w:numFmt w:val="bullet"/>
      <w:lvlText w:val=""/>
      <w:lvlJc w:val="left"/>
      <w:pPr>
        <w:tabs>
          <w:tab w:val="num" w:pos="360"/>
        </w:tabs>
        <w:ind w:left="360" w:hanging="360"/>
      </w:pPr>
      <w:rPr>
        <w:rFonts w:ascii="Symbol" w:hAnsi="Symbol" w:hint="default"/>
      </w:rPr>
    </w:lvl>
  </w:abstractNum>
  <w:abstractNum w:abstractNumId="11">
    <w:nsid w:val="061E4F28"/>
    <w:multiLevelType w:val="hybridMultilevel"/>
    <w:tmpl w:val="43626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8530938"/>
    <w:multiLevelType w:val="hybridMultilevel"/>
    <w:tmpl w:val="F4285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4EA0F03"/>
    <w:multiLevelType w:val="hybridMultilevel"/>
    <w:tmpl w:val="540482DA"/>
    <w:lvl w:ilvl="0" w:tplc="47E0AA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F450EC"/>
    <w:multiLevelType w:val="hybridMultilevel"/>
    <w:tmpl w:val="E8A4A02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FD0F63"/>
    <w:multiLevelType w:val="hybridMultilevel"/>
    <w:tmpl w:val="E202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202A13"/>
    <w:multiLevelType w:val="hybridMultilevel"/>
    <w:tmpl w:val="540482DA"/>
    <w:lvl w:ilvl="0" w:tplc="47E0AA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DAC41DF"/>
    <w:multiLevelType w:val="hybridMultilevel"/>
    <w:tmpl w:val="1610D206"/>
    <w:lvl w:ilvl="0" w:tplc="8AC298D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87F666E"/>
    <w:multiLevelType w:val="hybridMultilevel"/>
    <w:tmpl w:val="CF4AF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94C20A4"/>
    <w:multiLevelType w:val="hybridMultilevel"/>
    <w:tmpl w:val="E696990A"/>
    <w:lvl w:ilvl="0" w:tplc="95C429AC">
      <w:start w:val="2"/>
      <w:numFmt w:val="bullet"/>
      <w:lvlText w:val="−"/>
      <w:lvlJc w:val="left"/>
      <w:pPr>
        <w:ind w:left="420" w:hanging="420"/>
      </w:pPr>
      <w:rPr>
        <w:rFonts w:ascii="Microsoft YaHei" w:eastAsia="Microsoft YaHei" w:hAnsi="Microsoft YaHei"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A584BBA"/>
    <w:multiLevelType w:val="hybridMultilevel"/>
    <w:tmpl w:val="6A94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5ED31B06"/>
    <w:multiLevelType w:val="hybridMultilevel"/>
    <w:tmpl w:val="728E1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5E0D07"/>
    <w:multiLevelType w:val="hybridMultilevel"/>
    <w:tmpl w:val="01D48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6E8318E"/>
    <w:multiLevelType w:val="hybridMultilevel"/>
    <w:tmpl w:val="866AF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3B11EF"/>
    <w:multiLevelType w:val="hybridMultilevel"/>
    <w:tmpl w:val="851AA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802510D"/>
    <w:multiLevelType w:val="hybridMultilevel"/>
    <w:tmpl w:val="2C2E32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9E1363A"/>
    <w:multiLevelType w:val="hybridMultilevel"/>
    <w:tmpl w:val="082C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6C4B84"/>
    <w:multiLevelType w:val="hybridMultilevel"/>
    <w:tmpl w:val="ED2C6C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FE86B1D"/>
    <w:multiLevelType w:val="hybridMultilevel"/>
    <w:tmpl w:val="44CEE7AE"/>
    <w:lvl w:ilvl="0" w:tplc="C85285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30EDC"/>
    <w:multiLevelType w:val="hybridMultilevel"/>
    <w:tmpl w:val="77B0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780826"/>
    <w:multiLevelType w:val="hybridMultilevel"/>
    <w:tmpl w:val="4318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5"/>
  </w:num>
  <w:num w:numId="12">
    <w:abstractNumId w:val="21"/>
  </w:num>
  <w:num w:numId="13">
    <w:abstractNumId w:val="22"/>
  </w:num>
  <w:num w:numId="14">
    <w:abstractNumId w:val="12"/>
  </w:num>
  <w:num w:numId="15">
    <w:abstractNumId w:val="26"/>
  </w:num>
  <w:num w:numId="16">
    <w:abstractNumId w:val="30"/>
  </w:num>
  <w:num w:numId="17">
    <w:abstractNumId w:val="24"/>
  </w:num>
  <w:num w:numId="18">
    <w:abstractNumId w:val="16"/>
  </w:num>
  <w:num w:numId="19">
    <w:abstractNumId w:val="20"/>
  </w:num>
  <w:num w:numId="20">
    <w:abstractNumId w:val="15"/>
  </w:num>
  <w:num w:numId="21">
    <w:abstractNumId w:val="17"/>
  </w:num>
  <w:num w:numId="22">
    <w:abstractNumId w:val="27"/>
  </w:num>
  <w:num w:numId="23">
    <w:abstractNumId w:val="11"/>
  </w:num>
  <w:num w:numId="24">
    <w:abstractNumId w:val="18"/>
  </w:num>
  <w:num w:numId="25">
    <w:abstractNumId w:val="19"/>
  </w:num>
  <w:num w:numId="26">
    <w:abstractNumId w:val="28"/>
  </w:num>
  <w:num w:numId="27">
    <w:abstractNumId w:val="23"/>
  </w:num>
  <w:num w:numId="28">
    <w:abstractNumId w:val="13"/>
  </w:num>
  <w:num w:numId="29">
    <w:abstractNumId w:val="14"/>
  </w:num>
  <w:num w:numId="30">
    <w:abstractNumId w:val="2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05513"/>
    <w:rsid w:val="0004064D"/>
    <w:rsid w:val="00060D74"/>
    <w:rsid w:val="00072D5C"/>
    <w:rsid w:val="0008398C"/>
    <w:rsid w:val="00084308"/>
    <w:rsid w:val="000A3D80"/>
    <w:rsid w:val="000B14B6"/>
    <w:rsid w:val="000B2715"/>
    <w:rsid w:val="000C467B"/>
    <w:rsid w:val="000D15FB"/>
    <w:rsid w:val="000F58F7"/>
    <w:rsid w:val="001051E4"/>
    <w:rsid w:val="001333E0"/>
    <w:rsid w:val="001354EA"/>
    <w:rsid w:val="00136FCE"/>
    <w:rsid w:val="00153BA4"/>
    <w:rsid w:val="001941AD"/>
    <w:rsid w:val="001A0682"/>
    <w:rsid w:val="001A78AC"/>
    <w:rsid w:val="001B4D8D"/>
    <w:rsid w:val="001C2B6A"/>
    <w:rsid w:val="001D31B2"/>
    <w:rsid w:val="001E1B9B"/>
    <w:rsid w:val="001F6233"/>
    <w:rsid w:val="00203B18"/>
    <w:rsid w:val="00224C8E"/>
    <w:rsid w:val="002355CD"/>
    <w:rsid w:val="00270B2F"/>
    <w:rsid w:val="00276423"/>
    <w:rsid w:val="002A0E1B"/>
    <w:rsid w:val="002B64AD"/>
    <w:rsid w:val="002C1059"/>
    <w:rsid w:val="002C2F9C"/>
    <w:rsid w:val="0030529F"/>
    <w:rsid w:val="00322DEA"/>
    <w:rsid w:val="003A0B7D"/>
    <w:rsid w:val="003A45C2"/>
    <w:rsid w:val="003C4BE2"/>
    <w:rsid w:val="003D147D"/>
    <w:rsid w:val="003D637A"/>
    <w:rsid w:val="00430015"/>
    <w:rsid w:val="004678D0"/>
    <w:rsid w:val="00482954"/>
    <w:rsid w:val="004951C0"/>
    <w:rsid w:val="00524001"/>
    <w:rsid w:val="00561CC7"/>
    <w:rsid w:val="00564B63"/>
    <w:rsid w:val="00575DC7"/>
    <w:rsid w:val="005836C2"/>
    <w:rsid w:val="00590B91"/>
    <w:rsid w:val="005A4EFD"/>
    <w:rsid w:val="005A5ABE"/>
    <w:rsid w:val="005C2ECC"/>
    <w:rsid w:val="005C6744"/>
    <w:rsid w:val="005C7C4D"/>
    <w:rsid w:val="005E419E"/>
    <w:rsid w:val="005F63BD"/>
    <w:rsid w:val="00601315"/>
    <w:rsid w:val="00611CF1"/>
    <w:rsid w:val="006201D9"/>
    <w:rsid w:val="006277DB"/>
    <w:rsid w:val="00635B7B"/>
    <w:rsid w:val="0065171B"/>
    <w:rsid w:val="00655B98"/>
    <w:rsid w:val="006710E6"/>
    <w:rsid w:val="006777A4"/>
    <w:rsid w:val="00686973"/>
    <w:rsid w:val="00696CE0"/>
    <w:rsid w:val="006A6342"/>
    <w:rsid w:val="006B6C9C"/>
    <w:rsid w:val="006C7AE3"/>
    <w:rsid w:val="006D55E8"/>
    <w:rsid w:val="006E1921"/>
    <w:rsid w:val="006F36F9"/>
    <w:rsid w:val="0070004D"/>
    <w:rsid w:val="0070576B"/>
    <w:rsid w:val="00713335"/>
    <w:rsid w:val="00727C2F"/>
    <w:rsid w:val="00735F13"/>
    <w:rsid w:val="007717F2"/>
    <w:rsid w:val="00772E3B"/>
    <w:rsid w:val="0078134C"/>
    <w:rsid w:val="007A5830"/>
    <w:rsid w:val="007C3C9A"/>
    <w:rsid w:val="007D6E8C"/>
    <w:rsid w:val="00801256"/>
    <w:rsid w:val="00856204"/>
    <w:rsid w:val="008703CB"/>
    <w:rsid w:val="008B61AF"/>
    <w:rsid w:val="008B765E"/>
    <w:rsid w:val="008C33C2"/>
    <w:rsid w:val="008C457E"/>
    <w:rsid w:val="008C6137"/>
    <w:rsid w:val="008D61D4"/>
    <w:rsid w:val="008E2DB4"/>
    <w:rsid w:val="00901DD5"/>
    <w:rsid w:val="0090735B"/>
    <w:rsid w:val="00912D5E"/>
    <w:rsid w:val="009202E4"/>
    <w:rsid w:val="00921B18"/>
    <w:rsid w:val="00934340"/>
    <w:rsid w:val="00936E31"/>
    <w:rsid w:val="00956DC7"/>
    <w:rsid w:val="00966CD3"/>
    <w:rsid w:val="00987A20"/>
    <w:rsid w:val="009A0692"/>
    <w:rsid w:val="009A0E15"/>
    <w:rsid w:val="009B0A31"/>
    <w:rsid w:val="009D4037"/>
    <w:rsid w:val="009F0592"/>
    <w:rsid w:val="00A20E72"/>
    <w:rsid w:val="00A246DC"/>
    <w:rsid w:val="00A47BAF"/>
    <w:rsid w:val="00A542D3"/>
    <w:rsid w:val="00A568A7"/>
    <w:rsid w:val="00A5784F"/>
    <w:rsid w:val="00A8436E"/>
    <w:rsid w:val="00A95B66"/>
    <w:rsid w:val="00AB0D48"/>
    <w:rsid w:val="00AE0667"/>
    <w:rsid w:val="00B21887"/>
    <w:rsid w:val="00B41E0A"/>
    <w:rsid w:val="00B56DE0"/>
    <w:rsid w:val="00B675AB"/>
    <w:rsid w:val="00B71F12"/>
    <w:rsid w:val="00B76372"/>
    <w:rsid w:val="00B96B1E"/>
    <w:rsid w:val="00BB2A6F"/>
    <w:rsid w:val="00BB7CB3"/>
    <w:rsid w:val="00BD1614"/>
    <w:rsid w:val="00BD5DA6"/>
    <w:rsid w:val="00BF7D25"/>
    <w:rsid w:val="00C010C0"/>
    <w:rsid w:val="00C02B75"/>
    <w:rsid w:val="00C06680"/>
    <w:rsid w:val="00C17615"/>
    <w:rsid w:val="00C30314"/>
    <w:rsid w:val="00C40CB5"/>
    <w:rsid w:val="00C54CE6"/>
    <w:rsid w:val="00C575E2"/>
    <w:rsid w:val="00C65939"/>
    <w:rsid w:val="00C7368B"/>
    <w:rsid w:val="00C92746"/>
    <w:rsid w:val="00CC4DC5"/>
    <w:rsid w:val="00CE1A7C"/>
    <w:rsid w:val="00D02515"/>
    <w:rsid w:val="00D0464B"/>
    <w:rsid w:val="00D12C74"/>
    <w:rsid w:val="00D1523D"/>
    <w:rsid w:val="00D2250F"/>
    <w:rsid w:val="00D2263F"/>
    <w:rsid w:val="00D25F60"/>
    <w:rsid w:val="00D52E79"/>
    <w:rsid w:val="00D56483"/>
    <w:rsid w:val="00D5658F"/>
    <w:rsid w:val="00D56AD6"/>
    <w:rsid w:val="00D70019"/>
    <w:rsid w:val="00D74B58"/>
    <w:rsid w:val="00D82ABE"/>
    <w:rsid w:val="00DA0FA9"/>
    <w:rsid w:val="00DA4ABA"/>
    <w:rsid w:val="00DA685B"/>
    <w:rsid w:val="00DA742B"/>
    <w:rsid w:val="00DE40CA"/>
    <w:rsid w:val="00DF25C1"/>
    <w:rsid w:val="00DF48F7"/>
    <w:rsid w:val="00DF4964"/>
    <w:rsid w:val="00DF4D73"/>
    <w:rsid w:val="00DF79B0"/>
    <w:rsid w:val="00E1047D"/>
    <w:rsid w:val="00E4148A"/>
    <w:rsid w:val="00E443FA"/>
    <w:rsid w:val="00E54FCE"/>
    <w:rsid w:val="00E60DA1"/>
    <w:rsid w:val="00E93D35"/>
    <w:rsid w:val="00EA45DB"/>
    <w:rsid w:val="00ED2CD9"/>
    <w:rsid w:val="00F07DA7"/>
    <w:rsid w:val="00F36F24"/>
    <w:rsid w:val="00F564C1"/>
    <w:rsid w:val="00F77FA2"/>
    <w:rsid w:val="00F8357A"/>
    <w:rsid w:val="00F85B44"/>
    <w:rsid w:val="00FA1B77"/>
    <w:rsid w:val="00FB4B65"/>
    <w:rsid w:val="00FB74B8"/>
    <w:rsid w:val="00FC49E0"/>
    <w:rsid w:val="00FD54DD"/>
    <w:rsid w:val="00FE1775"/>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link w:val="Heading2Char"/>
    <w:qFormat/>
    <w:rsid w:val="00686973"/>
    <w:pPr>
      <w:spacing w:before="320"/>
      <w:outlineLvl w:val="1"/>
    </w:pPr>
    <w:rPr>
      <w:sz w:val="24"/>
    </w:rPr>
  </w:style>
  <w:style w:type="paragraph" w:styleId="Heading3">
    <w:name w:val="heading 3"/>
    <w:basedOn w:val="Heading1"/>
    <w:next w:val="Normal"/>
    <w:link w:val="Heading3Char"/>
    <w:qFormat/>
    <w:rsid w:val="00686973"/>
    <w:pPr>
      <w:spacing w:before="200"/>
      <w:outlineLvl w:val="2"/>
    </w:pPr>
    <w:rPr>
      <w:sz w:val="24"/>
    </w:rPr>
  </w:style>
  <w:style w:type="paragraph" w:styleId="Heading4">
    <w:name w:val="heading 4"/>
    <w:basedOn w:val="Heading3"/>
    <w:next w:val="Normal"/>
    <w:link w:val="Heading4Char"/>
    <w:qFormat/>
    <w:rsid w:val="003A0B7D"/>
    <w:pPr>
      <w:ind w:left="1134" w:hanging="1134"/>
      <w:outlineLvl w:val="3"/>
    </w:pPr>
  </w:style>
  <w:style w:type="paragraph" w:styleId="Heading5">
    <w:name w:val="heading 5"/>
    <w:basedOn w:val="Heading4"/>
    <w:next w:val="Normal"/>
    <w:link w:val="Heading5Char"/>
    <w:qFormat/>
    <w:rsid w:val="003A0B7D"/>
    <w:pPr>
      <w:outlineLvl w:val="4"/>
    </w:pPr>
  </w:style>
  <w:style w:type="paragraph" w:styleId="Heading6">
    <w:name w:val="heading 6"/>
    <w:basedOn w:val="Heading4"/>
    <w:next w:val="Normal"/>
    <w:link w:val="Heading6Char"/>
    <w:qFormat/>
    <w:rsid w:val="003A0B7D"/>
    <w:pPr>
      <w:outlineLvl w:val="5"/>
    </w:pPr>
  </w:style>
  <w:style w:type="paragraph" w:styleId="Heading7">
    <w:name w:val="heading 7"/>
    <w:basedOn w:val="Heading4"/>
    <w:next w:val="Normal"/>
    <w:link w:val="Heading7Char"/>
    <w:qFormat/>
    <w:rsid w:val="003A0B7D"/>
    <w:pPr>
      <w:ind w:left="1701" w:hanging="1701"/>
      <w:outlineLvl w:val="6"/>
    </w:pPr>
  </w:style>
  <w:style w:type="paragraph" w:styleId="Heading8">
    <w:name w:val="heading 8"/>
    <w:basedOn w:val="Heading4"/>
    <w:next w:val="Normal"/>
    <w:link w:val="Heading8Char"/>
    <w:qFormat/>
    <w:rsid w:val="003A0B7D"/>
    <w:pPr>
      <w:ind w:left="1701" w:hanging="1701"/>
      <w:outlineLvl w:val="7"/>
    </w:pPr>
  </w:style>
  <w:style w:type="paragraph" w:styleId="Heading9">
    <w:name w:val="heading 9"/>
    <w:basedOn w:val="Heading4"/>
    <w:next w:val="Normal"/>
    <w:link w:val="Heading9Char"/>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link w:val="DateChar"/>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uiPriority w:val="99"/>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uiPriority w:val="99"/>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link w:val="RestitleChar"/>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uiPriority w:val="99"/>
    <w:rsid w:val="00BD1614"/>
    <w:rPr>
      <w:rFonts w:ascii="Calibri" w:hAnsi="Calibri"/>
      <w:sz w:val="18"/>
      <w:lang w:val="fr-FR" w:eastAsia="en-US"/>
    </w:rPr>
  </w:style>
  <w:style w:type="paragraph" w:styleId="BalloonText">
    <w:name w:val="Balloon Text"/>
    <w:basedOn w:val="Normal"/>
    <w:link w:val="BalloonTextChar"/>
    <w:uiPriority w:val="99"/>
    <w:rsid w:val="00AE0667"/>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eading1Char">
    <w:name w:val="Heading 1 Char"/>
    <w:basedOn w:val="DefaultParagraphFont"/>
    <w:link w:val="Heading1"/>
    <w:rsid w:val="00FD54DD"/>
    <w:rPr>
      <w:rFonts w:ascii="Calibri" w:hAnsi="Calibri"/>
      <w:b/>
      <w:sz w:val="28"/>
      <w:lang w:val="fr-FR" w:eastAsia="en-US"/>
    </w:rPr>
  </w:style>
  <w:style w:type="character" w:customStyle="1" w:styleId="Heading2Char">
    <w:name w:val="Heading 2 Char"/>
    <w:basedOn w:val="DefaultParagraphFont"/>
    <w:link w:val="Heading2"/>
    <w:rsid w:val="00FD54DD"/>
    <w:rPr>
      <w:rFonts w:ascii="Calibri" w:hAnsi="Calibri"/>
      <w:b/>
      <w:sz w:val="24"/>
      <w:lang w:val="fr-FR" w:eastAsia="en-US"/>
    </w:rPr>
  </w:style>
  <w:style w:type="character" w:customStyle="1" w:styleId="Heading3Char">
    <w:name w:val="Heading 3 Char"/>
    <w:basedOn w:val="DefaultParagraphFont"/>
    <w:link w:val="Heading3"/>
    <w:rsid w:val="00FD54DD"/>
    <w:rPr>
      <w:rFonts w:ascii="Calibri" w:hAnsi="Calibri"/>
      <w:b/>
      <w:sz w:val="24"/>
      <w:lang w:val="fr-FR" w:eastAsia="en-US"/>
    </w:rPr>
  </w:style>
  <w:style w:type="character" w:customStyle="1" w:styleId="Heading4Char">
    <w:name w:val="Heading 4 Char"/>
    <w:basedOn w:val="DefaultParagraphFont"/>
    <w:link w:val="Heading4"/>
    <w:rsid w:val="00FD54DD"/>
    <w:rPr>
      <w:rFonts w:ascii="Calibri" w:hAnsi="Calibri"/>
      <w:b/>
      <w:sz w:val="24"/>
      <w:lang w:val="fr-FR" w:eastAsia="en-US"/>
    </w:rPr>
  </w:style>
  <w:style w:type="character" w:customStyle="1" w:styleId="Heading5Char">
    <w:name w:val="Heading 5 Char"/>
    <w:basedOn w:val="DefaultParagraphFont"/>
    <w:link w:val="Heading5"/>
    <w:rsid w:val="00FD54DD"/>
    <w:rPr>
      <w:rFonts w:ascii="Calibri" w:hAnsi="Calibri"/>
      <w:b/>
      <w:sz w:val="24"/>
      <w:lang w:val="fr-FR" w:eastAsia="en-US"/>
    </w:rPr>
  </w:style>
  <w:style w:type="character" w:customStyle="1" w:styleId="Heading6Char">
    <w:name w:val="Heading 6 Char"/>
    <w:basedOn w:val="DefaultParagraphFont"/>
    <w:link w:val="Heading6"/>
    <w:rsid w:val="00FD54DD"/>
    <w:rPr>
      <w:rFonts w:ascii="Calibri" w:hAnsi="Calibri"/>
      <w:b/>
      <w:sz w:val="24"/>
      <w:lang w:val="fr-FR" w:eastAsia="en-US"/>
    </w:rPr>
  </w:style>
  <w:style w:type="character" w:customStyle="1" w:styleId="Heading7Char">
    <w:name w:val="Heading 7 Char"/>
    <w:basedOn w:val="DefaultParagraphFont"/>
    <w:link w:val="Heading7"/>
    <w:rsid w:val="00FD54DD"/>
    <w:rPr>
      <w:rFonts w:ascii="Calibri" w:hAnsi="Calibri"/>
      <w:b/>
      <w:sz w:val="24"/>
      <w:lang w:val="fr-FR" w:eastAsia="en-US"/>
    </w:rPr>
  </w:style>
  <w:style w:type="character" w:customStyle="1" w:styleId="Heading8Char">
    <w:name w:val="Heading 8 Char"/>
    <w:basedOn w:val="DefaultParagraphFont"/>
    <w:link w:val="Heading8"/>
    <w:rsid w:val="00FD54DD"/>
    <w:rPr>
      <w:rFonts w:ascii="Calibri" w:hAnsi="Calibri"/>
      <w:b/>
      <w:sz w:val="24"/>
      <w:lang w:val="fr-FR" w:eastAsia="en-US"/>
    </w:rPr>
  </w:style>
  <w:style w:type="character" w:customStyle="1" w:styleId="Heading9Char">
    <w:name w:val="Heading 9 Char"/>
    <w:basedOn w:val="DefaultParagraphFont"/>
    <w:link w:val="Heading9"/>
    <w:rsid w:val="00FD54DD"/>
    <w:rPr>
      <w:rFonts w:ascii="Calibri" w:hAnsi="Calibri"/>
      <w:b/>
      <w:sz w:val="24"/>
      <w:lang w:val="fr-FR" w:eastAsia="en-US"/>
    </w:rPr>
  </w:style>
  <w:style w:type="character" w:customStyle="1" w:styleId="FooterChar">
    <w:name w:val="Footer Char"/>
    <w:basedOn w:val="DefaultParagraphFont"/>
    <w:link w:val="Footer"/>
    <w:uiPriority w:val="99"/>
    <w:rsid w:val="00FD54DD"/>
    <w:rPr>
      <w:rFonts w:ascii="Calibri" w:hAnsi="Calibri"/>
      <w:caps/>
      <w:noProof/>
      <w:sz w:val="16"/>
      <w:lang w:val="fr-FR" w:eastAsia="en-US"/>
    </w:rPr>
  </w:style>
  <w:style w:type="character" w:customStyle="1" w:styleId="FootnoteTextChar">
    <w:name w:val="Footnote Text Char"/>
    <w:basedOn w:val="DefaultParagraphFont"/>
    <w:link w:val="FootnoteText"/>
    <w:rsid w:val="00FD54DD"/>
    <w:rPr>
      <w:rFonts w:ascii="Calibri" w:hAnsi="Calibri"/>
      <w:sz w:val="24"/>
      <w:lang w:val="fr-FR" w:eastAsia="en-US"/>
    </w:rPr>
  </w:style>
  <w:style w:type="character" w:customStyle="1" w:styleId="DateChar">
    <w:name w:val="Date Char"/>
    <w:basedOn w:val="DefaultParagraphFont"/>
    <w:link w:val="Date"/>
    <w:rsid w:val="00FD54DD"/>
    <w:rPr>
      <w:rFonts w:ascii="Calibri" w:hAnsi="Calibri"/>
      <w:lang w:val="fr-FR" w:eastAsia="en-US"/>
    </w:rPr>
  </w:style>
  <w:style w:type="character" w:styleId="FollowedHyperlink">
    <w:name w:val="FollowedHyperlink"/>
    <w:basedOn w:val="DefaultParagraphFont"/>
    <w:rsid w:val="00FD54DD"/>
    <w:rPr>
      <w:color w:val="800080"/>
      <w:u w:val="single"/>
    </w:rPr>
  </w:style>
  <w:style w:type="paragraph" w:customStyle="1" w:styleId="SpecialFooter">
    <w:name w:val="Special Footer"/>
    <w:basedOn w:val="Footer"/>
    <w:rsid w:val="00FD54DD"/>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VolumeTitleS2">
    <w:name w:val="VolumeTitle_S2"/>
    <w:basedOn w:val="VolumeTitle"/>
    <w:next w:val="Normal"/>
    <w:qFormat/>
    <w:rsid w:val="00FD54DD"/>
  </w:style>
  <w:style w:type="paragraph" w:customStyle="1" w:styleId="StyleCommitteeAfter0ptLinespacingsingle">
    <w:name w:val="Style Committee + After:  0 pt Line spacing:  single"/>
    <w:basedOn w:val="Committee"/>
    <w:rsid w:val="00FD54DD"/>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zCs w:val="20"/>
      <w:lang w:eastAsia="zh-CN"/>
    </w:rPr>
  </w:style>
  <w:style w:type="paragraph" w:styleId="ListParagraph">
    <w:name w:val="List Paragraph"/>
    <w:aliases w:val="List Paragraph1,Recommendation,List Paragraph11"/>
    <w:basedOn w:val="Normal"/>
    <w:link w:val="ListParagraphChar"/>
    <w:uiPriority w:val="34"/>
    <w:qFormat/>
    <w:rsid w:val="00FD54DD"/>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BatangChe" w:hAnsi="Times New Roman"/>
      <w:szCs w:val="24"/>
      <w:lang w:val="en-US"/>
    </w:rPr>
  </w:style>
  <w:style w:type="character" w:customStyle="1" w:styleId="ListParagraphChar">
    <w:name w:val="List Paragraph Char"/>
    <w:aliases w:val="List Paragraph1 Char,Recommendation Char,List Paragraph11 Char"/>
    <w:link w:val="ListParagraph"/>
    <w:uiPriority w:val="34"/>
    <w:locked/>
    <w:rsid w:val="00FD54DD"/>
    <w:rPr>
      <w:rFonts w:ascii="Times New Roman" w:eastAsia="BatangChe" w:hAnsi="Times New Roman"/>
      <w:sz w:val="24"/>
      <w:szCs w:val="24"/>
      <w:lang w:eastAsia="en-US"/>
    </w:rPr>
  </w:style>
  <w:style w:type="character" w:customStyle="1" w:styleId="RestitleChar">
    <w:name w:val="Res_title Char"/>
    <w:basedOn w:val="DefaultParagraphFont"/>
    <w:link w:val="Restitle"/>
    <w:rsid w:val="00FD54DD"/>
    <w:rPr>
      <w:rFonts w:ascii="Calibri" w:hAnsi="Calibri"/>
      <w:b/>
      <w:sz w:val="28"/>
      <w:lang w:val="fr-FR" w:eastAsia="en-US"/>
    </w:rPr>
  </w:style>
  <w:style w:type="table" w:styleId="TableGrid">
    <w:name w:val="Table Grid"/>
    <w:basedOn w:val="TableNormal"/>
    <w:uiPriority w:val="59"/>
    <w:rsid w:val="00FD54DD"/>
    <w:rPr>
      <w:rFonts w:ascii="Times New Roman" w:eastAsiaTheme="minorEastAsia" w:hAnsi="Times New Roman"/>
      <w:lang w:eastAsia="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FD54DD"/>
    <w:rPr>
      <w:rFonts w:eastAsia="SimSun"/>
      <w:szCs w:val="24"/>
    </w:rPr>
  </w:style>
  <w:style w:type="paragraph" w:styleId="NormalWeb">
    <w:name w:val="Normal (Web)"/>
    <w:basedOn w:val="Normal"/>
    <w:link w:val="NormalWebChar"/>
    <w:uiPriority w:val="99"/>
    <w:unhideWhenUsed/>
    <w:rsid w:val="00FD54DD"/>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CG Times" w:eastAsia="SimSun" w:hAnsi="CG Times"/>
      <w:sz w:val="20"/>
      <w:szCs w:val="24"/>
      <w:lang w:val="en-US" w:eastAsia="zh-CN"/>
    </w:rPr>
  </w:style>
  <w:style w:type="character" w:customStyle="1" w:styleId="CallChar">
    <w:name w:val="Call Char"/>
    <w:basedOn w:val="DefaultParagraphFont"/>
    <w:link w:val="Call"/>
    <w:uiPriority w:val="99"/>
    <w:locked/>
    <w:rsid w:val="00FD54DD"/>
    <w:rPr>
      <w:rFonts w:ascii="Calibri" w:hAnsi="Calibri"/>
      <w:i/>
      <w:sz w:val="24"/>
      <w:lang w:val="fr-FR" w:eastAsia="en-US"/>
    </w:rPr>
  </w:style>
  <w:style w:type="character" w:customStyle="1" w:styleId="enumlev1Char">
    <w:name w:val="enumlev1 Char"/>
    <w:link w:val="enumlev1"/>
    <w:rsid w:val="00FD54DD"/>
    <w:rPr>
      <w:rFonts w:ascii="Calibri" w:hAnsi="Calibri"/>
      <w:sz w:val="24"/>
      <w:lang w:val="fr-FR" w:eastAsia="en-US"/>
    </w:rPr>
  </w:style>
  <w:style w:type="paragraph" w:styleId="PlainText">
    <w:name w:val="Plain Text"/>
    <w:basedOn w:val="Normal"/>
    <w:link w:val="PlainTextChar"/>
    <w:uiPriority w:val="99"/>
    <w:unhideWhenUsed/>
    <w:rsid w:val="00FD54DD"/>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theme="minorBidi"/>
      <w:sz w:val="22"/>
      <w:szCs w:val="21"/>
      <w:lang w:val="en-AU"/>
    </w:rPr>
  </w:style>
  <w:style w:type="character" w:customStyle="1" w:styleId="PlainTextChar">
    <w:name w:val="Plain Text Char"/>
    <w:basedOn w:val="DefaultParagraphFont"/>
    <w:link w:val="PlainText"/>
    <w:uiPriority w:val="99"/>
    <w:rsid w:val="00FD54DD"/>
    <w:rPr>
      <w:rFonts w:ascii="Calibri" w:eastAsiaTheme="minorHAnsi" w:hAnsi="Calibri" w:cstheme="minorBidi"/>
      <w:sz w:val="22"/>
      <w:szCs w:val="21"/>
      <w:lang w:val="en-AU" w:eastAsia="en-US"/>
    </w:rPr>
  </w:style>
  <w:style w:type="paragraph" w:customStyle="1" w:styleId="CharChar1">
    <w:name w:val="Char Char1"/>
    <w:basedOn w:val="Normal"/>
    <w:rsid w:val="00FD54DD"/>
    <w:pPr>
      <w:tabs>
        <w:tab w:val="clear" w:pos="567"/>
        <w:tab w:val="clear" w:pos="1134"/>
        <w:tab w:val="clear" w:pos="1701"/>
        <w:tab w:val="clear" w:pos="2268"/>
        <w:tab w:val="clear" w:pos="2835"/>
      </w:tabs>
      <w:overflowPunct/>
      <w:autoSpaceDE/>
      <w:autoSpaceDN/>
      <w:adjustRightInd/>
      <w:spacing w:before="0" w:after="160" w:line="240" w:lineRule="exact"/>
      <w:textAlignment w:val="auto"/>
    </w:pPr>
    <w:rPr>
      <w:rFonts w:ascii="Verdana" w:eastAsia="SimSun" w:hAnsi="Verdana" w:cs="Verdana"/>
      <w:sz w:val="20"/>
      <w:lang w:val="en-GB"/>
    </w:rPr>
  </w:style>
  <w:style w:type="paragraph" w:customStyle="1" w:styleId="ColorfulList-Accent11">
    <w:name w:val="Colorful List - Accent 11"/>
    <w:basedOn w:val="Normal"/>
    <w:uiPriority w:val="34"/>
    <w:qFormat/>
    <w:rsid w:val="00FD54DD"/>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eastAsia="Calibri" w:hAnsi="Times New Roman"/>
      <w:lang w:val="en-GB"/>
    </w:rPr>
  </w:style>
  <w:style w:type="paragraph" w:customStyle="1" w:styleId="Volumetitle0">
    <w:name w:val="Volume_title"/>
    <w:basedOn w:val="Normal"/>
    <w:qFormat/>
    <w:rsid w:val="00FD54DD"/>
    <w:pPr>
      <w:tabs>
        <w:tab w:val="clear" w:pos="567"/>
        <w:tab w:val="clear" w:pos="1134"/>
        <w:tab w:val="clear" w:pos="1701"/>
        <w:tab w:val="clear" w:pos="2268"/>
        <w:tab w:val="clear" w:pos="2835"/>
        <w:tab w:val="left" w:pos="1871"/>
      </w:tabs>
      <w:overflowPunct/>
      <w:autoSpaceDE/>
      <w:autoSpaceDN/>
      <w:adjustRightInd/>
      <w:spacing w:before="0"/>
      <w:jc w:val="center"/>
      <w:textAlignment w:val="auto"/>
    </w:pPr>
    <w:rPr>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88d2f09-7720-4c1d-bd11-1002477f398c" targetNamespace="http://schemas.microsoft.com/office/2006/metadata/properties" ma:root="true" ma:fieldsID="d41af5c836d734370eb92e7ee5f83852" ns2:_="" ns3:_="">
    <xsd:import namespace="996b2e75-67fd-4955-a3b0-5ab9934cb50b"/>
    <xsd:import namespace="d88d2f09-7720-4c1d-bd11-1002477f39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88d2f09-7720-4c1d-bd11-1002477f39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88d2f09-7720-4c1d-bd11-1002477f398c">Documents Proposals Manager (DPM)</DPM_x0020_Author>
    <DPM_x0020_File_x0020_name xmlns="d88d2f09-7720-4c1d-bd11-1002477f398c">S14-PP-C-0067!!MSW-F</DPM_x0020_File_x0020_name>
    <DPM_x0020_Version xmlns="d88d2f09-7720-4c1d-bd11-1002477f398c">DPM_v1.0.0.0_test</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88d2f09-7720-4c1d-bd11-1002477f3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d88d2f09-7720-4c1d-bd11-1002477f398c"/>
    <ds:schemaRef ds:uri="http://schemas.microsoft.com/office/2006/documentManagement/types"/>
    <ds:schemaRef ds:uri="http://schemas.microsoft.com/office/infopath/2007/PartnerControls"/>
    <ds:schemaRef ds:uri="996b2e75-67fd-4955-a3b0-5ab9934cb50b"/>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420144B1-2C6F-4445-BD1D-CCD9A2DB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1366</Words>
  <Characters>7789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S14-PP-C-0067!!MSW-F</vt:lpstr>
    </vt:vector>
  </TitlesOfParts>
  <Manager/>
  <Company/>
  <LinksUpToDate>false</LinksUpToDate>
  <CharactersWithSpaces>9137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S14-PP-C-0067!!MSW-F</dc:title>
  <dc:subject>Plenipotentiary Conference (PP-14)</dc:subject>
  <dc:creator/>
  <cp:keywords>DPM_v1.0.0.0_test</cp:keywords>
  <dc:description/>
  <cp:lastModifiedBy/>
  <cp:revision>1</cp:revision>
  <dcterms:created xsi:type="dcterms:W3CDTF">2014-10-13T08:56:00Z</dcterms:created>
  <dcterms:modified xsi:type="dcterms:W3CDTF">2014-10-13T08:56:00Z</dcterms:modified>
  <cp:category>Conference document</cp:category>
</cp:coreProperties>
</file>