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BB0E42" w:rsidRDefault="009F279B"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rPr>
            </w:pPr>
          </w:p>
        </w:tc>
        <w:tc>
          <w:tcPr>
            <w:tcW w:w="3053" w:type="dxa"/>
            <w:tcBorders>
              <w:top w:val="single" w:sz="12" w:space="0" w:color="auto"/>
            </w:tcBorders>
          </w:tcPr>
          <w:p w:rsidR="009F279B" w:rsidRPr="00BB0E42" w:rsidRDefault="009F279B"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Pr>
            </w:pPr>
          </w:p>
        </w:tc>
      </w:tr>
      <w:tr w:rsidR="009F279B" w:rsidRPr="009F279B" w:rsidTr="00400692">
        <w:trPr>
          <w:cantSplit/>
        </w:trPr>
        <w:tc>
          <w:tcPr>
            <w:tcW w:w="6619" w:type="dxa"/>
            <w:shd w:val="clear" w:color="auto" w:fill="auto"/>
          </w:tcPr>
          <w:p w:rsidR="009F279B" w:rsidRPr="00BB0E42" w:rsidRDefault="009F279B"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rPr>
            </w:pPr>
            <w:r w:rsidRPr="00BB0E42">
              <w:rPr>
                <w:b/>
                <w:bCs/>
                <w:rtl/>
              </w:rPr>
              <w:t>الجلسة العامة</w:t>
            </w:r>
          </w:p>
        </w:tc>
        <w:tc>
          <w:tcPr>
            <w:tcW w:w="3053" w:type="dxa"/>
            <w:shd w:val="clear" w:color="auto" w:fill="auto"/>
            <w:vAlign w:val="center"/>
          </w:tcPr>
          <w:p w:rsidR="009F279B" w:rsidRPr="00BB0E42" w:rsidRDefault="00BB0E42"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Pr>
            </w:pPr>
            <w:r w:rsidRPr="00BB0E42">
              <w:rPr>
                <w:b/>
                <w:bCs/>
                <w:rtl/>
              </w:rPr>
              <w:t>الإضافة</w:t>
            </w:r>
            <w:r w:rsidRPr="00BB0E42">
              <w:rPr>
                <w:rFonts w:hint="cs"/>
                <w:b/>
                <w:bCs/>
                <w:rtl/>
              </w:rPr>
              <w:t xml:space="preserve"> </w:t>
            </w:r>
            <w:r w:rsidRPr="00BB0E42">
              <w:rPr>
                <w:b/>
                <w:bCs/>
              </w:rPr>
              <w:t>3</w:t>
            </w:r>
            <w:r w:rsidRPr="00BB0E42">
              <w:rPr>
                <w:b/>
                <w:bCs/>
              </w:rPr>
              <w:br/>
            </w:r>
            <w:r w:rsidRPr="00BB0E42">
              <w:rPr>
                <w:b/>
                <w:bCs/>
                <w:rtl/>
              </w:rPr>
              <w:t>للوثيقة</w:t>
            </w:r>
            <w:r w:rsidRPr="00BB0E42">
              <w:rPr>
                <w:rFonts w:hint="cs"/>
                <w:b/>
                <w:bCs/>
                <w:rtl/>
              </w:rPr>
              <w:t xml:space="preserve"> </w:t>
            </w:r>
            <w:r w:rsidRPr="00BB0E42">
              <w:rPr>
                <w:b/>
                <w:bCs/>
              </w:rPr>
              <w:t>67-A</w:t>
            </w:r>
          </w:p>
        </w:tc>
      </w:tr>
      <w:tr w:rsidR="009F279B" w:rsidRPr="009F279B" w:rsidTr="00400692">
        <w:trPr>
          <w:cantSplit/>
        </w:trPr>
        <w:tc>
          <w:tcPr>
            <w:tcW w:w="6619" w:type="dxa"/>
            <w:shd w:val="clear" w:color="auto" w:fill="auto"/>
          </w:tcPr>
          <w:p w:rsidR="009F279B" w:rsidRPr="00BB0E42" w:rsidRDefault="009F279B"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rPr>
            </w:pPr>
          </w:p>
        </w:tc>
        <w:tc>
          <w:tcPr>
            <w:tcW w:w="3053" w:type="dxa"/>
            <w:shd w:val="clear" w:color="auto" w:fill="auto"/>
            <w:vAlign w:val="center"/>
          </w:tcPr>
          <w:p w:rsidR="009F279B" w:rsidRPr="00BB0E42" w:rsidRDefault="00BB0E42"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Pr>
            </w:pPr>
            <w:r w:rsidRPr="00BB0E42">
              <w:rPr>
                <w:b/>
                <w:bCs/>
              </w:rPr>
              <w:t>2</w:t>
            </w:r>
            <w:r w:rsidRPr="00BB0E42">
              <w:rPr>
                <w:b/>
                <w:bCs/>
                <w:rtl/>
              </w:rPr>
              <w:t xml:space="preserve"> أكتوبر </w:t>
            </w:r>
            <w:r>
              <w:rPr>
                <w:b/>
                <w:bCs/>
              </w:rPr>
              <w:t>2014</w:t>
            </w:r>
          </w:p>
        </w:tc>
      </w:tr>
      <w:tr w:rsidR="009F279B" w:rsidRPr="009F279B" w:rsidTr="00400692">
        <w:trPr>
          <w:cantSplit/>
        </w:trPr>
        <w:tc>
          <w:tcPr>
            <w:tcW w:w="6619" w:type="dxa"/>
          </w:tcPr>
          <w:p w:rsidR="009F279B" w:rsidRPr="00BB0E42" w:rsidRDefault="009F279B"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rPr>
            </w:pPr>
          </w:p>
        </w:tc>
        <w:tc>
          <w:tcPr>
            <w:tcW w:w="3053" w:type="dxa"/>
            <w:vAlign w:val="center"/>
          </w:tcPr>
          <w:p w:rsidR="009F279B" w:rsidRPr="00BB0E42" w:rsidRDefault="002315F2" w:rsidP="00BB0E4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rPr>
            </w:pPr>
            <w:r w:rsidRPr="00BB0E42">
              <w:rPr>
                <w:b/>
                <w:bCs/>
                <w:rtl/>
              </w:rPr>
              <w:t>الأصل: بالإنكليزية</w:t>
            </w: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إدارات جماعة آسيا والمحيط الهادئ للاتصالات</w:t>
            </w:r>
          </w:p>
        </w:tc>
      </w:tr>
      <w:tr w:rsidR="009F279B" w:rsidRPr="009F279B" w:rsidTr="00400692">
        <w:trPr>
          <w:cantSplit/>
        </w:trPr>
        <w:tc>
          <w:tcPr>
            <w:tcW w:w="9672" w:type="dxa"/>
            <w:gridSpan w:val="2"/>
          </w:tcPr>
          <w:p w:rsidR="009F279B" w:rsidRPr="009F279B" w:rsidRDefault="00BB0E42" w:rsidP="000A4BAB">
            <w:pPr>
              <w:keepNext/>
              <w:tabs>
                <w:tab w:val="clear" w:pos="567"/>
                <w:tab w:val="clear" w:pos="1701"/>
                <w:tab w:val="clear" w:pos="2835"/>
                <w:tab w:val="left" w:pos="1871"/>
              </w:tabs>
              <w:overflowPunct/>
              <w:autoSpaceDE/>
              <w:autoSpaceDN/>
              <w:adjustRightInd/>
              <w:spacing w:before="0"/>
              <w:jc w:val="center"/>
              <w:textAlignment w:val="auto"/>
              <w:rPr>
                <w:rFonts w:asciiTheme="minorHAnsi" w:hAnsiTheme="minorHAnsi"/>
                <w:w w:val="120"/>
                <w:sz w:val="28"/>
                <w:szCs w:val="40"/>
                <w:rtl/>
                <w:lang w:val="en-US"/>
              </w:rPr>
            </w:pPr>
            <w:r w:rsidRPr="00BB0E42">
              <w:rPr>
                <w:rFonts w:ascii="Traditional Arabic" w:hAnsi="Traditional Arabic" w:hint="cs"/>
                <w:w w:val="120"/>
                <w:sz w:val="28"/>
                <w:szCs w:val="40"/>
                <w:rtl/>
                <w:lang w:val="en-US"/>
              </w:rPr>
              <w:t>مقترحات مشتركة مقدمة من جماعة آسيا والمحيط الهادئ للاتصالات</w:t>
            </w:r>
            <w:r w:rsidRPr="00BB0E42">
              <w:rPr>
                <w:rFonts w:ascii="Traditional Arabic" w:hAnsi="Traditional Arabic"/>
                <w:w w:val="120"/>
                <w:sz w:val="28"/>
                <w:szCs w:val="40"/>
                <w:rtl/>
                <w:lang w:val="en-US"/>
              </w:rPr>
              <w:br/>
            </w:r>
            <w:r w:rsidRPr="00BB0E42">
              <w:rPr>
                <w:rFonts w:ascii="Traditional Arabic" w:hAnsi="Traditional Arabic" w:hint="cs"/>
                <w:w w:val="120"/>
                <w:sz w:val="28"/>
                <w:szCs w:val="40"/>
                <w:rtl/>
                <w:lang w:val="en-US"/>
              </w:rPr>
              <w:t>بشأن أعمال المؤتمر</w:t>
            </w:r>
          </w:p>
        </w:tc>
      </w:tr>
      <w:tr w:rsidR="009F279B" w:rsidRPr="009F279B" w:rsidTr="00400692">
        <w:trPr>
          <w:cantSplit/>
        </w:trPr>
        <w:tc>
          <w:tcPr>
            <w:tcW w:w="9672" w:type="dxa"/>
            <w:gridSpan w:val="2"/>
          </w:tcPr>
          <w:p w:rsidR="009F279B" w:rsidRPr="009F279B" w:rsidRDefault="009F279B" w:rsidP="000A4BAB">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10"/>
                <w:sz w:val="28"/>
                <w:szCs w:val="40"/>
                <w:rtl/>
                <w:lang w:val="en-US"/>
              </w:rPr>
            </w:pPr>
          </w:p>
        </w:tc>
      </w:tr>
      <w:tr w:rsidR="009F279B" w:rsidRPr="009F279B" w:rsidTr="00400692">
        <w:trPr>
          <w:cantSplit/>
        </w:trPr>
        <w:tc>
          <w:tcPr>
            <w:tcW w:w="9672" w:type="dxa"/>
            <w:gridSpan w:val="2"/>
          </w:tcPr>
          <w:p w:rsidR="009F279B" w:rsidRPr="009F279B" w:rsidRDefault="009F279B" w:rsidP="000A4BAB">
            <w:pPr>
              <w:pStyle w:val="Agendaitem"/>
              <w:spacing w:line="240" w:lineRule="exact"/>
            </w:pPr>
          </w:p>
        </w:tc>
      </w:tr>
    </w:tbl>
    <w:p w:rsidR="00716FEB" w:rsidRPr="00BB0E42" w:rsidRDefault="00BB0E42" w:rsidP="000D413D">
      <w:pPr>
        <w:pStyle w:val="PartNO"/>
        <w:spacing w:before="0"/>
        <w:rPr>
          <w:rFonts w:eastAsia="SimSun"/>
        </w:rPr>
      </w:pPr>
      <w:r w:rsidRPr="00BB0E42">
        <w:rPr>
          <w:rFonts w:eastAsia="SimSun" w:hint="cs"/>
          <w:rtl/>
          <w:lang w:bidi="ar-EG"/>
        </w:rPr>
        <w:t xml:space="preserve">الجزء </w:t>
      </w:r>
      <w:r w:rsidR="000D413D">
        <w:rPr>
          <w:rFonts w:eastAsia="SimSun"/>
          <w:lang w:bidi="ar-EG"/>
        </w:rPr>
        <w:t>1</w:t>
      </w:r>
      <w:r w:rsidRPr="00BB0E42">
        <w:rPr>
          <w:rFonts w:eastAsia="SimSun" w:hint="cs"/>
          <w:rtl/>
          <w:lang w:bidi="ar-EG"/>
        </w:rPr>
        <w:t xml:space="preserve"> </w:t>
      </w:r>
      <w:r w:rsidR="00265B3E">
        <w:rPr>
          <w:rFonts w:eastAsia="SimSun" w:hint="cs"/>
          <w:rtl/>
          <w:lang w:bidi="ar-EG"/>
        </w:rPr>
        <w:t>-</w:t>
      </w:r>
      <w:r w:rsidRPr="00BB0E42">
        <w:rPr>
          <w:rFonts w:eastAsia="SimSun" w:hint="cs"/>
          <w:rtl/>
          <w:lang w:bidi="ar-EG"/>
        </w:rPr>
        <w:t xml:space="preserve"> إجراءات لجنة لوائح الراديو و</w:t>
      </w:r>
      <w:r w:rsidRPr="00BB0E42">
        <w:rPr>
          <w:rFonts w:eastAsia="SimSun"/>
          <w:rtl/>
          <w:lang w:bidi="ar-EG"/>
        </w:rPr>
        <w:t xml:space="preserve">أساليب </w:t>
      </w:r>
      <w:r w:rsidRPr="00BB0E42">
        <w:rPr>
          <w:rFonts w:eastAsia="SimSun" w:hint="cs"/>
          <w:rtl/>
          <w:lang w:bidi="ar-EG"/>
        </w:rPr>
        <w:t>عملها</w:t>
      </w:r>
    </w:p>
    <w:p w:rsidR="00BB0E42" w:rsidRPr="00BB0E42" w:rsidRDefault="00BB0E42" w:rsidP="00BB0E42">
      <w:pPr>
        <w:pStyle w:val="Heading1"/>
        <w:rPr>
          <w:rtl/>
          <w:lang w:bidi="ar-SA"/>
        </w:rPr>
      </w:pPr>
      <w:r w:rsidRPr="00BB0E42">
        <w:rPr>
          <w:lang w:val="en-US"/>
        </w:rPr>
        <w:t>1</w:t>
      </w:r>
      <w:r w:rsidRPr="00BB0E42">
        <w:rPr>
          <w:rtl/>
          <w:lang w:bidi="ar-SA"/>
        </w:rPr>
        <w:tab/>
      </w:r>
      <w:r w:rsidRPr="00BB0E42">
        <w:rPr>
          <w:rFonts w:hint="cs"/>
          <w:rtl/>
          <w:lang w:bidi="ar-SA"/>
        </w:rPr>
        <w:t>مقدمة</w:t>
      </w:r>
    </w:p>
    <w:p w:rsidR="00BB0E42" w:rsidRPr="00BB0E42" w:rsidRDefault="00BB0E42" w:rsidP="00265B3E">
      <w:pPr>
        <w:rPr>
          <w:rtl/>
        </w:rPr>
      </w:pPr>
      <w:r w:rsidRPr="00BB0E42">
        <w:rPr>
          <w:rFonts w:hint="cs"/>
          <w:rtl/>
          <w:lang w:bidi="ar-SA"/>
        </w:rPr>
        <w:t xml:space="preserve">بعد أن استعرض أعضاء </w:t>
      </w:r>
      <w:r w:rsidRPr="00BB0E42">
        <w:rPr>
          <w:rFonts w:hint="cs"/>
          <w:rtl/>
        </w:rPr>
        <w:t>جماعة</w:t>
      </w:r>
      <w:r w:rsidRPr="00BB0E42">
        <w:rPr>
          <w:rtl/>
        </w:rPr>
        <w:t xml:space="preserve"> آسيا والمحيط الهادئ للاتصالات</w:t>
      </w:r>
      <w:r w:rsidRPr="00BB0E42">
        <w:rPr>
          <w:rFonts w:hint="cs"/>
          <w:rtl/>
        </w:rPr>
        <w:t xml:space="preserve"> أحكام المادة </w:t>
      </w:r>
      <w:r w:rsidRPr="00BB0E42">
        <w:rPr>
          <w:lang w:val="en-US"/>
        </w:rPr>
        <w:t>14</w:t>
      </w:r>
      <w:r w:rsidRPr="00BB0E42">
        <w:rPr>
          <w:rFonts w:hint="cs"/>
          <w:rtl/>
        </w:rPr>
        <w:t xml:space="preserve"> من دستور الاتحاد الدولي للاتصالات والمادة</w:t>
      </w:r>
      <w:r w:rsidR="00846F6F">
        <w:rPr>
          <w:rFonts w:hint="eastAsia"/>
          <w:rtl/>
        </w:rPr>
        <w:t> </w:t>
      </w:r>
      <w:r w:rsidRPr="00BB0E42">
        <w:rPr>
          <w:lang w:val="en-US"/>
        </w:rPr>
        <w:t>10</w:t>
      </w:r>
      <w:r w:rsidRPr="00BB0E42">
        <w:rPr>
          <w:rFonts w:hint="cs"/>
          <w:rtl/>
        </w:rPr>
        <w:t xml:space="preserve"> من اتفاقيته</w:t>
      </w:r>
      <w:r w:rsidR="00265B3E">
        <w:rPr>
          <w:rFonts w:hint="cs"/>
          <w:rtl/>
        </w:rPr>
        <w:t>،</w:t>
      </w:r>
      <w:r w:rsidRPr="00BB0E42">
        <w:rPr>
          <w:rFonts w:hint="cs"/>
          <w:rtl/>
        </w:rPr>
        <w:t xml:space="preserve"> بما في ذلك الأحكام ذات الصلة الواردة في لوائح الراديو المتعلقة بأنشطة لجنة لوائح الراديو ومهامها وترتيباتها الداخلية وأساليب عملها، خلصوا إلى أن هذه الأحكام كافية وتغطي بالكامل جميع الوسائل والسبل الكفيلة بالتعليق على قرارات اللجنة و/أو</w:t>
      </w:r>
      <w:r>
        <w:rPr>
          <w:rFonts w:hint="eastAsia"/>
          <w:rtl/>
        </w:rPr>
        <w:t> </w:t>
      </w:r>
      <w:r w:rsidRPr="00BB0E42">
        <w:rPr>
          <w:rFonts w:hint="cs"/>
          <w:rtl/>
        </w:rPr>
        <w:t>الاعتراض عليها.</w:t>
      </w:r>
    </w:p>
    <w:p w:rsidR="00BB0E42" w:rsidRPr="00BB0E42" w:rsidRDefault="00BB0E42" w:rsidP="00BB0E42">
      <w:pPr>
        <w:rPr>
          <w:rtl/>
        </w:rPr>
      </w:pPr>
      <w:r w:rsidRPr="00BB0E42">
        <w:rPr>
          <w:rFonts w:hint="cs"/>
          <w:rtl/>
        </w:rPr>
        <w:t>وعلاوةً على ذلك، فإن السماح للإدارات بإبداء آرائها بنفسها لن يقلل من الحاجة إلى إعادة النظر في القرارات السابقة، بل إنه على عكس ذلك سيزيدها، وقد يتسبب أيضا</w:t>
      </w:r>
      <w:r w:rsidR="00265B3E">
        <w:rPr>
          <w:rFonts w:hint="cs"/>
          <w:rtl/>
        </w:rPr>
        <w:t>ً</w:t>
      </w:r>
      <w:r w:rsidRPr="00BB0E42">
        <w:rPr>
          <w:rFonts w:hint="cs"/>
          <w:rtl/>
        </w:rPr>
        <w:t xml:space="preserve"> في تعارض المصالح.</w:t>
      </w:r>
    </w:p>
    <w:p w:rsidR="00BB0E42" w:rsidRPr="00BB0E42" w:rsidRDefault="00BB0E42" w:rsidP="00BB0E42">
      <w:pPr>
        <w:rPr>
          <w:rtl/>
        </w:rPr>
      </w:pPr>
      <w:r w:rsidRPr="00BB0E42">
        <w:rPr>
          <w:rFonts w:hint="cs"/>
          <w:rtl/>
        </w:rPr>
        <w:t>وبالإضافة إلى ذلك، ينبغي التأكيد على أن مؤتمرات المندوبين المفوضين تتناول سياسات رفيعة المستوى تعالج جميع أنشطة الاتحاد والمسائل المشتركة بين القطاعات، وبالتالي ليس من المتوقع أن تتناول مسائل تخص قطاعا</w:t>
      </w:r>
      <w:r w:rsidR="00265B3E">
        <w:rPr>
          <w:rFonts w:hint="cs"/>
          <w:rtl/>
        </w:rPr>
        <w:t>ً</w:t>
      </w:r>
      <w:r w:rsidRPr="00BB0E42">
        <w:rPr>
          <w:rFonts w:hint="cs"/>
          <w:rtl/>
        </w:rPr>
        <w:t xml:space="preserve"> معينا</w:t>
      </w:r>
      <w:r w:rsidR="00265B3E">
        <w:rPr>
          <w:rFonts w:hint="cs"/>
          <w:rtl/>
        </w:rPr>
        <w:t>ً</w:t>
      </w:r>
      <w:r w:rsidRPr="00BB0E42">
        <w:rPr>
          <w:rFonts w:hint="cs"/>
          <w:rtl/>
        </w:rPr>
        <w:t xml:space="preserve"> من القطاعات، بخلاف تلك المشار إليها في الدستور والاتفاقية.</w:t>
      </w:r>
    </w:p>
    <w:p w:rsidR="00BB0E42" w:rsidRPr="00BB0E42" w:rsidRDefault="00BB0E42" w:rsidP="00BB0E42">
      <w:pPr>
        <w:keepNext/>
        <w:rPr>
          <w:rtl/>
          <w:lang w:bidi="ar-SA"/>
        </w:rPr>
      </w:pPr>
      <w:r w:rsidRPr="00BB0E42">
        <w:rPr>
          <w:rFonts w:hint="cs"/>
          <w:rtl/>
          <w:lang w:bidi="ar-SA"/>
        </w:rPr>
        <w:t>ويُعاد النظر في القرارات التي صدرت سابقا</w:t>
      </w:r>
      <w:r w:rsidR="00265B3E">
        <w:rPr>
          <w:rFonts w:hint="cs"/>
          <w:rtl/>
          <w:lang w:bidi="ar-SA"/>
        </w:rPr>
        <w:t>ً</w:t>
      </w:r>
      <w:r w:rsidRPr="00BB0E42">
        <w:rPr>
          <w:rFonts w:hint="cs"/>
          <w:rtl/>
          <w:lang w:bidi="ar-SA"/>
        </w:rPr>
        <w:t xml:space="preserve"> عن لجنة لوائح الراديو استنادا</w:t>
      </w:r>
      <w:r w:rsidR="00265B3E">
        <w:rPr>
          <w:rFonts w:hint="cs"/>
          <w:rtl/>
          <w:lang w:bidi="ar-SA"/>
        </w:rPr>
        <w:t>ً</w:t>
      </w:r>
      <w:r w:rsidRPr="00BB0E42">
        <w:rPr>
          <w:rFonts w:hint="cs"/>
          <w:rtl/>
          <w:lang w:bidi="ar-SA"/>
        </w:rPr>
        <w:t xml:space="preserve"> إلى ما يلي:</w:t>
      </w:r>
    </w:p>
    <w:p w:rsidR="00645129" w:rsidRPr="00BB0E42" w:rsidRDefault="008E1A66" w:rsidP="00BB0E42">
      <w:pPr>
        <w:pStyle w:val="enumlev1"/>
        <w:keepNext/>
        <w:rPr>
          <w:lang w:val="en-US"/>
        </w:rPr>
      </w:pPr>
      <w:r>
        <w:rPr>
          <w:rFonts w:hint="cs"/>
          <w:rtl/>
          <w:lang w:bidi="ar-SA"/>
        </w:rPr>
        <w:t xml:space="preserve"> </w:t>
      </w:r>
      <w:r w:rsidR="00BB0E42" w:rsidRPr="00BB0E42">
        <w:rPr>
          <w:rFonts w:hint="cs"/>
          <w:rtl/>
          <w:lang w:bidi="ar-SA"/>
        </w:rPr>
        <w:t>أ )</w:t>
      </w:r>
      <w:r w:rsidR="00BB0E42" w:rsidRPr="00BB0E42">
        <w:rPr>
          <w:rtl/>
          <w:lang w:bidi="ar-SA"/>
        </w:rPr>
        <w:tab/>
      </w:r>
      <w:r w:rsidR="00974BCE" w:rsidRPr="00BB0E42">
        <w:rPr>
          <w:rFonts w:hint="cs"/>
          <w:rtl/>
          <w:lang w:bidi="ar-SA"/>
        </w:rPr>
        <w:t>مبادرات أعضاء لجنة لوائح الراديو</w:t>
      </w:r>
      <w:r w:rsidR="00974BCE" w:rsidRPr="00BB0E42">
        <w:rPr>
          <w:rFonts w:hint="cs"/>
          <w:rtl/>
        </w:rPr>
        <w:t>؛</w:t>
      </w:r>
    </w:p>
    <w:p w:rsidR="00645129" w:rsidRPr="00BB0E42" w:rsidRDefault="00BB0E42" w:rsidP="00BB0E42">
      <w:pPr>
        <w:pStyle w:val="enumlev1"/>
        <w:keepNext/>
        <w:rPr>
          <w:lang w:val="en-US"/>
        </w:rPr>
      </w:pPr>
      <w:r w:rsidRPr="00BB0E42">
        <w:rPr>
          <w:rFonts w:hint="cs"/>
          <w:rtl/>
          <w:lang w:bidi="ar-SA"/>
        </w:rPr>
        <w:t>ب)</w:t>
      </w:r>
      <w:r w:rsidRPr="00BB0E42">
        <w:rPr>
          <w:rtl/>
          <w:lang w:bidi="ar-SA"/>
        </w:rPr>
        <w:tab/>
      </w:r>
      <w:r w:rsidR="00974BCE" w:rsidRPr="00BB0E42">
        <w:rPr>
          <w:rFonts w:hint="cs"/>
          <w:rtl/>
          <w:lang w:bidi="ar-SA"/>
        </w:rPr>
        <w:t>طلب من المكتب؛</w:t>
      </w:r>
    </w:p>
    <w:p w:rsidR="00BB0E42" w:rsidRPr="00BB0E42" w:rsidRDefault="00BB0E42" w:rsidP="00BB0E42">
      <w:pPr>
        <w:pStyle w:val="enumlev1"/>
        <w:rPr>
          <w:lang w:val="en-US"/>
        </w:rPr>
      </w:pPr>
      <w:r w:rsidRPr="00BB0E42">
        <w:rPr>
          <w:rFonts w:hint="cs"/>
          <w:rtl/>
          <w:lang w:bidi="ar-SA"/>
        </w:rPr>
        <w:t>ج)</w:t>
      </w:r>
      <w:r w:rsidRPr="00BB0E42">
        <w:rPr>
          <w:rtl/>
          <w:lang w:bidi="ar-SA"/>
        </w:rPr>
        <w:tab/>
      </w:r>
      <w:r w:rsidRPr="00BB0E42">
        <w:rPr>
          <w:rFonts w:hint="cs"/>
          <w:rtl/>
          <w:lang w:bidi="ar-SA"/>
        </w:rPr>
        <w:t>طلب من إحدى الدول الأعضاء.</w:t>
      </w:r>
    </w:p>
    <w:p w:rsidR="00BB0E42" w:rsidRDefault="00BB0E42" w:rsidP="00BB0E42">
      <w:r w:rsidRPr="00BB0E42">
        <w:rPr>
          <w:rFonts w:hint="cs"/>
          <w:rtl/>
          <w:lang w:bidi="ar-SA"/>
        </w:rPr>
        <w:t>وتبعا</w:t>
      </w:r>
      <w:r w:rsidR="00265B3E">
        <w:rPr>
          <w:rFonts w:hint="cs"/>
          <w:rtl/>
          <w:lang w:bidi="ar-SA"/>
        </w:rPr>
        <w:t>ً</w:t>
      </w:r>
      <w:r w:rsidRPr="00BB0E42">
        <w:rPr>
          <w:rFonts w:hint="cs"/>
          <w:rtl/>
          <w:lang w:bidi="ar-SA"/>
        </w:rPr>
        <w:t xml:space="preserve"> لذلك، تدخل إعادة النظر هذه في اختصاص لجنة لوائح الراديو وأساليب عملها.</w:t>
      </w:r>
    </w:p>
    <w:p w:rsidR="00BB0E42" w:rsidRPr="00BB0E42" w:rsidRDefault="00BB0E42" w:rsidP="00BB0E42">
      <w:pPr>
        <w:pStyle w:val="Heading1"/>
        <w:rPr>
          <w:lang w:val="en-US"/>
        </w:rPr>
      </w:pPr>
      <w:r w:rsidRPr="00BB0E42">
        <w:rPr>
          <w:lang w:val="en-US"/>
        </w:rPr>
        <w:lastRenderedPageBreak/>
        <w:t>2</w:t>
      </w:r>
      <w:r w:rsidRPr="00BB0E42">
        <w:rPr>
          <w:rtl/>
          <w:lang w:val="en-US"/>
        </w:rPr>
        <w:tab/>
      </w:r>
      <w:r w:rsidRPr="00BB0E42">
        <w:rPr>
          <w:rFonts w:hint="cs"/>
          <w:rtl/>
          <w:lang w:val="en-US"/>
        </w:rPr>
        <w:t>المقترح</w:t>
      </w:r>
    </w:p>
    <w:p w:rsidR="00182554" w:rsidRDefault="00974BCE" w:rsidP="008E1A66">
      <w:pPr>
        <w:pStyle w:val="Proposal"/>
      </w:pPr>
      <w:r>
        <w:tab/>
        <w:t>ACP/67A3/1</w:t>
      </w:r>
    </w:p>
    <w:p w:rsidR="00182554" w:rsidRDefault="00BB0E42" w:rsidP="00BB0E42">
      <w:r w:rsidRPr="00BB0E42">
        <w:rPr>
          <w:rFonts w:hint="cs"/>
          <w:rtl/>
        </w:rPr>
        <w:t xml:space="preserve">وبالنظر إلى ما تقدّم أعلاه، لا تحبِّذ الدول الأعضاء في جماعة </w:t>
      </w:r>
      <w:r w:rsidRPr="00BB0E42">
        <w:rPr>
          <w:rtl/>
        </w:rPr>
        <w:t>آسيا والمحيط الهادئ للاتصالات</w:t>
      </w:r>
      <w:r w:rsidRPr="00BB0E42">
        <w:rPr>
          <w:rFonts w:hint="cs"/>
          <w:rtl/>
        </w:rPr>
        <w:t xml:space="preserve"> إدخال أي تعديلات على إجراءات لجنة لوائح الراديو وأساليب عملها أو اعتماد قرار جديد بشأن هذه المسائل. فسيكون من المناسب مناقشة هذه المسائل في المؤتمر العالمي للاتصالات الراديوية و/أو في لجنة لوائح الراديو، حسب الاقتضاء.</w:t>
      </w:r>
    </w:p>
    <w:p w:rsidR="00BB0E42" w:rsidRDefault="00BB0E42" w:rsidP="00BB0E42">
      <w:pPr>
        <w:pStyle w:val="Reasons"/>
      </w:pPr>
    </w:p>
    <w:p w:rsidR="00BB0E42" w:rsidRPr="009163A2" w:rsidRDefault="00BB0E42" w:rsidP="000D413D">
      <w:pPr>
        <w:pStyle w:val="PartNO"/>
        <w:rPr>
          <w:rFonts w:eastAsia="SimSun"/>
          <w:rtl/>
          <w:lang w:bidi="ar-EG"/>
        </w:rPr>
      </w:pPr>
      <w:r w:rsidRPr="009163A2">
        <w:rPr>
          <w:rFonts w:eastAsia="SimSun" w:hint="cs"/>
          <w:rtl/>
          <w:lang w:bidi="ar-EG"/>
        </w:rPr>
        <w:t xml:space="preserve">الجزء </w:t>
      </w:r>
      <w:r w:rsidR="000D413D">
        <w:rPr>
          <w:rFonts w:eastAsia="SimSun"/>
          <w:lang w:bidi="ar-EG"/>
        </w:rPr>
        <w:t>2</w:t>
      </w:r>
      <w:r w:rsidRPr="009163A2">
        <w:rPr>
          <w:rFonts w:eastAsia="SimSun" w:hint="cs"/>
          <w:rtl/>
          <w:lang w:bidi="ar-EG"/>
        </w:rPr>
        <w:t xml:space="preserve"> </w:t>
      </w:r>
      <w:r w:rsidR="00265B3E">
        <w:rPr>
          <w:rFonts w:eastAsia="SimSun" w:hint="cs"/>
          <w:rtl/>
          <w:lang w:bidi="ar-EG"/>
        </w:rPr>
        <w:t>-</w:t>
      </w:r>
      <w:r w:rsidRPr="009163A2">
        <w:rPr>
          <w:rFonts w:eastAsia="SimSun" w:hint="cs"/>
          <w:rtl/>
          <w:lang w:bidi="ar-EG"/>
        </w:rPr>
        <w:t xml:space="preserve"> التداخل ورصد الإرسالات</w:t>
      </w:r>
    </w:p>
    <w:p w:rsidR="008E1A66" w:rsidRDefault="008E1A66" w:rsidP="008E1A66">
      <w:pPr>
        <w:pStyle w:val="Heading1"/>
        <w:rPr>
          <w:rtl/>
          <w:lang w:val="en-US"/>
        </w:rPr>
      </w:pPr>
      <w:r>
        <w:rPr>
          <w:lang w:val="en-US"/>
        </w:rPr>
        <w:t>1</w:t>
      </w:r>
      <w:r>
        <w:rPr>
          <w:rtl/>
          <w:lang w:val="en-US"/>
        </w:rPr>
        <w:tab/>
      </w:r>
      <w:r>
        <w:rPr>
          <w:rFonts w:hint="cs"/>
          <w:rtl/>
          <w:lang w:val="en-US"/>
        </w:rPr>
        <w:t>مقدمة</w:t>
      </w:r>
    </w:p>
    <w:p w:rsidR="008E1A66" w:rsidRPr="008E1A66" w:rsidRDefault="008E1A66" w:rsidP="008E1A66">
      <w:pPr>
        <w:rPr>
          <w:rtl/>
        </w:rPr>
      </w:pPr>
      <w:r w:rsidRPr="00846F6F">
        <w:rPr>
          <w:rFonts w:hint="cs"/>
          <w:spacing w:val="4"/>
          <w:rtl/>
        </w:rPr>
        <w:t>ينبغي التأكيد على أن مؤتمرات المندوبين المفوضين تتناول سياسات رفيعة المستوى تعالج جميع أنشطة الاتحاد والمسائل المشتركة</w:t>
      </w:r>
      <w:r w:rsidRPr="00846F6F">
        <w:rPr>
          <w:rFonts w:hint="cs"/>
          <w:spacing w:val="2"/>
          <w:rtl/>
        </w:rPr>
        <w:t xml:space="preserve"> </w:t>
      </w:r>
      <w:r w:rsidRPr="00846F6F">
        <w:rPr>
          <w:rFonts w:hint="cs"/>
          <w:spacing w:val="4"/>
          <w:rtl/>
        </w:rPr>
        <w:t>بين القطاعات، وبالتالي ليس الهدف منها أن تتناول مسائل تخص قطاعاً معيناً من القطاعات، إذ يكون من الأفضل مناقشتها في</w:t>
      </w:r>
      <w:r w:rsidRPr="008E1A66">
        <w:rPr>
          <w:rFonts w:hint="cs"/>
          <w:rtl/>
        </w:rPr>
        <w:t xml:space="preserve"> مؤتمرات القطاع المعني وجمعياته.</w:t>
      </w:r>
    </w:p>
    <w:p w:rsidR="008E1A66" w:rsidRPr="008E1A66" w:rsidRDefault="008E1A66" w:rsidP="008E1A66">
      <w:pPr>
        <w:rPr>
          <w:rtl/>
        </w:rPr>
      </w:pPr>
      <w:r w:rsidRPr="008E1A66">
        <w:rPr>
          <w:rFonts w:hint="cs"/>
          <w:rtl/>
        </w:rPr>
        <w:t xml:space="preserve">إلى جانب ذلك، أُثيرت هذه المسألة في مؤتمر المندوبين المفوضين لعام </w:t>
      </w:r>
      <w:r w:rsidRPr="008E1A66">
        <w:rPr>
          <w:lang w:val="en-US"/>
        </w:rPr>
        <w:t>2010</w:t>
      </w:r>
      <w:r w:rsidRPr="008E1A66">
        <w:rPr>
          <w:rFonts w:hint="cs"/>
          <w:rtl/>
        </w:rPr>
        <w:t xml:space="preserve"> وتقرر إحالتها إلى المؤتمر العالمي للاتصالات</w:t>
      </w:r>
      <w:r w:rsidR="00265B3E">
        <w:rPr>
          <w:rFonts w:hint="cs"/>
          <w:rtl/>
        </w:rPr>
        <w:t xml:space="preserve"> الراديوية</w:t>
      </w:r>
      <w:r w:rsidRPr="008E1A66">
        <w:rPr>
          <w:rFonts w:hint="cs"/>
          <w:rtl/>
        </w:rPr>
        <w:t xml:space="preserve"> لعام </w:t>
      </w:r>
      <w:r w:rsidRPr="008E1A66">
        <w:rPr>
          <w:lang w:val="en-US"/>
        </w:rPr>
        <w:t>2012</w:t>
      </w:r>
      <w:r w:rsidRPr="008E1A66">
        <w:rPr>
          <w:rFonts w:hint="cs"/>
          <w:rtl/>
        </w:rPr>
        <w:t xml:space="preserve"> (انظر المحضر الموجز للجنة </w:t>
      </w:r>
      <w:r w:rsidRPr="008E1A66">
        <w:rPr>
          <w:lang w:val="en-US"/>
        </w:rPr>
        <w:t>5</w:t>
      </w:r>
      <w:r w:rsidRPr="008E1A66">
        <w:rPr>
          <w:rFonts w:hint="cs"/>
          <w:rtl/>
        </w:rPr>
        <w:t xml:space="preserve"> وتقريرها الذي قُدِّم إلى الجلسة العامة لمؤتمر المندوبين المفوضين لعام </w:t>
      </w:r>
      <w:r w:rsidRPr="008E1A66">
        <w:rPr>
          <w:lang w:val="en-US"/>
        </w:rPr>
        <w:t>2010</w:t>
      </w:r>
      <w:r w:rsidR="00D61F91">
        <w:rPr>
          <w:rFonts w:hint="cs"/>
          <w:rtl/>
        </w:rPr>
        <w:t>).</w:t>
      </w:r>
    </w:p>
    <w:p w:rsidR="008E1A66" w:rsidRPr="008E1A66" w:rsidRDefault="008E1A66" w:rsidP="008E1A66">
      <w:pPr>
        <w:rPr>
          <w:rtl/>
        </w:rPr>
      </w:pPr>
      <w:r w:rsidRPr="008E1A66">
        <w:rPr>
          <w:rFonts w:hint="cs"/>
          <w:rtl/>
        </w:rPr>
        <w:t xml:space="preserve">وعلاوةً على ذلك، وبالاستناد إلى مساهمة مشتركة من </w:t>
      </w:r>
      <w:r w:rsidRPr="008E1A66">
        <w:rPr>
          <w:lang w:val="en-US"/>
        </w:rPr>
        <w:t>14</w:t>
      </w:r>
      <w:r w:rsidRPr="008E1A66">
        <w:rPr>
          <w:rFonts w:hint="cs"/>
          <w:rtl/>
        </w:rPr>
        <w:t xml:space="preserve"> إدارة أوروبية بشأن المسألة ذاتها، ناقش المؤتمر العالمي للاتصالات الراديوية لعام</w:t>
      </w:r>
      <w:r w:rsidRPr="008E1A66">
        <w:rPr>
          <w:rFonts w:hint="eastAsia"/>
          <w:rtl/>
        </w:rPr>
        <w:t> </w:t>
      </w:r>
      <w:r w:rsidRPr="008E1A66">
        <w:rPr>
          <w:lang w:val="en-US"/>
        </w:rPr>
        <w:t>2012</w:t>
      </w:r>
      <w:r w:rsidRPr="008E1A66">
        <w:rPr>
          <w:rFonts w:hint="cs"/>
          <w:rtl/>
        </w:rPr>
        <w:t xml:space="preserve"> هذه المسألة باستفاضة في عدة اجتماعات للفريق المخصص الذي أُنشئ لهذا الغرض، وأدخل التعديلات اللازمة على المادة</w:t>
      </w:r>
      <w:r w:rsidRPr="008E1A66">
        <w:rPr>
          <w:rFonts w:hint="eastAsia"/>
          <w:rtl/>
        </w:rPr>
        <w:t> </w:t>
      </w:r>
      <w:r w:rsidRPr="008E1A66">
        <w:rPr>
          <w:lang w:val="en-US"/>
        </w:rPr>
        <w:t>15</w:t>
      </w:r>
      <w:r w:rsidRPr="008E1A66">
        <w:rPr>
          <w:rFonts w:hint="cs"/>
          <w:rtl/>
        </w:rPr>
        <w:t xml:space="preserve"> من لوائح الراديو. وإثارة هذه المسألة خلال المؤتمر العالمي للاتصالات الراديوية لعام </w:t>
      </w:r>
      <w:r w:rsidRPr="008E1A66">
        <w:rPr>
          <w:lang w:val="en-US"/>
        </w:rPr>
        <w:t>2015</w:t>
      </w:r>
      <w:r w:rsidRPr="008E1A66">
        <w:rPr>
          <w:rFonts w:hint="cs"/>
          <w:rtl/>
        </w:rPr>
        <w:t xml:space="preserve"> ستكون لها نتيجة عكسية </w:t>
      </w:r>
      <w:r w:rsidRPr="000A4BAB">
        <w:rPr>
          <w:rFonts w:hint="cs"/>
          <w:rtl/>
        </w:rPr>
        <w:t>وستستنفذ</w:t>
      </w:r>
      <w:r w:rsidRPr="008E1A66">
        <w:rPr>
          <w:rFonts w:hint="cs"/>
          <w:rtl/>
        </w:rPr>
        <w:t xml:space="preserve"> قدراً كبيراً من موارد ذلك المؤتمر الذي له جدول أعمال مكثف ومعقد.</w:t>
      </w:r>
    </w:p>
    <w:p w:rsidR="00BB0E42" w:rsidRDefault="008E1A66" w:rsidP="008E1A66">
      <w:r w:rsidRPr="008E1A66">
        <w:rPr>
          <w:rFonts w:hint="cs"/>
          <w:rtl/>
        </w:rPr>
        <w:t>وبالإضافة إلى ذلك، وبفضل التعاون الوثيق بين الإدارات المعنية والمساعي الحميدة للمكتب، فقد تمّ تسوية حالات تداخل مماثلة، ولم يُبلَّغ، في الواقع، المكتبُ بحالات تداخل من هذا النوع، كما لم يُسترع انتباه لجنة لوائح الراديو إليها منذ ثمانية عشر شهرا</w:t>
      </w:r>
      <w:r w:rsidR="000A4BAB">
        <w:rPr>
          <w:rFonts w:hint="cs"/>
          <w:rtl/>
        </w:rPr>
        <w:t>ً</w:t>
      </w:r>
      <w:r w:rsidRPr="008E1A66">
        <w:rPr>
          <w:rFonts w:hint="cs"/>
          <w:rtl/>
        </w:rPr>
        <w:t xml:space="preserve"> على أقل تقدير.</w:t>
      </w:r>
    </w:p>
    <w:p w:rsidR="008E1A66" w:rsidRDefault="008E1A66" w:rsidP="008E1A66">
      <w:pPr>
        <w:pStyle w:val="Heading1"/>
        <w:rPr>
          <w:rtl/>
          <w:lang w:val="en-US"/>
        </w:rPr>
      </w:pPr>
      <w:r>
        <w:rPr>
          <w:lang w:val="en-US"/>
        </w:rPr>
        <w:t>2</w:t>
      </w:r>
      <w:r>
        <w:rPr>
          <w:rtl/>
          <w:lang w:val="en-US"/>
        </w:rPr>
        <w:tab/>
      </w:r>
      <w:r>
        <w:rPr>
          <w:rFonts w:hint="cs"/>
          <w:rtl/>
          <w:lang w:val="en-US"/>
        </w:rPr>
        <w:t>المقترح</w:t>
      </w:r>
    </w:p>
    <w:p w:rsidR="00182554" w:rsidRDefault="00974BCE" w:rsidP="008E1A66">
      <w:pPr>
        <w:pStyle w:val="Proposal"/>
      </w:pPr>
      <w:r>
        <w:tab/>
        <w:t>ACP/67A3/2</w:t>
      </w:r>
    </w:p>
    <w:p w:rsidR="00182554" w:rsidRDefault="008E1A66" w:rsidP="008E1A66">
      <w:r w:rsidRPr="008E1A66">
        <w:rPr>
          <w:rFonts w:hint="cs"/>
          <w:rtl/>
          <w:lang w:bidi="ar-SA"/>
        </w:rPr>
        <w:t xml:space="preserve">وبالنظر إلى ما تقدَّم أعلاه، يقترح أعضاء جماعة </w:t>
      </w:r>
      <w:r w:rsidRPr="008E1A66">
        <w:rPr>
          <w:rtl/>
        </w:rPr>
        <w:t>آسيا والمحيط الهادئ للاتصالات</w:t>
      </w:r>
      <w:r w:rsidRPr="008E1A66">
        <w:rPr>
          <w:rFonts w:hint="cs"/>
          <w:rtl/>
        </w:rPr>
        <w:t xml:space="preserve"> أن المسائل ذات الصلة بالتداخل ورصد الإرسالات على الصعيد الدولي تدخل في نطاق اختصاص المؤتمر العالمي للاتصالات الراديوية و/أو لجنة لوائح الراديو، ولذا فيتعين أن يتناولها هذان الكيانان، حسب الاقتضاء.</w:t>
      </w:r>
    </w:p>
    <w:p w:rsidR="00182554" w:rsidRDefault="00182554">
      <w:pPr>
        <w:pStyle w:val="Reasons"/>
      </w:pPr>
    </w:p>
    <w:p w:rsidR="008E1A66" w:rsidRPr="008E1A66" w:rsidRDefault="000A4BAB" w:rsidP="008E1A66">
      <w:pPr>
        <w:spacing w:before="360"/>
        <w:jc w:val="center"/>
      </w:pPr>
      <w:r>
        <w:rPr>
          <w:rFonts w:hint="cs"/>
          <w:rtl/>
        </w:rPr>
        <w:t>__________</w:t>
      </w:r>
    </w:p>
    <w:sectPr w:rsidR="008E1A66" w:rsidRPr="008E1A66" w:rsidSect="003E018F">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CC" w:rsidRDefault="00F459CC" w:rsidP="00FE7FCA">
      <w:r>
        <w:separator/>
      </w:r>
    </w:p>
  </w:endnote>
  <w:endnote w:type="continuationSeparator" w:id="0">
    <w:p w:rsidR="00F459CC" w:rsidRDefault="00F459C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426" w:rsidRDefault="00E84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p w:rsidR="00484AB9" w:rsidRPr="00E84426" w:rsidRDefault="00B37433" w:rsidP="008E1A66">
    <w:pPr>
      <w:tabs>
        <w:tab w:val="clear" w:pos="567"/>
        <w:tab w:val="clear" w:pos="1134"/>
        <w:tab w:val="clear" w:pos="1701"/>
        <w:tab w:val="clear" w:pos="2268"/>
        <w:tab w:val="clear" w:pos="2835"/>
        <w:tab w:val="center" w:pos="5474"/>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E84426">
      <w:rPr>
        <w:rFonts w:asciiTheme="minorHAnsi" w:hAnsiTheme="minorHAnsi"/>
        <w:color w:val="FFFFFF" w:themeColor="background1"/>
        <w:sz w:val="16"/>
        <w:szCs w:val="16"/>
        <w:lang w:val="en-US" w:bidi="ar-SA"/>
      </w:rPr>
      <w:fldChar w:fldCharType="begin"/>
    </w:r>
    <w:r w:rsidRPr="00E84426">
      <w:rPr>
        <w:rFonts w:asciiTheme="minorHAnsi" w:hAnsiTheme="minorHAnsi"/>
        <w:color w:val="FFFFFF" w:themeColor="background1"/>
        <w:sz w:val="16"/>
        <w:szCs w:val="16"/>
        <w:lang w:val="en-US" w:bidi="ar-SA"/>
      </w:rPr>
      <w:instrText xml:space="preserve"> FILENAME \p \* MERGEFORMAT </w:instrText>
    </w:r>
    <w:r w:rsidRPr="00E84426">
      <w:rPr>
        <w:rFonts w:asciiTheme="minorHAnsi" w:hAnsiTheme="minorHAnsi"/>
        <w:color w:val="FFFFFF" w:themeColor="background1"/>
        <w:sz w:val="16"/>
        <w:szCs w:val="16"/>
        <w:lang w:val="en-US" w:bidi="ar-SA"/>
      </w:rPr>
      <w:fldChar w:fldCharType="separate"/>
    </w:r>
    <w:r w:rsidR="00974BCE" w:rsidRPr="00E84426">
      <w:rPr>
        <w:rFonts w:asciiTheme="minorHAnsi" w:hAnsiTheme="minorHAnsi"/>
        <w:noProof/>
        <w:color w:val="FFFFFF" w:themeColor="background1"/>
        <w:sz w:val="16"/>
        <w:szCs w:val="16"/>
        <w:lang w:val="en-US" w:bidi="ar-SA"/>
      </w:rPr>
      <w:t>P:\ARA\SG\CONF-SG\PP14\000\067ADD03A.docx</w:t>
    </w:r>
    <w:r w:rsidRPr="00E84426">
      <w:rPr>
        <w:rFonts w:asciiTheme="minorHAnsi" w:hAnsiTheme="minorHAnsi"/>
        <w:color w:val="FFFFFF" w:themeColor="background1"/>
        <w:sz w:val="16"/>
        <w:szCs w:val="16"/>
        <w:lang w:val="en-US" w:bidi="ar-SA"/>
      </w:rPr>
      <w:fldChar w:fldCharType="end"/>
    </w:r>
    <w:r w:rsidR="008E1A66" w:rsidRPr="00E84426">
      <w:rPr>
        <w:rFonts w:asciiTheme="minorHAnsi" w:hAnsiTheme="minorHAnsi"/>
        <w:color w:val="FFFFFF" w:themeColor="background1"/>
        <w:sz w:val="16"/>
        <w:szCs w:val="16"/>
        <w:lang w:val="en-US" w:bidi="ar-SA"/>
      </w:rPr>
      <w:t xml:space="preserve">   </w:t>
    </w:r>
    <w:r w:rsidR="008E1A66" w:rsidRPr="00E84426">
      <w:rPr>
        <w:rFonts w:asciiTheme="minorHAnsi" w:hAnsiTheme="minorHAnsi"/>
        <w:color w:val="FFFFFF" w:themeColor="background1"/>
        <w:sz w:val="16"/>
        <w:szCs w:val="16"/>
        <w:lang w:bidi="ar-SA"/>
      </w:rPr>
      <w:t>(</w:t>
    </w:r>
    <w:r w:rsidR="008E1A66" w:rsidRPr="00E84426">
      <w:rPr>
        <w:rFonts w:asciiTheme="minorHAnsi" w:hAnsiTheme="minorHAnsi"/>
        <w:color w:val="FFFFFF" w:themeColor="background1"/>
        <w:sz w:val="16"/>
        <w:szCs w:val="16"/>
        <w:lang w:val="en-US" w:bidi="ar-SA"/>
      </w:rPr>
      <w:t>369858</w:t>
    </w:r>
    <w:r w:rsidR="008E1A66" w:rsidRPr="00E84426">
      <w:rPr>
        <w:rFonts w:asciiTheme="minorHAnsi" w:hAnsiTheme="minorHAnsi"/>
        <w:color w:val="FFFFFF" w:themeColor="background1"/>
        <w:sz w:val="16"/>
        <w:szCs w:val="16"/>
        <w:lang w:bidi="ar-SA"/>
      </w:rPr>
      <w:t>)</w:t>
    </w:r>
    <w:r w:rsidRPr="00E84426">
      <w:rPr>
        <w:rFonts w:asciiTheme="minorHAnsi" w:hAnsiTheme="minorHAnsi"/>
        <w:color w:val="FFFFFF" w:themeColor="background1"/>
        <w:sz w:val="16"/>
        <w:szCs w:val="16"/>
        <w:lang w:val="en-US" w:bidi="ar-SA"/>
      </w:rPr>
      <w:tab/>
    </w:r>
    <w:r w:rsidRPr="00E84426">
      <w:rPr>
        <w:rFonts w:asciiTheme="minorHAnsi" w:hAnsiTheme="minorHAnsi"/>
        <w:color w:val="FFFFFF" w:themeColor="background1"/>
        <w:sz w:val="16"/>
        <w:szCs w:val="16"/>
        <w:lang w:val="en-US" w:bidi="ar-SA"/>
      </w:rPr>
      <w:fldChar w:fldCharType="begin"/>
    </w:r>
    <w:r w:rsidRPr="00E84426">
      <w:rPr>
        <w:rFonts w:asciiTheme="minorHAnsi" w:hAnsiTheme="minorHAnsi"/>
        <w:color w:val="FFFFFF" w:themeColor="background1"/>
        <w:sz w:val="16"/>
        <w:szCs w:val="16"/>
        <w:lang w:val="en-US" w:bidi="ar-SA"/>
      </w:rPr>
      <w:instrText xml:space="preserve"> savedate \@ dd.MM.yy </w:instrText>
    </w:r>
    <w:r w:rsidRPr="00E84426">
      <w:rPr>
        <w:rFonts w:asciiTheme="minorHAnsi" w:hAnsiTheme="minorHAnsi"/>
        <w:color w:val="FFFFFF" w:themeColor="background1"/>
        <w:sz w:val="16"/>
        <w:szCs w:val="16"/>
        <w:lang w:val="en-US" w:bidi="ar-SA"/>
      </w:rPr>
      <w:fldChar w:fldCharType="separate"/>
    </w:r>
    <w:r w:rsidR="0084577E" w:rsidRPr="00E84426">
      <w:rPr>
        <w:rFonts w:asciiTheme="minorHAnsi" w:hAnsiTheme="minorHAnsi"/>
        <w:noProof/>
        <w:color w:val="FFFFFF" w:themeColor="background1"/>
        <w:sz w:val="16"/>
        <w:szCs w:val="16"/>
        <w:lang w:val="en-US" w:bidi="ar-SA"/>
      </w:rPr>
      <w:t>13.10.14</w:t>
    </w:r>
    <w:r w:rsidRPr="00E84426">
      <w:rPr>
        <w:rFonts w:asciiTheme="minorHAnsi" w:hAnsiTheme="minorHAnsi"/>
        <w:color w:val="FFFFFF" w:themeColor="background1"/>
        <w:sz w:val="16"/>
        <w:szCs w:val="16"/>
        <w:lang w:val="en-US" w:bidi="ar-SA"/>
      </w:rPr>
      <w:fldChar w:fldCharType="end"/>
    </w:r>
    <w:r w:rsidR="00F77CA2" w:rsidRPr="00E84426">
      <w:rPr>
        <w:rFonts w:asciiTheme="minorHAnsi" w:hAnsiTheme="minorHAnsi"/>
        <w:color w:val="FFFFFF" w:themeColor="background1"/>
        <w:sz w:val="16"/>
        <w:szCs w:val="16"/>
        <w:lang w:val="en-US" w:bidi="ar-SA"/>
      </w:rPr>
      <w:tab/>
    </w:r>
    <w:r w:rsidRPr="00E84426">
      <w:rPr>
        <w:rFonts w:asciiTheme="minorHAnsi" w:hAnsiTheme="minorHAnsi"/>
        <w:color w:val="FFFFFF" w:themeColor="background1"/>
        <w:sz w:val="16"/>
        <w:szCs w:val="16"/>
        <w:lang w:val="en-US" w:bidi="ar-SA"/>
      </w:rPr>
      <w:fldChar w:fldCharType="begin"/>
    </w:r>
    <w:r w:rsidRPr="00E84426">
      <w:rPr>
        <w:rFonts w:asciiTheme="minorHAnsi" w:hAnsiTheme="minorHAnsi"/>
        <w:color w:val="FFFFFF" w:themeColor="background1"/>
        <w:sz w:val="16"/>
        <w:szCs w:val="16"/>
        <w:lang w:val="en-US" w:bidi="ar-SA"/>
      </w:rPr>
      <w:instrText xml:space="preserve"> printdate \@ dd.MM.yy </w:instrText>
    </w:r>
    <w:r w:rsidRPr="00E84426">
      <w:rPr>
        <w:rFonts w:asciiTheme="minorHAnsi" w:hAnsiTheme="minorHAnsi"/>
        <w:color w:val="FFFFFF" w:themeColor="background1"/>
        <w:sz w:val="16"/>
        <w:szCs w:val="16"/>
        <w:lang w:val="en-US" w:bidi="ar-SA"/>
      </w:rPr>
      <w:fldChar w:fldCharType="separate"/>
    </w:r>
    <w:r w:rsidR="00974BCE" w:rsidRPr="00E84426">
      <w:rPr>
        <w:rFonts w:asciiTheme="minorHAnsi" w:hAnsiTheme="minorHAnsi"/>
        <w:noProof/>
        <w:color w:val="FFFFFF" w:themeColor="background1"/>
        <w:sz w:val="16"/>
        <w:szCs w:val="16"/>
        <w:lang w:val="en-US" w:bidi="ar-SA"/>
      </w:rPr>
      <w:t>00.00.00</w:t>
    </w:r>
    <w:r w:rsidRPr="00E84426">
      <w:rPr>
        <w:rFonts w:asciiTheme="minorHAnsi" w:hAnsiTheme="minorHAnsi"/>
        <w:color w:val="FFFFFF" w:themeColor="background1"/>
        <w:sz w:val="16"/>
        <w:szCs w:val="16"/>
        <w:lang w:val="en-US" w:bidi="ar-SA"/>
      </w:rP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E84426" w:rsidRDefault="008E1A66" w:rsidP="008E1A66">
    <w:pPr>
      <w:tabs>
        <w:tab w:val="clear" w:pos="567"/>
        <w:tab w:val="clear" w:pos="1134"/>
        <w:tab w:val="clear" w:pos="1701"/>
        <w:tab w:val="clear" w:pos="2268"/>
        <w:tab w:val="clear" w:pos="2835"/>
        <w:tab w:val="center" w:pos="5474"/>
        <w:tab w:val="right" w:pos="9639"/>
      </w:tabs>
      <w:overflowPunct/>
      <w:autoSpaceDE/>
      <w:autoSpaceDN/>
      <w:bidi w:val="0"/>
      <w:adjustRightInd/>
      <w:textAlignment w:val="auto"/>
      <w:rPr>
        <w:rFonts w:asciiTheme="minorHAnsi" w:hAnsiTheme="minorHAnsi"/>
        <w:noProof/>
        <w:color w:val="FFFFFF" w:themeColor="background1"/>
        <w:sz w:val="16"/>
        <w:szCs w:val="16"/>
        <w:lang w:val="en-US" w:bidi="ar-SA"/>
      </w:rPr>
    </w:pPr>
    <w:r w:rsidRPr="00E84426">
      <w:rPr>
        <w:rFonts w:asciiTheme="minorHAnsi" w:hAnsiTheme="minorHAnsi"/>
        <w:noProof/>
        <w:color w:val="FFFFFF" w:themeColor="background1"/>
        <w:sz w:val="16"/>
        <w:szCs w:val="16"/>
        <w:lang w:val="en-US" w:bidi="ar-SA"/>
      </w:rPr>
      <w:fldChar w:fldCharType="begin"/>
    </w:r>
    <w:r w:rsidRPr="00E84426">
      <w:rPr>
        <w:rFonts w:asciiTheme="minorHAnsi" w:hAnsiTheme="minorHAnsi"/>
        <w:noProof/>
        <w:color w:val="FFFFFF" w:themeColor="background1"/>
        <w:sz w:val="16"/>
        <w:szCs w:val="16"/>
        <w:lang w:val="en-US" w:bidi="ar-SA"/>
      </w:rPr>
      <w:instrText xml:space="preserve"> FILENAME \p \* MERGEFORMAT </w:instrText>
    </w:r>
    <w:r w:rsidRPr="00E84426">
      <w:rPr>
        <w:rFonts w:asciiTheme="minorHAnsi" w:hAnsiTheme="minorHAnsi"/>
        <w:noProof/>
        <w:color w:val="FFFFFF" w:themeColor="background1"/>
        <w:sz w:val="16"/>
        <w:szCs w:val="16"/>
        <w:lang w:val="en-US" w:bidi="ar-SA"/>
      </w:rPr>
      <w:fldChar w:fldCharType="separate"/>
    </w:r>
    <w:r w:rsidR="00974BCE" w:rsidRPr="00E84426">
      <w:rPr>
        <w:rFonts w:asciiTheme="minorHAnsi" w:hAnsiTheme="minorHAnsi"/>
        <w:noProof/>
        <w:color w:val="FFFFFF" w:themeColor="background1"/>
        <w:sz w:val="16"/>
        <w:szCs w:val="16"/>
        <w:lang w:val="en-US" w:bidi="ar-SA"/>
      </w:rPr>
      <w:t>P:\ARA\SG\CONF-SG\PP14\000\067ADD03A.docx</w:t>
    </w:r>
    <w:r w:rsidRPr="00E84426">
      <w:rPr>
        <w:rFonts w:asciiTheme="minorHAnsi" w:hAnsiTheme="minorHAnsi"/>
        <w:noProof/>
        <w:color w:val="FFFFFF" w:themeColor="background1"/>
        <w:sz w:val="16"/>
        <w:szCs w:val="16"/>
        <w:lang w:val="en-US" w:bidi="ar-SA"/>
      </w:rPr>
      <w:fldChar w:fldCharType="end"/>
    </w:r>
    <w:r w:rsidRPr="00E84426">
      <w:rPr>
        <w:rFonts w:asciiTheme="minorHAnsi" w:hAnsiTheme="minorHAnsi"/>
        <w:noProof/>
        <w:color w:val="FFFFFF" w:themeColor="background1"/>
        <w:sz w:val="16"/>
        <w:szCs w:val="16"/>
        <w:lang w:val="en-US" w:bidi="ar-SA"/>
      </w:rPr>
      <w:t xml:space="preserve">   </w:t>
    </w:r>
    <w:r w:rsidRPr="00E84426">
      <w:rPr>
        <w:rFonts w:asciiTheme="minorHAnsi" w:hAnsiTheme="minorHAnsi"/>
        <w:noProof/>
        <w:color w:val="FFFFFF" w:themeColor="background1"/>
        <w:sz w:val="16"/>
        <w:szCs w:val="16"/>
        <w:lang w:bidi="ar-SA"/>
      </w:rPr>
      <w:t>(</w:t>
    </w:r>
    <w:r w:rsidRPr="00E84426">
      <w:rPr>
        <w:rFonts w:asciiTheme="minorHAnsi" w:hAnsiTheme="minorHAnsi"/>
        <w:noProof/>
        <w:color w:val="FFFFFF" w:themeColor="background1"/>
        <w:sz w:val="16"/>
        <w:szCs w:val="16"/>
        <w:lang w:val="en-US" w:bidi="ar-SA"/>
      </w:rPr>
      <w:t>369858</w:t>
    </w:r>
    <w:r w:rsidRPr="00E84426">
      <w:rPr>
        <w:rFonts w:asciiTheme="minorHAnsi" w:hAnsiTheme="minorHAnsi"/>
        <w:noProof/>
        <w:color w:val="FFFFFF" w:themeColor="background1"/>
        <w:sz w:val="16"/>
        <w:szCs w:val="16"/>
        <w:lang w:bidi="ar-SA"/>
      </w:rPr>
      <w:t>)</w:t>
    </w:r>
    <w:r w:rsidR="00255055" w:rsidRPr="00E84426">
      <w:rPr>
        <w:rFonts w:asciiTheme="minorHAnsi" w:hAnsiTheme="minorHAnsi"/>
        <w:noProof/>
        <w:color w:val="FFFFFF" w:themeColor="background1"/>
        <w:sz w:val="16"/>
        <w:szCs w:val="16"/>
        <w:lang w:val="en-US" w:bidi="ar-SA"/>
      </w:rPr>
      <w:tab/>
    </w:r>
    <w:r w:rsidR="00255055" w:rsidRPr="00E84426">
      <w:rPr>
        <w:rFonts w:asciiTheme="minorHAnsi" w:hAnsiTheme="minorHAnsi"/>
        <w:noProof/>
        <w:color w:val="FFFFFF" w:themeColor="background1"/>
        <w:sz w:val="16"/>
        <w:szCs w:val="16"/>
        <w:lang w:val="en-US" w:bidi="ar-SA"/>
      </w:rPr>
      <w:fldChar w:fldCharType="begin"/>
    </w:r>
    <w:r w:rsidR="00255055" w:rsidRPr="00E84426">
      <w:rPr>
        <w:rFonts w:asciiTheme="minorHAnsi" w:hAnsiTheme="minorHAnsi"/>
        <w:noProof/>
        <w:color w:val="FFFFFF" w:themeColor="background1"/>
        <w:sz w:val="16"/>
        <w:szCs w:val="16"/>
        <w:lang w:val="en-US" w:bidi="ar-SA"/>
      </w:rPr>
      <w:instrText xml:space="preserve"> savedate \@ dd.MM.yy </w:instrText>
    </w:r>
    <w:r w:rsidR="00255055" w:rsidRPr="00E84426">
      <w:rPr>
        <w:rFonts w:asciiTheme="minorHAnsi" w:hAnsiTheme="minorHAnsi"/>
        <w:noProof/>
        <w:color w:val="FFFFFF" w:themeColor="background1"/>
        <w:sz w:val="16"/>
        <w:szCs w:val="16"/>
        <w:lang w:val="en-US" w:bidi="ar-SA"/>
      </w:rPr>
      <w:fldChar w:fldCharType="separate"/>
    </w:r>
    <w:r w:rsidR="0084577E" w:rsidRPr="00E84426">
      <w:rPr>
        <w:rFonts w:asciiTheme="minorHAnsi" w:hAnsiTheme="minorHAnsi"/>
        <w:noProof/>
        <w:color w:val="FFFFFF" w:themeColor="background1"/>
        <w:sz w:val="16"/>
        <w:szCs w:val="16"/>
        <w:lang w:val="en-US" w:bidi="ar-SA"/>
      </w:rPr>
      <w:t>13.10.14</w:t>
    </w:r>
    <w:r w:rsidR="00255055" w:rsidRPr="00E84426">
      <w:rPr>
        <w:rFonts w:asciiTheme="minorHAnsi" w:hAnsiTheme="minorHAnsi"/>
        <w:noProof/>
        <w:color w:val="FFFFFF" w:themeColor="background1"/>
        <w:sz w:val="16"/>
        <w:szCs w:val="16"/>
        <w:lang w:val="en-US" w:bidi="ar-SA"/>
      </w:rPr>
      <w:fldChar w:fldCharType="end"/>
    </w:r>
    <w:r w:rsidR="00F77CA2" w:rsidRPr="00E84426">
      <w:rPr>
        <w:rFonts w:asciiTheme="minorHAnsi" w:hAnsiTheme="minorHAnsi"/>
        <w:noProof/>
        <w:color w:val="FFFFFF" w:themeColor="background1"/>
        <w:sz w:val="16"/>
        <w:szCs w:val="16"/>
        <w:lang w:val="en-US" w:bidi="ar-SA"/>
      </w:rPr>
      <w:tab/>
    </w:r>
    <w:r w:rsidR="00255055" w:rsidRPr="00E84426">
      <w:rPr>
        <w:rFonts w:asciiTheme="minorHAnsi" w:hAnsiTheme="minorHAnsi"/>
        <w:noProof/>
        <w:color w:val="FFFFFF" w:themeColor="background1"/>
        <w:sz w:val="16"/>
        <w:szCs w:val="16"/>
        <w:lang w:val="en-US" w:bidi="ar-SA"/>
      </w:rPr>
      <w:fldChar w:fldCharType="begin"/>
    </w:r>
    <w:r w:rsidR="00255055" w:rsidRPr="00E84426">
      <w:rPr>
        <w:rFonts w:asciiTheme="minorHAnsi" w:hAnsiTheme="minorHAnsi"/>
        <w:noProof/>
        <w:color w:val="FFFFFF" w:themeColor="background1"/>
        <w:sz w:val="16"/>
        <w:szCs w:val="16"/>
        <w:lang w:val="en-US" w:bidi="ar-SA"/>
      </w:rPr>
      <w:instrText xml:space="preserve"> printdate \@ dd.MM.yy </w:instrText>
    </w:r>
    <w:r w:rsidR="00255055" w:rsidRPr="00E84426">
      <w:rPr>
        <w:rFonts w:asciiTheme="minorHAnsi" w:hAnsiTheme="minorHAnsi"/>
        <w:noProof/>
        <w:color w:val="FFFFFF" w:themeColor="background1"/>
        <w:sz w:val="16"/>
        <w:szCs w:val="16"/>
        <w:lang w:val="en-US" w:bidi="ar-SA"/>
      </w:rPr>
      <w:fldChar w:fldCharType="separate"/>
    </w:r>
    <w:r w:rsidR="00974BCE" w:rsidRPr="00E84426">
      <w:rPr>
        <w:rFonts w:asciiTheme="minorHAnsi" w:hAnsiTheme="minorHAnsi"/>
        <w:noProof/>
        <w:color w:val="FFFFFF" w:themeColor="background1"/>
        <w:sz w:val="16"/>
        <w:szCs w:val="16"/>
        <w:lang w:val="en-US" w:bidi="ar-SA"/>
      </w:rPr>
      <w:t>00.00.00</w:t>
    </w:r>
    <w:r w:rsidR="00255055" w:rsidRPr="00E84426">
      <w:rPr>
        <w:rFonts w:asciiTheme="minorHAnsi" w:hAnsiTheme="minorHAnsi"/>
        <w:noProof/>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CC" w:rsidRDefault="00F459CC">
      <w:r>
        <w:t>_______________</w:t>
      </w:r>
    </w:p>
  </w:footnote>
  <w:footnote w:type="continuationSeparator" w:id="0">
    <w:p w:rsidR="00F459CC" w:rsidRDefault="00F459C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974BCE">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E84426">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PP14/67(Add.3)-A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4BAB"/>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413D"/>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2554"/>
    <w:rsid w:val="001853C0"/>
    <w:rsid w:val="00186AFE"/>
    <w:rsid w:val="00190F2C"/>
    <w:rsid w:val="001918E2"/>
    <w:rsid w:val="00193A91"/>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65B3E"/>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0BF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77E"/>
    <w:rsid w:val="00845EC4"/>
    <w:rsid w:val="00846C73"/>
    <w:rsid w:val="00846F6F"/>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87981"/>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A66"/>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BCE"/>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0E42"/>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1F91"/>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4354F"/>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84426"/>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459CC"/>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8E1A66"/>
    <w:pPr>
      <w:keepNext/>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PartNO">
    <w:name w:val="(Part_NO)"/>
    <w:basedOn w:val="Normal"/>
    <w:qFormat/>
    <w:rsid w:val="00BB0E42"/>
    <w:pPr>
      <w:keepNext/>
      <w:keepLines/>
      <w:tabs>
        <w:tab w:val="clear" w:pos="567"/>
        <w:tab w:val="clear" w:pos="1134"/>
        <w:tab w:val="clear" w:pos="1701"/>
        <w:tab w:val="clear" w:pos="2268"/>
        <w:tab w:val="clear" w:pos="2835"/>
      </w:tabs>
      <w:spacing w:before="240"/>
      <w:jc w:val="center"/>
    </w:pPr>
    <w:rPr>
      <w:rFonts w:eastAsia="Times New Roman"/>
      <w:sz w:val="28"/>
      <w:szCs w:val="4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000fd8-26b8-4c6f-b435-6b381509179f">Documents Proposals Manager (DPM)</DPM_x0020_Author>
    <DPM_x0020_File_x0020_name xmlns="49000fd8-26b8-4c6f-b435-6b381509179f">S14-PP-C-0067!A3!MSW-A</DPM_x0020_File_x0020_name>
    <DPM_x0020_Version xmlns="49000fd8-26b8-4c6f-b435-6b381509179f">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000fd8-26b8-4c6f-b435-6b381509179f" targetNamespace="http://schemas.microsoft.com/office/2006/metadata/properties" ma:root="true" ma:fieldsID="d41af5c836d734370eb92e7ee5f83852" ns2:_="" ns3:_="">
    <xsd:import namespace="996b2e75-67fd-4955-a3b0-5ab9934cb50b"/>
    <xsd:import namespace="49000fd8-26b8-4c6f-b435-6b38150917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000fd8-26b8-4c6f-b435-6b38150917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9000fd8-26b8-4c6f-b435-6b381509179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000fd8-26b8-4c6f-b435-6b3815091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S14-PP-C-0067!A3!MSW-A</vt:lpstr>
    </vt:vector>
  </TitlesOfParts>
  <Manager/>
  <Company/>
  <LinksUpToDate>false</LinksUpToDate>
  <CharactersWithSpaces>3289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S14-PP-C-0067!A3!MSW-A</dc:title>
  <dc:subject>Plenipotentiary Conference (PP-14)</dc:subject>
  <dc:creator/>
  <cp:keywords>DPM_v5.7.1.25_prod</cp:keywords>
  <dc:description/>
  <cp:lastModifiedBy/>
  <cp:revision>1</cp:revision>
  <dcterms:created xsi:type="dcterms:W3CDTF">2014-10-14T11:39:00Z</dcterms:created>
  <dcterms:modified xsi:type="dcterms:W3CDTF">2014-10-14T11:39:00Z</dcterms:modified>
  <cp:category>Conference document</cp:category>
</cp:coreProperties>
</file>