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67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2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 xml:space="preserve">Asia-Pacific </w:t>
            </w:r>
            <w:proofErr w:type="spellStart"/>
            <w:r>
              <w:t>Telecommunity</w:t>
            </w:r>
            <w:proofErr w:type="spellEnd"/>
            <w:r>
              <w:t xml:space="preserve"> Administrations</w:t>
            </w:r>
          </w:p>
        </w:tc>
      </w:tr>
      <w:tr w:rsidR="001A16ED" w:rsidRPr="00C324A8" w:rsidTr="006A046E">
        <w:trPr>
          <w:cantSplit/>
          <w:trHeight w:val="23"/>
        </w:trPr>
        <w:tc>
          <w:tcPr>
            <w:tcW w:w="10031" w:type="dxa"/>
            <w:gridSpan w:val="2"/>
            <w:shd w:val="clear" w:color="auto" w:fill="auto"/>
          </w:tcPr>
          <w:p w:rsidR="001A16ED" w:rsidRDefault="00070F2C" w:rsidP="006A046E">
            <w:pPr>
              <w:pStyle w:val="Title1"/>
            </w:pPr>
            <w:r>
              <w:t xml:space="preserve">ASIA-PACIFIC COMMON </w:t>
            </w:r>
            <w:r w:rsidR="001A16ED">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070F2C" w:rsidRDefault="00713C85" w:rsidP="00070F2C">
            <w:pPr>
              <w:pStyle w:val="Title1"/>
              <w:spacing w:before="0" w:after="240"/>
            </w:pPr>
            <w:r>
              <w:t xml:space="preserve">Part 1 - </w:t>
            </w:r>
            <w:r w:rsidR="00070F2C">
              <w:t>PROCEDUREs AND WORKING METHODS OF RRB</w:t>
            </w:r>
          </w:p>
        </w:tc>
      </w:tr>
    </w:tbl>
    <w:bookmarkEnd w:id="7"/>
    <w:bookmarkEnd w:id="8"/>
    <w:p w:rsidR="00070F2C" w:rsidRPr="009E09A0" w:rsidRDefault="00070F2C" w:rsidP="00070F2C">
      <w:pPr>
        <w:pStyle w:val="ListParagraph"/>
        <w:numPr>
          <w:ilvl w:val="0"/>
          <w:numId w:val="11"/>
        </w:numPr>
        <w:jc w:val="both"/>
        <w:rPr>
          <w:rFonts w:asciiTheme="minorHAnsi" w:hAnsiTheme="minorHAnsi"/>
          <w:b/>
        </w:rPr>
      </w:pPr>
      <w:r w:rsidRPr="009E09A0">
        <w:rPr>
          <w:rFonts w:asciiTheme="minorHAnsi" w:hAnsiTheme="minorHAnsi"/>
          <w:b/>
        </w:rPr>
        <w:t>Introduction</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Having looked into the provisions of both Articles 14 of the ITU Constitution and Article 10 of the ITU Convention including relevant provisions in the Radio Regulations related to the activities and mandate of the Radio Regulations as well as internal</w:t>
      </w:r>
      <w:r w:rsidRPr="009E09A0">
        <w:rPr>
          <w:rFonts w:asciiTheme="minorHAnsi" w:eastAsia="Times New Roman" w:hAnsiTheme="minorHAnsi" w:cs="Times New Roman"/>
          <w:sz w:val="24"/>
          <w:szCs w:val="24"/>
        </w:rPr>
        <w:t xml:space="preserve"> arrangements and working methods of the Radio Regulations Board,</w:t>
      </w:r>
      <w:r w:rsidRPr="009E09A0">
        <w:rPr>
          <w:rFonts w:asciiTheme="minorHAnsi" w:hAnsiTheme="minorHAnsi" w:cs="Times New Roman"/>
          <w:sz w:val="24"/>
          <w:szCs w:val="24"/>
        </w:rPr>
        <w:t xml:space="preserve"> APT Members concluded that these provisions are sufficient and totally cover all possible ways and means to comment and /or object to the RRB decisions.</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Moreover, allowing administrations to present their views in person not only would not decrease the need for reconsideration of previous decisions but, on the contrary, would increase the need for reconsideration of previous RRB decisions and also could create conflicts of interests.</w:t>
      </w:r>
    </w:p>
    <w:p w:rsidR="00070F2C" w:rsidRPr="009E09A0" w:rsidRDefault="00070F2C" w:rsidP="00F541AD">
      <w:pPr>
        <w:pStyle w:val="CEONormal"/>
        <w:jc w:val="both"/>
        <w:rPr>
          <w:rFonts w:asciiTheme="minorHAnsi" w:hAnsiTheme="minorHAnsi" w:cs="Times New Roman"/>
          <w:sz w:val="24"/>
          <w:szCs w:val="24"/>
        </w:rPr>
      </w:pPr>
      <w:r w:rsidRPr="009E09A0">
        <w:rPr>
          <w:rFonts w:asciiTheme="minorHAnsi" w:hAnsiTheme="minorHAnsi" w:cs="Times New Roman"/>
          <w:sz w:val="24"/>
          <w:szCs w:val="24"/>
        </w:rPr>
        <w:t>In addition, it is to be emphasized that Plenipotentiary conferences are dealing with high level policies, dealing with the entire activities of the Union as well as the inter-</w:t>
      </w:r>
      <w:proofErr w:type="spellStart"/>
      <w:r w:rsidRPr="009E09A0">
        <w:rPr>
          <w:rFonts w:asciiTheme="minorHAnsi" w:hAnsiTheme="minorHAnsi" w:cs="Times New Roman"/>
          <w:sz w:val="24"/>
          <w:szCs w:val="24"/>
        </w:rPr>
        <w:t>sectoral</w:t>
      </w:r>
      <w:proofErr w:type="spellEnd"/>
      <w:r w:rsidRPr="009E09A0">
        <w:rPr>
          <w:rFonts w:asciiTheme="minorHAnsi" w:hAnsiTheme="minorHAnsi" w:cs="Times New Roman"/>
          <w:sz w:val="24"/>
          <w:szCs w:val="24"/>
        </w:rPr>
        <w:t xml:space="preserve"> matters and thus is not expected to deal with </w:t>
      </w:r>
      <w:proofErr w:type="spellStart"/>
      <w:r w:rsidR="00F541AD">
        <w:rPr>
          <w:rFonts w:asciiTheme="minorHAnsi" w:hAnsiTheme="minorHAnsi" w:cs="Times New Roman"/>
          <w:sz w:val="24"/>
          <w:szCs w:val="24"/>
        </w:rPr>
        <w:t>s</w:t>
      </w:r>
      <w:r w:rsidRPr="009E09A0">
        <w:rPr>
          <w:rFonts w:asciiTheme="minorHAnsi" w:hAnsiTheme="minorHAnsi" w:cs="Times New Roman"/>
          <w:sz w:val="24"/>
          <w:szCs w:val="24"/>
        </w:rPr>
        <w:t>ectoral</w:t>
      </w:r>
      <w:proofErr w:type="spellEnd"/>
      <w:r w:rsidRPr="009E09A0">
        <w:rPr>
          <w:rFonts w:asciiTheme="minorHAnsi" w:hAnsiTheme="minorHAnsi" w:cs="Times New Roman"/>
          <w:sz w:val="24"/>
          <w:szCs w:val="24"/>
        </w:rPr>
        <w:t xml:space="preserve"> Issues, apart from those referred in Constitution and Convention. </w:t>
      </w:r>
    </w:p>
    <w:p w:rsidR="00070F2C" w:rsidRPr="009E09A0" w:rsidRDefault="00070F2C" w:rsidP="00070F2C">
      <w:pPr>
        <w:pStyle w:val="CEONormal"/>
        <w:jc w:val="both"/>
        <w:rPr>
          <w:rFonts w:asciiTheme="minorHAnsi" w:hAnsiTheme="minorHAnsi" w:cs="Times New Roman"/>
          <w:iCs/>
          <w:sz w:val="24"/>
          <w:szCs w:val="24"/>
        </w:rPr>
      </w:pPr>
      <w:r w:rsidRPr="009E09A0">
        <w:rPr>
          <w:rFonts w:asciiTheme="minorHAnsi" w:hAnsiTheme="minorHAnsi" w:cs="Times New Roman"/>
          <w:iCs/>
          <w:sz w:val="24"/>
          <w:szCs w:val="24"/>
        </w:rPr>
        <w:t xml:space="preserve">Reconsideration of the previous decisions of RRB will be based: </w:t>
      </w:r>
    </w:p>
    <w:p w:rsidR="00070F2C" w:rsidRPr="009E09A0" w:rsidRDefault="00070F2C" w:rsidP="00070F2C">
      <w:pPr>
        <w:pStyle w:val="CEONormal"/>
        <w:ind w:firstLine="720"/>
        <w:jc w:val="both"/>
        <w:rPr>
          <w:rFonts w:asciiTheme="minorHAnsi" w:hAnsiTheme="minorHAnsi" w:cs="Times New Roman"/>
          <w:iCs/>
          <w:sz w:val="24"/>
          <w:szCs w:val="24"/>
        </w:rPr>
      </w:pPr>
      <w:r w:rsidRPr="009E09A0">
        <w:rPr>
          <w:rFonts w:asciiTheme="minorHAnsi" w:hAnsiTheme="minorHAnsi" w:cs="Times New Roman"/>
          <w:iCs/>
          <w:sz w:val="24"/>
          <w:szCs w:val="24"/>
        </w:rPr>
        <w:t>a)</w:t>
      </w:r>
      <w:r>
        <w:rPr>
          <w:rFonts w:asciiTheme="minorHAnsi" w:hAnsiTheme="minorHAnsi" w:cs="Times New Roman"/>
          <w:iCs/>
          <w:sz w:val="24"/>
          <w:szCs w:val="24"/>
        </w:rPr>
        <w:tab/>
      </w:r>
      <w:proofErr w:type="gramStart"/>
      <w:r w:rsidRPr="009E09A0">
        <w:rPr>
          <w:rFonts w:asciiTheme="minorHAnsi" w:hAnsiTheme="minorHAnsi" w:cs="Times New Roman"/>
          <w:iCs/>
          <w:sz w:val="24"/>
          <w:szCs w:val="24"/>
        </w:rPr>
        <w:t>on</w:t>
      </w:r>
      <w:proofErr w:type="gramEnd"/>
      <w:r w:rsidRPr="009E09A0">
        <w:rPr>
          <w:rFonts w:asciiTheme="minorHAnsi" w:hAnsiTheme="minorHAnsi" w:cs="Times New Roman"/>
          <w:iCs/>
          <w:sz w:val="24"/>
          <w:szCs w:val="24"/>
        </w:rPr>
        <w:t xml:space="preserve"> the initiatives of RRB members</w:t>
      </w:r>
      <w:r>
        <w:rPr>
          <w:rFonts w:asciiTheme="minorHAnsi" w:hAnsiTheme="minorHAnsi" w:cs="Times New Roman"/>
          <w:iCs/>
          <w:sz w:val="24"/>
          <w:szCs w:val="24"/>
        </w:rPr>
        <w:t>;</w:t>
      </w:r>
    </w:p>
    <w:p w:rsidR="00070F2C" w:rsidRPr="009E09A0" w:rsidRDefault="00070F2C" w:rsidP="00070F2C">
      <w:pPr>
        <w:pStyle w:val="CEONormal"/>
        <w:ind w:firstLine="720"/>
        <w:jc w:val="both"/>
        <w:rPr>
          <w:rFonts w:asciiTheme="minorHAnsi" w:hAnsiTheme="minorHAnsi" w:cs="Times New Roman"/>
          <w:iCs/>
          <w:sz w:val="24"/>
          <w:szCs w:val="24"/>
        </w:rPr>
      </w:pPr>
      <w:r w:rsidRPr="009E09A0">
        <w:rPr>
          <w:rFonts w:asciiTheme="minorHAnsi" w:hAnsiTheme="minorHAnsi" w:cs="Times New Roman"/>
          <w:iCs/>
          <w:sz w:val="24"/>
          <w:szCs w:val="24"/>
        </w:rPr>
        <w:t>b</w:t>
      </w:r>
      <w:r>
        <w:rPr>
          <w:rFonts w:asciiTheme="minorHAnsi" w:hAnsiTheme="minorHAnsi" w:cs="Times New Roman"/>
          <w:iCs/>
          <w:sz w:val="24"/>
          <w:szCs w:val="24"/>
        </w:rPr>
        <w:t>)</w:t>
      </w:r>
      <w:r>
        <w:rPr>
          <w:rFonts w:asciiTheme="minorHAnsi" w:hAnsiTheme="minorHAnsi" w:cs="Times New Roman"/>
          <w:iCs/>
          <w:sz w:val="24"/>
          <w:szCs w:val="24"/>
        </w:rPr>
        <w:tab/>
      </w:r>
      <w:proofErr w:type="gramStart"/>
      <w:r w:rsidRPr="009E09A0">
        <w:rPr>
          <w:rFonts w:asciiTheme="minorHAnsi" w:hAnsiTheme="minorHAnsi" w:cs="Times New Roman"/>
          <w:iCs/>
          <w:sz w:val="24"/>
          <w:szCs w:val="24"/>
        </w:rPr>
        <w:t>on</w:t>
      </w:r>
      <w:proofErr w:type="gramEnd"/>
      <w:r w:rsidRPr="009E09A0">
        <w:rPr>
          <w:rFonts w:asciiTheme="minorHAnsi" w:hAnsiTheme="minorHAnsi" w:cs="Times New Roman"/>
          <w:iCs/>
          <w:sz w:val="24"/>
          <w:szCs w:val="24"/>
        </w:rPr>
        <w:t xml:space="preserve"> the request of the Bureau</w:t>
      </w:r>
      <w:r>
        <w:rPr>
          <w:rFonts w:asciiTheme="minorHAnsi" w:hAnsiTheme="minorHAnsi" w:cs="Times New Roman"/>
          <w:iCs/>
          <w:sz w:val="24"/>
          <w:szCs w:val="24"/>
        </w:rPr>
        <w:t>;</w:t>
      </w:r>
    </w:p>
    <w:p w:rsidR="00070F2C" w:rsidRPr="009E09A0" w:rsidRDefault="00070F2C" w:rsidP="00070F2C">
      <w:pPr>
        <w:pStyle w:val="CEONormal"/>
        <w:ind w:firstLine="720"/>
        <w:jc w:val="both"/>
        <w:rPr>
          <w:rFonts w:asciiTheme="minorHAnsi" w:hAnsiTheme="minorHAnsi" w:cs="Times New Roman"/>
          <w:iCs/>
          <w:sz w:val="24"/>
          <w:szCs w:val="24"/>
        </w:rPr>
      </w:pPr>
      <w:r>
        <w:rPr>
          <w:rFonts w:asciiTheme="minorHAnsi" w:hAnsiTheme="minorHAnsi" w:cs="Times New Roman"/>
          <w:iCs/>
          <w:sz w:val="24"/>
          <w:szCs w:val="24"/>
        </w:rPr>
        <w:t>c</w:t>
      </w:r>
      <w:r w:rsidRPr="009E09A0">
        <w:rPr>
          <w:rFonts w:asciiTheme="minorHAnsi" w:hAnsiTheme="minorHAnsi" w:cs="Times New Roman"/>
          <w:iCs/>
          <w:sz w:val="24"/>
          <w:szCs w:val="24"/>
        </w:rPr>
        <w:t>)</w:t>
      </w:r>
      <w:r>
        <w:rPr>
          <w:rFonts w:asciiTheme="minorHAnsi" w:hAnsiTheme="minorHAnsi" w:cs="Times New Roman"/>
          <w:iCs/>
          <w:sz w:val="24"/>
          <w:szCs w:val="24"/>
        </w:rPr>
        <w:tab/>
      </w:r>
      <w:proofErr w:type="gramStart"/>
      <w:r w:rsidRPr="009E09A0">
        <w:rPr>
          <w:rFonts w:asciiTheme="minorHAnsi" w:hAnsiTheme="minorHAnsi" w:cs="Times New Roman"/>
          <w:iCs/>
          <w:sz w:val="24"/>
          <w:szCs w:val="24"/>
        </w:rPr>
        <w:t>on</w:t>
      </w:r>
      <w:proofErr w:type="gramEnd"/>
      <w:r w:rsidRPr="009E09A0">
        <w:rPr>
          <w:rFonts w:asciiTheme="minorHAnsi" w:hAnsiTheme="minorHAnsi" w:cs="Times New Roman"/>
          <w:iCs/>
          <w:sz w:val="24"/>
          <w:szCs w:val="24"/>
        </w:rPr>
        <w:t xml:space="preserve"> the request of a Member State</w:t>
      </w:r>
      <w:r>
        <w:rPr>
          <w:rFonts w:asciiTheme="minorHAnsi" w:hAnsiTheme="minorHAnsi" w:cs="Times New Roman"/>
          <w:iCs/>
          <w:sz w:val="24"/>
          <w:szCs w:val="24"/>
        </w:rPr>
        <w:t>.</w:t>
      </w:r>
    </w:p>
    <w:p w:rsidR="00070F2C" w:rsidRPr="009E09A0" w:rsidRDefault="00070F2C" w:rsidP="00070F2C">
      <w:pPr>
        <w:pStyle w:val="CEONormal"/>
        <w:jc w:val="both"/>
        <w:rPr>
          <w:rFonts w:asciiTheme="minorHAnsi" w:hAnsiTheme="minorHAnsi" w:cs="Times New Roman"/>
          <w:iCs/>
          <w:sz w:val="24"/>
          <w:szCs w:val="24"/>
        </w:rPr>
      </w:pPr>
      <w:r w:rsidRPr="009E09A0">
        <w:rPr>
          <w:rFonts w:asciiTheme="minorHAnsi" w:hAnsiTheme="minorHAnsi" w:cs="Times New Roman"/>
          <w:iCs/>
          <w:sz w:val="24"/>
          <w:szCs w:val="24"/>
        </w:rPr>
        <w:t>Consequently such reconsideration are within</w:t>
      </w:r>
      <w:r>
        <w:rPr>
          <w:rFonts w:asciiTheme="minorHAnsi" w:hAnsiTheme="minorHAnsi" w:cs="Times New Roman"/>
          <w:iCs/>
          <w:sz w:val="24"/>
          <w:szCs w:val="24"/>
        </w:rPr>
        <w:t xml:space="preserve"> the purview of the RRB and it</w:t>
      </w:r>
      <w:r w:rsidRPr="009E09A0">
        <w:rPr>
          <w:rFonts w:asciiTheme="minorHAnsi" w:hAnsiTheme="minorHAnsi" w:cs="Times New Roman"/>
          <w:iCs/>
          <w:sz w:val="24"/>
          <w:szCs w:val="24"/>
        </w:rPr>
        <w:t>s working method</w:t>
      </w:r>
      <w:r>
        <w:rPr>
          <w:rFonts w:asciiTheme="minorHAnsi" w:hAnsiTheme="minorHAnsi" w:cs="Times New Roman"/>
          <w:iCs/>
          <w:sz w:val="24"/>
          <w:szCs w:val="24"/>
        </w:rPr>
        <w:t>s</w:t>
      </w:r>
      <w:r w:rsidRPr="009E09A0">
        <w:rPr>
          <w:rFonts w:asciiTheme="minorHAnsi" w:hAnsiTheme="minorHAnsi" w:cs="Times New Roman"/>
          <w:iCs/>
          <w:sz w:val="24"/>
          <w:szCs w:val="24"/>
        </w:rPr>
        <w:t xml:space="preserve">. </w:t>
      </w:r>
    </w:p>
    <w:p w:rsidR="00070F2C" w:rsidRPr="009E09A0" w:rsidRDefault="00070F2C" w:rsidP="00070F2C">
      <w:pPr>
        <w:pStyle w:val="ListParagraph"/>
        <w:numPr>
          <w:ilvl w:val="0"/>
          <w:numId w:val="11"/>
        </w:numPr>
        <w:jc w:val="both"/>
        <w:rPr>
          <w:rFonts w:asciiTheme="minorHAnsi" w:hAnsiTheme="minorHAnsi"/>
          <w:b/>
        </w:rPr>
      </w:pPr>
      <w:r>
        <w:rPr>
          <w:rFonts w:asciiTheme="minorHAnsi" w:hAnsiTheme="minorHAnsi"/>
          <w:b/>
        </w:rPr>
        <w:t>Proposal</w:t>
      </w:r>
    </w:p>
    <w:p w:rsidR="00BB176F" w:rsidRDefault="00F541AD">
      <w:pPr>
        <w:pStyle w:val="Proposal"/>
      </w:pPr>
      <w:r>
        <w:tab/>
        <w:t>ACP/67A3/1</w:t>
      </w:r>
    </w:p>
    <w:p w:rsidR="00070F2C" w:rsidRPr="009E09A0" w:rsidRDefault="00070F2C" w:rsidP="00070F2C">
      <w:pPr>
        <w:jc w:val="both"/>
        <w:rPr>
          <w:rFonts w:asciiTheme="minorHAnsi" w:hAnsiTheme="minorHAnsi"/>
        </w:rPr>
      </w:pPr>
      <w:r w:rsidRPr="009E09A0">
        <w:rPr>
          <w:rFonts w:asciiTheme="minorHAnsi" w:hAnsiTheme="minorHAnsi"/>
        </w:rPr>
        <w:t xml:space="preserve">In view of the above, APT Member States are not in favour of any modification to </w:t>
      </w:r>
      <w:r w:rsidRPr="009E09A0">
        <w:rPr>
          <w:rFonts w:asciiTheme="minorHAnsi" w:hAnsiTheme="minorHAnsi"/>
          <w:iCs/>
        </w:rPr>
        <w:t>Procedures and working methods of the RRB or adopting a new Resolution on these issues</w:t>
      </w:r>
      <w:r w:rsidRPr="009E09A0">
        <w:rPr>
          <w:rFonts w:asciiTheme="minorHAnsi" w:hAnsiTheme="minorHAnsi"/>
        </w:rPr>
        <w:t>. These issues will be well suited to be discussed at the WRC and /or RRB as appropriate.</w:t>
      </w:r>
    </w:p>
    <w:p w:rsidR="00BB176F" w:rsidRDefault="00BB176F">
      <w:pPr>
        <w:pStyle w:val="Reasons"/>
      </w:pPr>
    </w:p>
    <w:p w:rsidR="00070F2C" w:rsidRPr="003554E0" w:rsidRDefault="00713C85" w:rsidP="00070F2C">
      <w:pPr>
        <w:pStyle w:val="Title1"/>
      </w:pPr>
      <w:r>
        <w:t xml:space="preserve">part 2 - </w:t>
      </w:r>
      <w:bookmarkStart w:id="9" w:name="_GoBack"/>
      <w:bookmarkEnd w:id="9"/>
      <w:r w:rsidR="00070F2C" w:rsidRPr="0003765F">
        <w:t>I</w:t>
      </w:r>
      <w:r w:rsidR="00070F2C">
        <w:t>NTERFERENCE AND MONITORING OF EMISSIONS</w:t>
      </w:r>
    </w:p>
    <w:p w:rsidR="00070F2C" w:rsidRPr="009E09A0" w:rsidRDefault="00070F2C" w:rsidP="00070F2C">
      <w:pPr>
        <w:spacing w:before="360"/>
        <w:jc w:val="both"/>
        <w:rPr>
          <w:rFonts w:asciiTheme="minorHAnsi" w:hAnsiTheme="minorHAnsi"/>
          <w:b/>
        </w:rPr>
      </w:pPr>
      <w:r>
        <w:rPr>
          <w:rFonts w:asciiTheme="minorHAnsi" w:hAnsiTheme="minorHAnsi"/>
          <w:b/>
        </w:rPr>
        <w:t xml:space="preserve">1. </w:t>
      </w:r>
      <w:r>
        <w:rPr>
          <w:rFonts w:asciiTheme="minorHAnsi" w:hAnsiTheme="minorHAnsi"/>
          <w:b/>
        </w:rPr>
        <w:tab/>
      </w:r>
      <w:r w:rsidRPr="009E09A0">
        <w:rPr>
          <w:rFonts w:asciiTheme="minorHAnsi" w:hAnsiTheme="minorHAnsi"/>
          <w:b/>
        </w:rPr>
        <w:t>Introduction:</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It is to be emphasized that Plenipotentiary conferences are dealing with high level policies dealing with the entire activities of the Union as well as the inter-</w:t>
      </w:r>
      <w:proofErr w:type="spellStart"/>
      <w:r w:rsidRPr="009E09A0">
        <w:rPr>
          <w:rFonts w:asciiTheme="minorHAnsi" w:hAnsiTheme="minorHAnsi" w:cs="Times New Roman"/>
          <w:sz w:val="24"/>
          <w:szCs w:val="24"/>
        </w:rPr>
        <w:t>sectoral</w:t>
      </w:r>
      <w:proofErr w:type="spellEnd"/>
      <w:r w:rsidRPr="009E09A0">
        <w:rPr>
          <w:rFonts w:asciiTheme="minorHAnsi" w:hAnsiTheme="minorHAnsi" w:cs="Times New Roman"/>
          <w:sz w:val="24"/>
          <w:szCs w:val="24"/>
        </w:rPr>
        <w:t xml:space="preserve"> matters, and thu</w:t>
      </w:r>
      <w:r>
        <w:rPr>
          <w:rFonts w:asciiTheme="minorHAnsi" w:hAnsiTheme="minorHAnsi" w:cs="Times New Roman"/>
          <w:sz w:val="24"/>
          <w:szCs w:val="24"/>
        </w:rPr>
        <w:t xml:space="preserve">s is not intended to deal with </w:t>
      </w:r>
      <w:proofErr w:type="spellStart"/>
      <w:r>
        <w:rPr>
          <w:rFonts w:asciiTheme="minorHAnsi" w:hAnsiTheme="minorHAnsi" w:cs="Times New Roman"/>
          <w:sz w:val="24"/>
          <w:szCs w:val="24"/>
        </w:rPr>
        <w:t>sectoral</w:t>
      </w:r>
      <w:proofErr w:type="spellEnd"/>
      <w:r>
        <w:rPr>
          <w:rFonts w:asciiTheme="minorHAnsi" w:hAnsiTheme="minorHAnsi" w:cs="Times New Roman"/>
          <w:sz w:val="24"/>
          <w:szCs w:val="24"/>
        </w:rPr>
        <w:t xml:space="preserve"> </w:t>
      </w:r>
      <w:proofErr w:type="spellStart"/>
      <w:r>
        <w:rPr>
          <w:rFonts w:asciiTheme="minorHAnsi" w:hAnsiTheme="minorHAnsi" w:cs="Times New Roman"/>
          <w:sz w:val="24"/>
          <w:szCs w:val="24"/>
        </w:rPr>
        <w:t>s</w:t>
      </w:r>
      <w:r w:rsidRPr="009E09A0">
        <w:rPr>
          <w:rFonts w:asciiTheme="minorHAnsi" w:hAnsiTheme="minorHAnsi" w:cs="Times New Roman"/>
          <w:sz w:val="24"/>
          <w:szCs w:val="24"/>
        </w:rPr>
        <w:t>ssues</w:t>
      </w:r>
      <w:proofErr w:type="spellEnd"/>
      <w:r w:rsidRPr="009E09A0">
        <w:rPr>
          <w:rFonts w:asciiTheme="minorHAnsi" w:hAnsiTheme="minorHAnsi" w:cs="Times New Roman"/>
          <w:sz w:val="24"/>
          <w:szCs w:val="24"/>
        </w:rPr>
        <w:t xml:space="preserve"> which could be better discussed in </w:t>
      </w:r>
      <w:proofErr w:type="spellStart"/>
      <w:r w:rsidRPr="009E09A0">
        <w:rPr>
          <w:rFonts w:asciiTheme="minorHAnsi" w:hAnsiTheme="minorHAnsi" w:cs="Times New Roman"/>
          <w:sz w:val="24"/>
          <w:szCs w:val="24"/>
        </w:rPr>
        <w:t>sectoral</w:t>
      </w:r>
      <w:proofErr w:type="spellEnd"/>
      <w:r w:rsidRPr="009E09A0">
        <w:rPr>
          <w:rFonts w:asciiTheme="minorHAnsi" w:hAnsiTheme="minorHAnsi" w:cs="Times New Roman"/>
          <w:sz w:val="24"/>
          <w:szCs w:val="24"/>
        </w:rPr>
        <w:t xml:space="preserve"> conferences and assemblies. </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Moreover, this issue was raised at PP-10 and decided to be referred to WRC-12, See summary record and report of Committee 5 to Plenary of PP-10.</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 xml:space="preserve">In addition, based on a joint contribution from 14 European Administration on the same subject, WRC-12 extensively discussed the matter at several meetings of the Ad-hoc Group created for this purpose and made necessary modifications to Article 15 of the Radio Regulations. Bringing the same issue at WRC-15 would be counterproductive and take considerable amount of limited resources of that Conference which has a very heavy and complex agenda. </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 xml:space="preserve">Moreover, due to the close collaboration between concerned administrations and the good office of the Bureau, similar cases of interference were resolved and in fact no such interferences have been reported to the Bureau nor brought to the attention of the RRB since at least 18 months.    </w:t>
      </w:r>
    </w:p>
    <w:p w:rsidR="00070F2C" w:rsidRPr="009E09A0" w:rsidRDefault="00070F2C" w:rsidP="00070F2C">
      <w:pPr>
        <w:jc w:val="both"/>
        <w:rPr>
          <w:rFonts w:asciiTheme="minorHAnsi" w:hAnsiTheme="minorHAnsi"/>
          <w:b/>
        </w:rPr>
      </w:pPr>
      <w:r>
        <w:rPr>
          <w:rFonts w:asciiTheme="minorHAnsi" w:hAnsiTheme="minorHAnsi"/>
          <w:b/>
        </w:rPr>
        <w:t>2.</w:t>
      </w:r>
      <w:r>
        <w:rPr>
          <w:rFonts w:asciiTheme="minorHAnsi" w:hAnsiTheme="minorHAnsi"/>
          <w:b/>
        </w:rPr>
        <w:tab/>
      </w:r>
      <w:r w:rsidRPr="009E09A0">
        <w:rPr>
          <w:rFonts w:asciiTheme="minorHAnsi" w:hAnsiTheme="minorHAnsi"/>
          <w:b/>
        </w:rPr>
        <w:t>Proposal:</w:t>
      </w:r>
    </w:p>
    <w:p w:rsidR="00BB176F" w:rsidRDefault="00F541AD">
      <w:pPr>
        <w:pStyle w:val="Proposal"/>
      </w:pPr>
      <w:r>
        <w:tab/>
        <w:t>ACP/67A3/2</w:t>
      </w:r>
    </w:p>
    <w:p w:rsidR="00070F2C" w:rsidRPr="009E09A0" w:rsidRDefault="00070F2C" w:rsidP="00070F2C">
      <w:pPr>
        <w:pStyle w:val="CEONormal"/>
        <w:jc w:val="both"/>
        <w:rPr>
          <w:rFonts w:asciiTheme="minorHAnsi" w:hAnsiTheme="minorHAnsi" w:cs="Times New Roman"/>
          <w:sz w:val="24"/>
          <w:szCs w:val="24"/>
        </w:rPr>
      </w:pPr>
      <w:r w:rsidRPr="009E09A0">
        <w:rPr>
          <w:rFonts w:asciiTheme="minorHAnsi" w:hAnsiTheme="minorHAnsi" w:cs="Times New Roman"/>
          <w:sz w:val="24"/>
          <w:szCs w:val="24"/>
        </w:rPr>
        <w:t>In view of the above, APT Members propose that the issues relating to interference and international monitoring of emissions are within the purview of the WRC and/or RRB, therefore such issues need to be treated by these entities as appropriate.</w:t>
      </w:r>
    </w:p>
    <w:p w:rsidR="00BB176F" w:rsidRDefault="00BB176F">
      <w:pPr>
        <w:pStyle w:val="Reasons"/>
      </w:pPr>
    </w:p>
    <w:p w:rsidR="00070F2C" w:rsidRPr="00070F2C" w:rsidRDefault="00070F2C" w:rsidP="00070F2C">
      <w:pPr>
        <w:pStyle w:val="Reasons"/>
        <w:jc w:val="center"/>
        <w:rPr>
          <w:u w:val="single"/>
        </w:rPr>
      </w:pPr>
      <w:r>
        <w:rPr>
          <w:u w:val="single"/>
        </w:rPr>
        <w:t>                                      </w:t>
      </w:r>
    </w:p>
    <w:sectPr w:rsidR="00070F2C" w:rsidRPr="00070F2C" w:rsidSect="00361097">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13C85"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F541AD">
      <w:t>P:\SPM\GBS\pp\pp-14\DOC\000\067-APT-proposals\067Add3e.docx</w:t>
    </w:r>
    <w:r>
      <w:fldChar w:fldCharType="end"/>
    </w:r>
    <w:r w:rsidR="007E7B63">
      <w:tab/>
    </w:r>
    <w:r w:rsidR="007E7B63">
      <w:fldChar w:fldCharType="begin"/>
    </w:r>
    <w:r w:rsidR="007E7B63">
      <w:instrText xml:space="preserve"> savedate \@ dd.MM.yy </w:instrText>
    </w:r>
    <w:r w:rsidR="007E7B63">
      <w:fldChar w:fldCharType="separate"/>
    </w:r>
    <w:r>
      <w:t>02.10.14</w:t>
    </w:r>
    <w:r w:rsidR="007E7B63">
      <w:fldChar w:fldCharType="end"/>
    </w:r>
    <w:r w:rsidR="007E7B63">
      <w:tab/>
    </w:r>
    <w:r w:rsidR="007E7B63">
      <w:fldChar w:fldCharType="begin"/>
    </w:r>
    <w:r w:rsidR="007E7B63">
      <w:instrText xml:space="preserve"> printdate \@ dd.MM.yy </w:instrText>
    </w:r>
    <w:r w:rsidR="007E7B63">
      <w:fldChar w:fldCharType="separate"/>
    </w:r>
    <w:r w:rsidR="00F541AD">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713C85"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F541AD">
      <w:t>P:\SPM\GBS\pp\pp-14\DOC\000\067-APT-proposals\067Add3e.docx</w:t>
    </w:r>
    <w:r>
      <w:fldChar w:fldCharType="end"/>
    </w:r>
    <w:r w:rsidR="00A516BB">
      <w:tab/>
    </w:r>
    <w:r w:rsidR="00A516BB">
      <w:fldChar w:fldCharType="begin"/>
    </w:r>
    <w:r w:rsidR="00A516BB">
      <w:instrText xml:space="preserve"> savedate \@ dd.MM.yy </w:instrText>
    </w:r>
    <w:r w:rsidR="00A516BB">
      <w:fldChar w:fldCharType="separate"/>
    </w:r>
    <w:r>
      <w:t>02.10.14</w:t>
    </w:r>
    <w:r w:rsidR="00A516BB">
      <w:fldChar w:fldCharType="end"/>
    </w:r>
    <w:r w:rsidR="00A516BB">
      <w:tab/>
    </w:r>
    <w:r w:rsidR="00A516BB">
      <w:fldChar w:fldCharType="begin"/>
    </w:r>
    <w:r w:rsidR="00A516BB">
      <w:instrText xml:space="preserve"> printdate \@ dd.MM.yy </w:instrText>
    </w:r>
    <w:r w:rsidR="00A516BB">
      <w:fldChar w:fldCharType="separate"/>
    </w:r>
    <w:r w:rsidR="00F541AD">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13C85">
      <w:rPr>
        <w:noProof/>
      </w:rPr>
      <w:t>2</w:t>
    </w:r>
    <w:r>
      <w:fldChar w:fldCharType="end"/>
    </w:r>
  </w:p>
  <w:p w:rsidR="00CE1B90" w:rsidRDefault="00CE1B90" w:rsidP="00CE1B90">
    <w:pPr>
      <w:pStyle w:val="Header"/>
    </w:pPr>
    <w:r>
      <w:t>PP14/67(Add.3)-E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CA428B8"/>
    <w:lvl w:ilvl="0">
      <w:start w:val="1"/>
      <w:numFmt w:val="decimal"/>
      <w:lvlText w:val="%1."/>
      <w:lvlJc w:val="left"/>
      <w:pPr>
        <w:tabs>
          <w:tab w:val="num" w:pos="1492"/>
        </w:tabs>
        <w:ind w:left="1492" w:hanging="360"/>
      </w:pPr>
    </w:lvl>
  </w:abstractNum>
  <w:abstractNum w:abstractNumId="1">
    <w:nsid w:val="FFFFFF7D"/>
    <w:multiLevelType w:val="singleLevel"/>
    <w:tmpl w:val="5BC2A7C8"/>
    <w:lvl w:ilvl="0">
      <w:start w:val="1"/>
      <w:numFmt w:val="decimal"/>
      <w:lvlText w:val="%1."/>
      <w:lvlJc w:val="left"/>
      <w:pPr>
        <w:tabs>
          <w:tab w:val="num" w:pos="1209"/>
        </w:tabs>
        <w:ind w:left="1209" w:hanging="360"/>
      </w:pPr>
    </w:lvl>
  </w:abstractNum>
  <w:abstractNum w:abstractNumId="2">
    <w:nsid w:val="FFFFFF7E"/>
    <w:multiLevelType w:val="singleLevel"/>
    <w:tmpl w:val="F4C4B676"/>
    <w:lvl w:ilvl="0">
      <w:start w:val="1"/>
      <w:numFmt w:val="decimal"/>
      <w:lvlText w:val="%1."/>
      <w:lvlJc w:val="left"/>
      <w:pPr>
        <w:tabs>
          <w:tab w:val="num" w:pos="926"/>
        </w:tabs>
        <w:ind w:left="926" w:hanging="360"/>
      </w:pPr>
    </w:lvl>
  </w:abstractNum>
  <w:abstractNum w:abstractNumId="3">
    <w:nsid w:val="FFFFFF7F"/>
    <w:multiLevelType w:val="singleLevel"/>
    <w:tmpl w:val="E0689C26"/>
    <w:lvl w:ilvl="0">
      <w:start w:val="1"/>
      <w:numFmt w:val="decimal"/>
      <w:lvlText w:val="%1."/>
      <w:lvlJc w:val="left"/>
      <w:pPr>
        <w:tabs>
          <w:tab w:val="num" w:pos="643"/>
        </w:tabs>
        <w:ind w:left="643" w:hanging="360"/>
      </w:pPr>
    </w:lvl>
  </w:abstractNum>
  <w:abstractNum w:abstractNumId="4">
    <w:nsid w:val="FFFFFF80"/>
    <w:multiLevelType w:val="singleLevel"/>
    <w:tmpl w:val="92AC67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5868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D2D4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36AF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D8A094"/>
    <w:lvl w:ilvl="0">
      <w:start w:val="1"/>
      <w:numFmt w:val="decimal"/>
      <w:lvlText w:val="%1."/>
      <w:lvlJc w:val="left"/>
      <w:pPr>
        <w:tabs>
          <w:tab w:val="num" w:pos="360"/>
        </w:tabs>
        <w:ind w:left="360" w:hanging="360"/>
      </w:pPr>
    </w:lvl>
  </w:abstractNum>
  <w:abstractNum w:abstractNumId="9">
    <w:nsid w:val="FFFFFF89"/>
    <w:multiLevelType w:val="singleLevel"/>
    <w:tmpl w:val="66FEBBE0"/>
    <w:lvl w:ilvl="0">
      <w:start w:val="1"/>
      <w:numFmt w:val="bullet"/>
      <w:lvlText w:val=""/>
      <w:lvlJc w:val="left"/>
      <w:pPr>
        <w:tabs>
          <w:tab w:val="num" w:pos="360"/>
        </w:tabs>
        <w:ind w:left="360" w:hanging="360"/>
      </w:pPr>
      <w:rPr>
        <w:rFonts w:ascii="Symbol" w:hAnsi="Symbol" w:hint="default"/>
      </w:rPr>
    </w:lvl>
  </w:abstractNum>
  <w:abstractNum w:abstractNumId="10">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70F2C"/>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3C85"/>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B176F"/>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41AD"/>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070F2C"/>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BatangChe" w:hAnsi="Times New Roman"/>
      <w:szCs w:val="24"/>
      <w:lang w:val="en-US"/>
    </w:rPr>
  </w:style>
  <w:style w:type="character" w:customStyle="1" w:styleId="CEONormalChar">
    <w:name w:val="CEO_Normal Char"/>
    <w:link w:val="CEONormal"/>
    <w:locked/>
    <w:rsid w:val="00070F2C"/>
    <w:rPr>
      <w:rFonts w:ascii="Verdana" w:eastAsia="SimSun" w:hAnsi="Verdana" w:cs="Verdana"/>
      <w:sz w:val="19"/>
      <w:szCs w:val="19"/>
      <w:lang w:val="en-GB"/>
    </w:rPr>
  </w:style>
  <w:style w:type="paragraph" w:customStyle="1" w:styleId="CEONormal">
    <w:name w:val="CEO_Normal"/>
    <w:link w:val="CEONormalChar"/>
    <w:rsid w:val="00070F2C"/>
    <w:pPr>
      <w:spacing w:before="120" w:after="120"/>
    </w:pPr>
    <w:rPr>
      <w:rFonts w:ascii="Verdana" w:eastAsia="SimSun" w:hAnsi="Verdana" w:cs="Verdana"/>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19ef7ee-314e-4e59-b0a0-47bfe6f47175">Documents Proposals Manager (DPM)</DPM_x0020_Author>
    <DPM_x0020_File_x0020_name xmlns="819ef7ee-314e-4e59-b0a0-47bfe6f47175">S14-PP-C-0067!A3!MSW-E</DPM_x0020_File_x0020_name>
    <DPM_x0020_Version xmlns="819ef7ee-314e-4e59-b0a0-47bfe6f47175">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9ef7ee-314e-4e59-b0a0-47bfe6f47175" targetNamespace="http://schemas.microsoft.com/office/2006/metadata/properties" ma:root="true" ma:fieldsID="d41af5c836d734370eb92e7ee5f83852" ns2:_="" ns3:_="">
    <xsd:import namespace="996b2e75-67fd-4955-a3b0-5ab9934cb50b"/>
    <xsd:import namespace="819ef7ee-314e-4e59-b0a0-47bfe6f471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9ef7ee-314e-4e59-b0a0-47bfe6f471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996b2e75-67fd-4955-a3b0-5ab9934cb50b"/>
    <ds:schemaRef ds:uri="819ef7ee-314e-4e59-b0a0-47bfe6f47175"/>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9ef7ee-314e-4e59-b0a0-47bfe6f47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S14-PP-C-0067!A3!MSW-E</vt:lpstr>
    </vt:vector>
  </TitlesOfParts>
  <Manager/>
  <Company/>
  <LinksUpToDate>false</LinksUpToDate>
  <CharactersWithSpaces>3505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S14-PP-C-0067!A3!MSW-E</dc:title>
  <dc:subject>Plenipotentiary Conference (PP-14)</dc:subject>
  <dc:creator/>
  <cp:keywords>DPM_v5.7.1.17_prod</cp:keywords>
  <cp:lastModifiedBy/>
  <cp:revision>1</cp:revision>
  <dcterms:created xsi:type="dcterms:W3CDTF">2014-10-02T06:01:00Z</dcterms:created>
  <dcterms:modified xsi:type="dcterms:W3CDTF">2014-10-02T06:04:00Z</dcterms:modified>
  <cp:category>Conference document</cp:category>
</cp:coreProperties>
</file>