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653953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>
              <w:rPr>
                <w:b/>
                <w:smallCaps/>
                <w:sz w:val="30"/>
                <w:szCs w:val="30"/>
                <w:lang w:val="fr-CH"/>
              </w:rPr>
              <w:t>4</w:t>
            </w:r>
            <w:proofErr w:type="gramStart"/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proofErr w:type="gramEnd"/>
            <w:r w:rsidRPr="000F6395">
              <w:rPr>
                <w:b/>
                <w:smallCaps/>
                <w:sz w:val="36"/>
                <w:lang w:val="fr-CH"/>
              </w:rPr>
              <w:br/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Busan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20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- 7 novembre 2014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8C10D9" w:rsidRDefault="00BD1614" w:rsidP="003D637A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  <w:shd w:val="clear" w:color="auto" w:fill="auto"/>
          </w:tcPr>
          <w:p w:rsidR="00BD1614" w:rsidRPr="008C10D9" w:rsidRDefault="00BD1614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Addendum 3 au</w:t>
            </w:r>
            <w:r>
              <w:rPr>
                <w:rFonts w:cstheme="minorHAnsi"/>
                <w:b/>
                <w:szCs w:val="24"/>
                <w:lang w:val="en-US"/>
              </w:rPr>
              <w:br/>
              <w:t>Document 67</w:t>
            </w:r>
            <w:r w:rsidR="005F63BD" w:rsidRPr="00F44B1A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  <w:shd w:val="clear" w:color="auto" w:fill="auto"/>
          </w:tcPr>
          <w:p w:rsidR="00BD1614" w:rsidRPr="00D0464B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2 </w:t>
            </w:r>
            <w:proofErr w:type="spellStart"/>
            <w:r w:rsidRPr="008C10D9">
              <w:rPr>
                <w:rFonts w:cstheme="minorHAnsi"/>
                <w:b/>
                <w:szCs w:val="24"/>
                <w:lang w:val="en-US"/>
              </w:rPr>
              <w:t>octobre</w:t>
            </w:r>
            <w:proofErr w:type="spellEnd"/>
            <w:r w:rsidRPr="008C10D9">
              <w:rPr>
                <w:rFonts w:cstheme="minorHAnsi"/>
                <w:b/>
                <w:szCs w:val="24"/>
                <w:lang w:val="en-US"/>
              </w:rPr>
              <w:t xml:space="preserve"> 2014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 xml:space="preserve">Original: </w:t>
            </w:r>
            <w:proofErr w:type="spellStart"/>
            <w:r w:rsidRPr="008C10D9">
              <w:rPr>
                <w:rFonts w:cstheme="minorHAnsi"/>
                <w:b/>
                <w:szCs w:val="24"/>
                <w:lang w:val="en-US"/>
              </w:rPr>
              <w:t>anglais</w:t>
            </w:r>
            <w:proofErr w:type="spellEnd"/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0C63EE" w:rsidRDefault="00BD1614" w:rsidP="006A046E">
            <w:pPr>
              <w:pStyle w:val="Source"/>
              <w:rPr>
                <w:lang w:val="fr-CH"/>
              </w:rPr>
            </w:pPr>
            <w:bookmarkStart w:id="4" w:name="dsource" w:colFirst="0" w:colLast="0"/>
            <w:bookmarkEnd w:id="3"/>
            <w:r w:rsidRPr="000C63EE">
              <w:rPr>
                <w:lang w:val="fr-CH"/>
              </w:rPr>
              <w:t xml:space="preserve">Administrations des pays membres de la </w:t>
            </w:r>
            <w:proofErr w:type="spellStart"/>
            <w:r w:rsidRPr="000C63EE">
              <w:rPr>
                <w:lang w:val="fr-CH"/>
              </w:rPr>
              <w:t>Télécommunauté</w:t>
            </w:r>
            <w:proofErr w:type="spellEnd"/>
            <w:r w:rsidRPr="000C63EE">
              <w:rPr>
                <w:lang w:val="fr-CH"/>
              </w:rPr>
              <w:t xml:space="preserve"> Asie-Pacifique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0C63EE" w:rsidRDefault="007A2156" w:rsidP="005E5CF4">
            <w:pPr>
              <w:pStyle w:val="Title1"/>
              <w:rPr>
                <w:lang w:val="fr-CH"/>
              </w:rPr>
            </w:pPr>
            <w:bookmarkStart w:id="5" w:name="dtitle1" w:colFirst="0" w:colLast="0"/>
            <w:bookmarkEnd w:id="4"/>
            <w:r w:rsidRPr="00335926">
              <w:rPr>
                <w:lang w:val="fr-CH"/>
              </w:rPr>
              <w:t xml:space="preserve">PROPOSITIONS COMMUNES DE LA Télécommunauté Asie-Pacifique </w:t>
            </w:r>
            <w:r w:rsidRPr="00335926">
              <w:rPr>
                <w:lang w:val="fr-CH"/>
              </w:rPr>
              <w:br/>
              <w:t>POUR LES TRAVAUX DE LA Conf</w:t>
            </w:r>
            <w:r w:rsidR="005E5CF4">
              <w:rPr>
                <w:lang w:val="fr-CH"/>
              </w:rPr>
              <w:t>é</w:t>
            </w:r>
            <w:r w:rsidRPr="00335926">
              <w:rPr>
                <w:lang w:val="fr-CH"/>
              </w:rPr>
              <w:t>rence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0C63EE" w:rsidRDefault="00BD1614" w:rsidP="006A046E">
            <w:pPr>
              <w:pStyle w:val="Title2"/>
              <w:rPr>
                <w:lang w:val="fr-CH"/>
              </w:rPr>
            </w:pPr>
            <w:bookmarkStart w:id="6" w:name="dtitle2" w:colFirst="0" w:colLast="0"/>
            <w:bookmarkEnd w:id="5"/>
          </w:p>
        </w:tc>
      </w:tr>
      <w:tr w:rsidR="00BD1614" w:rsidTr="006A046E">
        <w:trPr>
          <w:cantSplit/>
        </w:trPr>
        <w:tc>
          <w:tcPr>
            <w:tcW w:w="10031" w:type="dxa"/>
            <w:gridSpan w:val="2"/>
          </w:tcPr>
          <w:tbl>
            <w:tblPr>
              <w:tblpPr w:leftFromText="180" w:rightFromText="180" w:horzAnchor="margin" w:tblpY="-675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7A2156" w:rsidRPr="00335926" w:rsidTr="00374D90">
              <w:trPr>
                <w:cantSplit/>
                <w:trHeight w:val="23"/>
              </w:trPr>
              <w:tc>
                <w:tcPr>
                  <w:tcW w:w="10031" w:type="dxa"/>
                  <w:shd w:val="clear" w:color="auto" w:fill="auto"/>
                </w:tcPr>
                <w:p w:rsidR="007A2156" w:rsidRPr="00335926" w:rsidRDefault="007A2156" w:rsidP="00905105">
                  <w:pPr>
                    <w:pStyle w:val="Title1"/>
                    <w:spacing w:before="0"/>
                    <w:rPr>
                      <w:lang w:val="fr-CH"/>
                    </w:rPr>
                  </w:pPr>
                  <w:bookmarkStart w:id="7" w:name="dtitle3" w:colFirst="0" w:colLast="0"/>
                  <w:bookmarkEnd w:id="6"/>
                </w:p>
              </w:tc>
            </w:tr>
          </w:tbl>
          <w:p w:rsidR="00905105" w:rsidRDefault="00905105" w:rsidP="00905105">
            <w:pPr>
              <w:pStyle w:val="Title1"/>
              <w:spacing w:before="0"/>
              <w:rPr>
                <w:lang w:val="fr-CH"/>
              </w:rPr>
            </w:pPr>
            <w:r w:rsidRPr="00905105">
              <w:t>PartIE 1 – PROCéDUREs ET MÉTHODES DE TRAVAIL DU RRB</w:t>
            </w:r>
          </w:p>
          <w:p w:rsidR="007A2156" w:rsidRDefault="007A2156" w:rsidP="007A2156">
            <w:pPr>
              <w:pStyle w:val="Heading1"/>
              <w:rPr>
                <w:lang w:val="fr-CH"/>
              </w:rPr>
            </w:pPr>
            <w:r w:rsidRPr="00945C68">
              <w:rPr>
                <w:lang w:val="fr-CH"/>
              </w:rPr>
              <w:t>1</w:t>
            </w:r>
            <w:r w:rsidRPr="00945C68">
              <w:rPr>
                <w:lang w:val="fr-CH"/>
              </w:rPr>
              <w:tab/>
              <w:t>Introduction</w:t>
            </w:r>
          </w:p>
          <w:p w:rsidR="00BD1614" w:rsidRDefault="007A2156" w:rsidP="007A2156">
            <w:r w:rsidRPr="00335926">
              <w:t>Après avoir examiné les dispositions de l</w:t>
            </w:r>
            <w:r w:rsidR="008B713D">
              <w:t>'</w:t>
            </w:r>
            <w:r w:rsidRPr="00335926">
              <w:t>article 14 de la Constitution de l</w:t>
            </w:r>
            <w:r w:rsidR="008B713D">
              <w:t>'</w:t>
            </w:r>
            <w:r w:rsidRPr="00335926">
              <w:t>UIT et de</w:t>
            </w:r>
            <w:r w:rsidR="008B713D">
              <w:t xml:space="preserve"> </w:t>
            </w:r>
            <w:r w:rsidRPr="00335926">
              <w:t>l</w:t>
            </w:r>
            <w:r w:rsidR="008B713D">
              <w:t>'</w:t>
            </w:r>
            <w:r w:rsidRPr="00335926">
              <w:t>article 10 de la Convention de l</w:t>
            </w:r>
            <w:r w:rsidR="008B713D">
              <w:t>'</w:t>
            </w:r>
            <w:r w:rsidRPr="00335926">
              <w:t>UIT, et notamment les dispositions pertinentes du Règlement des radiocommunications se rapportant aux activités et au</w:t>
            </w:r>
            <w:r w:rsidR="008B713D">
              <w:t xml:space="preserve"> </w:t>
            </w:r>
            <w:r w:rsidRPr="00335926">
              <w:t>mandat</w:t>
            </w:r>
            <w:r w:rsidR="008B713D">
              <w:t xml:space="preserve"> </w:t>
            </w:r>
            <w:r w:rsidRPr="00335926">
              <w:t>du Comité du Règlement des radiocommunications ainsi qu</w:t>
            </w:r>
            <w:r w:rsidR="008B713D">
              <w:t>'</w:t>
            </w:r>
            <w:r w:rsidRPr="00335926">
              <w:t>aux dispositions internes et aux méthodes de travail du Comité, les Membres de l</w:t>
            </w:r>
            <w:r w:rsidR="008B713D">
              <w:t>'</w:t>
            </w:r>
            <w:r w:rsidRPr="00335926">
              <w:t>APT ont conclu que ces dispositions étaient suffisantes et</w:t>
            </w:r>
            <w:r>
              <w:t xml:space="preserve"> traitaient intégralement de tous les moyens possibles de formuler des observations et/ou des</w:t>
            </w:r>
            <w:r w:rsidR="008B713D">
              <w:t xml:space="preserve"> </w:t>
            </w:r>
            <w:r>
              <w:t>objections en ce qui concerne les décisions du RRB.</w:t>
            </w:r>
          </w:p>
          <w:p w:rsidR="007A2156" w:rsidRDefault="007A2156" w:rsidP="007A2156">
            <w:pPr>
              <w:rPr>
                <w:rFonts w:asciiTheme="minorHAnsi" w:hAnsiTheme="minorHAnsi"/>
                <w:szCs w:val="24"/>
                <w:lang w:val="fr-CH"/>
              </w:rPr>
            </w:pPr>
            <w:r w:rsidRPr="00A83FE1">
              <w:rPr>
                <w:rFonts w:asciiTheme="minorHAnsi" w:hAnsiTheme="minorHAnsi"/>
                <w:szCs w:val="24"/>
                <w:lang w:val="fr-CH"/>
              </w:rPr>
              <w:t>De plus,</w:t>
            </w:r>
            <w:r>
              <w:rPr>
                <w:rFonts w:asciiTheme="minorHAnsi" w:hAnsiTheme="minorHAnsi"/>
                <w:szCs w:val="24"/>
                <w:lang w:val="fr-CH"/>
              </w:rPr>
              <w:t xml:space="preserve"> autoriser les</w:t>
            </w:r>
            <w:r w:rsidR="008B713D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Pr="00A83FE1">
              <w:rPr>
                <w:rFonts w:asciiTheme="minorHAnsi" w:hAnsiTheme="minorHAnsi"/>
                <w:szCs w:val="24"/>
                <w:lang w:val="fr-CH"/>
              </w:rPr>
              <w:t xml:space="preserve">administrations </w:t>
            </w:r>
            <w:r>
              <w:rPr>
                <w:rFonts w:asciiTheme="minorHAnsi" w:hAnsiTheme="minorHAnsi"/>
                <w:szCs w:val="24"/>
                <w:lang w:val="fr-CH"/>
              </w:rPr>
              <w:t>à</w:t>
            </w:r>
            <w:r w:rsidRPr="00A83FE1">
              <w:rPr>
                <w:rFonts w:asciiTheme="minorHAnsi" w:hAnsiTheme="minorHAnsi"/>
                <w:szCs w:val="24"/>
                <w:lang w:val="fr-CH"/>
              </w:rPr>
              <w:t xml:space="preserve"> faire connaître le</w:t>
            </w:r>
            <w:r>
              <w:rPr>
                <w:rFonts w:asciiTheme="minorHAnsi" w:hAnsiTheme="minorHAnsi"/>
                <w:szCs w:val="24"/>
                <w:lang w:val="fr-CH"/>
              </w:rPr>
              <w:t>urs</w:t>
            </w:r>
            <w:r w:rsidRPr="00A83FE1">
              <w:rPr>
                <w:rFonts w:asciiTheme="minorHAnsi" w:hAnsiTheme="minorHAnsi"/>
                <w:szCs w:val="24"/>
                <w:lang w:val="fr-CH"/>
              </w:rPr>
              <w:t xml:space="preserve"> point</w:t>
            </w:r>
            <w:r>
              <w:rPr>
                <w:rFonts w:asciiTheme="minorHAnsi" w:hAnsiTheme="minorHAnsi"/>
                <w:szCs w:val="24"/>
                <w:lang w:val="fr-CH"/>
              </w:rPr>
              <w:t>s</w:t>
            </w:r>
            <w:r w:rsidRPr="00A83FE1">
              <w:rPr>
                <w:rFonts w:asciiTheme="minorHAnsi" w:hAnsiTheme="minorHAnsi"/>
                <w:szCs w:val="24"/>
                <w:lang w:val="fr-CH"/>
              </w:rPr>
              <w:t xml:space="preserve"> de vue en personne </w:t>
            </w:r>
            <w:r>
              <w:rPr>
                <w:rFonts w:asciiTheme="minorHAnsi" w:hAnsiTheme="minorHAnsi"/>
                <w:szCs w:val="24"/>
                <w:lang w:val="fr-CH"/>
              </w:rPr>
              <w:t>ne</w:t>
            </w:r>
            <w:r w:rsidR="008B713D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 w:rsidR="00653953">
              <w:rPr>
                <w:rFonts w:asciiTheme="minorHAnsi" w:hAnsiTheme="minorHAnsi"/>
                <w:szCs w:val="24"/>
                <w:lang w:val="fr-CH"/>
              </w:rPr>
              <w:t>permettrait</w:t>
            </w:r>
            <w:r>
              <w:rPr>
                <w:rFonts w:asciiTheme="minorHAnsi" w:hAnsiTheme="minorHAnsi"/>
                <w:szCs w:val="24"/>
                <w:lang w:val="fr-CH"/>
              </w:rPr>
              <w:t xml:space="preserve"> pas de se dispenser du</w:t>
            </w:r>
            <w:r w:rsidR="008B713D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>
              <w:rPr>
                <w:rFonts w:asciiTheme="minorHAnsi" w:hAnsiTheme="minorHAnsi"/>
                <w:szCs w:val="24"/>
                <w:lang w:val="fr-CH"/>
              </w:rPr>
              <w:t>réexamen de décisions précédentes, mais aurait au contraire pour conséquence qu</w:t>
            </w:r>
            <w:r w:rsidR="008B713D">
              <w:rPr>
                <w:rFonts w:asciiTheme="minorHAnsi" w:hAnsiTheme="minorHAnsi"/>
                <w:szCs w:val="24"/>
                <w:lang w:val="fr-CH"/>
              </w:rPr>
              <w:t>'</w:t>
            </w:r>
            <w:r>
              <w:rPr>
                <w:rFonts w:asciiTheme="minorHAnsi" w:hAnsiTheme="minorHAnsi"/>
                <w:szCs w:val="24"/>
                <w:lang w:val="fr-CH"/>
              </w:rPr>
              <w:t>il deviendrait encore plus nécessaire de réexaminer des décisions antérieures du RRB, ce qui</w:t>
            </w:r>
            <w:r w:rsidR="008B713D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>
              <w:rPr>
                <w:rFonts w:asciiTheme="minorHAnsi" w:hAnsiTheme="minorHAnsi"/>
                <w:szCs w:val="24"/>
                <w:lang w:val="fr-CH"/>
              </w:rPr>
              <w:t>pourrait également entraîner</w:t>
            </w:r>
            <w:r w:rsidR="008B713D">
              <w:rPr>
                <w:rFonts w:asciiTheme="minorHAnsi" w:hAnsiTheme="minorHAnsi"/>
                <w:szCs w:val="24"/>
                <w:lang w:val="fr-CH"/>
              </w:rPr>
              <w:t xml:space="preserve"> </w:t>
            </w:r>
            <w:r>
              <w:rPr>
                <w:rFonts w:asciiTheme="minorHAnsi" w:hAnsiTheme="minorHAnsi"/>
                <w:szCs w:val="24"/>
                <w:lang w:val="fr-CH"/>
              </w:rPr>
              <w:t>des conflits d</w:t>
            </w:r>
            <w:r w:rsidR="008B713D">
              <w:rPr>
                <w:rFonts w:asciiTheme="minorHAnsi" w:hAnsiTheme="minorHAnsi"/>
                <w:szCs w:val="24"/>
                <w:lang w:val="fr-CH"/>
              </w:rPr>
              <w:t>'</w:t>
            </w:r>
            <w:r>
              <w:rPr>
                <w:rFonts w:asciiTheme="minorHAnsi" w:hAnsiTheme="minorHAnsi"/>
                <w:szCs w:val="24"/>
                <w:lang w:val="fr-CH"/>
              </w:rPr>
              <w:t>intérêts.</w:t>
            </w:r>
          </w:p>
          <w:p w:rsidR="007A2156" w:rsidRPr="00934B34" w:rsidRDefault="007A2156" w:rsidP="001E2E5A">
            <w:pPr>
              <w:rPr>
                <w:lang w:val="fr-CH"/>
              </w:rPr>
            </w:pPr>
            <w:r w:rsidRPr="00934B34">
              <w:rPr>
                <w:lang w:val="fr-CH"/>
              </w:rPr>
              <w:t>En outre, il convient de souligner que les Conférences de plénipotentiaires examinen</w:t>
            </w:r>
            <w:r w:rsidR="001E2E5A">
              <w:rPr>
                <w:lang w:val="fr-CH"/>
              </w:rPr>
              <w:t>t des politiques de haut niveau</w:t>
            </w:r>
            <w:r w:rsidRPr="00934B34">
              <w:rPr>
                <w:lang w:val="fr-CH"/>
              </w:rPr>
              <w:t xml:space="preserve"> qui porte</w:t>
            </w:r>
            <w:r>
              <w:rPr>
                <w:lang w:val="fr-CH"/>
              </w:rPr>
              <w:t>nt</w:t>
            </w:r>
            <w:r w:rsidRPr="00934B34">
              <w:rPr>
                <w:lang w:val="fr-CH"/>
              </w:rPr>
              <w:t xml:space="preserve"> sur toutes les activités </w:t>
            </w:r>
            <w:r>
              <w:rPr>
                <w:lang w:val="fr-CH"/>
              </w:rPr>
              <w:t>de l</w:t>
            </w:r>
            <w:r w:rsidR="008B713D">
              <w:rPr>
                <w:lang w:val="fr-CH"/>
              </w:rPr>
              <w:t>'</w:t>
            </w:r>
            <w:r w:rsidR="001B0B3F" w:rsidRPr="00934B34">
              <w:rPr>
                <w:lang w:val="fr-CH"/>
              </w:rPr>
              <w:t>U</w:t>
            </w:r>
            <w:r w:rsidRPr="00934B34">
              <w:rPr>
                <w:lang w:val="fr-CH"/>
              </w:rPr>
              <w:t xml:space="preserve">nion ainsi que sur les </w:t>
            </w:r>
            <w:r w:rsidR="001E2E5A">
              <w:rPr>
                <w:lang w:val="fr-CH"/>
              </w:rPr>
              <w:t>questions</w:t>
            </w:r>
            <w:r w:rsidRPr="00934B34">
              <w:rPr>
                <w:lang w:val="fr-CH"/>
              </w:rPr>
              <w:t xml:space="preserve"> intersectoriel</w:t>
            </w:r>
            <w:r w:rsidR="001E2E5A">
              <w:rPr>
                <w:lang w:val="fr-CH"/>
              </w:rPr>
              <w:t>le</w:t>
            </w:r>
            <w:r>
              <w:rPr>
                <w:lang w:val="fr-CH"/>
              </w:rPr>
              <w:t>s</w:t>
            </w:r>
            <w:r w:rsidRPr="00934B34">
              <w:rPr>
                <w:lang w:val="fr-CH"/>
              </w:rPr>
              <w:t xml:space="preserve">, </w:t>
            </w:r>
            <w:r>
              <w:rPr>
                <w:lang w:val="fr-CH"/>
              </w:rPr>
              <w:t>de sorte que la Conférence de plénipotentiaires n</w:t>
            </w:r>
            <w:r w:rsidR="008B713D">
              <w:rPr>
                <w:lang w:val="fr-CH"/>
              </w:rPr>
              <w:t>'</w:t>
            </w:r>
            <w:r>
              <w:rPr>
                <w:lang w:val="fr-CH"/>
              </w:rPr>
              <w:t xml:space="preserve">est pas censée étudier les questions </w:t>
            </w:r>
            <w:r w:rsidR="001E2E5A">
              <w:rPr>
                <w:lang w:val="fr-CH"/>
              </w:rPr>
              <w:t>intéressant les secteurs</w:t>
            </w:r>
            <w:r>
              <w:rPr>
                <w:lang w:val="fr-CH"/>
              </w:rPr>
              <w:t>, hormis celles dont il est fait mention dans la Constitution et la Convention.</w:t>
            </w:r>
          </w:p>
          <w:p w:rsidR="007A2156" w:rsidRDefault="007A2156" w:rsidP="00905105">
            <w:pPr>
              <w:keepNext/>
              <w:keepLines/>
              <w:rPr>
                <w:lang w:val="fr-CH"/>
              </w:rPr>
            </w:pPr>
            <w:r w:rsidRPr="00BD18CC">
              <w:rPr>
                <w:lang w:val="fr-CH"/>
              </w:rPr>
              <w:t>Un réexamen des décision</w:t>
            </w:r>
            <w:r>
              <w:rPr>
                <w:lang w:val="fr-CH"/>
              </w:rPr>
              <w:t>s précédentes du RRB sera fondé</w:t>
            </w:r>
            <w:r w:rsidRPr="00BD18CC">
              <w:rPr>
                <w:lang w:val="fr-CH"/>
              </w:rPr>
              <w:t>:</w:t>
            </w:r>
          </w:p>
          <w:p w:rsidR="007A2156" w:rsidRDefault="007A2156" w:rsidP="00905105">
            <w:pPr>
              <w:pStyle w:val="enumlev1"/>
              <w:keepNext/>
              <w:keepLines/>
              <w:rPr>
                <w:lang w:val="fr-CH"/>
              </w:rPr>
            </w:pPr>
            <w:r>
              <w:t>a)</w:t>
            </w:r>
            <w:r>
              <w:tab/>
            </w:r>
            <w:r w:rsidR="001E2E5A">
              <w:rPr>
                <w:lang w:val="fr-CH"/>
              </w:rPr>
              <w:t>sur les initiatives des membres du RRB</w:t>
            </w:r>
            <w:r w:rsidR="001E2E5A" w:rsidRPr="00BD18CC">
              <w:rPr>
                <w:lang w:val="fr-CH"/>
              </w:rPr>
              <w:t>;</w:t>
            </w:r>
          </w:p>
          <w:p w:rsidR="001E2E5A" w:rsidRDefault="001E2E5A" w:rsidP="00905105">
            <w:pPr>
              <w:pStyle w:val="enumlev1"/>
              <w:keepNext/>
              <w:keepLines/>
              <w:rPr>
                <w:lang w:val="fr-CH"/>
              </w:rPr>
            </w:pPr>
            <w:r>
              <w:rPr>
                <w:lang w:val="fr-CH"/>
              </w:rPr>
              <w:t>b)</w:t>
            </w:r>
            <w:r>
              <w:rPr>
                <w:lang w:val="fr-CH"/>
              </w:rPr>
              <w:tab/>
              <w:t>sur une demande de Bureau;</w:t>
            </w:r>
          </w:p>
          <w:p w:rsidR="001E2E5A" w:rsidRDefault="001E2E5A" w:rsidP="00905105">
            <w:pPr>
              <w:pStyle w:val="enumlev1"/>
              <w:keepNext/>
              <w:keepLines/>
              <w:rPr>
                <w:lang w:val="fr-CH"/>
              </w:rPr>
            </w:pPr>
            <w:r>
              <w:rPr>
                <w:lang w:val="fr-CH"/>
              </w:rPr>
              <w:lastRenderedPageBreak/>
              <w:t>c)</w:t>
            </w:r>
            <w:r>
              <w:rPr>
                <w:lang w:val="fr-CH"/>
              </w:rPr>
              <w:tab/>
              <w:t>sur une demande d</w:t>
            </w:r>
            <w:r w:rsidR="008B713D">
              <w:rPr>
                <w:lang w:val="fr-CH"/>
              </w:rPr>
              <w:t>'</w:t>
            </w:r>
            <w:r>
              <w:rPr>
                <w:lang w:val="fr-CH"/>
              </w:rPr>
              <w:t>un Etat Membre.</w:t>
            </w:r>
          </w:p>
          <w:p w:rsidR="001E2E5A" w:rsidRDefault="001E2E5A" w:rsidP="00905105">
            <w:pPr>
              <w:keepNext/>
              <w:keepLines/>
              <w:rPr>
                <w:lang w:val="fr-CH"/>
              </w:rPr>
            </w:pPr>
            <w:r>
              <w:rPr>
                <w:lang w:val="fr-CH"/>
              </w:rPr>
              <w:t>En conséquence, un tel réexamen relève de la compétence du RRB et entre dans le cadre de ces méthodes de travail.</w:t>
            </w:r>
          </w:p>
          <w:p w:rsidR="00A06F4F" w:rsidRPr="001E2E5A" w:rsidRDefault="00A06F4F" w:rsidP="00A06F4F">
            <w:pPr>
              <w:pStyle w:val="Heading1"/>
              <w:rPr>
                <w:lang w:val="fr-CH"/>
              </w:rPr>
            </w:pPr>
            <w:r>
              <w:t>2</w:t>
            </w:r>
            <w:r>
              <w:tab/>
              <w:t>Proposition</w:t>
            </w:r>
          </w:p>
        </w:tc>
      </w:tr>
    </w:tbl>
    <w:bookmarkEnd w:id="7"/>
    <w:p w:rsidR="00A15AEB" w:rsidRPr="000C63EE" w:rsidRDefault="00EB55BE">
      <w:pPr>
        <w:pStyle w:val="Proposal"/>
        <w:rPr>
          <w:lang w:val="en-US"/>
        </w:rPr>
      </w:pPr>
      <w:r>
        <w:lastRenderedPageBreak/>
        <w:tab/>
      </w:r>
      <w:r w:rsidRPr="000C63EE">
        <w:rPr>
          <w:lang w:val="en-US"/>
        </w:rPr>
        <w:t>ACP/67A3/1</w:t>
      </w:r>
    </w:p>
    <w:p w:rsidR="00A15AEB" w:rsidRPr="001E2E5A" w:rsidRDefault="001E2E5A" w:rsidP="001E2E5A">
      <w:pPr>
        <w:rPr>
          <w:lang w:val="fr-CH"/>
        </w:rPr>
      </w:pPr>
      <w:r w:rsidRPr="00E943B3">
        <w:rPr>
          <w:rFonts w:asciiTheme="minorHAnsi" w:hAnsiTheme="minorHAnsi"/>
          <w:lang w:val="fr-CH"/>
        </w:rPr>
        <w:t xml:space="preserve">Compte tenu de ce qui précède, les </w:t>
      </w:r>
      <w:r w:rsidR="00B741BA">
        <w:rPr>
          <w:rFonts w:asciiTheme="minorHAnsi" w:hAnsiTheme="minorHAnsi"/>
          <w:lang w:val="fr-CH"/>
        </w:rPr>
        <w:t>E</w:t>
      </w:r>
      <w:r w:rsidRPr="00E943B3">
        <w:rPr>
          <w:rFonts w:asciiTheme="minorHAnsi" w:hAnsiTheme="minorHAnsi"/>
          <w:lang w:val="fr-CH"/>
        </w:rPr>
        <w:t>tats Membres de l</w:t>
      </w:r>
      <w:r w:rsidR="008B713D">
        <w:rPr>
          <w:rFonts w:asciiTheme="minorHAnsi" w:hAnsiTheme="minorHAnsi"/>
          <w:lang w:val="fr-CH"/>
        </w:rPr>
        <w:t>'</w:t>
      </w:r>
      <w:r w:rsidRPr="00E943B3">
        <w:rPr>
          <w:rFonts w:asciiTheme="minorHAnsi" w:hAnsiTheme="minorHAnsi"/>
          <w:lang w:val="fr-CH"/>
        </w:rPr>
        <w:t>APT ne sont pas favorables à l</w:t>
      </w:r>
      <w:r w:rsidR="008B713D">
        <w:rPr>
          <w:rFonts w:asciiTheme="minorHAnsi" w:hAnsiTheme="minorHAnsi"/>
          <w:lang w:val="fr-CH"/>
        </w:rPr>
        <w:t>'</w:t>
      </w:r>
      <w:r w:rsidRPr="00E943B3">
        <w:rPr>
          <w:rFonts w:asciiTheme="minorHAnsi" w:hAnsiTheme="minorHAnsi"/>
          <w:lang w:val="fr-CH"/>
        </w:rPr>
        <w:t>idée</w:t>
      </w:r>
      <w:r w:rsidR="008B713D">
        <w:rPr>
          <w:rFonts w:asciiTheme="minorHAnsi" w:hAnsiTheme="minorHAnsi"/>
          <w:lang w:val="fr-CH"/>
        </w:rPr>
        <w:t xml:space="preserve"> </w:t>
      </w:r>
      <w:r w:rsidRPr="00E943B3">
        <w:rPr>
          <w:rFonts w:asciiTheme="minorHAnsi" w:hAnsiTheme="minorHAnsi"/>
          <w:lang w:val="fr-CH"/>
        </w:rPr>
        <w:t>d</w:t>
      </w:r>
      <w:r w:rsidR="008B713D">
        <w:rPr>
          <w:rFonts w:asciiTheme="minorHAnsi" w:hAnsiTheme="minorHAnsi"/>
          <w:lang w:val="fr-CH"/>
        </w:rPr>
        <w:t>'</w:t>
      </w:r>
      <w:r w:rsidRPr="00E943B3">
        <w:rPr>
          <w:rFonts w:asciiTheme="minorHAnsi" w:hAnsiTheme="minorHAnsi"/>
          <w:lang w:val="fr-CH"/>
        </w:rPr>
        <w:t>apporter des modifications aux procédures et aux méthodes de travail du</w:t>
      </w:r>
      <w:r>
        <w:rPr>
          <w:rFonts w:asciiTheme="minorHAnsi" w:hAnsiTheme="minorHAnsi"/>
          <w:lang w:val="fr-CH"/>
        </w:rPr>
        <w:t xml:space="preserve"> RRB</w:t>
      </w:r>
      <w:r w:rsidRPr="00E943B3">
        <w:rPr>
          <w:rFonts w:asciiTheme="minorHAnsi" w:hAnsiTheme="minorHAnsi"/>
          <w:lang w:val="fr-CH"/>
        </w:rPr>
        <w:t xml:space="preserve"> </w:t>
      </w:r>
      <w:r>
        <w:rPr>
          <w:rFonts w:asciiTheme="minorHAnsi" w:hAnsiTheme="minorHAnsi"/>
          <w:lang w:val="fr-CH"/>
        </w:rPr>
        <w:t>o</w:t>
      </w:r>
      <w:r w:rsidRPr="00E943B3">
        <w:rPr>
          <w:rFonts w:asciiTheme="minorHAnsi" w:hAnsiTheme="minorHAnsi"/>
          <w:lang w:val="fr-CH"/>
        </w:rPr>
        <w:t>u d</w:t>
      </w:r>
      <w:r w:rsidR="008B713D">
        <w:rPr>
          <w:rFonts w:asciiTheme="minorHAnsi" w:hAnsiTheme="minorHAnsi"/>
          <w:lang w:val="fr-CH"/>
        </w:rPr>
        <w:t>'</w:t>
      </w:r>
      <w:r w:rsidRPr="00E943B3">
        <w:rPr>
          <w:rFonts w:asciiTheme="minorHAnsi" w:hAnsiTheme="minorHAnsi"/>
          <w:lang w:val="fr-CH"/>
        </w:rPr>
        <w:t xml:space="preserve">adopter une nouvelle Résolution </w:t>
      </w:r>
      <w:r>
        <w:rPr>
          <w:rFonts w:asciiTheme="minorHAnsi" w:hAnsiTheme="minorHAnsi"/>
          <w:lang w:val="fr-CH"/>
        </w:rPr>
        <w:t>en la matière</w:t>
      </w:r>
      <w:r w:rsidRPr="00E943B3">
        <w:rPr>
          <w:rFonts w:asciiTheme="minorHAnsi" w:hAnsiTheme="minorHAnsi"/>
          <w:lang w:val="fr-CH"/>
        </w:rPr>
        <w:t>.</w:t>
      </w:r>
      <w:r>
        <w:rPr>
          <w:rFonts w:asciiTheme="minorHAnsi" w:hAnsiTheme="minorHAnsi"/>
          <w:lang w:val="fr-CH"/>
        </w:rPr>
        <w:t xml:space="preserve"> La CMR et/ou le RRB, selon le cas, offrent un cadre adapté pour l</w:t>
      </w:r>
      <w:r w:rsidR="008B713D">
        <w:rPr>
          <w:rFonts w:asciiTheme="minorHAnsi" w:hAnsiTheme="minorHAnsi"/>
          <w:lang w:val="fr-CH"/>
        </w:rPr>
        <w:t>'</w:t>
      </w:r>
      <w:r>
        <w:rPr>
          <w:rFonts w:asciiTheme="minorHAnsi" w:hAnsiTheme="minorHAnsi"/>
          <w:lang w:val="fr-CH"/>
        </w:rPr>
        <w:t>examen de ces questions.</w:t>
      </w:r>
    </w:p>
    <w:p w:rsidR="00A15AEB" w:rsidRPr="001E2E5A" w:rsidRDefault="00A15AEB">
      <w:pPr>
        <w:pStyle w:val="Reasons"/>
        <w:rPr>
          <w:lang w:val="fr-CH"/>
        </w:rPr>
      </w:pPr>
    </w:p>
    <w:p w:rsidR="00A06F4F" w:rsidRPr="00A06F4F" w:rsidRDefault="00A06F4F" w:rsidP="00F53B16">
      <w:pPr>
        <w:pStyle w:val="Title1"/>
      </w:pPr>
      <w:r w:rsidRPr="00A06F4F">
        <w:t xml:space="preserve">partIE 2 </w:t>
      </w:r>
      <w:r w:rsidR="008B713D">
        <w:t>–</w:t>
      </w:r>
      <w:r w:rsidRPr="00A06F4F">
        <w:t xml:space="preserve"> Brouillages et contrôle des émissions </w:t>
      </w:r>
    </w:p>
    <w:p w:rsidR="00A06F4F" w:rsidRPr="009E09A0" w:rsidRDefault="00A06F4F" w:rsidP="008B713D">
      <w:pPr>
        <w:pStyle w:val="Heading1"/>
        <w:rPr>
          <w:rFonts w:asciiTheme="minorHAnsi" w:hAnsiTheme="minorHAnsi"/>
          <w:b w:val="0"/>
        </w:rPr>
      </w:pPr>
      <w:r w:rsidRPr="008B713D">
        <w:t>1</w:t>
      </w:r>
      <w:r w:rsidRPr="008B713D">
        <w:tab/>
      </w:r>
      <w:r w:rsidR="008B713D">
        <w:t>Introduction</w:t>
      </w:r>
    </w:p>
    <w:p w:rsidR="00A06F4F" w:rsidRPr="000D6AE8" w:rsidRDefault="008B713D" w:rsidP="008B713D">
      <w:pPr>
        <w:rPr>
          <w:lang w:val="fr-CH"/>
        </w:rPr>
      </w:pPr>
      <w:r w:rsidRPr="005578A8">
        <w:rPr>
          <w:lang w:val="fr-CH"/>
        </w:rPr>
        <w:t>I</w:t>
      </w:r>
      <w:r w:rsidR="00A06F4F" w:rsidRPr="005578A8">
        <w:rPr>
          <w:lang w:val="fr-CH"/>
        </w:rPr>
        <w:t>l y a lieu de souligner que les Conférences de plénipotentiaires examinent des politiques de haut niveau qui portent sur toutes les activités de l</w:t>
      </w:r>
      <w:r>
        <w:rPr>
          <w:lang w:val="fr-CH"/>
        </w:rPr>
        <w:t>'</w:t>
      </w:r>
      <w:r w:rsidRPr="005578A8">
        <w:rPr>
          <w:lang w:val="fr-CH"/>
        </w:rPr>
        <w:t>U</w:t>
      </w:r>
      <w:r w:rsidR="00A06F4F" w:rsidRPr="005578A8">
        <w:rPr>
          <w:lang w:val="fr-CH"/>
        </w:rPr>
        <w:t>nion ainsi que sur les questions intersectorielles, de sorte qu</w:t>
      </w:r>
      <w:r>
        <w:rPr>
          <w:lang w:val="fr-CH"/>
        </w:rPr>
        <w:t>'</w:t>
      </w:r>
      <w:r w:rsidR="00A06F4F" w:rsidRPr="005578A8">
        <w:rPr>
          <w:lang w:val="fr-CH"/>
        </w:rPr>
        <w:t>elle</w:t>
      </w:r>
      <w:r>
        <w:rPr>
          <w:lang w:val="fr-CH"/>
        </w:rPr>
        <w:t>s ne sont</w:t>
      </w:r>
      <w:r w:rsidR="00A06F4F" w:rsidRPr="005578A8">
        <w:rPr>
          <w:lang w:val="fr-CH"/>
        </w:rPr>
        <w:t xml:space="preserve"> pas censée</w:t>
      </w:r>
      <w:r>
        <w:rPr>
          <w:lang w:val="fr-CH"/>
        </w:rPr>
        <w:t>s</w:t>
      </w:r>
      <w:r w:rsidR="00A06F4F" w:rsidRPr="005578A8">
        <w:rPr>
          <w:lang w:val="fr-CH"/>
        </w:rPr>
        <w:t xml:space="preserve"> étudier les questions </w:t>
      </w:r>
      <w:r w:rsidR="00B112D7">
        <w:rPr>
          <w:lang w:val="fr-CH"/>
        </w:rPr>
        <w:t>intéressa</w:t>
      </w:r>
      <w:r>
        <w:rPr>
          <w:lang w:val="fr-CH"/>
        </w:rPr>
        <w:t xml:space="preserve">nt les secteurs </w:t>
      </w:r>
      <w:r w:rsidR="00A06F4F">
        <w:rPr>
          <w:lang w:val="fr-CH"/>
        </w:rPr>
        <w:t xml:space="preserve">et que les </w:t>
      </w:r>
      <w:r w:rsidRPr="005578A8">
        <w:rPr>
          <w:lang w:val="fr-CH"/>
        </w:rPr>
        <w:t>C</w:t>
      </w:r>
      <w:r w:rsidR="00A06F4F" w:rsidRPr="005578A8">
        <w:rPr>
          <w:lang w:val="fr-CH"/>
        </w:rPr>
        <w:t xml:space="preserve">onférences et </w:t>
      </w:r>
      <w:r w:rsidRPr="005578A8">
        <w:rPr>
          <w:lang w:val="fr-CH"/>
        </w:rPr>
        <w:t>A</w:t>
      </w:r>
      <w:r w:rsidR="00A06F4F" w:rsidRPr="005578A8">
        <w:rPr>
          <w:lang w:val="fr-CH"/>
        </w:rPr>
        <w:t>ssemblée</w:t>
      </w:r>
      <w:r w:rsidR="00B112D7">
        <w:rPr>
          <w:lang w:val="fr-CH"/>
        </w:rPr>
        <w:t>s</w:t>
      </w:r>
      <w:r w:rsidR="00A06F4F" w:rsidRPr="005578A8">
        <w:rPr>
          <w:lang w:val="fr-CH"/>
        </w:rPr>
        <w:t xml:space="preserve"> des Secteurs</w:t>
      </w:r>
      <w:r w:rsidR="00A06F4F">
        <w:rPr>
          <w:lang w:val="fr-CH"/>
        </w:rPr>
        <w:t xml:space="preserve"> offren</w:t>
      </w:r>
      <w:r w:rsidR="00A06F4F" w:rsidRPr="000D6AE8">
        <w:rPr>
          <w:lang w:val="fr-CH"/>
        </w:rPr>
        <w:t xml:space="preserve">t un cadre </w:t>
      </w:r>
      <w:r w:rsidR="00A06F4F">
        <w:rPr>
          <w:lang w:val="fr-CH"/>
        </w:rPr>
        <w:t xml:space="preserve">mieux </w:t>
      </w:r>
      <w:r w:rsidR="00A06F4F" w:rsidRPr="000D6AE8">
        <w:rPr>
          <w:lang w:val="fr-CH"/>
        </w:rPr>
        <w:t>adapté à</w:t>
      </w:r>
      <w:r>
        <w:rPr>
          <w:lang w:val="fr-CH"/>
        </w:rPr>
        <w:t xml:space="preserve"> l'examen de</w:t>
      </w:r>
      <w:r w:rsidR="00A06F4F" w:rsidRPr="000D6AE8">
        <w:rPr>
          <w:lang w:val="fr-CH"/>
        </w:rPr>
        <w:t xml:space="preserve"> </w:t>
      </w:r>
      <w:r w:rsidR="00A06F4F">
        <w:rPr>
          <w:lang w:val="fr-CH"/>
        </w:rPr>
        <w:t>ces</w:t>
      </w:r>
      <w:r w:rsidR="00A06F4F" w:rsidRPr="000D6AE8">
        <w:rPr>
          <w:lang w:val="fr-CH"/>
        </w:rPr>
        <w:t xml:space="preserve"> </w:t>
      </w:r>
      <w:r>
        <w:rPr>
          <w:lang w:val="fr-CH"/>
        </w:rPr>
        <w:t>questions.</w:t>
      </w:r>
    </w:p>
    <w:p w:rsidR="00A06F4F" w:rsidRPr="000D6AE8" w:rsidRDefault="00A06F4F" w:rsidP="00BB6695">
      <w:pPr>
        <w:rPr>
          <w:lang w:val="fr-CH"/>
        </w:rPr>
      </w:pPr>
      <w:r w:rsidRPr="000D6AE8">
        <w:rPr>
          <w:lang w:val="fr-CH"/>
        </w:rPr>
        <w:t>En outre, cette question</w:t>
      </w:r>
      <w:r w:rsidR="00B741BA">
        <w:rPr>
          <w:lang w:val="fr-CH"/>
        </w:rPr>
        <w:t xml:space="preserve"> a été soulevée lors de la PP</w:t>
      </w:r>
      <w:r w:rsidR="00B741BA">
        <w:rPr>
          <w:lang w:val="fr-CH"/>
        </w:rPr>
        <w:noBreakHyphen/>
      </w:r>
      <w:r w:rsidRPr="000D6AE8">
        <w:rPr>
          <w:lang w:val="fr-CH"/>
        </w:rPr>
        <w:t xml:space="preserve">10, qui a décidé de la </w:t>
      </w:r>
      <w:r w:rsidR="008B713D">
        <w:rPr>
          <w:lang w:val="fr-CH"/>
        </w:rPr>
        <w:t>soumettre à la CMR</w:t>
      </w:r>
      <w:r w:rsidR="00B741BA">
        <w:rPr>
          <w:lang w:val="fr-CH"/>
        </w:rPr>
        <w:noBreakHyphen/>
      </w:r>
      <w:r w:rsidRPr="000D6AE8">
        <w:rPr>
          <w:lang w:val="fr-CH"/>
        </w:rPr>
        <w:t>12 (voir le</w:t>
      </w:r>
      <w:r>
        <w:rPr>
          <w:lang w:val="fr-CH"/>
        </w:rPr>
        <w:t xml:space="preserve"> </w:t>
      </w:r>
      <w:r w:rsidR="00730E42">
        <w:rPr>
          <w:lang w:val="fr-CH"/>
        </w:rPr>
        <w:t>rapport</w:t>
      </w:r>
      <w:r>
        <w:rPr>
          <w:lang w:val="fr-CH"/>
        </w:rPr>
        <w:t xml:space="preserve"> de la réunion</w:t>
      </w:r>
      <w:r w:rsidRPr="000D6AE8">
        <w:rPr>
          <w:lang w:val="fr-CH"/>
        </w:rPr>
        <w:t xml:space="preserve"> </w:t>
      </w:r>
      <w:r w:rsidR="00B741BA">
        <w:rPr>
          <w:lang w:val="fr-CH"/>
        </w:rPr>
        <w:t>de la Commission </w:t>
      </w:r>
      <w:r>
        <w:rPr>
          <w:lang w:val="fr-CH"/>
        </w:rPr>
        <w:t>5</w:t>
      </w:r>
      <w:r w:rsidR="008B713D">
        <w:rPr>
          <w:lang w:val="fr-CH"/>
        </w:rPr>
        <w:t xml:space="preserve"> à la plénière de la </w:t>
      </w:r>
      <w:r w:rsidRPr="000D6AE8">
        <w:rPr>
          <w:lang w:val="fr-CH"/>
        </w:rPr>
        <w:t>PP</w:t>
      </w:r>
      <w:r w:rsidR="00B741BA">
        <w:rPr>
          <w:lang w:val="fr-CH"/>
        </w:rPr>
        <w:noBreakHyphen/>
      </w:r>
      <w:r w:rsidRPr="000D6AE8">
        <w:rPr>
          <w:lang w:val="fr-CH"/>
        </w:rPr>
        <w:t>10</w:t>
      </w:r>
      <w:r w:rsidR="00730E42">
        <w:rPr>
          <w:lang w:val="fr-CH"/>
        </w:rPr>
        <w:t xml:space="preserve"> et le procès</w:t>
      </w:r>
      <w:r w:rsidR="00BB6695">
        <w:rPr>
          <w:lang w:val="fr-CH"/>
        </w:rPr>
        <w:noBreakHyphen/>
      </w:r>
      <w:r w:rsidR="00730E42">
        <w:rPr>
          <w:lang w:val="fr-CH"/>
        </w:rPr>
        <w:t>verbal correspondant</w:t>
      </w:r>
      <w:r>
        <w:rPr>
          <w:lang w:val="fr-CH"/>
        </w:rPr>
        <w:t>)</w:t>
      </w:r>
      <w:r w:rsidRPr="000D6AE8">
        <w:rPr>
          <w:lang w:val="fr-CH"/>
        </w:rPr>
        <w:t>.</w:t>
      </w:r>
    </w:p>
    <w:p w:rsidR="00A06F4F" w:rsidRPr="0096342D" w:rsidRDefault="00A06F4F" w:rsidP="00B112D7">
      <w:pPr>
        <w:rPr>
          <w:lang w:val="fr-CH"/>
        </w:rPr>
      </w:pPr>
      <w:r w:rsidRPr="007E71BD">
        <w:rPr>
          <w:lang w:val="fr-CH"/>
        </w:rPr>
        <w:t>De plus, sur la base d</w:t>
      </w:r>
      <w:r w:rsidR="008B713D">
        <w:rPr>
          <w:lang w:val="fr-CH"/>
        </w:rPr>
        <w:t>'</w:t>
      </w:r>
      <w:r w:rsidRPr="007E71BD">
        <w:rPr>
          <w:lang w:val="fr-CH"/>
        </w:rPr>
        <w:t>une cont</w:t>
      </w:r>
      <w:r w:rsidR="008B713D">
        <w:rPr>
          <w:lang w:val="fr-CH"/>
        </w:rPr>
        <w:t xml:space="preserve">ribution commune soumise par </w:t>
      </w:r>
      <w:r w:rsidR="00730E42">
        <w:rPr>
          <w:lang w:val="fr-CH"/>
        </w:rPr>
        <w:t xml:space="preserve">les </w:t>
      </w:r>
      <w:r w:rsidRPr="007E71BD">
        <w:rPr>
          <w:lang w:val="fr-CH"/>
        </w:rPr>
        <w:t xml:space="preserve">administrations de </w:t>
      </w:r>
      <w:r w:rsidR="00730E42">
        <w:rPr>
          <w:lang w:val="fr-CH"/>
        </w:rPr>
        <w:t>14 </w:t>
      </w:r>
      <w:r w:rsidRPr="007E71BD">
        <w:rPr>
          <w:lang w:val="fr-CH"/>
        </w:rPr>
        <w:t xml:space="preserve">pays européens sur </w:t>
      </w:r>
      <w:r w:rsidR="00730E42">
        <w:rPr>
          <w:lang w:val="fr-CH"/>
        </w:rPr>
        <w:t>le même sujet</w:t>
      </w:r>
      <w:r w:rsidRPr="007E71BD">
        <w:rPr>
          <w:lang w:val="fr-CH"/>
        </w:rPr>
        <w:t xml:space="preserve">, </w:t>
      </w:r>
      <w:r w:rsidR="008B713D">
        <w:rPr>
          <w:lang w:val="fr-CH"/>
        </w:rPr>
        <w:t>la CMR</w:t>
      </w:r>
      <w:r w:rsidR="00BB6695">
        <w:rPr>
          <w:lang w:val="fr-CH"/>
        </w:rPr>
        <w:noBreakHyphen/>
      </w:r>
      <w:r w:rsidRPr="007E71BD">
        <w:rPr>
          <w:lang w:val="fr-CH"/>
        </w:rPr>
        <w:t xml:space="preserve">12 </w:t>
      </w:r>
      <w:r w:rsidR="00730E42">
        <w:rPr>
          <w:lang w:val="fr-CH"/>
        </w:rPr>
        <w:t>a</w:t>
      </w:r>
      <w:r w:rsidRPr="007E71BD">
        <w:rPr>
          <w:lang w:val="fr-CH"/>
        </w:rPr>
        <w:t xml:space="preserve"> étudi</w:t>
      </w:r>
      <w:r>
        <w:rPr>
          <w:lang w:val="fr-CH"/>
        </w:rPr>
        <w:t>é</w:t>
      </w:r>
      <w:r w:rsidRPr="007E71BD">
        <w:rPr>
          <w:lang w:val="fr-CH"/>
        </w:rPr>
        <w:t xml:space="preserve"> la question de manière approfondie </w:t>
      </w:r>
      <w:r>
        <w:rPr>
          <w:lang w:val="fr-CH"/>
        </w:rPr>
        <w:t>à l</w:t>
      </w:r>
      <w:r w:rsidR="008B713D">
        <w:rPr>
          <w:lang w:val="fr-CH"/>
        </w:rPr>
        <w:t>'</w:t>
      </w:r>
      <w:r>
        <w:rPr>
          <w:lang w:val="fr-CH"/>
        </w:rPr>
        <w:t>occasion</w:t>
      </w:r>
      <w:r w:rsidR="008B713D">
        <w:rPr>
          <w:lang w:val="fr-CH"/>
        </w:rPr>
        <w:t xml:space="preserve"> </w:t>
      </w:r>
      <w:r>
        <w:rPr>
          <w:lang w:val="fr-CH"/>
        </w:rPr>
        <w:t xml:space="preserve">de </w:t>
      </w:r>
      <w:r w:rsidR="00BB6695">
        <w:rPr>
          <w:lang w:val="fr-CH"/>
        </w:rPr>
        <w:t>plusieurs réunions du Groupe ad </w:t>
      </w:r>
      <w:r>
        <w:rPr>
          <w:lang w:val="fr-CH"/>
        </w:rPr>
        <w:t>hoc créé à cette fin et a apporté les modifications nécessaires à l</w:t>
      </w:r>
      <w:r w:rsidR="008B713D">
        <w:rPr>
          <w:lang w:val="fr-CH"/>
        </w:rPr>
        <w:t>'</w:t>
      </w:r>
      <w:r w:rsidR="00B741BA">
        <w:rPr>
          <w:lang w:val="fr-CH"/>
        </w:rPr>
        <w:t>A</w:t>
      </w:r>
      <w:r>
        <w:rPr>
          <w:lang w:val="fr-CH"/>
        </w:rPr>
        <w:t>rticle</w:t>
      </w:r>
      <w:r w:rsidR="00B741BA">
        <w:rPr>
          <w:lang w:val="fr-CH"/>
        </w:rPr>
        <w:t> </w:t>
      </w:r>
      <w:r>
        <w:rPr>
          <w:lang w:val="fr-CH"/>
        </w:rPr>
        <w:t xml:space="preserve">15 du Règlement des radiocommunications. </w:t>
      </w:r>
      <w:r w:rsidRPr="007E71BD">
        <w:rPr>
          <w:lang w:val="fr-CH"/>
        </w:rPr>
        <w:t>Soumettre la même question à la CM</w:t>
      </w:r>
      <w:r w:rsidR="008B713D">
        <w:rPr>
          <w:lang w:val="fr-CH"/>
        </w:rPr>
        <w:t>R</w:t>
      </w:r>
      <w:r w:rsidR="00B741BA">
        <w:rPr>
          <w:lang w:val="fr-CH"/>
        </w:rPr>
        <w:noBreakHyphen/>
      </w:r>
      <w:r w:rsidRPr="007E71BD">
        <w:rPr>
          <w:lang w:val="fr-CH"/>
        </w:rPr>
        <w:t xml:space="preserve">15 serait contre-productif et </w:t>
      </w:r>
      <w:r>
        <w:rPr>
          <w:lang w:val="fr-CH"/>
        </w:rPr>
        <w:t>mobiliserai</w:t>
      </w:r>
      <w:r w:rsidRPr="007E71BD">
        <w:rPr>
          <w:lang w:val="fr-CH"/>
        </w:rPr>
        <w:t xml:space="preserve">t une </w:t>
      </w:r>
      <w:r>
        <w:rPr>
          <w:lang w:val="fr-CH"/>
        </w:rPr>
        <w:t xml:space="preserve">part </w:t>
      </w:r>
      <w:r w:rsidRPr="007E71BD">
        <w:rPr>
          <w:lang w:val="fr-CH"/>
        </w:rPr>
        <w:t>considérable des ressources</w:t>
      </w:r>
      <w:r w:rsidR="00730E42">
        <w:rPr>
          <w:lang w:val="fr-CH"/>
        </w:rPr>
        <w:t>,</w:t>
      </w:r>
      <w:r w:rsidRPr="007E71BD">
        <w:rPr>
          <w:lang w:val="fr-CH"/>
        </w:rPr>
        <w:t xml:space="preserve"> </w:t>
      </w:r>
      <w:r>
        <w:rPr>
          <w:lang w:val="fr-CH"/>
        </w:rPr>
        <w:t xml:space="preserve">pourtant </w:t>
      </w:r>
      <w:r w:rsidRPr="007E71BD">
        <w:rPr>
          <w:lang w:val="fr-CH"/>
        </w:rPr>
        <w:t>limitées</w:t>
      </w:r>
      <w:r w:rsidR="00730E42">
        <w:rPr>
          <w:lang w:val="fr-CH"/>
        </w:rPr>
        <w:t>,</w:t>
      </w:r>
      <w:r w:rsidRPr="007E71BD">
        <w:rPr>
          <w:lang w:val="fr-CH"/>
        </w:rPr>
        <w:t xml:space="preserve"> </w:t>
      </w:r>
      <w:r>
        <w:rPr>
          <w:lang w:val="fr-CH"/>
        </w:rPr>
        <w:t xml:space="preserve">dont dispose cette Conférence, qui a un </w:t>
      </w:r>
      <w:r w:rsidR="008B713D">
        <w:rPr>
          <w:lang w:val="fr-CH"/>
        </w:rPr>
        <w:t>ordre du jour</w:t>
      </w:r>
      <w:r>
        <w:rPr>
          <w:lang w:val="fr-CH"/>
        </w:rPr>
        <w:t xml:space="preserve"> particulièrement chargé et complexe.</w:t>
      </w:r>
    </w:p>
    <w:p w:rsidR="00A06F4F" w:rsidRPr="00AF1A1C" w:rsidRDefault="00A06F4F" w:rsidP="00730E42">
      <w:pPr>
        <w:rPr>
          <w:lang w:val="fr-CH"/>
        </w:rPr>
      </w:pPr>
      <w:r>
        <w:rPr>
          <w:lang w:val="fr-CH"/>
        </w:rPr>
        <w:t>E</w:t>
      </w:r>
      <w:r w:rsidRPr="0096342D">
        <w:rPr>
          <w:lang w:val="fr-CH"/>
        </w:rPr>
        <w:t xml:space="preserve">nfin, </w:t>
      </w:r>
      <w:r>
        <w:rPr>
          <w:lang w:val="fr-CH"/>
        </w:rPr>
        <w:t>grâce à</w:t>
      </w:r>
      <w:r w:rsidR="008B713D">
        <w:rPr>
          <w:lang w:val="fr-CH"/>
        </w:rPr>
        <w:t xml:space="preserve"> </w:t>
      </w:r>
      <w:r w:rsidRPr="0096342D">
        <w:rPr>
          <w:lang w:val="fr-CH"/>
        </w:rPr>
        <w:t>l</w:t>
      </w:r>
      <w:r w:rsidR="008B713D">
        <w:rPr>
          <w:lang w:val="fr-CH"/>
        </w:rPr>
        <w:t>'</w:t>
      </w:r>
      <w:r w:rsidRPr="0096342D">
        <w:rPr>
          <w:lang w:val="fr-CH"/>
        </w:rPr>
        <w:t xml:space="preserve">étroite collaboration </w:t>
      </w:r>
      <w:r w:rsidR="00730E42">
        <w:rPr>
          <w:lang w:val="fr-CH"/>
        </w:rPr>
        <w:t xml:space="preserve">qui a été </w:t>
      </w:r>
      <w:proofErr w:type="gramStart"/>
      <w:r w:rsidR="00730E42">
        <w:rPr>
          <w:lang w:val="fr-CH"/>
        </w:rPr>
        <w:t>établie</w:t>
      </w:r>
      <w:proofErr w:type="gramEnd"/>
      <w:r w:rsidRPr="0096342D">
        <w:rPr>
          <w:lang w:val="fr-CH"/>
        </w:rPr>
        <w:t xml:space="preserve"> entre les</w:t>
      </w:r>
      <w:r>
        <w:rPr>
          <w:lang w:val="fr-CH"/>
        </w:rPr>
        <w:t xml:space="preserve"> administrations</w:t>
      </w:r>
      <w:r w:rsidR="008B713D">
        <w:rPr>
          <w:lang w:val="fr-CH"/>
        </w:rPr>
        <w:t xml:space="preserve"> </w:t>
      </w:r>
      <w:r w:rsidRPr="0096342D">
        <w:rPr>
          <w:lang w:val="fr-CH"/>
        </w:rPr>
        <w:t>concernées et</w:t>
      </w:r>
      <w:r>
        <w:rPr>
          <w:lang w:val="fr-CH"/>
        </w:rPr>
        <w:t xml:space="preserve"> aux</w:t>
      </w:r>
      <w:r w:rsidR="008B713D">
        <w:rPr>
          <w:lang w:val="fr-CH"/>
        </w:rPr>
        <w:t xml:space="preserve"> </w:t>
      </w:r>
      <w:r w:rsidRPr="0096342D">
        <w:rPr>
          <w:lang w:val="fr-CH"/>
        </w:rPr>
        <w:t xml:space="preserve">bons offices du </w:t>
      </w:r>
      <w:r w:rsidR="00730E42" w:rsidRPr="0096342D">
        <w:rPr>
          <w:lang w:val="fr-CH"/>
        </w:rPr>
        <w:t>B</w:t>
      </w:r>
      <w:r w:rsidRPr="0096342D">
        <w:rPr>
          <w:lang w:val="fr-CH"/>
        </w:rPr>
        <w:t xml:space="preserve">ureau, des cas de brouillages analogues ont été résolus </w:t>
      </w:r>
      <w:r w:rsidR="00730E42">
        <w:rPr>
          <w:lang w:val="fr-CH"/>
        </w:rPr>
        <w:t>et au reste,</w:t>
      </w:r>
      <w:r w:rsidR="00730E42" w:rsidRPr="0096342D">
        <w:rPr>
          <w:lang w:val="fr-CH"/>
        </w:rPr>
        <w:t xml:space="preserve"> </w:t>
      </w:r>
      <w:r w:rsidRPr="0096342D">
        <w:rPr>
          <w:lang w:val="fr-CH"/>
        </w:rPr>
        <w:t xml:space="preserve">aucun brouillage </w:t>
      </w:r>
      <w:r>
        <w:rPr>
          <w:lang w:val="fr-CH"/>
        </w:rPr>
        <w:t>de ce type n</w:t>
      </w:r>
      <w:r w:rsidR="008B713D">
        <w:rPr>
          <w:lang w:val="fr-CH"/>
        </w:rPr>
        <w:t>'</w:t>
      </w:r>
      <w:r>
        <w:rPr>
          <w:lang w:val="fr-CH"/>
        </w:rPr>
        <w:t>a été signalé au Bureau</w:t>
      </w:r>
      <w:r w:rsidR="008B713D">
        <w:rPr>
          <w:lang w:val="fr-CH"/>
        </w:rPr>
        <w:t xml:space="preserve"> </w:t>
      </w:r>
      <w:r>
        <w:rPr>
          <w:lang w:val="fr-CH"/>
        </w:rPr>
        <w:t>ou</w:t>
      </w:r>
      <w:r w:rsidR="008B713D">
        <w:rPr>
          <w:lang w:val="fr-CH"/>
        </w:rPr>
        <w:t xml:space="preserve"> </w:t>
      </w:r>
      <w:r>
        <w:rPr>
          <w:lang w:val="fr-CH"/>
        </w:rPr>
        <w:t>porté à l</w:t>
      </w:r>
      <w:r w:rsidR="008B713D">
        <w:rPr>
          <w:lang w:val="fr-CH"/>
        </w:rPr>
        <w:t>'</w:t>
      </w:r>
      <w:r>
        <w:rPr>
          <w:lang w:val="fr-CH"/>
        </w:rPr>
        <w:t xml:space="preserve">attention du RRB au </w:t>
      </w:r>
      <w:r w:rsidR="00BB6695">
        <w:rPr>
          <w:lang w:val="fr-CH"/>
        </w:rPr>
        <w:t>cours des </w:t>
      </w:r>
      <w:r w:rsidR="00730E42">
        <w:rPr>
          <w:lang w:val="fr-CH"/>
        </w:rPr>
        <w:t>18 </w:t>
      </w:r>
      <w:r>
        <w:rPr>
          <w:lang w:val="fr-CH"/>
        </w:rPr>
        <w:t>derniers mois.</w:t>
      </w:r>
    </w:p>
    <w:p w:rsidR="00A06F4F" w:rsidRPr="00C95659" w:rsidRDefault="008B713D" w:rsidP="00B74887">
      <w:pPr>
        <w:pStyle w:val="Heading1"/>
      </w:pPr>
      <w:r w:rsidRPr="00C95659">
        <w:lastRenderedPageBreak/>
        <w:t>2</w:t>
      </w:r>
      <w:r w:rsidR="00A06F4F" w:rsidRPr="00C95659">
        <w:tab/>
        <w:t>Proposition</w:t>
      </w:r>
    </w:p>
    <w:p w:rsidR="00A15AEB" w:rsidRPr="00B112D7" w:rsidRDefault="00EB55BE" w:rsidP="00B74887">
      <w:pPr>
        <w:pStyle w:val="Proposal"/>
        <w:keepLines/>
        <w:rPr>
          <w:lang w:val="fr-CH"/>
        </w:rPr>
      </w:pPr>
      <w:r w:rsidRPr="001E2E5A">
        <w:rPr>
          <w:lang w:val="fr-CH"/>
        </w:rPr>
        <w:tab/>
      </w:r>
      <w:r w:rsidRPr="00B112D7">
        <w:rPr>
          <w:lang w:val="fr-CH"/>
        </w:rPr>
        <w:t>ACP/67A3/2</w:t>
      </w:r>
    </w:p>
    <w:p w:rsidR="00B74887" w:rsidRPr="00B74887" w:rsidRDefault="001E2E5A" w:rsidP="00B74887">
      <w:pPr>
        <w:keepNext/>
        <w:keepLines/>
        <w:rPr>
          <w:lang w:val="fr-CH"/>
        </w:rPr>
      </w:pPr>
      <w:r w:rsidRPr="0024765C">
        <w:rPr>
          <w:rFonts w:asciiTheme="minorHAnsi" w:hAnsiTheme="minorHAnsi"/>
          <w:szCs w:val="24"/>
          <w:lang w:val="fr-CH"/>
        </w:rPr>
        <w:t>Compte tenu de ce qui précède, les Membres de l</w:t>
      </w:r>
      <w:r w:rsidR="008B713D">
        <w:rPr>
          <w:rFonts w:asciiTheme="minorHAnsi" w:hAnsiTheme="minorHAnsi"/>
          <w:szCs w:val="24"/>
          <w:lang w:val="fr-CH"/>
        </w:rPr>
        <w:t>'</w:t>
      </w:r>
      <w:r w:rsidRPr="0024765C">
        <w:rPr>
          <w:rFonts w:asciiTheme="minorHAnsi" w:hAnsiTheme="minorHAnsi"/>
          <w:szCs w:val="24"/>
          <w:lang w:val="fr-CH"/>
        </w:rPr>
        <w:t>APT proposent que les questions relatives au</w:t>
      </w:r>
      <w:r>
        <w:rPr>
          <w:rFonts w:asciiTheme="minorHAnsi" w:hAnsiTheme="minorHAnsi"/>
          <w:szCs w:val="24"/>
          <w:lang w:val="fr-CH"/>
        </w:rPr>
        <w:t>x</w:t>
      </w:r>
      <w:r w:rsidRPr="0024765C">
        <w:rPr>
          <w:rFonts w:asciiTheme="minorHAnsi" w:hAnsiTheme="minorHAnsi"/>
          <w:szCs w:val="24"/>
          <w:lang w:val="fr-CH"/>
        </w:rPr>
        <w:t xml:space="preserve"> brouillage</w:t>
      </w:r>
      <w:r>
        <w:rPr>
          <w:rFonts w:asciiTheme="minorHAnsi" w:hAnsiTheme="minorHAnsi"/>
          <w:szCs w:val="24"/>
          <w:lang w:val="fr-CH"/>
        </w:rPr>
        <w:t>s et</w:t>
      </w:r>
      <w:r w:rsidRPr="0024765C">
        <w:rPr>
          <w:rFonts w:asciiTheme="minorHAnsi" w:hAnsiTheme="minorHAnsi"/>
          <w:szCs w:val="24"/>
          <w:lang w:val="fr-CH"/>
        </w:rPr>
        <w:t xml:space="preserve"> au contrôle international des émissions soient du</w:t>
      </w:r>
      <w:r>
        <w:rPr>
          <w:rFonts w:asciiTheme="minorHAnsi" w:hAnsiTheme="minorHAnsi"/>
          <w:szCs w:val="24"/>
          <w:lang w:val="fr-CH"/>
        </w:rPr>
        <w:t xml:space="preserve"> ressort de la CMR et/ou du RRB</w:t>
      </w:r>
      <w:r w:rsidRPr="0024765C">
        <w:rPr>
          <w:rFonts w:asciiTheme="minorHAnsi" w:hAnsiTheme="minorHAnsi"/>
          <w:szCs w:val="24"/>
          <w:lang w:val="fr-CH"/>
        </w:rPr>
        <w:t xml:space="preserve"> </w:t>
      </w:r>
      <w:r>
        <w:rPr>
          <w:rFonts w:asciiTheme="minorHAnsi" w:hAnsiTheme="minorHAnsi"/>
          <w:szCs w:val="24"/>
          <w:lang w:val="fr-CH"/>
        </w:rPr>
        <w:t>et estiment en conséquence</w:t>
      </w:r>
      <w:r w:rsidR="008B713D">
        <w:rPr>
          <w:rFonts w:asciiTheme="minorHAnsi" w:hAnsiTheme="minorHAnsi"/>
          <w:szCs w:val="24"/>
          <w:lang w:val="fr-CH"/>
        </w:rPr>
        <w:t xml:space="preserve"> </w:t>
      </w:r>
      <w:r w:rsidRPr="0024765C">
        <w:rPr>
          <w:rFonts w:asciiTheme="minorHAnsi" w:hAnsiTheme="minorHAnsi"/>
          <w:szCs w:val="24"/>
          <w:lang w:val="fr-CH"/>
        </w:rPr>
        <w:t>que ces questions doivent être traitée</w:t>
      </w:r>
      <w:r>
        <w:rPr>
          <w:rFonts w:asciiTheme="minorHAnsi" w:hAnsiTheme="minorHAnsi"/>
          <w:szCs w:val="24"/>
          <w:lang w:val="fr-CH"/>
        </w:rPr>
        <w:t>s</w:t>
      </w:r>
      <w:r w:rsidRPr="0024765C">
        <w:rPr>
          <w:rFonts w:asciiTheme="minorHAnsi" w:hAnsiTheme="minorHAnsi"/>
          <w:szCs w:val="24"/>
          <w:lang w:val="fr-CH"/>
        </w:rPr>
        <w:t xml:space="preserve"> par ces entités, selon qu</w:t>
      </w:r>
      <w:r w:rsidR="008B713D">
        <w:rPr>
          <w:rFonts w:asciiTheme="minorHAnsi" w:hAnsiTheme="minorHAnsi"/>
          <w:szCs w:val="24"/>
          <w:lang w:val="fr-CH"/>
        </w:rPr>
        <w:t>'</w:t>
      </w:r>
      <w:r w:rsidRPr="0024765C">
        <w:rPr>
          <w:rFonts w:asciiTheme="minorHAnsi" w:hAnsiTheme="minorHAnsi"/>
          <w:szCs w:val="24"/>
          <w:lang w:val="fr-CH"/>
        </w:rPr>
        <w:t>il conviendra.</w:t>
      </w:r>
    </w:p>
    <w:p w:rsidR="008B713D" w:rsidRDefault="008B713D" w:rsidP="00B74887">
      <w:pPr>
        <w:pStyle w:val="Reasons"/>
        <w:keepNext/>
        <w:keepLines/>
      </w:pPr>
    </w:p>
    <w:p w:rsidR="008B713D" w:rsidRDefault="008B713D" w:rsidP="00905105">
      <w:pPr>
        <w:jc w:val="center"/>
      </w:pPr>
      <w:r>
        <w:t>______________</w:t>
      </w:r>
    </w:p>
    <w:p w:rsidR="00A15AEB" w:rsidRDefault="00A15AEB" w:rsidP="00905105"/>
    <w:sectPr w:rsidR="00A15AEB" w:rsidSect="003A0B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DCE" w:rsidRDefault="00E90DCE">
      <w:r>
        <w:separator/>
      </w:r>
    </w:p>
  </w:endnote>
  <w:endnote w:type="continuationSeparator" w:id="0">
    <w:p w:rsidR="00E90DCE" w:rsidRDefault="00E9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7EB" w:rsidRDefault="00B557E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8" w:name="_GoBack"/>
  <w:bookmarkEnd w:id="8"/>
  <w:p w:rsidR="00EB55BE" w:rsidRPr="00B557EB" w:rsidRDefault="005E5CF4" w:rsidP="00EB55BE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FFFFFF" w:themeColor="background1"/>
      </w:rPr>
    </w:pPr>
    <w:r w:rsidRPr="00B557EB">
      <w:rPr>
        <w:color w:val="FFFFFF" w:themeColor="background1"/>
      </w:rPr>
      <w:fldChar w:fldCharType="begin"/>
    </w:r>
    <w:r w:rsidRPr="00B557EB">
      <w:rPr>
        <w:color w:val="FFFFFF" w:themeColor="background1"/>
      </w:rPr>
      <w:instrText xml:space="preserve"> FILENAME \p \* MERGEFORMAT </w:instrText>
    </w:r>
    <w:r w:rsidRPr="00B557EB">
      <w:rPr>
        <w:color w:val="FFFFFF" w:themeColor="background1"/>
      </w:rPr>
      <w:fldChar w:fldCharType="separate"/>
    </w:r>
    <w:r w:rsidRPr="00B557EB">
      <w:rPr>
        <w:color w:val="FFFFFF" w:themeColor="background1"/>
      </w:rPr>
      <w:t>P:\FRA\SG\CONF-SG\PP14\000\067ADD03F.docx</w:t>
    </w:r>
    <w:r w:rsidRPr="00B557EB">
      <w:rPr>
        <w:color w:val="FFFFFF" w:themeColor="background1"/>
      </w:rPr>
      <w:fldChar w:fldCharType="end"/>
    </w:r>
    <w:r w:rsidR="00653953" w:rsidRPr="00B557EB">
      <w:rPr>
        <w:color w:val="FFFFFF" w:themeColor="background1"/>
      </w:rPr>
      <w:t xml:space="preserve"> (369858)</w:t>
    </w:r>
    <w:r w:rsidR="00653953" w:rsidRPr="00B557EB">
      <w:rPr>
        <w:color w:val="FFFFFF" w:themeColor="background1"/>
      </w:rPr>
      <w:tab/>
    </w:r>
    <w:r w:rsidR="00EB55BE" w:rsidRPr="00B557EB">
      <w:rPr>
        <w:color w:val="FFFFFF" w:themeColor="background1"/>
      </w:rPr>
      <w:fldChar w:fldCharType="begin"/>
    </w:r>
    <w:r w:rsidR="00EB55BE" w:rsidRPr="00B557EB">
      <w:rPr>
        <w:color w:val="FFFFFF" w:themeColor="background1"/>
      </w:rPr>
      <w:instrText xml:space="preserve"> savedate \@ dd.MM.yy </w:instrText>
    </w:r>
    <w:r w:rsidR="00EB55BE" w:rsidRPr="00B557EB">
      <w:rPr>
        <w:color w:val="FFFFFF" w:themeColor="background1"/>
      </w:rPr>
      <w:fldChar w:fldCharType="separate"/>
    </w:r>
    <w:r w:rsidR="00B557EB" w:rsidRPr="00B557EB">
      <w:rPr>
        <w:color w:val="FFFFFF" w:themeColor="background1"/>
      </w:rPr>
      <w:t>07.10.14</w:t>
    </w:r>
    <w:r w:rsidR="00EB55BE" w:rsidRPr="00B557EB">
      <w:rPr>
        <w:color w:val="FFFFFF" w:themeColor="background1"/>
      </w:rPr>
      <w:fldChar w:fldCharType="end"/>
    </w:r>
    <w:r w:rsidR="00EB55BE" w:rsidRPr="00B557EB">
      <w:rPr>
        <w:color w:val="FFFFFF" w:themeColor="background1"/>
      </w:rPr>
      <w:tab/>
    </w:r>
    <w:r w:rsidR="00EB55BE" w:rsidRPr="00B557EB">
      <w:rPr>
        <w:color w:val="FFFFFF" w:themeColor="background1"/>
      </w:rPr>
      <w:fldChar w:fldCharType="begin"/>
    </w:r>
    <w:r w:rsidR="00EB55BE" w:rsidRPr="00B557EB">
      <w:rPr>
        <w:color w:val="FFFFFF" w:themeColor="background1"/>
      </w:rPr>
      <w:instrText xml:space="preserve"> printdate \@ dd.MM.yy </w:instrText>
    </w:r>
    <w:r w:rsidR="00EB55BE" w:rsidRPr="00B557EB">
      <w:rPr>
        <w:color w:val="FFFFFF" w:themeColor="background1"/>
      </w:rPr>
      <w:fldChar w:fldCharType="separate"/>
    </w:r>
    <w:r w:rsidRPr="00B557EB">
      <w:rPr>
        <w:color w:val="FFFFFF" w:themeColor="background1"/>
      </w:rPr>
      <w:t>00.00.00</w:t>
    </w:r>
    <w:r w:rsidR="00EB55BE" w:rsidRPr="00B557EB">
      <w:rPr>
        <w:color w:val="FFFFFF" w:themeColor="background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  <w:p w:rsidR="000C467B" w:rsidRPr="00B557EB" w:rsidRDefault="00E90DCE" w:rsidP="00D2263F">
    <w:pPr>
      <w:pStyle w:val="Footer"/>
      <w:tabs>
        <w:tab w:val="clear" w:pos="5954"/>
        <w:tab w:val="clear" w:pos="9639"/>
        <w:tab w:val="left" w:pos="7655"/>
        <w:tab w:val="right" w:pos="9498"/>
      </w:tabs>
      <w:rPr>
        <w:color w:val="FFFFFF" w:themeColor="background1"/>
      </w:rPr>
    </w:pPr>
    <w:r w:rsidRPr="00B557EB">
      <w:rPr>
        <w:color w:val="FFFFFF" w:themeColor="background1"/>
      </w:rPr>
      <w:fldChar w:fldCharType="begin"/>
    </w:r>
    <w:r w:rsidRPr="00B557EB">
      <w:rPr>
        <w:color w:val="FFFFFF" w:themeColor="background1"/>
      </w:rPr>
      <w:instrText xml:space="preserve"> FILENAME \p \* MERGEFORMAT </w:instrText>
    </w:r>
    <w:r w:rsidRPr="00B557EB">
      <w:rPr>
        <w:color w:val="FFFFFF" w:themeColor="background1"/>
      </w:rPr>
      <w:fldChar w:fldCharType="separate"/>
    </w:r>
    <w:r w:rsidR="005E5CF4" w:rsidRPr="00B557EB">
      <w:rPr>
        <w:color w:val="FFFFFF" w:themeColor="background1"/>
      </w:rPr>
      <w:t>P:\FRA\SG\CONF-SG\PP14\000\067ADD03F.docx</w:t>
    </w:r>
    <w:r w:rsidRPr="00B557EB">
      <w:rPr>
        <w:color w:val="FFFFFF" w:themeColor="background1"/>
      </w:rPr>
      <w:fldChar w:fldCharType="end"/>
    </w:r>
    <w:r w:rsidR="00EB55BE" w:rsidRPr="00B557EB">
      <w:rPr>
        <w:color w:val="FFFFFF" w:themeColor="background1"/>
      </w:rPr>
      <w:t xml:space="preserve"> (369858)</w:t>
    </w:r>
    <w:r w:rsidR="000C467B" w:rsidRPr="00B557EB">
      <w:rPr>
        <w:color w:val="FFFFFF" w:themeColor="background1"/>
      </w:rPr>
      <w:tab/>
    </w:r>
    <w:r w:rsidR="00575DC7" w:rsidRPr="00B557EB">
      <w:rPr>
        <w:color w:val="FFFFFF" w:themeColor="background1"/>
      </w:rPr>
      <w:fldChar w:fldCharType="begin"/>
    </w:r>
    <w:r w:rsidR="000C467B" w:rsidRPr="00B557EB">
      <w:rPr>
        <w:color w:val="FFFFFF" w:themeColor="background1"/>
      </w:rPr>
      <w:instrText xml:space="preserve"> savedate \@ dd.MM.yy </w:instrText>
    </w:r>
    <w:r w:rsidR="00575DC7" w:rsidRPr="00B557EB">
      <w:rPr>
        <w:color w:val="FFFFFF" w:themeColor="background1"/>
      </w:rPr>
      <w:fldChar w:fldCharType="separate"/>
    </w:r>
    <w:r w:rsidR="00B557EB" w:rsidRPr="00B557EB">
      <w:rPr>
        <w:color w:val="FFFFFF" w:themeColor="background1"/>
      </w:rPr>
      <w:t>07.10.14</w:t>
    </w:r>
    <w:r w:rsidR="00575DC7" w:rsidRPr="00B557EB">
      <w:rPr>
        <w:color w:val="FFFFFF" w:themeColor="background1"/>
      </w:rPr>
      <w:fldChar w:fldCharType="end"/>
    </w:r>
    <w:r w:rsidR="000C467B" w:rsidRPr="00B557EB">
      <w:rPr>
        <w:color w:val="FFFFFF" w:themeColor="background1"/>
      </w:rPr>
      <w:tab/>
    </w:r>
    <w:r w:rsidR="00575DC7" w:rsidRPr="00B557EB">
      <w:rPr>
        <w:color w:val="FFFFFF" w:themeColor="background1"/>
      </w:rPr>
      <w:fldChar w:fldCharType="begin"/>
    </w:r>
    <w:r w:rsidR="000C467B" w:rsidRPr="00B557EB">
      <w:rPr>
        <w:color w:val="FFFFFF" w:themeColor="background1"/>
      </w:rPr>
      <w:instrText xml:space="preserve"> printdate \@ dd.MM.yy </w:instrText>
    </w:r>
    <w:r w:rsidR="00575DC7" w:rsidRPr="00B557EB">
      <w:rPr>
        <w:color w:val="FFFFFF" w:themeColor="background1"/>
      </w:rPr>
      <w:fldChar w:fldCharType="separate"/>
    </w:r>
    <w:r w:rsidR="005E5CF4" w:rsidRPr="00B557EB">
      <w:rPr>
        <w:color w:val="FFFFFF" w:themeColor="background1"/>
      </w:rPr>
      <w:t>00.00.00</w:t>
    </w:r>
    <w:r w:rsidR="00575DC7" w:rsidRPr="00B557EB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DCE" w:rsidRDefault="00E90DCE">
      <w:r>
        <w:t>____________________</w:t>
      </w:r>
    </w:p>
  </w:footnote>
  <w:footnote w:type="continuationSeparator" w:id="0">
    <w:p w:rsidR="00E90DCE" w:rsidRDefault="00E90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7EB" w:rsidRDefault="00B557E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557EB">
      <w:rPr>
        <w:noProof/>
      </w:rPr>
      <w:t>3</w:t>
    </w:r>
    <w:r>
      <w:fldChar w:fldCharType="end"/>
    </w:r>
  </w:p>
  <w:p w:rsidR="00BD1614" w:rsidRDefault="00BD1614" w:rsidP="00BD1614">
    <w:pPr>
      <w:pStyle w:val="Header"/>
    </w:pPr>
    <w:r>
      <w:t>PP14/67(Add.3)-</w:t>
    </w:r>
    <w:r w:rsidRPr="00010B43">
      <w:t>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7EB" w:rsidRDefault="00B557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5C41E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2A49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9C1A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8C17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8AA64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D8E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0D7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BE21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214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BAB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B202A13"/>
    <w:multiLevelType w:val="hybridMultilevel"/>
    <w:tmpl w:val="540482DA"/>
    <w:lvl w:ilvl="0" w:tplc="47E0AA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5E"/>
    <w:rsid w:val="000054D8"/>
    <w:rsid w:val="00060D74"/>
    <w:rsid w:val="00072D5C"/>
    <w:rsid w:val="0008398C"/>
    <w:rsid w:val="00084308"/>
    <w:rsid w:val="000B14B6"/>
    <w:rsid w:val="000C467B"/>
    <w:rsid w:val="000C63EE"/>
    <w:rsid w:val="000D15FB"/>
    <w:rsid w:val="000F58F7"/>
    <w:rsid w:val="001051E4"/>
    <w:rsid w:val="001354EA"/>
    <w:rsid w:val="00136FCE"/>
    <w:rsid w:val="00153BA4"/>
    <w:rsid w:val="001941AD"/>
    <w:rsid w:val="001A0682"/>
    <w:rsid w:val="001B0B3F"/>
    <w:rsid w:val="001B4D8D"/>
    <w:rsid w:val="001D31B2"/>
    <w:rsid w:val="001E1B9B"/>
    <w:rsid w:val="001E2E5A"/>
    <w:rsid w:val="001F6233"/>
    <w:rsid w:val="002355CD"/>
    <w:rsid w:val="00270B2F"/>
    <w:rsid w:val="002A0E1B"/>
    <w:rsid w:val="002C1059"/>
    <w:rsid w:val="002C2F9C"/>
    <w:rsid w:val="002E3DDC"/>
    <w:rsid w:val="00322DEA"/>
    <w:rsid w:val="003A0B7D"/>
    <w:rsid w:val="003A45C2"/>
    <w:rsid w:val="003C4BE2"/>
    <w:rsid w:val="003D147D"/>
    <w:rsid w:val="003D637A"/>
    <w:rsid w:val="00430015"/>
    <w:rsid w:val="004678D0"/>
    <w:rsid w:val="00482954"/>
    <w:rsid w:val="004951C0"/>
    <w:rsid w:val="00524001"/>
    <w:rsid w:val="00564B63"/>
    <w:rsid w:val="00575DC7"/>
    <w:rsid w:val="005836C2"/>
    <w:rsid w:val="005A4EFD"/>
    <w:rsid w:val="005A5ABE"/>
    <w:rsid w:val="005C2ECC"/>
    <w:rsid w:val="005C6744"/>
    <w:rsid w:val="005E419E"/>
    <w:rsid w:val="005E5CF4"/>
    <w:rsid w:val="005F63BD"/>
    <w:rsid w:val="00611CF1"/>
    <w:rsid w:val="006201D9"/>
    <w:rsid w:val="006277DB"/>
    <w:rsid w:val="00635B7B"/>
    <w:rsid w:val="00653953"/>
    <w:rsid w:val="00655B98"/>
    <w:rsid w:val="006710E6"/>
    <w:rsid w:val="00686973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0E42"/>
    <w:rsid w:val="00735F13"/>
    <w:rsid w:val="007717F2"/>
    <w:rsid w:val="00772E3B"/>
    <w:rsid w:val="0078134C"/>
    <w:rsid w:val="007A2156"/>
    <w:rsid w:val="007A5830"/>
    <w:rsid w:val="00801256"/>
    <w:rsid w:val="008703CB"/>
    <w:rsid w:val="008B61AF"/>
    <w:rsid w:val="008B713D"/>
    <w:rsid w:val="008C33C2"/>
    <w:rsid w:val="008C6137"/>
    <w:rsid w:val="008E2DB4"/>
    <w:rsid w:val="00901DD5"/>
    <w:rsid w:val="00905105"/>
    <w:rsid w:val="0090735B"/>
    <w:rsid w:val="00912D5E"/>
    <w:rsid w:val="00934340"/>
    <w:rsid w:val="00956DC7"/>
    <w:rsid w:val="00966CD3"/>
    <w:rsid w:val="00987A20"/>
    <w:rsid w:val="009A0E15"/>
    <w:rsid w:val="009D4037"/>
    <w:rsid w:val="009F0592"/>
    <w:rsid w:val="00A06F4F"/>
    <w:rsid w:val="00A15AEB"/>
    <w:rsid w:val="00A20E72"/>
    <w:rsid w:val="00A246DC"/>
    <w:rsid w:val="00A47BAF"/>
    <w:rsid w:val="00A542D3"/>
    <w:rsid w:val="00A5784F"/>
    <w:rsid w:val="00A8436E"/>
    <w:rsid w:val="00A95B66"/>
    <w:rsid w:val="00AE0667"/>
    <w:rsid w:val="00B112D7"/>
    <w:rsid w:val="00B41E0A"/>
    <w:rsid w:val="00B557EB"/>
    <w:rsid w:val="00B56DE0"/>
    <w:rsid w:val="00B71F12"/>
    <w:rsid w:val="00B741BA"/>
    <w:rsid w:val="00B74887"/>
    <w:rsid w:val="00B96B1E"/>
    <w:rsid w:val="00BB2A6F"/>
    <w:rsid w:val="00BB6695"/>
    <w:rsid w:val="00BD1614"/>
    <w:rsid w:val="00BD4E8C"/>
    <w:rsid w:val="00BD5DA6"/>
    <w:rsid w:val="00BF7D25"/>
    <w:rsid w:val="00C010C0"/>
    <w:rsid w:val="00C40CB5"/>
    <w:rsid w:val="00C54CE6"/>
    <w:rsid w:val="00C575E2"/>
    <w:rsid w:val="00C7368B"/>
    <w:rsid w:val="00C92746"/>
    <w:rsid w:val="00C95659"/>
    <w:rsid w:val="00CC4DC5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443FA"/>
    <w:rsid w:val="00E54FCE"/>
    <w:rsid w:val="00E60DA1"/>
    <w:rsid w:val="00E90DCE"/>
    <w:rsid w:val="00E93D35"/>
    <w:rsid w:val="00EA45DB"/>
    <w:rsid w:val="00EB55BE"/>
    <w:rsid w:val="00ED2CD9"/>
    <w:rsid w:val="00F07DA7"/>
    <w:rsid w:val="00F53B16"/>
    <w:rsid w:val="00F564C1"/>
    <w:rsid w:val="00F77FA2"/>
    <w:rsid w:val="00F8357A"/>
    <w:rsid w:val="00FA1B77"/>
    <w:rsid w:val="00FB4B65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paragraph" w:styleId="ListParagraph">
    <w:name w:val="List Paragraph"/>
    <w:basedOn w:val="Normal"/>
    <w:uiPriority w:val="34"/>
    <w:qFormat/>
    <w:rsid w:val="007A215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BatangChe" w:hAnsi="Times New Roman"/>
      <w:szCs w:val="24"/>
      <w:lang w:val="en-US"/>
    </w:rPr>
  </w:style>
  <w:style w:type="character" w:customStyle="1" w:styleId="CEONormalChar">
    <w:name w:val="CEO_Normal Char"/>
    <w:link w:val="CEONormal"/>
    <w:locked/>
    <w:rsid w:val="007A2156"/>
    <w:rPr>
      <w:rFonts w:ascii="Verdana" w:eastAsia="SimSun" w:hAnsi="Verdana" w:cs="Verdana"/>
      <w:sz w:val="19"/>
      <w:szCs w:val="19"/>
      <w:lang w:val="en-GB"/>
    </w:rPr>
  </w:style>
  <w:style w:type="paragraph" w:customStyle="1" w:styleId="CEONormal">
    <w:name w:val="CEO_Normal"/>
    <w:link w:val="CEONormalChar"/>
    <w:rsid w:val="007A2156"/>
    <w:pPr>
      <w:spacing w:before="120" w:after="120"/>
    </w:pPr>
    <w:rPr>
      <w:rFonts w:ascii="Verdana" w:eastAsia="SimSun" w:hAnsi="Verdana" w:cs="Verdana"/>
      <w:sz w:val="19"/>
      <w:szCs w:val="19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858acc7c-5937-4db9-bc4a-669a7e0f6fc3" targetNamespace="http://schemas.microsoft.com/office/2006/metadata/properties" ma:root="true" ma:fieldsID="d41af5c836d734370eb92e7ee5f83852" ns2:_="" ns3:_="">
    <xsd:import namespace="996b2e75-67fd-4955-a3b0-5ab9934cb50b"/>
    <xsd:import namespace="858acc7c-5937-4db9-bc4a-669a7e0f6fc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acc7c-5937-4db9-bc4a-669a7e0f6fc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858acc7c-5937-4db9-bc4a-669a7e0f6fc3">Documents Proposals Manager (DPM)</DPM_x0020_Author>
    <DPM_x0020_File_x0020_name xmlns="858acc7c-5937-4db9-bc4a-669a7e0f6fc3">S14-PP-C-0067!A3!MSW-F</DPM_x0020_File_x0020_name>
    <DPM_x0020_Version xmlns="858acc7c-5937-4db9-bc4a-669a7e0f6fc3">DPM_v1.0.0.0_test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858acc7c-5937-4db9-bc4a-669a7e0f6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858acc7c-5937-4db9-bc4a-669a7e0f6fc3"/>
  </ds:schemaRefs>
</ds:datastoreItem>
</file>

<file path=customXml/itemProps3.xml><?xml version="1.0" encoding="utf-8"?>
<ds:datastoreItem xmlns:ds="http://schemas.openxmlformats.org/officeDocument/2006/customXml" ds:itemID="{50BD23F5-D803-41A8-84DC-33588DE62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S14-PP-C-0067!A3!MSW-F</vt:lpstr>
    </vt:vector>
  </TitlesOfParts>
  <Manager/>
  <Company/>
  <LinksUpToDate>false</LinksUpToDate>
  <CharactersWithSpaces>4240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S14-PP-C-0067!A3!MSW-F</dc:title>
  <dc:subject>Plenipotentiary Conference (PP-14)</dc:subject>
  <dc:creator/>
  <cp:keywords>DPM_v1.0.0.0_test</cp:keywords>
  <dc:description/>
  <cp:lastModifiedBy/>
  <cp:revision>1</cp:revision>
  <dcterms:created xsi:type="dcterms:W3CDTF">2014-10-03T13:30:00Z</dcterms:created>
  <dcterms:modified xsi:type="dcterms:W3CDTF">2014-10-09T13:15:00Z</dcterms:modified>
  <cp:category>Conference document</cp:category>
</cp:coreProperties>
</file>