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7258E8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7258E8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7258E8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7258E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7258E8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C710E5" w:rsidRPr="007F0374" w:rsidRDefault="00811D55" w:rsidP="007258E8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FF4B3F">
              <w:rPr>
                <w:rFonts w:cstheme="minorHAnsi"/>
                <w:b/>
                <w:szCs w:val="24"/>
              </w:rPr>
              <w:t xml:space="preserve"> 69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FF4B3F" w:rsidP="007258E8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9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/>
                <w:b/>
                <w:bCs/>
                <w:szCs w:val="24"/>
              </w:rPr>
              <w:t>18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7258E8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7258E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FF4B3F" w:rsidP="007258E8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lang w:eastAsia="zh-CN"/>
              </w:rPr>
              <w:t>非洲电信联盟各</w:t>
            </w:r>
            <w:r w:rsidRPr="000273B7">
              <w:rPr>
                <w:lang w:eastAsia="zh-CN"/>
              </w:rPr>
              <w:t>主管部门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FF4B3F" w:rsidP="007258E8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有关大会工作的非洲共同提案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C710E5" w:rsidRDefault="00FF4B3F" w:rsidP="007258E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下表列出了</w:t>
      </w:r>
      <w:r w:rsidR="007075E6">
        <w:rPr>
          <w:rFonts w:hint="eastAsia"/>
          <w:lang w:val="en-US" w:eastAsia="zh-CN"/>
        </w:rPr>
        <w:t>非洲电信</w:t>
      </w:r>
      <w:r w:rsidR="007075E6">
        <w:rPr>
          <w:lang w:val="en-US" w:eastAsia="zh-CN"/>
        </w:rPr>
        <w:t>联盟</w:t>
      </w:r>
      <w:r w:rsidR="007075E6">
        <w:rPr>
          <w:rFonts w:hint="eastAsia"/>
          <w:lang w:val="en-US" w:eastAsia="zh-CN"/>
        </w:rPr>
        <w:t>提交国际</w:t>
      </w:r>
      <w:r w:rsidR="007075E6">
        <w:rPr>
          <w:lang w:val="en-US" w:eastAsia="zh-CN"/>
        </w:rPr>
        <w:t>电联</w:t>
      </w:r>
      <w:r w:rsidR="007075E6">
        <w:rPr>
          <w:rFonts w:hint="eastAsia"/>
          <w:lang w:val="en-US" w:eastAsia="zh-CN"/>
        </w:rPr>
        <w:t>PP-14</w:t>
      </w:r>
      <w:r w:rsidR="007075E6">
        <w:rPr>
          <w:rFonts w:hint="eastAsia"/>
          <w:lang w:val="en-US" w:eastAsia="zh-CN"/>
        </w:rPr>
        <w:t>的提案</w:t>
      </w:r>
      <w:r w:rsidR="007075E6">
        <w:rPr>
          <w:lang w:val="en-US" w:eastAsia="zh-CN"/>
        </w:rPr>
        <w:t>以及</w:t>
      </w:r>
      <w:r w:rsidR="007075E6">
        <w:rPr>
          <w:rFonts w:hint="eastAsia"/>
          <w:lang w:val="en-US" w:eastAsia="zh-CN"/>
        </w:rPr>
        <w:t>支持非洲共同提案的各</w:t>
      </w:r>
      <w:r w:rsidR="008F15CA">
        <w:rPr>
          <w:rFonts w:hint="eastAsia"/>
          <w:lang w:val="en-US" w:eastAsia="zh-CN"/>
        </w:rPr>
        <w:t>主管部门</w:t>
      </w:r>
      <w:r w:rsidR="007075E6">
        <w:rPr>
          <w:rFonts w:hint="eastAsia"/>
          <w:lang w:val="en-US" w:eastAsia="zh-CN"/>
        </w:rPr>
        <w:t>名单</w:t>
      </w:r>
      <w:r w:rsidR="008F15CA">
        <w:rPr>
          <w:rFonts w:hint="eastAsia"/>
          <w:lang w:val="en-US" w:eastAsia="zh-CN"/>
        </w:rPr>
        <w:t>：</w:t>
      </w:r>
    </w:p>
    <w:p w:rsidR="00FF4B3F" w:rsidRDefault="00FF4B3F" w:rsidP="007258E8">
      <w:pPr>
        <w:rPr>
          <w:lang w:eastAsia="zh-CN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122"/>
        <w:gridCol w:w="7938"/>
      </w:tblGrid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</w:t>
            </w:r>
          </w:p>
        </w:tc>
        <w:tc>
          <w:tcPr>
            <w:tcW w:w="7938" w:type="dxa"/>
          </w:tcPr>
          <w:p w:rsidR="00FF4B3F" w:rsidRDefault="00B24F79" w:rsidP="007258E8">
            <w:pPr>
              <w:rPr>
                <w:lang w:eastAsia="zh-CN"/>
              </w:rPr>
            </w:pPr>
            <w:r>
              <w:rPr>
                <w:lang w:eastAsia="zh-CN"/>
              </w:rPr>
              <w:t>(MOD)</w:t>
            </w:r>
            <w:r>
              <w:rPr>
                <w:rFonts w:hint="eastAsia"/>
                <w:lang w:eastAsia="zh-CN"/>
              </w:rPr>
              <w:t>：</w:t>
            </w:r>
            <w:r w:rsidR="008F15CA">
              <w:rPr>
                <w:rFonts w:hint="eastAsia"/>
                <w:lang w:eastAsia="zh-CN"/>
              </w:rPr>
              <w:t>《</w:t>
            </w:r>
            <w:r w:rsidR="008F15CA">
              <w:rPr>
                <w:lang w:eastAsia="zh-CN"/>
              </w:rPr>
              <w:t>公约》第</w:t>
            </w:r>
            <w:r w:rsidR="008F15CA">
              <w:rPr>
                <w:rFonts w:hint="eastAsia"/>
                <w:lang w:eastAsia="zh-CN"/>
              </w:rPr>
              <w:t>36</w:t>
            </w:r>
            <w:r w:rsidR="008F15CA">
              <w:rPr>
                <w:rFonts w:hint="eastAsia"/>
                <w:lang w:eastAsia="zh-CN"/>
              </w:rPr>
              <w:t>条</w:t>
            </w:r>
            <w:r w:rsidR="007075E6">
              <w:rPr>
                <w:rFonts w:hint="eastAsia"/>
                <w:lang w:eastAsia="zh-CN"/>
              </w:rPr>
              <w:t>的</w:t>
            </w:r>
            <w:r w:rsidR="007075E6">
              <w:rPr>
                <w:lang w:eastAsia="zh-CN"/>
              </w:rPr>
              <w:t>编辑性修改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/2</w:t>
            </w:r>
          </w:p>
        </w:tc>
        <w:tc>
          <w:tcPr>
            <w:tcW w:w="7938" w:type="dxa"/>
          </w:tcPr>
          <w:p w:rsidR="00FF4B3F" w:rsidRDefault="00B24F79" w:rsidP="007258E8">
            <w:pPr>
              <w:rPr>
                <w:lang w:eastAsia="zh-CN"/>
              </w:rPr>
            </w:pPr>
            <w:r>
              <w:rPr>
                <w:lang w:eastAsia="zh-CN"/>
              </w:rPr>
              <w:t>(MOD)</w:t>
            </w:r>
            <w:r>
              <w:rPr>
                <w:rFonts w:hint="eastAsia"/>
                <w:lang w:eastAsia="zh-CN"/>
              </w:rPr>
              <w:t>：</w:t>
            </w:r>
            <w:r w:rsidR="008F15CA">
              <w:rPr>
                <w:rFonts w:hint="eastAsia"/>
                <w:lang w:eastAsia="zh-CN"/>
              </w:rPr>
              <w:t>《公约》</w:t>
            </w:r>
            <w:r w:rsidR="008F15CA">
              <w:rPr>
                <w:lang w:eastAsia="zh-CN"/>
              </w:rPr>
              <w:t>第</w:t>
            </w:r>
            <w:r w:rsidR="008F15CA">
              <w:rPr>
                <w:rFonts w:hint="eastAsia"/>
                <w:lang w:eastAsia="zh-CN"/>
              </w:rPr>
              <w:t>496</w:t>
            </w:r>
            <w:r w:rsidR="008F15CA">
              <w:rPr>
                <w:rFonts w:hint="eastAsia"/>
                <w:lang w:eastAsia="zh-CN"/>
              </w:rPr>
              <w:t>款</w:t>
            </w:r>
            <w:r w:rsidR="007075E6">
              <w:rPr>
                <w:rFonts w:hint="eastAsia"/>
                <w:lang w:eastAsia="zh-CN"/>
              </w:rPr>
              <w:t>的</w:t>
            </w:r>
            <w:r w:rsidR="007075E6">
              <w:rPr>
                <w:lang w:eastAsia="zh-CN"/>
              </w:rPr>
              <w:t>编辑性修改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/3</w:t>
            </w:r>
          </w:p>
        </w:tc>
        <w:tc>
          <w:tcPr>
            <w:tcW w:w="7938" w:type="dxa"/>
          </w:tcPr>
          <w:p w:rsidR="00FF4B3F" w:rsidRDefault="00B24F79" w:rsidP="007258E8">
            <w:pPr>
              <w:rPr>
                <w:lang w:eastAsia="zh-CN"/>
              </w:rPr>
            </w:pPr>
            <w:r>
              <w:rPr>
                <w:lang w:eastAsia="zh-CN"/>
              </w:rPr>
              <w:t>(MOD)</w:t>
            </w:r>
            <w:r>
              <w:rPr>
                <w:rFonts w:hint="eastAsia"/>
                <w:lang w:eastAsia="zh-CN"/>
              </w:rPr>
              <w:t>：</w:t>
            </w:r>
            <w:r w:rsidR="008F15CA">
              <w:rPr>
                <w:rFonts w:hint="eastAsia"/>
                <w:lang w:eastAsia="zh-CN"/>
              </w:rPr>
              <w:t>《公约》</w:t>
            </w:r>
            <w:r w:rsidR="008F15CA">
              <w:rPr>
                <w:lang w:eastAsia="zh-CN"/>
              </w:rPr>
              <w:t>第</w:t>
            </w:r>
            <w:r w:rsidR="008F15CA">
              <w:rPr>
                <w:lang w:eastAsia="zh-CN"/>
              </w:rPr>
              <w:t>500</w:t>
            </w:r>
            <w:r w:rsidR="008F15CA">
              <w:rPr>
                <w:rFonts w:hint="eastAsia"/>
                <w:lang w:eastAsia="zh-CN"/>
              </w:rPr>
              <w:t>款</w:t>
            </w:r>
            <w:r w:rsidR="007075E6">
              <w:rPr>
                <w:rFonts w:hint="eastAsia"/>
                <w:lang w:eastAsia="zh-CN"/>
              </w:rPr>
              <w:t>的</w:t>
            </w:r>
            <w:r w:rsidR="007075E6">
              <w:rPr>
                <w:lang w:eastAsia="zh-CN"/>
              </w:rPr>
              <w:t>编辑性修改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/4</w:t>
            </w:r>
          </w:p>
        </w:tc>
        <w:tc>
          <w:tcPr>
            <w:tcW w:w="7938" w:type="dxa"/>
          </w:tcPr>
          <w:p w:rsidR="00FF4B3F" w:rsidRDefault="007376C5" w:rsidP="007258E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MOD </w:t>
            </w:r>
            <w:r w:rsidR="00226275">
              <w:rPr>
                <w:rFonts w:hint="eastAsia"/>
                <w:lang w:eastAsia="zh-CN"/>
              </w:rPr>
              <w:t>修改</w:t>
            </w:r>
            <w:r w:rsidR="008F15CA">
              <w:rPr>
                <w:rFonts w:hint="eastAsia"/>
                <w:lang w:eastAsia="zh-CN"/>
              </w:rPr>
              <w:t>第</w:t>
            </w:r>
            <w:r w:rsidR="008F15CA">
              <w:rPr>
                <w:rFonts w:hint="eastAsia"/>
                <w:lang w:eastAsia="zh-CN"/>
              </w:rPr>
              <w:t>12</w:t>
            </w:r>
            <w:r w:rsidR="008F15CA">
              <w:rPr>
                <w:rFonts w:hint="eastAsia"/>
                <w:lang w:eastAsia="zh-CN"/>
              </w:rPr>
              <w:t>号决定</w:t>
            </w:r>
            <w:r w:rsidR="008F15CA">
              <w:rPr>
                <w:lang w:eastAsia="zh-CN"/>
              </w:rPr>
              <w:t>（</w:t>
            </w:r>
            <w:r w:rsidR="008F15CA">
              <w:rPr>
                <w:rFonts w:hint="eastAsia"/>
                <w:lang w:eastAsia="zh-CN"/>
              </w:rPr>
              <w:t>2010</w:t>
            </w:r>
            <w:r w:rsidR="008F15CA">
              <w:rPr>
                <w:rFonts w:hint="eastAsia"/>
                <w:lang w:eastAsia="zh-CN"/>
              </w:rPr>
              <w:t>年</w:t>
            </w:r>
            <w:r w:rsidR="008F15CA">
              <w:rPr>
                <w:lang w:eastAsia="zh-CN"/>
              </w:rPr>
              <w:t>，瓜达拉哈拉）：</w:t>
            </w:r>
            <w:r w:rsidR="006E708A" w:rsidRPr="006E708A">
              <w:rPr>
                <w:rFonts w:hint="eastAsia"/>
                <w:lang w:eastAsia="zh-CN"/>
              </w:rPr>
              <w:t>国际电联出版物的免费在线获取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/5</w:t>
            </w:r>
          </w:p>
        </w:tc>
        <w:tc>
          <w:tcPr>
            <w:tcW w:w="7938" w:type="dxa"/>
          </w:tcPr>
          <w:p w:rsidR="00FF4B3F" w:rsidRDefault="007376C5" w:rsidP="007258E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MOD </w:t>
            </w:r>
            <w:r w:rsidR="00226275">
              <w:rPr>
                <w:rFonts w:hint="eastAsia"/>
                <w:lang w:eastAsia="zh-CN"/>
              </w:rPr>
              <w:t>修改</w:t>
            </w:r>
            <w:r w:rsidR="006E708A" w:rsidRPr="006E708A">
              <w:rPr>
                <w:rFonts w:hint="eastAsia"/>
                <w:lang w:eastAsia="zh-CN"/>
              </w:rPr>
              <w:t>第</w:t>
            </w:r>
            <w:r w:rsidR="006E708A">
              <w:rPr>
                <w:rFonts w:hint="eastAsia"/>
                <w:lang w:eastAsia="zh-CN"/>
              </w:rPr>
              <w:t>21</w:t>
            </w:r>
            <w:r w:rsidR="006E708A" w:rsidRPr="006E708A">
              <w:rPr>
                <w:rFonts w:hint="eastAsia"/>
                <w:lang w:eastAsia="zh-CN"/>
              </w:rPr>
              <w:t>号决议（</w:t>
            </w:r>
            <w:r w:rsidR="006E708A" w:rsidRPr="006E708A">
              <w:rPr>
                <w:rFonts w:hint="eastAsia"/>
                <w:lang w:eastAsia="zh-CN"/>
              </w:rPr>
              <w:t>2006</w:t>
            </w:r>
            <w:r w:rsidR="006E708A" w:rsidRPr="006E708A">
              <w:rPr>
                <w:rFonts w:hint="eastAsia"/>
                <w:lang w:eastAsia="zh-CN"/>
              </w:rPr>
              <w:t>年，安塔利亚，修订版）</w:t>
            </w:r>
            <w:r w:rsidR="006E708A">
              <w:rPr>
                <w:rFonts w:hint="eastAsia"/>
                <w:lang w:eastAsia="zh-CN"/>
              </w:rPr>
              <w:t>：</w:t>
            </w:r>
            <w:r w:rsidR="006E708A" w:rsidRPr="00B00E04">
              <w:rPr>
                <w:rFonts w:hint="eastAsia"/>
                <w:lang w:eastAsia="zh-CN"/>
              </w:rPr>
              <w:t>关于国际电信网络上迂回呼叫程序的特别措施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/6</w:t>
            </w:r>
          </w:p>
        </w:tc>
        <w:tc>
          <w:tcPr>
            <w:tcW w:w="7938" w:type="dxa"/>
          </w:tcPr>
          <w:p w:rsidR="00FF4B3F" w:rsidRDefault="00FF4B3F" w:rsidP="007258E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MOD </w:t>
            </w:r>
            <w:r w:rsidR="00226275">
              <w:rPr>
                <w:rFonts w:hint="eastAsia"/>
                <w:lang w:eastAsia="zh-CN"/>
              </w:rPr>
              <w:t>修改</w:t>
            </w:r>
            <w:r w:rsidR="006E708A" w:rsidRPr="00D32659">
              <w:rPr>
                <w:rStyle w:val="href"/>
                <w:rFonts w:hint="eastAsia"/>
                <w:lang w:eastAsia="zh-CN"/>
              </w:rPr>
              <w:t>第</w:t>
            </w:r>
            <w:r w:rsidR="006E708A" w:rsidRPr="00D32659">
              <w:rPr>
                <w:rStyle w:val="href"/>
                <w:lang w:eastAsia="zh-CN"/>
              </w:rPr>
              <w:t>64</w:t>
            </w:r>
            <w:r w:rsidR="006E708A" w:rsidRPr="00D32659">
              <w:rPr>
                <w:rStyle w:val="href"/>
                <w:rFonts w:hint="eastAsia"/>
                <w:lang w:eastAsia="zh-CN"/>
              </w:rPr>
              <w:t>号决议</w:t>
            </w:r>
            <w:r w:rsidR="006E708A" w:rsidRPr="00521E54">
              <w:rPr>
                <w:rFonts w:hint="eastAsia"/>
                <w:lang w:eastAsia="zh-CN"/>
              </w:rPr>
              <w:t>（</w:t>
            </w:r>
            <w:r w:rsidR="006E708A" w:rsidRPr="00521E54">
              <w:rPr>
                <w:rFonts w:hint="eastAsia"/>
                <w:lang w:eastAsia="zh-CN"/>
              </w:rPr>
              <w:t>2010</w:t>
            </w:r>
            <w:r w:rsidR="006E708A" w:rsidRPr="00521E54">
              <w:rPr>
                <w:rFonts w:hint="eastAsia"/>
                <w:lang w:eastAsia="zh-CN"/>
              </w:rPr>
              <w:t>年，瓜达拉哈拉，修订版）</w:t>
            </w:r>
            <w:r w:rsidR="006E708A">
              <w:rPr>
                <w:rFonts w:hint="eastAsia"/>
                <w:lang w:eastAsia="zh-CN"/>
              </w:rPr>
              <w:t>：</w:t>
            </w:r>
            <w:r w:rsidR="006E708A" w:rsidRPr="004A4EB5">
              <w:rPr>
                <w:rFonts w:hint="eastAsia"/>
                <w:lang w:eastAsia="zh-CN"/>
              </w:rPr>
              <w:t>不受歧视地</w:t>
            </w:r>
            <w:r w:rsidR="006E708A">
              <w:rPr>
                <w:rFonts w:hint="eastAsia"/>
                <w:lang w:eastAsia="zh-CN"/>
              </w:rPr>
              <w:t>获取</w:t>
            </w:r>
            <w:r w:rsidR="006E708A" w:rsidRPr="004A4EB5">
              <w:rPr>
                <w:rFonts w:hint="eastAsia"/>
                <w:lang w:eastAsia="zh-CN"/>
              </w:rPr>
              <w:t>现代电信</w:t>
            </w:r>
            <w:r w:rsidR="006E708A" w:rsidRPr="004A4EB5">
              <w:rPr>
                <w:rFonts w:hint="eastAsia"/>
                <w:lang w:eastAsia="zh-CN"/>
              </w:rPr>
              <w:t>/</w:t>
            </w:r>
            <w:r w:rsidR="006E708A" w:rsidRPr="004A4EB5">
              <w:rPr>
                <w:rFonts w:hint="eastAsia"/>
                <w:lang w:eastAsia="zh-CN"/>
              </w:rPr>
              <w:t>信息通信技术设施</w:t>
            </w:r>
            <w:r w:rsidR="006E708A">
              <w:rPr>
                <w:rFonts w:hint="eastAsia"/>
                <w:lang w:eastAsia="zh-CN"/>
              </w:rPr>
              <w:t>、</w:t>
            </w:r>
            <w:r w:rsidR="006E708A" w:rsidRPr="004A4EB5">
              <w:rPr>
                <w:rFonts w:hint="eastAsia"/>
                <w:lang w:eastAsia="zh-CN"/>
              </w:rPr>
              <w:t>服务</w:t>
            </w:r>
            <w:r w:rsidR="006E708A">
              <w:rPr>
                <w:rFonts w:hint="eastAsia"/>
                <w:lang w:eastAsia="zh-CN"/>
              </w:rPr>
              <w:t>和应用，其中包括应用研究与根据相互约定的条件进行</w:t>
            </w:r>
            <w:r w:rsidR="006E708A" w:rsidRPr="004A4EB5">
              <w:rPr>
                <w:rFonts w:hint="eastAsia"/>
                <w:lang w:eastAsia="zh-CN"/>
              </w:rPr>
              <w:t>技术转让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/7</w:t>
            </w:r>
          </w:p>
        </w:tc>
        <w:tc>
          <w:tcPr>
            <w:tcW w:w="7938" w:type="dxa"/>
          </w:tcPr>
          <w:p w:rsidR="00FF4B3F" w:rsidRDefault="00FF4B3F" w:rsidP="007258E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MOD </w:t>
            </w:r>
            <w:r w:rsidR="00226275">
              <w:rPr>
                <w:rFonts w:hint="eastAsia"/>
                <w:lang w:eastAsia="zh-CN"/>
              </w:rPr>
              <w:t>修改</w:t>
            </w:r>
            <w:r w:rsidR="00E966CC" w:rsidRPr="00D32659">
              <w:rPr>
                <w:rStyle w:val="href"/>
                <w:rFonts w:hint="eastAsia"/>
                <w:lang w:eastAsia="zh-CN"/>
              </w:rPr>
              <w:t>第</w:t>
            </w:r>
            <w:r w:rsidR="00E966CC">
              <w:rPr>
                <w:rStyle w:val="href"/>
                <w:lang w:eastAsia="zh-CN"/>
              </w:rPr>
              <w:t>70</w:t>
            </w:r>
            <w:r w:rsidR="00E966CC" w:rsidRPr="00D32659">
              <w:rPr>
                <w:rStyle w:val="href"/>
                <w:rFonts w:hint="eastAsia"/>
                <w:lang w:eastAsia="zh-CN"/>
              </w:rPr>
              <w:t>号决议</w:t>
            </w:r>
            <w:r w:rsidR="00E966CC" w:rsidRPr="00521E54">
              <w:rPr>
                <w:rFonts w:hint="eastAsia"/>
                <w:lang w:eastAsia="zh-CN"/>
              </w:rPr>
              <w:t>（</w:t>
            </w:r>
            <w:r w:rsidR="00E966CC" w:rsidRPr="00521E54">
              <w:rPr>
                <w:rFonts w:hint="eastAsia"/>
                <w:lang w:eastAsia="zh-CN"/>
              </w:rPr>
              <w:t>2010</w:t>
            </w:r>
            <w:r w:rsidR="00E966CC" w:rsidRPr="00521E54">
              <w:rPr>
                <w:rFonts w:hint="eastAsia"/>
                <w:lang w:eastAsia="zh-CN"/>
              </w:rPr>
              <w:t>年，瓜达拉哈拉，修订版）</w:t>
            </w:r>
            <w:r w:rsidR="00063FA8">
              <w:rPr>
                <w:rFonts w:hint="eastAsia"/>
                <w:lang w:eastAsia="zh-CN"/>
              </w:rPr>
              <w:t>：</w:t>
            </w:r>
            <w:r w:rsidR="00E966CC" w:rsidRPr="006B0571">
              <w:rPr>
                <w:rFonts w:hint="eastAsia"/>
                <w:lang w:eastAsia="zh-CN"/>
              </w:rPr>
              <w:t>将性别平等观点纳入国际电联工作、促进性别平等并通过信息通信技术赋予妇女权</w:t>
            </w:r>
            <w:r w:rsidR="00E966CC">
              <w:rPr>
                <w:rFonts w:hint="eastAsia"/>
                <w:lang w:eastAsia="zh-CN"/>
              </w:rPr>
              <w:t>力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/8</w:t>
            </w:r>
          </w:p>
        </w:tc>
        <w:tc>
          <w:tcPr>
            <w:tcW w:w="7938" w:type="dxa"/>
          </w:tcPr>
          <w:p w:rsidR="00FF4B3F" w:rsidRDefault="00FF4B3F" w:rsidP="007258E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MOD </w:t>
            </w:r>
            <w:r w:rsidR="00226275">
              <w:rPr>
                <w:rFonts w:hint="eastAsia"/>
                <w:lang w:eastAsia="zh-CN"/>
              </w:rPr>
              <w:t>修改</w:t>
            </w:r>
            <w:r w:rsidR="00E966CC" w:rsidRPr="00D32659">
              <w:rPr>
                <w:rStyle w:val="href"/>
                <w:rFonts w:hint="eastAsia"/>
                <w:lang w:eastAsia="zh-CN"/>
              </w:rPr>
              <w:t>第</w:t>
            </w:r>
            <w:r w:rsidR="00E966CC">
              <w:rPr>
                <w:rStyle w:val="href"/>
                <w:lang w:eastAsia="zh-CN"/>
              </w:rPr>
              <w:t>139</w:t>
            </w:r>
            <w:r w:rsidR="00E966CC" w:rsidRPr="00D32659">
              <w:rPr>
                <w:rStyle w:val="href"/>
                <w:rFonts w:hint="eastAsia"/>
                <w:lang w:eastAsia="zh-CN"/>
              </w:rPr>
              <w:t>号决议</w:t>
            </w:r>
            <w:r w:rsidR="00E966CC" w:rsidRPr="00521E54">
              <w:rPr>
                <w:rFonts w:hint="eastAsia"/>
                <w:lang w:eastAsia="zh-CN"/>
              </w:rPr>
              <w:t>（</w:t>
            </w:r>
            <w:r w:rsidR="00E966CC" w:rsidRPr="00521E54">
              <w:rPr>
                <w:rFonts w:hint="eastAsia"/>
                <w:lang w:eastAsia="zh-CN"/>
              </w:rPr>
              <w:t>2010</w:t>
            </w:r>
            <w:r w:rsidR="00E966CC" w:rsidRPr="00521E54">
              <w:rPr>
                <w:rFonts w:hint="eastAsia"/>
                <w:lang w:eastAsia="zh-CN"/>
              </w:rPr>
              <w:t>年，瓜达拉哈拉，修订版）</w:t>
            </w:r>
            <w:r w:rsidR="00E966CC">
              <w:rPr>
                <w:rFonts w:hint="eastAsia"/>
                <w:lang w:eastAsia="zh-CN"/>
              </w:rPr>
              <w:t>：</w:t>
            </w:r>
            <w:r w:rsidR="00E966CC" w:rsidRPr="008237C9">
              <w:rPr>
                <w:rFonts w:hint="eastAsia"/>
                <w:lang w:eastAsia="zh-CN"/>
              </w:rPr>
              <w:t>通过电信</w:t>
            </w:r>
            <w:r w:rsidR="00E966CC" w:rsidRPr="008237C9">
              <w:rPr>
                <w:lang w:eastAsia="zh-CN"/>
              </w:rPr>
              <w:t>/</w:t>
            </w:r>
            <w:r w:rsidR="00E966CC" w:rsidRPr="008237C9">
              <w:rPr>
                <w:rFonts w:hint="eastAsia"/>
                <w:lang w:eastAsia="zh-CN"/>
              </w:rPr>
              <w:t>信息通信技术弥合数字鸿沟</w:t>
            </w:r>
            <w:r w:rsidR="00E966CC">
              <w:rPr>
                <w:rFonts w:hint="eastAsia"/>
                <w:lang w:eastAsia="zh-CN"/>
              </w:rPr>
              <w:t>并建设</w:t>
            </w:r>
            <w:r w:rsidR="00E966CC" w:rsidRPr="008237C9">
              <w:rPr>
                <w:rFonts w:hint="eastAsia"/>
                <w:lang w:eastAsia="zh-CN"/>
              </w:rPr>
              <w:t>包容性信息社会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/9</w:t>
            </w:r>
          </w:p>
        </w:tc>
        <w:tc>
          <w:tcPr>
            <w:tcW w:w="7938" w:type="dxa"/>
          </w:tcPr>
          <w:p w:rsidR="00FF4B3F" w:rsidRDefault="007376C5" w:rsidP="007258E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MOD </w:t>
            </w:r>
            <w:r w:rsidR="00226275">
              <w:rPr>
                <w:rFonts w:hint="eastAsia"/>
                <w:lang w:eastAsia="zh-CN"/>
              </w:rPr>
              <w:t>修改</w:t>
            </w:r>
            <w:r w:rsidR="00E966CC" w:rsidRPr="006E708A">
              <w:rPr>
                <w:rFonts w:hint="eastAsia"/>
                <w:lang w:eastAsia="zh-CN"/>
              </w:rPr>
              <w:t>第</w:t>
            </w:r>
            <w:r w:rsidR="00E966CC">
              <w:rPr>
                <w:lang w:eastAsia="zh-CN"/>
              </w:rPr>
              <w:t>146</w:t>
            </w:r>
            <w:r w:rsidR="00E966CC" w:rsidRPr="006E708A">
              <w:rPr>
                <w:rFonts w:hint="eastAsia"/>
                <w:lang w:eastAsia="zh-CN"/>
              </w:rPr>
              <w:t>号决议（</w:t>
            </w:r>
            <w:r w:rsidR="00E966CC" w:rsidRPr="006E708A">
              <w:rPr>
                <w:rFonts w:hint="eastAsia"/>
                <w:lang w:eastAsia="zh-CN"/>
              </w:rPr>
              <w:t>2006</w:t>
            </w:r>
            <w:r w:rsidR="00E966CC" w:rsidRPr="006E708A">
              <w:rPr>
                <w:rFonts w:hint="eastAsia"/>
                <w:lang w:eastAsia="zh-CN"/>
              </w:rPr>
              <w:t>年，安塔利亚）</w:t>
            </w:r>
            <w:r w:rsidR="00E966CC">
              <w:rPr>
                <w:rFonts w:hint="eastAsia"/>
                <w:lang w:eastAsia="zh-CN"/>
              </w:rPr>
              <w:t>：</w:t>
            </w:r>
            <w:r w:rsidR="00E966CC" w:rsidRPr="006C7CCC">
              <w:rPr>
                <w:rFonts w:hint="eastAsia"/>
                <w:lang w:eastAsia="zh-CN"/>
              </w:rPr>
              <w:t>《国际电信规则》的审议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/10</w:t>
            </w:r>
          </w:p>
        </w:tc>
        <w:tc>
          <w:tcPr>
            <w:tcW w:w="7938" w:type="dxa"/>
          </w:tcPr>
          <w:p w:rsidR="00FF4B3F" w:rsidRDefault="00FF4B3F" w:rsidP="007258E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SUP </w:t>
            </w:r>
            <w:r w:rsidR="00226275">
              <w:rPr>
                <w:rFonts w:hint="eastAsia"/>
                <w:lang w:eastAsia="zh-CN"/>
              </w:rPr>
              <w:t>删除</w:t>
            </w:r>
            <w:r w:rsidR="00E966CC" w:rsidRPr="00D32659">
              <w:rPr>
                <w:rStyle w:val="href"/>
                <w:rFonts w:hint="eastAsia"/>
                <w:lang w:eastAsia="zh-CN"/>
              </w:rPr>
              <w:t>第</w:t>
            </w:r>
            <w:r w:rsidR="00E966CC">
              <w:rPr>
                <w:rStyle w:val="href"/>
                <w:lang w:eastAsia="zh-CN"/>
              </w:rPr>
              <w:t>163</w:t>
            </w:r>
            <w:r w:rsidR="00E966CC" w:rsidRPr="00D32659">
              <w:rPr>
                <w:rStyle w:val="href"/>
                <w:rFonts w:hint="eastAsia"/>
                <w:lang w:eastAsia="zh-CN"/>
              </w:rPr>
              <w:t>号决议</w:t>
            </w:r>
            <w:r w:rsidR="00E966CC" w:rsidRPr="00521E54">
              <w:rPr>
                <w:rFonts w:hint="eastAsia"/>
                <w:lang w:eastAsia="zh-CN"/>
              </w:rPr>
              <w:t>（</w:t>
            </w:r>
            <w:r w:rsidR="00E966CC" w:rsidRPr="00521E54">
              <w:rPr>
                <w:rFonts w:hint="eastAsia"/>
                <w:lang w:eastAsia="zh-CN"/>
              </w:rPr>
              <w:t>2010</w:t>
            </w:r>
            <w:r w:rsidR="00E966CC" w:rsidRPr="00521E54">
              <w:rPr>
                <w:rFonts w:hint="eastAsia"/>
                <w:lang w:eastAsia="zh-CN"/>
              </w:rPr>
              <w:t>年，瓜达拉哈拉）</w:t>
            </w:r>
            <w:r w:rsidR="00E966CC">
              <w:rPr>
                <w:rFonts w:hint="eastAsia"/>
                <w:lang w:eastAsia="zh-CN"/>
              </w:rPr>
              <w:t>：成立负责制定稳定的国际电联《组织法》的理事会工作组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lastRenderedPageBreak/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/11</w:t>
            </w:r>
          </w:p>
        </w:tc>
        <w:tc>
          <w:tcPr>
            <w:tcW w:w="7938" w:type="dxa"/>
          </w:tcPr>
          <w:p w:rsidR="00FF4B3F" w:rsidRDefault="00FF4B3F" w:rsidP="007258E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MOD </w:t>
            </w:r>
            <w:r w:rsidR="00226275">
              <w:rPr>
                <w:rFonts w:hint="eastAsia"/>
                <w:lang w:eastAsia="zh-CN"/>
              </w:rPr>
              <w:t>修改</w:t>
            </w:r>
            <w:r w:rsidR="00E966CC" w:rsidRPr="00D32659">
              <w:rPr>
                <w:rStyle w:val="href"/>
                <w:rFonts w:hint="eastAsia"/>
                <w:lang w:eastAsia="zh-CN"/>
              </w:rPr>
              <w:t>第</w:t>
            </w:r>
            <w:r w:rsidR="00E966CC">
              <w:rPr>
                <w:rStyle w:val="href"/>
                <w:lang w:eastAsia="zh-CN"/>
              </w:rPr>
              <w:t>167</w:t>
            </w:r>
            <w:r w:rsidR="00E966CC" w:rsidRPr="00D32659">
              <w:rPr>
                <w:rStyle w:val="href"/>
                <w:rFonts w:hint="eastAsia"/>
                <w:lang w:eastAsia="zh-CN"/>
              </w:rPr>
              <w:t>号决议</w:t>
            </w:r>
            <w:r w:rsidR="00E966CC" w:rsidRPr="00521E54">
              <w:rPr>
                <w:rFonts w:hint="eastAsia"/>
                <w:lang w:eastAsia="zh-CN"/>
              </w:rPr>
              <w:t>（</w:t>
            </w:r>
            <w:r w:rsidR="00E966CC" w:rsidRPr="00521E54">
              <w:rPr>
                <w:rFonts w:hint="eastAsia"/>
                <w:lang w:eastAsia="zh-CN"/>
              </w:rPr>
              <w:t>2010</w:t>
            </w:r>
            <w:r w:rsidR="00E966CC" w:rsidRPr="00521E54">
              <w:rPr>
                <w:rFonts w:hint="eastAsia"/>
                <w:lang w:eastAsia="zh-CN"/>
              </w:rPr>
              <w:t>年，瓜达拉哈拉）</w:t>
            </w:r>
            <w:r w:rsidR="00E966CC">
              <w:rPr>
                <w:rFonts w:hint="eastAsia"/>
                <w:lang w:eastAsia="zh-CN"/>
              </w:rPr>
              <w:t>：</w:t>
            </w:r>
            <w:r w:rsidR="00E966CC" w:rsidRPr="003B655E">
              <w:rPr>
                <w:rFonts w:hint="eastAsia"/>
                <w:lang w:eastAsia="zh-CN"/>
              </w:rPr>
              <w:t>加强国际电联举办电子会议的能力</w:t>
            </w:r>
            <w:r w:rsidR="00E966CC">
              <w:rPr>
                <w:rFonts w:hint="eastAsia"/>
                <w:lang w:eastAsia="zh-CN"/>
              </w:rPr>
              <w:t>及</w:t>
            </w:r>
            <w:r w:rsidR="00E966CC" w:rsidRPr="003B655E">
              <w:rPr>
                <w:rFonts w:hint="eastAsia"/>
                <w:lang w:eastAsia="zh-CN"/>
              </w:rPr>
              <w:t>推进国际电联工作的</w:t>
            </w:r>
            <w:r w:rsidR="00E966CC">
              <w:rPr>
                <w:rFonts w:hint="eastAsia"/>
                <w:lang w:eastAsia="zh-CN"/>
              </w:rPr>
              <w:t>手段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keepNext/>
              <w:keepLines/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/12</w:t>
            </w:r>
          </w:p>
        </w:tc>
        <w:tc>
          <w:tcPr>
            <w:tcW w:w="7938" w:type="dxa"/>
          </w:tcPr>
          <w:p w:rsidR="00FF4B3F" w:rsidRDefault="00FF4B3F" w:rsidP="007258E8">
            <w:pPr>
              <w:keepNext/>
              <w:keepLines/>
              <w:rPr>
                <w:lang w:eastAsia="zh-CN"/>
              </w:rPr>
            </w:pPr>
            <w:r>
              <w:rPr>
                <w:lang w:eastAsia="zh-CN"/>
              </w:rPr>
              <w:t xml:space="preserve">MOD </w:t>
            </w:r>
            <w:r w:rsidR="00226275">
              <w:rPr>
                <w:rFonts w:hint="eastAsia"/>
                <w:lang w:eastAsia="zh-CN"/>
              </w:rPr>
              <w:t>修改</w:t>
            </w:r>
            <w:r w:rsidR="00EE2CBC" w:rsidRPr="00D32659">
              <w:rPr>
                <w:rStyle w:val="href"/>
                <w:rFonts w:hint="eastAsia"/>
                <w:lang w:eastAsia="zh-CN"/>
              </w:rPr>
              <w:t>第</w:t>
            </w:r>
            <w:r w:rsidR="00EE2CBC">
              <w:rPr>
                <w:rStyle w:val="href"/>
                <w:lang w:eastAsia="zh-CN"/>
              </w:rPr>
              <w:t>175</w:t>
            </w:r>
            <w:r w:rsidR="00EE2CBC" w:rsidRPr="00D32659">
              <w:rPr>
                <w:rStyle w:val="href"/>
                <w:rFonts w:hint="eastAsia"/>
                <w:lang w:eastAsia="zh-CN"/>
              </w:rPr>
              <w:t>号决议</w:t>
            </w:r>
            <w:r w:rsidR="00EE2CBC" w:rsidRPr="00521E54">
              <w:rPr>
                <w:rFonts w:hint="eastAsia"/>
                <w:lang w:eastAsia="zh-CN"/>
              </w:rPr>
              <w:t>（</w:t>
            </w:r>
            <w:r w:rsidR="00EE2CBC" w:rsidRPr="00521E54">
              <w:rPr>
                <w:rFonts w:hint="eastAsia"/>
                <w:lang w:eastAsia="zh-CN"/>
              </w:rPr>
              <w:t>2010</w:t>
            </w:r>
            <w:r w:rsidR="00EE2CBC" w:rsidRPr="00521E54">
              <w:rPr>
                <w:rFonts w:hint="eastAsia"/>
                <w:lang w:eastAsia="zh-CN"/>
              </w:rPr>
              <w:t>年，瓜达拉哈拉）</w:t>
            </w:r>
            <w:r w:rsidR="00EE2CBC">
              <w:rPr>
                <w:rFonts w:hint="eastAsia"/>
                <w:lang w:eastAsia="zh-CN"/>
              </w:rPr>
              <w:t>：</w:t>
            </w:r>
            <w:r w:rsidR="00EE2CBC" w:rsidRPr="004C346A">
              <w:rPr>
                <w:rFonts w:hint="eastAsia"/>
                <w:lang w:val="en-US" w:eastAsia="zh-CN"/>
              </w:rPr>
              <w:t>残疾人，包括</w:t>
            </w:r>
            <w:r w:rsidR="00EE2CBC">
              <w:rPr>
                <w:rFonts w:hint="eastAsia"/>
                <w:lang w:val="en-US" w:eastAsia="zh-CN"/>
              </w:rPr>
              <w:t>因</w:t>
            </w:r>
            <w:r w:rsidR="00EE2CBC" w:rsidRPr="004C346A">
              <w:rPr>
                <w:rFonts w:hint="eastAsia"/>
                <w:lang w:val="en-US" w:eastAsia="zh-CN"/>
              </w:rPr>
              <w:t>年</w:t>
            </w:r>
            <w:r w:rsidR="00EE2CBC">
              <w:rPr>
                <w:rFonts w:hint="eastAsia"/>
                <w:lang w:val="en-US" w:eastAsia="zh-CN"/>
              </w:rPr>
              <w:t>龄</w:t>
            </w:r>
            <w:r w:rsidR="00EE2CBC" w:rsidRPr="004C346A">
              <w:rPr>
                <w:rFonts w:hint="eastAsia"/>
                <w:lang w:val="en-US" w:eastAsia="zh-CN"/>
              </w:rPr>
              <w:t>致</w:t>
            </w:r>
            <w:r w:rsidR="00EE2CBC">
              <w:rPr>
                <w:rFonts w:hint="eastAsia"/>
                <w:lang w:val="en-US" w:eastAsia="zh-CN"/>
              </w:rPr>
              <w:t>残</w:t>
            </w:r>
            <w:r w:rsidR="00EE2CBC" w:rsidRPr="004C346A">
              <w:rPr>
                <w:rFonts w:hint="eastAsia"/>
                <w:lang w:val="en-US" w:eastAsia="zh-CN"/>
              </w:rPr>
              <w:t>的残疾人</w:t>
            </w:r>
            <w:r w:rsidR="00EE2CBC">
              <w:rPr>
                <w:rFonts w:hint="eastAsia"/>
                <w:lang w:val="en-US" w:eastAsia="zh-CN"/>
              </w:rPr>
              <w:t>无障碍地获取电信</w:t>
            </w:r>
            <w:r w:rsidR="00EE2CBC">
              <w:rPr>
                <w:rFonts w:hint="eastAsia"/>
                <w:lang w:val="en-US" w:eastAsia="zh-CN"/>
              </w:rPr>
              <w:t>/</w:t>
            </w:r>
            <w:r w:rsidR="00EE2CBC" w:rsidRPr="004C346A">
              <w:rPr>
                <w:rFonts w:hint="eastAsia"/>
                <w:lang w:val="en-US" w:eastAsia="zh-CN"/>
              </w:rPr>
              <w:t>信息通信技术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/13</w:t>
            </w:r>
          </w:p>
        </w:tc>
        <w:tc>
          <w:tcPr>
            <w:tcW w:w="7938" w:type="dxa"/>
          </w:tcPr>
          <w:p w:rsidR="00FF4B3F" w:rsidRDefault="00FF4B3F" w:rsidP="007258E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MOD </w:t>
            </w:r>
            <w:r w:rsidR="00226275">
              <w:rPr>
                <w:rFonts w:hint="eastAsia"/>
                <w:lang w:eastAsia="zh-CN"/>
              </w:rPr>
              <w:t>修改</w:t>
            </w:r>
            <w:r w:rsidR="00EE2CBC" w:rsidRPr="00D32659">
              <w:rPr>
                <w:rStyle w:val="href"/>
                <w:rFonts w:hint="eastAsia"/>
                <w:lang w:eastAsia="zh-CN"/>
              </w:rPr>
              <w:t>第</w:t>
            </w:r>
            <w:r w:rsidR="00EE2CBC">
              <w:rPr>
                <w:rStyle w:val="href"/>
                <w:lang w:eastAsia="zh-CN"/>
              </w:rPr>
              <w:t>176</w:t>
            </w:r>
            <w:r w:rsidR="00EE2CBC" w:rsidRPr="00D32659">
              <w:rPr>
                <w:rStyle w:val="href"/>
                <w:rFonts w:hint="eastAsia"/>
                <w:lang w:eastAsia="zh-CN"/>
              </w:rPr>
              <w:t>号决议</w:t>
            </w:r>
            <w:r w:rsidR="00EE2CBC" w:rsidRPr="00521E54">
              <w:rPr>
                <w:rFonts w:hint="eastAsia"/>
                <w:lang w:eastAsia="zh-CN"/>
              </w:rPr>
              <w:t>（</w:t>
            </w:r>
            <w:r w:rsidR="00EE2CBC" w:rsidRPr="00521E54">
              <w:rPr>
                <w:rFonts w:hint="eastAsia"/>
                <w:lang w:eastAsia="zh-CN"/>
              </w:rPr>
              <w:t>2010</w:t>
            </w:r>
            <w:r w:rsidR="00EE2CBC" w:rsidRPr="00521E54">
              <w:rPr>
                <w:rFonts w:hint="eastAsia"/>
                <w:lang w:eastAsia="zh-CN"/>
              </w:rPr>
              <w:t>年，瓜达拉哈拉）</w:t>
            </w:r>
            <w:r w:rsidR="00EE2CBC">
              <w:rPr>
                <w:rFonts w:hint="eastAsia"/>
                <w:lang w:eastAsia="zh-CN"/>
              </w:rPr>
              <w:t>：</w:t>
            </w:r>
            <w:r w:rsidR="00EE2CBC">
              <w:rPr>
                <w:rFonts w:ascii="SimSun" w:hAnsi="SimSun" w:hint="eastAsia"/>
                <w:lang w:eastAsia="zh-CN"/>
              </w:rPr>
              <w:t>电磁场对人体的辐射和测量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/14</w:t>
            </w:r>
          </w:p>
        </w:tc>
        <w:tc>
          <w:tcPr>
            <w:tcW w:w="7938" w:type="dxa"/>
          </w:tcPr>
          <w:p w:rsidR="00FF4B3F" w:rsidRDefault="00FF4B3F" w:rsidP="007258E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MOD </w:t>
            </w:r>
            <w:r w:rsidR="00226275">
              <w:rPr>
                <w:rFonts w:hint="eastAsia"/>
                <w:lang w:eastAsia="zh-CN"/>
              </w:rPr>
              <w:t>修改</w:t>
            </w:r>
            <w:r w:rsidR="00EE2CBC" w:rsidRPr="00D32659">
              <w:rPr>
                <w:rStyle w:val="href"/>
                <w:rFonts w:hint="eastAsia"/>
                <w:lang w:eastAsia="zh-CN"/>
              </w:rPr>
              <w:t>第</w:t>
            </w:r>
            <w:r w:rsidR="00EE2CBC">
              <w:rPr>
                <w:rStyle w:val="href"/>
                <w:lang w:eastAsia="zh-CN"/>
              </w:rPr>
              <w:t>182</w:t>
            </w:r>
            <w:r w:rsidR="00EE2CBC" w:rsidRPr="00D32659">
              <w:rPr>
                <w:rStyle w:val="href"/>
                <w:rFonts w:hint="eastAsia"/>
                <w:lang w:eastAsia="zh-CN"/>
              </w:rPr>
              <w:t>号决议</w:t>
            </w:r>
            <w:r w:rsidR="00EE2CBC" w:rsidRPr="00521E54">
              <w:rPr>
                <w:rFonts w:hint="eastAsia"/>
                <w:lang w:eastAsia="zh-CN"/>
              </w:rPr>
              <w:t>（</w:t>
            </w:r>
            <w:r w:rsidR="00EE2CBC" w:rsidRPr="00521E54">
              <w:rPr>
                <w:rFonts w:hint="eastAsia"/>
                <w:lang w:eastAsia="zh-CN"/>
              </w:rPr>
              <w:t>2010</w:t>
            </w:r>
            <w:r w:rsidR="00EE2CBC" w:rsidRPr="00521E54">
              <w:rPr>
                <w:rFonts w:hint="eastAsia"/>
                <w:lang w:eastAsia="zh-CN"/>
              </w:rPr>
              <w:t>年，瓜达拉哈拉）</w:t>
            </w:r>
            <w:r w:rsidR="00EE2CBC">
              <w:rPr>
                <w:rFonts w:hint="eastAsia"/>
                <w:lang w:eastAsia="zh-CN"/>
              </w:rPr>
              <w:t>：电信</w:t>
            </w:r>
            <w:r w:rsidR="00EE2CBC">
              <w:rPr>
                <w:rFonts w:hint="eastAsia"/>
                <w:lang w:eastAsia="zh-CN"/>
              </w:rPr>
              <w:t>/</w:t>
            </w:r>
            <w:r w:rsidR="00EE2CBC">
              <w:rPr>
                <w:rFonts w:hint="eastAsia"/>
                <w:lang w:eastAsia="zh-CN"/>
              </w:rPr>
              <w:t>信息通信技术在气候变化和环境保护方面的作用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/15</w:t>
            </w:r>
          </w:p>
        </w:tc>
        <w:tc>
          <w:tcPr>
            <w:tcW w:w="7938" w:type="dxa"/>
          </w:tcPr>
          <w:p w:rsidR="00FF4B3F" w:rsidRDefault="00EC6042" w:rsidP="007258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FF4B3F">
              <w:rPr>
                <w:lang w:eastAsia="zh-CN"/>
              </w:rPr>
              <w:t>[AFCP-1]</w:t>
            </w:r>
            <w:r>
              <w:rPr>
                <w:rFonts w:hint="eastAsia"/>
                <w:lang w:eastAsia="zh-CN"/>
              </w:rPr>
              <w:t>号新决议草案：</w:t>
            </w:r>
            <w:r w:rsidR="007376C5">
              <w:rPr>
                <w:rFonts w:hint="eastAsia"/>
                <w:lang w:eastAsia="zh-CN"/>
              </w:rPr>
              <w:t>延长</w:t>
            </w:r>
            <w:r w:rsidRPr="00EC6042">
              <w:rPr>
                <w:rFonts w:hint="eastAsia"/>
                <w:lang w:eastAsia="zh-CN"/>
              </w:rPr>
              <w:t>理事会稳定《组织法》工作组</w:t>
            </w:r>
            <w:r w:rsidR="007376C5">
              <w:rPr>
                <w:rFonts w:hint="eastAsia"/>
                <w:lang w:eastAsia="zh-CN"/>
              </w:rPr>
              <w:t>的</w:t>
            </w:r>
            <w:r w:rsidR="007376C5">
              <w:rPr>
                <w:lang w:eastAsia="zh-CN"/>
              </w:rPr>
              <w:t>期限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/16</w:t>
            </w:r>
          </w:p>
        </w:tc>
        <w:tc>
          <w:tcPr>
            <w:tcW w:w="7938" w:type="dxa"/>
          </w:tcPr>
          <w:p w:rsidR="00FF4B3F" w:rsidRDefault="007376C5" w:rsidP="007258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FF4B3F">
              <w:rPr>
                <w:lang w:eastAsia="zh-CN"/>
              </w:rPr>
              <w:t>[AFCP-2]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新</w:t>
            </w:r>
            <w:r>
              <w:rPr>
                <w:rFonts w:hint="eastAsia"/>
                <w:lang w:eastAsia="zh-CN"/>
              </w:rPr>
              <w:t>决议</w:t>
            </w:r>
            <w:r>
              <w:rPr>
                <w:lang w:eastAsia="zh-CN"/>
              </w:rPr>
              <w:t>草案：</w:t>
            </w:r>
            <w:r>
              <w:rPr>
                <w:rFonts w:hint="eastAsia"/>
                <w:lang w:eastAsia="zh-CN"/>
              </w:rPr>
              <w:t>不受歧视</w:t>
            </w:r>
            <w:r>
              <w:rPr>
                <w:lang w:eastAsia="zh-CN"/>
              </w:rPr>
              <w:t>地获取国际电联使用的在线服务和应用</w:t>
            </w:r>
          </w:p>
        </w:tc>
      </w:tr>
      <w:tr w:rsidR="00FF4B3F" w:rsidTr="00EE2CBC">
        <w:trPr>
          <w:jc w:val="center"/>
        </w:trPr>
        <w:tc>
          <w:tcPr>
            <w:tcW w:w="2122" w:type="dxa"/>
          </w:tcPr>
          <w:p w:rsidR="00FF4B3F" w:rsidRPr="005A2B2A" w:rsidRDefault="00FF4B3F" w:rsidP="007258E8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/17</w:t>
            </w:r>
          </w:p>
        </w:tc>
        <w:tc>
          <w:tcPr>
            <w:tcW w:w="7938" w:type="dxa"/>
          </w:tcPr>
          <w:p w:rsidR="00FF4B3F" w:rsidRDefault="00EC6042" w:rsidP="007258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FF4B3F">
              <w:rPr>
                <w:lang w:eastAsia="zh-CN"/>
              </w:rPr>
              <w:t>[AFCP-3]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新决议草案：</w:t>
            </w:r>
            <w:r>
              <w:rPr>
                <w:rFonts w:hint="eastAsia"/>
                <w:lang w:eastAsia="zh-CN"/>
              </w:rPr>
              <w:t>全球</w:t>
            </w:r>
            <w:r>
              <w:rPr>
                <w:lang w:eastAsia="zh-CN"/>
              </w:rPr>
              <w:t>航班跟踪</w:t>
            </w:r>
          </w:p>
        </w:tc>
      </w:tr>
    </w:tbl>
    <w:p w:rsidR="00FF4B3F" w:rsidRDefault="00FF4B3F" w:rsidP="007258E8">
      <w:pPr>
        <w:rPr>
          <w:lang w:eastAsia="zh-CN"/>
        </w:rPr>
      </w:pPr>
    </w:p>
    <w:p w:rsid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Default="00FF4B3F" w:rsidP="007258E8">
      <w:pPr>
        <w:rPr>
          <w:lang w:eastAsia="zh-CN"/>
        </w:rPr>
      </w:pPr>
    </w:p>
    <w:p w:rsid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  <w:sectPr w:rsidR="00FF4B3F" w:rsidRPr="00FF4B3F" w:rsidSect="00FF4B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FF4B3F" w:rsidRDefault="008F15CA" w:rsidP="007258E8">
      <w:pPr>
        <w:spacing w:before="360"/>
        <w:ind w:firstLineChars="200" w:firstLine="480"/>
        <w:rPr>
          <w:szCs w:val="24"/>
          <w:lang w:eastAsia="zh-CN"/>
        </w:rPr>
      </w:pPr>
      <w:r>
        <w:rPr>
          <w:rFonts w:hint="eastAsia"/>
          <w:lang w:val="en-US" w:eastAsia="zh-CN"/>
        </w:rPr>
        <w:lastRenderedPageBreak/>
        <w:t>下表列出了</w:t>
      </w:r>
      <w:r w:rsidR="007376C5">
        <w:rPr>
          <w:rFonts w:hint="eastAsia"/>
          <w:lang w:val="en-US" w:eastAsia="zh-CN"/>
        </w:rPr>
        <w:t>非洲</w:t>
      </w:r>
      <w:r w:rsidR="007376C5">
        <w:rPr>
          <w:lang w:val="en-US" w:eastAsia="zh-CN"/>
        </w:rPr>
        <w:t>电信联盟提交</w:t>
      </w:r>
      <w:r w:rsidR="007376C5">
        <w:rPr>
          <w:rFonts w:hint="eastAsia"/>
          <w:lang w:val="en-US" w:eastAsia="zh-CN"/>
        </w:rPr>
        <w:t>国际电联</w:t>
      </w:r>
      <w:r>
        <w:rPr>
          <w:rFonts w:hint="eastAsia"/>
          <w:lang w:val="en-US" w:eastAsia="zh-CN"/>
        </w:rPr>
        <w:t>PP-14</w:t>
      </w:r>
      <w:r>
        <w:rPr>
          <w:rFonts w:hint="eastAsia"/>
          <w:lang w:val="en-US" w:eastAsia="zh-CN"/>
        </w:rPr>
        <w:t>的</w:t>
      </w:r>
      <w:r w:rsidR="007376C5">
        <w:rPr>
          <w:rFonts w:hint="eastAsia"/>
          <w:lang w:val="en-US" w:eastAsia="zh-CN"/>
        </w:rPr>
        <w:t>提案</w:t>
      </w:r>
      <w:r w:rsidR="007376C5">
        <w:rPr>
          <w:lang w:val="en-US" w:eastAsia="zh-CN"/>
        </w:rPr>
        <w:t>以及支持</w:t>
      </w:r>
      <w:r>
        <w:rPr>
          <w:rFonts w:hint="eastAsia"/>
          <w:lang w:val="en-US" w:eastAsia="zh-CN"/>
        </w:rPr>
        <w:t>非洲共同提案的各主管部门</w:t>
      </w:r>
      <w:r w:rsidR="007376C5">
        <w:rPr>
          <w:rFonts w:hint="eastAsia"/>
          <w:lang w:val="en-US" w:eastAsia="zh-CN"/>
        </w:rPr>
        <w:t>名单</w:t>
      </w:r>
      <w:r>
        <w:rPr>
          <w:rFonts w:hint="eastAsia"/>
          <w:lang w:val="en-US" w:eastAsia="zh-CN"/>
        </w:rPr>
        <w:t>：</w:t>
      </w:r>
    </w:p>
    <w:p w:rsidR="00FF4B3F" w:rsidRDefault="00FF4B3F" w:rsidP="007258E8">
      <w:pPr>
        <w:rPr>
          <w:lang w:eastAsia="zh-CN"/>
        </w:rPr>
      </w:pPr>
    </w:p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F4B3F" w:rsidRPr="008F15CA" w:rsidTr="003E1BA5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F4B3F" w:rsidRPr="008F15CA" w:rsidRDefault="00FF4B3F" w:rsidP="007258E8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F4B3F" w:rsidRPr="008F15CA" w:rsidRDefault="00B32031" w:rsidP="007258E8">
            <w:pPr>
              <w:jc w:val="center"/>
              <w:rPr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fr-FR" w:eastAsia="zh-CN"/>
              </w:rPr>
              <w:t>成员国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69A1/17</w:t>
            </w: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阿尔及利亚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安哥拉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贝宁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博茨瓦纳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布基纳法索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布隆迪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喀麦隆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hint="eastAsia"/>
                <w:sz w:val="18"/>
                <w:szCs w:val="18"/>
                <w:lang w:val="es-ES"/>
              </w:rPr>
              <w:t>佛得角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 w:eastAsia="zh-CN"/>
              </w:rPr>
            </w:pPr>
            <w:r w:rsidRPr="008F15CA">
              <w:rPr>
                <w:rFonts w:hint="eastAsia"/>
                <w:sz w:val="18"/>
                <w:szCs w:val="18"/>
                <w:lang w:val="fr-FR" w:eastAsia="zh-CN"/>
              </w:rPr>
              <w:t>中非</w:t>
            </w:r>
            <w:r w:rsidRPr="008F15CA">
              <w:rPr>
                <w:sz w:val="18"/>
                <w:szCs w:val="18"/>
                <w:lang w:val="fr-FR" w:eastAsia="zh-CN"/>
              </w:rPr>
              <w:t>共和国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刚果</w:t>
            </w:r>
            <w:proofErr w:type="spellEnd"/>
            <w:r w:rsidRPr="008F15CA">
              <w:rPr>
                <w:rFonts w:cs="Microsoft YaHei" w:hint="eastAsia"/>
                <w:sz w:val="18"/>
                <w:szCs w:val="18"/>
                <w:lang w:val="en-US" w:eastAsia="zh-CN"/>
              </w:rPr>
              <w:t>（</w:t>
            </w:r>
            <w:r w:rsidRPr="008F15CA">
              <w:rPr>
                <w:rFonts w:cs="Microsoft YaHei"/>
                <w:sz w:val="18"/>
                <w:szCs w:val="18"/>
                <w:lang w:val="en-US" w:eastAsia="zh-CN"/>
              </w:rPr>
              <w:t>共和国）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科特迪瓦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 w:eastAsia="zh-CN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刚果</w:t>
            </w:r>
            <w:proofErr w:type="spellEnd"/>
            <w:r w:rsidR="00B32031">
              <w:rPr>
                <w:rFonts w:hint="eastAsia"/>
                <w:sz w:val="18"/>
                <w:szCs w:val="18"/>
                <w:lang w:val="en-US" w:eastAsia="zh-CN"/>
              </w:rPr>
              <w:t>民主共和国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科摩罗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吉布提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埃及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厄立特里亚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埃塞俄比亚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赤道几内亚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 w:eastAsia="zh-CN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加蓬</w:t>
            </w:r>
            <w:proofErr w:type="spellEnd"/>
            <w:r w:rsidR="00B32031">
              <w:rPr>
                <w:rFonts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冈比亚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加纳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几内亚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lastRenderedPageBreak/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几内亚</w:t>
            </w:r>
            <w:proofErr w:type="spellEnd"/>
            <w:r>
              <w:rPr>
                <w:rFonts w:cs="Microsoft YaHei" w:hint="eastAsia"/>
                <w:sz w:val="18"/>
                <w:szCs w:val="18"/>
                <w:lang w:val="es-ES" w:eastAsia="zh-CN"/>
              </w:rPr>
              <w:t>比绍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肯尼亚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莱索托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</w:rPr>
              <w:t>利比里亚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利比亚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马达加斯加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马拉维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马里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</w:rPr>
              <w:t>毛里塔尼亚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pacing w:val="-2"/>
                <w:sz w:val="18"/>
                <w:szCs w:val="18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</w:rPr>
              <w:t>毛里求斯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pacing w:val="-2"/>
                <w:sz w:val="18"/>
                <w:szCs w:val="18"/>
              </w:rPr>
              <w:t>莫桑比克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纳米比亚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尼日尔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尼日利亚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3E1BA5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卢旺达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3E1BA5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hint="eastAsia"/>
                <w:sz w:val="18"/>
                <w:szCs w:val="18"/>
                <w:lang w:val="es-ES"/>
              </w:rPr>
              <w:t>圣多美和普林西比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塞内加尔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塞舌尔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塞拉利昂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索马里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南非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rFonts w:hint="eastAsia"/>
                <w:sz w:val="18"/>
                <w:szCs w:val="18"/>
                <w:lang w:val="es-ES" w:eastAsia="zh-CN"/>
              </w:rPr>
              <w:t>南</w:t>
            </w: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3E1BA5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lastRenderedPageBreak/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斯威士兰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坦桑尼亚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乍得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 w:eastAsia="zh-CN"/>
              </w:rPr>
            </w:pPr>
            <w:r>
              <w:rPr>
                <w:rFonts w:cs="Microsoft YaHei" w:hint="eastAsia"/>
                <w:sz w:val="18"/>
                <w:szCs w:val="18"/>
                <w:lang w:val="es-ES" w:eastAsia="zh-CN"/>
              </w:rPr>
              <w:t>多哥</w:t>
            </w:r>
            <w:r>
              <w:rPr>
                <w:rFonts w:cs="Microsoft YaHei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突尼斯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乌干达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3E1BA5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赞比亚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3E1BA5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proofErr w:type="spellStart"/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津巴布韦</w:t>
            </w:r>
            <w:proofErr w:type="spellEnd"/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F4B3F" w:rsidRPr="008F15CA" w:rsidTr="003E1BA5">
        <w:trPr>
          <w:trHeight w:val="172"/>
        </w:trPr>
        <w:tc>
          <w:tcPr>
            <w:tcW w:w="2278" w:type="dxa"/>
            <w:gridSpan w:val="2"/>
            <w:vAlign w:val="center"/>
          </w:tcPr>
          <w:p w:rsidR="00FF4B3F" w:rsidRPr="008F15CA" w:rsidRDefault="007376C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共同签署国</w:t>
            </w:r>
            <w:r>
              <w:rPr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84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F4B3F" w:rsidRPr="008F15CA" w:rsidRDefault="00FF4B3F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FF4B3F" w:rsidRDefault="00FF4B3F" w:rsidP="007258E8">
      <w:pPr>
        <w:spacing w:before="840"/>
        <w:jc w:val="center"/>
      </w:pPr>
      <w:r>
        <w:t>____________________</w:t>
      </w:r>
    </w:p>
    <w:p w:rsidR="00476923" w:rsidRDefault="00476923" w:rsidP="007258E8">
      <w:pPr>
        <w:rPr>
          <w:lang w:val="en-US" w:eastAsia="zh-CN"/>
        </w:rPr>
      </w:pPr>
    </w:p>
    <w:sectPr w:rsidR="00476923" w:rsidSect="00FF4B3F">
      <w:headerReference w:type="default" r:id="rId14"/>
      <w:footerReference w:type="default" r:id="rId15"/>
      <w:footerReference w:type="first" r:id="rId16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DD" w:rsidRDefault="009400DD">
      <w:r>
        <w:separator/>
      </w:r>
    </w:p>
  </w:endnote>
  <w:endnote w:type="continuationSeparator" w:id="0">
    <w:p w:rsidR="009400DD" w:rsidRDefault="0094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4F" w:rsidRDefault="00DB48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05" w:rsidRPr="00DB484F" w:rsidRDefault="00063FA8" w:rsidP="00540005">
    <w:pPr>
      <w:pStyle w:val="Footer"/>
      <w:rPr>
        <w:color w:val="FFFFFF" w:themeColor="background1"/>
      </w:rPr>
    </w:pP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FILENAME \p  \* MERGEFORMAT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P:\CHI\SG\CONF-SG\PP14\000\069C.docx</w:t>
    </w:r>
    <w:r w:rsidRPr="00DB484F">
      <w:rPr>
        <w:color w:val="FFFFFF" w:themeColor="background1"/>
      </w:rPr>
      <w:fldChar w:fldCharType="end"/>
    </w:r>
    <w:r w:rsidR="00540005" w:rsidRPr="00DB484F">
      <w:rPr>
        <w:color w:val="FFFFFF" w:themeColor="background1"/>
      </w:rPr>
      <w:t xml:space="preserve"> </w:t>
    </w:r>
    <w:r w:rsidR="00540005" w:rsidRPr="00DB484F">
      <w:rPr>
        <w:rFonts w:hint="eastAsia"/>
        <w:color w:val="FFFFFF" w:themeColor="background1"/>
        <w:lang w:eastAsia="zh-CN"/>
      </w:rPr>
      <w:t>(368883)</w:t>
    </w:r>
    <w:r w:rsidR="00540005" w:rsidRPr="00DB484F">
      <w:rPr>
        <w:color w:val="FFFFFF" w:themeColor="background1"/>
      </w:rPr>
      <w:tab/>
    </w:r>
    <w:r w:rsidR="00540005" w:rsidRPr="00DB484F">
      <w:rPr>
        <w:color w:val="FFFFFF" w:themeColor="background1"/>
      </w:rPr>
      <w:fldChar w:fldCharType="begin"/>
    </w:r>
    <w:r w:rsidR="00540005" w:rsidRPr="00DB484F">
      <w:rPr>
        <w:color w:val="FFFFFF" w:themeColor="background1"/>
      </w:rPr>
      <w:instrText xml:space="preserve"> SAVEDATE \@ DD.MM.YY </w:instrText>
    </w:r>
    <w:r w:rsidR="00540005" w:rsidRPr="00DB484F">
      <w:rPr>
        <w:color w:val="FFFFFF" w:themeColor="background1"/>
      </w:rPr>
      <w:fldChar w:fldCharType="separate"/>
    </w:r>
    <w:r w:rsidR="00DB484F" w:rsidRPr="00DB484F">
      <w:rPr>
        <w:color w:val="FFFFFF" w:themeColor="background1"/>
      </w:rPr>
      <w:t>03.10.14</w:t>
    </w:r>
    <w:r w:rsidR="00540005" w:rsidRPr="00DB484F">
      <w:rPr>
        <w:color w:val="FFFFFF" w:themeColor="background1"/>
      </w:rPr>
      <w:fldChar w:fldCharType="end"/>
    </w:r>
    <w:r w:rsidR="00540005" w:rsidRPr="00DB484F">
      <w:rPr>
        <w:color w:val="FFFFFF" w:themeColor="background1"/>
      </w:rPr>
      <w:tab/>
    </w:r>
    <w:r w:rsidR="00540005" w:rsidRPr="00DB484F">
      <w:rPr>
        <w:color w:val="FFFFFF" w:themeColor="background1"/>
      </w:rPr>
      <w:fldChar w:fldCharType="begin"/>
    </w:r>
    <w:r w:rsidR="00540005" w:rsidRPr="00DB484F">
      <w:rPr>
        <w:color w:val="FFFFFF" w:themeColor="background1"/>
      </w:rPr>
      <w:instrText xml:space="preserve"> PRINTDATE \@ DD.MM.YY </w:instrText>
    </w:r>
    <w:r w:rsidR="00540005"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03.10.14</w:t>
    </w:r>
    <w:r w:rsidR="00540005" w:rsidRPr="00DB484F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B3F" w:rsidRDefault="00FF4B3F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FF4B3F" w:rsidRPr="00A516BB" w:rsidRDefault="00FF4B3F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540005" w:rsidRPr="00DB484F" w:rsidRDefault="009400DD">
    <w:pPr>
      <w:pStyle w:val="Footer"/>
      <w:rPr>
        <w:color w:val="FFFFFF" w:themeColor="background1"/>
      </w:rPr>
    </w:pP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FILENAME \p  \* MERGEFORMAT </w:instrText>
    </w:r>
    <w:r w:rsidRPr="00DB484F">
      <w:rPr>
        <w:color w:val="FFFFFF" w:themeColor="background1"/>
      </w:rPr>
      <w:fldChar w:fldCharType="separate"/>
    </w:r>
    <w:r w:rsidR="00063FA8" w:rsidRPr="00DB484F">
      <w:rPr>
        <w:color w:val="FFFFFF" w:themeColor="background1"/>
      </w:rPr>
      <w:t>P:\CHI\SG\CONF-SG\PP14\000\069C.docx</w:t>
    </w:r>
    <w:r w:rsidRPr="00DB484F">
      <w:rPr>
        <w:color w:val="FFFFFF" w:themeColor="background1"/>
      </w:rPr>
      <w:fldChar w:fldCharType="end"/>
    </w:r>
    <w:r w:rsidR="00540005" w:rsidRPr="00DB484F">
      <w:rPr>
        <w:color w:val="FFFFFF" w:themeColor="background1"/>
      </w:rPr>
      <w:t xml:space="preserve"> </w:t>
    </w:r>
    <w:r w:rsidR="00540005" w:rsidRPr="00DB484F">
      <w:rPr>
        <w:rFonts w:hint="eastAsia"/>
        <w:color w:val="FFFFFF" w:themeColor="background1"/>
        <w:lang w:eastAsia="zh-CN"/>
      </w:rPr>
      <w:t>(368883)</w:t>
    </w:r>
    <w:r w:rsidR="00540005" w:rsidRPr="00DB484F">
      <w:rPr>
        <w:color w:val="FFFFFF" w:themeColor="background1"/>
      </w:rPr>
      <w:tab/>
    </w:r>
    <w:r w:rsidR="00540005" w:rsidRPr="00DB484F">
      <w:rPr>
        <w:color w:val="FFFFFF" w:themeColor="background1"/>
      </w:rPr>
      <w:fldChar w:fldCharType="begin"/>
    </w:r>
    <w:r w:rsidR="00540005" w:rsidRPr="00DB484F">
      <w:rPr>
        <w:color w:val="FFFFFF" w:themeColor="background1"/>
      </w:rPr>
      <w:instrText xml:space="preserve"> SAVEDATE \@ DD.MM.YY </w:instrText>
    </w:r>
    <w:r w:rsidR="00540005" w:rsidRPr="00DB484F">
      <w:rPr>
        <w:color w:val="FFFFFF" w:themeColor="background1"/>
      </w:rPr>
      <w:fldChar w:fldCharType="separate"/>
    </w:r>
    <w:r w:rsidR="00DB484F" w:rsidRPr="00DB484F">
      <w:rPr>
        <w:color w:val="FFFFFF" w:themeColor="background1"/>
      </w:rPr>
      <w:t>03.10.14</w:t>
    </w:r>
    <w:r w:rsidR="00540005" w:rsidRPr="00DB484F">
      <w:rPr>
        <w:color w:val="FFFFFF" w:themeColor="background1"/>
      </w:rPr>
      <w:fldChar w:fldCharType="end"/>
    </w:r>
    <w:r w:rsidR="00540005" w:rsidRPr="00DB484F">
      <w:rPr>
        <w:color w:val="FFFFFF" w:themeColor="background1"/>
      </w:rPr>
      <w:tab/>
    </w:r>
    <w:r w:rsidR="00540005" w:rsidRPr="00DB484F">
      <w:rPr>
        <w:color w:val="FFFFFF" w:themeColor="background1"/>
      </w:rPr>
      <w:fldChar w:fldCharType="begin"/>
    </w:r>
    <w:r w:rsidR="00540005" w:rsidRPr="00DB484F">
      <w:rPr>
        <w:color w:val="FFFFFF" w:themeColor="background1"/>
      </w:rPr>
      <w:instrText xml:space="preserve"> PRINTDATE \@ DD.MM.YY </w:instrText>
    </w:r>
    <w:r w:rsidR="00540005" w:rsidRPr="00DB484F">
      <w:rPr>
        <w:color w:val="FFFFFF" w:themeColor="background1"/>
      </w:rPr>
      <w:fldChar w:fldCharType="separate"/>
    </w:r>
    <w:r w:rsidR="00063FA8" w:rsidRPr="00DB484F">
      <w:rPr>
        <w:color w:val="FFFFFF" w:themeColor="background1"/>
      </w:rPr>
      <w:t>03.10.14</w:t>
    </w:r>
    <w:r w:rsidR="00540005" w:rsidRPr="00DB484F">
      <w:rPr>
        <w:color w:val="FFFFFF" w:themeColor="background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GoBack"/>
  <w:p w:rsidR="007B558F" w:rsidRPr="00DB484F" w:rsidRDefault="00063FA8" w:rsidP="00540005">
    <w:pPr>
      <w:pStyle w:val="Footer"/>
      <w:tabs>
        <w:tab w:val="clear" w:pos="5954"/>
        <w:tab w:val="clear" w:pos="9639"/>
        <w:tab w:val="left" w:pos="7088"/>
        <w:tab w:val="right" w:pos="13892"/>
      </w:tabs>
      <w:rPr>
        <w:color w:val="FFFFFF" w:themeColor="background1"/>
        <w:lang w:val="en-US"/>
      </w:rPr>
    </w:pP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FILENAME \p \* MERGEFORMAT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  <w:lang w:val="en-US"/>
      </w:rPr>
      <w:t>P</w:t>
    </w:r>
    <w:r w:rsidRPr="00DB484F">
      <w:rPr>
        <w:color w:val="FFFFFF" w:themeColor="background1"/>
      </w:rPr>
      <w:t>:\CHI\SG\CONF-SG\PP14\000\069C.docx</w:t>
    </w:r>
    <w:r w:rsidRPr="00DB484F">
      <w:rPr>
        <w:color w:val="FFFFFF" w:themeColor="background1"/>
      </w:rPr>
      <w:fldChar w:fldCharType="end"/>
    </w:r>
    <w:r w:rsidR="00540005" w:rsidRPr="00DB484F">
      <w:rPr>
        <w:color w:val="FFFFFF" w:themeColor="background1"/>
      </w:rPr>
      <w:t xml:space="preserve"> (368883)</w:t>
    </w:r>
    <w:r w:rsidR="007B558F" w:rsidRPr="00DB484F">
      <w:rPr>
        <w:color w:val="FFFFFF" w:themeColor="background1"/>
        <w:lang w:val="en-US"/>
      </w:rPr>
      <w:tab/>
    </w:r>
    <w:r w:rsidR="005A6A1D" w:rsidRPr="00DB484F">
      <w:rPr>
        <w:color w:val="FFFFFF" w:themeColor="background1"/>
      </w:rPr>
      <w:fldChar w:fldCharType="begin"/>
    </w:r>
    <w:r w:rsidR="007B558F" w:rsidRPr="00DB484F">
      <w:rPr>
        <w:color w:val="FFFFFF" w:themeColor="background1"/>
      </w:rPr>
      <w:instrText xml:space="preserve"> savedate \@ dd.MM.yy </w:instrText>
    </w:r>
    <w:r w:rsidR="005A6A1D" w:rsidRPr="00DB484F">
      <w:rPr>
        <w:color w:val="FFFFFF" w:themeColor="background1"/>
      </w:rPr>
      <w:fldChar w:fldCharType="separate"/>
    </w:r>
    <w:r w:rsidR="00DB484F" w:rsidRPr="00DB484F">
      <w:rPr>
        <w:color w:val="FFFFFF" w:themeColor="background1"/>
      </w:rPr>
      <w:t>03.10.14</w:t>
    </w:r>
    <w:r w:rsidR="005A6A1D" w:rsidRPr="00DB484F">
      <w:rPr>
        <w:color w:val="FFFFFF" w:themeColor="background1"/>
      </w:rPr>
      <w:fldChar w:fldCharType="end"/>
    </w:r>
    <w:r w:rsidR="007B558F" w:rsidRPr="00DB484F">
      <w:rPr>
        <w:color w:val="FFFFFF" w:themeColor="background1"/>
        <w:lang w:val="en-US"/>
      </w:rPr>
      <w:tab/>
    </w:r>
    <w:r w:rsidR="005A6A1D" w:rsidRPr="00DB484F">
      <w:rPr>
        <w:color w:val="FFFFFF" w:themeColor="background1"/>
      </w:rPr>
      <w:fldChar w:fldCharType="begin"/>
    </w:r>
    <w:r w:rsidR="007B558F" w:rsidRPr="00DB484F">
      <w:rPr>
        <w:color w:val="FFFFFF" w:themeColor="background1"/>
      </w:rPr>
      <w:instrText xml:space="preserve"> printdate \@ dd.MM.yy </w:instrText>
    </w:r>
    <w:r w:rsidR="005A6A1D"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03.10.14</w:t>
    </w:r>
    <w:r w:rsidR="005A6A1D" w:rsidRPr="00DB484F">
      <w:rPr>
        <w:color w:val="FFFFFF" w:themeColor="background1"/>
      </w:rPr>
      <w:fldChar w:fldCharType="end"/>
    </w:r>
    <w:bookmarkEnd w:id="8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DB484F" w:rsidRDefault="00063FA8" w:rsidP="00540005">
    <w:pPr>
      <w:pStyle w:val="Footer"/>
      <w:tabs>
        <w:tab w:val="clear" w:pos="5954"/>
        <w:tab w:val="clear" w:pos="9639"/>
        <w:tab w:val="left" w:pos="7088"/>
        <w:tab w:val="right" w:pos="13608"/>
      </w:tabs>
      <w:rPr>
        <w:color w:val="FFFFFF" w:themeColor="background1"/>
      </w:rPr>
    </w:pP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FILENAME \p \* MERGEFORMAT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P:\CHI\SG\CONF-SG\PP14\000\069C.docx</w:t>
    </w:r>
    <w:r w:rsidRPr="00DB484F">
      <w:rPr>
        <w:color w:val="FFFFFF" w:themeColor="background1"/>
      </w:rPr>
      <w:fldChar w:fldCharType="end"/>
    </w:r>
    <w:r w:rsidR="00540005" w:rsidRPr="00DB484F">
      <w:rPr>
        <w:color w:val="FFFFFF" w:themeColor="background1"/>
      </w:rPr>
      <w:t xml:space="preserve"> (368883)</w:t>
    </w:r>
    <w:r w:rsidR="007B558F" w:rsidRPr="00DB484F">
      <w:rPr>
        <w:color w:val="FFFFFF" w:themeColor="background1"/>
      </w:rPr>
      <w:tab/>
    </w:r>
    <w:r w:rsidR="005A6A1D" w:rsidRPr="00DB484F">
      <w:rPr>
        <w:color w:val="FFFFFF" w:themeColor="background1"/>
      </w:rPr>
      <w:fldChar w:fldCharType="begin"/>
    </w:r>
    <w:r w:rsidR="007B558F" w:rsidRPr="00DB484F">
      <w:rPr>
        <w:color w:val="FFFFFF" w:themeColor="background1"/>
      </w:rPr>
      <w:instrText xml:space="preserve"> savedate \@ dd.MM.yy </w:instrText>
    </w:r>
    <w:r w:rsidR="005A6A1D" w:rsidRPr="00DB484F">
      <w:rPr>
        <w:color w:val="FFFFFF" w:themeColor="background1"/>
      </w:rPr>
      <w:fldChar w:fldCharType="separate"/>
    </w:r>
    <w:r w:rsidR="00DB484F" w:rsidRPr="00DB484F">
      <w:rPr>
        <w:color w:val="FFFFFF" w:themeColor="background1"/>
      </w:rPr>
      <w:t>03.10.14</w:t>
    </w:r>
    <w:r w:rsidR="005A6A1D" w:rsidRPr="00DB484F">
      <w:rPr>
        <w:color w:val="FFFFFF" w:themeColor="background1"/>
      </w:rPr>
      <w:fldChar w:fldCharType="end"/>
    </w:r>
    <w:r w:rsidR="007B558F" w:rsidRPr="00DB484F">
      <w:rPr>
        <w:color w:val="FFFFFF" w:themeColor="background1"/>
      </w:rPr>
      <w:tab/>
    </w:r>
    <w:r w:rsidR="005A6A1D" w:rsidRPr="00DB484F">
      <w:rPr>
        <w:color w:val="FFFFFF" w:themeColor="background1"/>
      </w:rPr>
      <w:fldChar w:fldCharType="begin"/>
    </w:r>
    <w:r w:rsidR="007B558F" w:rsidRPr="00DB484F">
      <w:rPr>
        <w:color w:val="FFFFFF" w:themeColor="background1"/>
      </w:rPr>
      <w:instrText xml:space="preserve"> printdate \@ dd.MM.yy </w:instrText>
    </w:r>
    <w:r w:rsidR="005A6A1D"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03.10.14</w:t>
    </w:r>
    <w:r w:rsidR="005A6A1D" w:rsidRPr="00DB484F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DD" w:rsidRDefault="009400DD">
      <w:r>
        <w:t>____________________</w:t>
      </w:r>
    </w:p>
  </w:footnote>
  <w:footnote w:type="continuationSeparator" w:id="0">
    <w:p w:rsidR="009400DD" w:rsidRDefault="0094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4F" w:rsidRDefault="00DB48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B3F" w:rsidRDefault="00FF4B3F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DB484F">
      <w:rPr>
        <w:noProof/>
      </w:rPr>
      <w:t>2</w:t>
    </w:r>
    <w:r>
      <w:fldChar w:fldCharType="end"/>
    </w:r>
  </w:p>
  <w:p w:rsidR="00FF4B3F" w:rsidRDefault="00FF4B3F" w:rsidP="00FF4B3F">
    <w:pPr>
      <w:pStyle w:val="Header"/>
    </w:pPr>
    <w:r>
      <w:t>PP14/69-C</w:t>
    </w:r>
  </w:p>
  <w:p w:rsidR="00FF4B3F" w:rsidRDefault="00FF4B3F" w:rsidP="00CE1B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4F" w:rsidRDefault="00DB48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B484F">
      <w:rPr>
        <w:noProof/>
      </w:rPr>
      <w:t>4</w:t>
    </w:r>
    <w:r>
      <w:fldChar w:fldCharType="end"/>
    </w:r>
  </w:p>
  <w:p w:rsidR="00811D55" w:rsidRPr="00C710E5" w:rsidRDefault="00540005" w:rsidP="00811D55">
    <w:pPr>
      <w:pStyle w:val="Header"/>
    </w:pPr>
    <w:r>
      <w:t>PP14/69</w:t>
    </w:r>
    <w:r w:rsidR="00811D55">
      <w:t>-</w:t>
    </w:r>
    <w:r w:rsidR="00811D55" w:rsidRPr="00C929E0">
      <w:t>C</w:t>
    </w:r>
  </w:p>
  <w:p w:rsidR="00C710E5" w:rsidRPr="00811D55" w:rsidRDefault="00C710E5" w:rsidP="00811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3F"/>
    <w:rsid w:val="000134DB"/>
    <w:rsid w:val="00014808"/>
    <w:rsid w:val="00040A47"/>
    <w:rsid w:val="00057B6E"/>
    <w:rsid w:val="00063FA8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2155B0"/>
    <w:rsid w:val="00217A36"/>
    <w:rsid w:val="00226275"/>
    <w:rsid w:val="00231ABC"/>
    <w:rsid w:val="00241DDB"/>
    <w:rsid w:val="002578B4"/>
    <w:rsid w:val="002A01CA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0005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E708A"/>
    <w:rsid w:val="006F0211"/>
    <w:rsid w:val="007075E6"/>
    <w:rsid w:val="007235A4"/>
    <w:rsid w:val="007258E8"/>
    <w:rsid w:val="0073319E"/>
    <w:rsid w:val="007376C5"/>
    <w:rsid w:val="00750829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726C7"/>
    <w:rsid w:val="008B44F5"/>
    <w:rsid w:val="008D3BE2"/>
    <w:rsid w:val="008D7300"/>
    <w:rsid w:val="008E4324"/>
    <w:rsid w:val="008E45D4"/>
    <w:rsid w:val="008E6AE7"/>
    <w:rsid w:val="008E6BC6"/>
    <w:rsid w:val="008F15CA"/>
    <w:rsid w:val="008F1FAB"/>
    <w:rsid w:val="00904E65"/>
    <w:rsid w:val="00905B6A"/>
    <w:rsid w:val="009400DD"/>
    <w:rsid w:val="00950E0F"/>
    <w:rsid w:val="0099173A"/>
    <w:rsid w:val="009A47A2"/>
    <w:rsid w:val="009C4B97"/>
    <w:rsid w:val="009D1E93"/>
    <w:rsid w:val="00A03693"/>
    <w:rsid w:val="00A23536"/>
    <w:rsid w:val="00A6085C"/>
    <w:rsid w:val="00A62DA7"/>
    <w:rsid w:val="00A96EB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24F79"/>
    <w:rsid w:val="00B32031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8700B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82A9F"/>
    <w:rsid w:val="00D97614"/>
    <w:rsid w:val="00DB484F"/>
    <w:rsid w:val="00DD26B1"/>
    <w:rsid w:val="00DF23FC"/>
    <w:rsid w:val="00DF39CD"/>
    <w:rsid w:val="00DF51DD"/>
    <w:rsid w:val="00E121F2"/>
    <w:rsid w:val="00E26F09"/>
    <w:rsid w:val="00E56E57"/>
    <w:rsid w:val="00E966CC"/>
    <w:rsid w:val="00EC6042"/>
    <w:rsid w:val="00EE2CBC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63DE"/>
    <w:rsid w:val="00FD7B1D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08F41C-B184-4D4A-A204-7F5581E6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SpecialFooter">
    <w:name w:val="Special Footer"/>
    <w:basedOn w:val="Footer"/>
    <w:rsid w:val="00FF4B3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HeaderChar">
    <w:name w:val="Header Char"/>
    <w:basedOn w:val="DefaultParagraphFont"/>
    <w:link w:val="Header"/>
    <w:rsid w:val="00FF4B3F"/>
    <w:rPr>
      <w:rFonts w:ascii="Calibri" w:eastAsia="SimSun" w:hAnsi="Calibri"/>
      <w:sz w:val="18"/>
      <w:lang w:val="en-GB" w:eastAsia="en-US"/>
    </w:rPr>
  </w:style>
  <w:style w:type="paragraph" w:customStyle="1" w:styleId="VolumeTitle">
    <w:name w:val="VolumeTitle"/>
    <w:basedOn w:val="Normal"/>
    <w:next w:val="Normal"/>
    <w:rsid w:val="00FF4B3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FF4B3F"/>
  </w:style>
  <w:style w:type="paragraph" w:customStyle="1" w:styleId="OP">
    <w:name w:val="OP"/>
    <w:basedOn w:val="Normal"/>
    <w:next w:val="Normal"/>
    <w:qFormat/>
    <w:rsid w:val="00FF4B3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rFonts w:eastAsia="Times New Roman"/>
      <w:b/>
      <w:sz w:val="32"/>
    </w:rPr>
  </w:style>
  <w:style w:type="paragraph" w:customStyle="1" w:styleId="OPtitle">
    <w:name w:val="OP_title"/>
    <w:basedOn w:val="Normal"/>
    <w:next w:val="Normalaftertitle"/>
    <w:qFormat/>
    <w:rsid w:val="00FF4B3F"/>
    <w:pPr>
      <w:jc w:val="center"/>
    </w:pPr>
    <w:rPr>
      <w:rFonts w:eastAsia="Times New Roman"/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FF4B3F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FF4B3F"/>
    <w:pPr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FF4B3F"/>
    <w:rPr>
      <w:rFonts w:ascii="Calibri" w:eastAsia="SimSun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FF4B3F"/>
    <w:rPr>
      <w:rFonts w:ascii="STKaiti" w:eastAsia="STKaiti" w:hAnsi="STKaiti"/>
      <w:sz w:val="24"/>
      <w:lang w:val="en-GB" w:eastAsia="en-US"/>
    </w:rPr>
  </w:style>
  <w:style w:type="table" w:styleId="TableGrid">
    <w:name w:val="Table Grid"/>
    <w:basedOn w:val="TableNormal"/>
    <w:rsid w:val="00FF4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DefaultParagraphFont"/>
    <w:rsid w:val="006E708A"/>
    <w:rPr>
      <w:rFonts w:ascii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38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2970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Chen, Meng</dc:creator>
  <cp:keywords>PP-06</cp:keywords>
  <dc:description>PC_PP10.dotx  For: _x000d_Document date: _x000d_Saved by ITU51009317 at 11:14:59 on 19/03/2013</dc:description>
  <cp:lastModifiedBy>Domingo Mejias, Luisa</cp:lastModifiedBy>
  <cp:revision>7</cp:revision>
  <cp:lastPrinted>2014-10-03T12:45:00Z</cp:lastPrinted>
  <dcterms:created xsi:type="dcterms:W3CDTF">2014-10-02T15:43:00Z</dcterms:created>
  <dcterms:modified xsi:type="dcterms:W3CDTF">2014-10-07T08:09:00Z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