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69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  <w:shd w:val="clear" w:color="auto" w:fill="auto"/>
          </w:tcPr>
          <w:p w:rsidR="001A16ED" w:rsidRPr="00D96B4B" w:rsidRDefault="001A16ED" w:rsidP="00E47071">
            <w:pPr>
              <w:spacing w:before="0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1</w:t>
            </w:r>
            <w:r w:rsidR="00E47071">
              <w:rPr>
                <w:rFonts w:cstheme="minorHAnsi"/>
                <w:b/>
                <w:szCs w:val="24"/>
              </w:rPr>
              <w:t>8</w:t>
            </w:r>
            <w:r w:rsidRPr="00D96B4B">
              <w:rPr>
                <w:rFonts w:cstheme="minorHAnsi"/>
                <w:b/>
                <w:szCs w:val="24"/>
              </w:rPr>
              <w:t xml:space="preserve"> September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</w:tbl>
    <w:bookmarkEnd w:id="7"/>
    <w:bookmarkEnd w:id="8"/>
    <w:p w:rsidR="001A16ED" w:rsidRDefault="00F42C6B" w:rsidP="005A2B2A">
      <w:pPr>
        <w:spacing w:before="360"/>
        <w:rPr>
          <w:szCs w:val="24"/>
        </w:rPr>
      </w:pPr>
      <w:r w:rsidRPr="005E1606">
        <w:rPr>
          <w:szCs w:val="24"/>
        </w:rPr>
        <w:t xml:space="preserve">The table below lists the African Telecommunication Union </w:t>
      </w:r>
      <w:r>
        <w:rPr>
          <w:szCs w:val="24"/>
        </w:rPr>
        <w:t xml:space="preserve">Proposals to ITU PP-14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  <w:bookmarkStart w:id="9" w:name="_GoBack"/>
      <w:bookmarkEnd w:id="9"/>
    </w:p>
    <w:p w:rsidR="00F42C6B" w:rsidRDefault="00F42C6B" w:rsidP="00AB2D04"/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8364"/>
      </w:tblGrid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AB2D04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</w:t>
            </w:r>
          </w:p>
        </w:tc>
        <w:tc>
          <w:tcPr>
            <w:tcW w:w="8364" w:type="dxa"/>
          </w:tcPr>
          <w:p w:rsidR="005B4FAA" w:rsidRDefault="005B4FAA" w:rsidP="00AB2D04">
            <w:r>
              <w:t>(MOD): Editorial modifications to Article 36 of the Convention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5B4FAA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/2</w:t>
            </w:r>
          </w:p>
        </w:tc>
        <w:tc>
          <w:tcPr>
            <w:tcW w:w="8364" w:type="dxa"/>
          </w:tcPr>
          <w:p w:rsidR="005B4FAA" w:rsidRDefault="005B4FAA" w:rsidP="005B4FAA">
            <w:r>
              <w:t>(MOD): Editorial modif</w:t>
            </w:r>
            <w:r w:rsidR="00D43218">
              <w:t>i</w:t>
            </w:r>
            <w:r>
              <w:t>cations to No.</w:t>
            </w:r>
            <w:r w:rsidRPr="001C703B">
              <w:t xml:space="preserve"> 496</w:t>
            </w:r>
            <w:r>
              <w:t xml:space="preserve"> of the Convention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E22C35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/3</w:t>
            </w:r>
          </w:p>
        </w:tc>
        <w:tc>
          <w:tcPr>
            <w:tcW w:w="8364" w:type="dxa"/>
          </w:tcPr>
          <w:p w:rsidR="005B4FAA" w:rsidRDefault="005B4FAA" w:rsidP="005B4FAA">
            <w:r>
              <w:t>(MOD): Editorial modif</w:t>
            </w:r>
            <w:r w:rsidR="00D43218">
              <w:t>i</w:t>
            </w:r>
            <w:r>
              <w:t>cations to No.500 of the Convention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AB2D04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/4</w:t>
            </w:r>
          </w:p>
        </w:tc>
        <w:tc>
          <w:tcPr>
            <w:tcW w:w="8364" w:type="dxa"/>
          </w:tcPr>
          <w:p w:rsidR="005B4FAA" w:rsidRDefault="005B4FAA" w:rsidP="00AB2D04">
            <w:r>
              <w:t xml:space="preserve">MOD to Decision 12 (Guadalajara, 2010): </w:t>
            </w:r>
            <w:r w:rsidRPr="0098558C">
              <w:t>Free online access to ITU publications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E22C35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/5</w:t>
            </w:r>
          </w:p>
        </w:tc>
        <w:tc>
          <w:tcPr>
            <w:tcW w:w="8364" w:type="dxa"/>
          </w:tcPr>
          <w:p w:rsidR="005B4FAA" w:rsidRDefault="005B4FAA" w:rsidP="009C48E1">
            <w:r>
              <w:t>MOD to Resolution 21 (Rev. Antalya, 2006): Special measures concerning alternative calling procedures on international telecommunication networks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E22C35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/6</w:t>
            </w:r>
          </w:p>
        </w:tc>
        <w:tc>
          <w:tcPr>
            <w:tcW w:w="8364" w:type="dxa"/>
          </w:tcPr>
          <w:p w:rsidR="005B4FAA" w:rsidRDefault="005B4FAA" w:rsidP="00E22C35">
            <w:r>
              <w:t xml:space="preserve">MOD to Resolution 64 (Rev. Guadalajara, 2010): </w:t>
            </w:r>
            <w:r w:rsidRPr="000023EE">
              <w:t>Non-discriminatory access to modern telecommunication/information and communication technology facilities, services and applications, including applied research and transfer of technology, on mutually agreed terms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AB2D04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/7</w:t>
            </w:r>
          </w:p>
        </w:tc>
        <w:tc>
          <w:tcPr>
            <w:tcW w:w="8364" w:type="dxa"/>
          </w:tcPr>
          <w:p w:rsidR="005B4FAA" w:rsidRDefault="005B4FAA" w:rsidP="005B4FAA">
            <w:r>
              <w:t xml:space="preserve">MOD to Resolution 70 (Rev. Guadalajara, 2010): </w:t>
            </w:r>
            <w:r w:rsidRPr="0053530B">
              <w:t>Gender mainstreaming in ITU and promotion of gender equality and the empowerment of women through information and communication technologies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E22C35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/8</w:t>
            </w:r>
          </w:p>
        </w:tc>
        <w:tc>
          <w:tcPr>
            <w:tcW w:w="8364" w:type="dxa"/>
          </w:tcPr>
          <w:p w:rsidR="005B4FAA" w:rsidRDefault="005B4FAA" w:rsidP="005B4FAA">
            <w:r>
              <w:t xml:space="preserve">MOD to Resolution 139 (Rev. Guadalajara, 2010): </w:t>
            </w:r>
            <w:r w:rsidRPr="009F02EF">
              <w:t>Telecommunications/information and communication technologies to bridge the digital divide and build an inclusive information society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5B4FAA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/9</w:t>
            </w:r>
          </w:p>
        </w:tc>
        <w:tc>
          <w:tcPr>
            <w:tcW w:w="8364" w:type="dxa"/>
          </w:tcPr>
          <w:p w:rsidR="005B4FAA" w:rsidRDefault="005B4FAA" w:rsidP="00BB6715">
            <w:r>
              <w:t>MOD to Resolution 146 (</w:t>
            </w:r>
            <w:r w:rsidR="00BB6715">
              <w:t>Antalya, 2006</w:t>
            </w:r>
            <w:r>
              <w:t>): Review of the International Telecommunication Regulations</w:t>
            </w:r>
          </w:p>
        </w:tc>
      </w:tr>
      <w:tr w:rsidR="00BB6715" w:rsidTr="00F42C6B">
        <w:trPr>
          <w:jc w:val="center"/>
        </w:trPr>
        <w:tc>
          <w:tcPr>
            <w:tcW w:w="1696" w:type="dxa"/>
          </w:tcPr>
          <w:p w:rsidR="00BB6715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/10</w:t>
            </w:r>
          </w:p>
        </w:tc>
        <w:tc>
          <w:tcPr>
            <w:tcW w:w="8364" w:type="dxa"/>
          </w:tcPr>
          <w:p w:rsidR="00BB6715" w:rsidRDefault="00BB6715" w:rsidP="00BB6715">
            <w:r>
              <w:t xml:space="preserve">SUP to Resolution 163 (Guadalajara, 2010): </w:t>
            </w:r>
            <w:r w:rsidRPr="00922755">
              <w:t>Establishment of a Council working group on a</w:t>
            </w:r>
            <w:r w:rsidR="00E47071">
              <w:t xml:space="preserve"> </w:t>
            </w:r>
            <w:r w:rsidRPr="00922755">
              <w:t>stable ITU Constitution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/11</w:t>
            </w:r>
          </w:p>
        </w:tc>
        <w:tc>
          <w:tcPr>
            <w:tcW w:w="8364" w:type="dxa"/>
          </w:tcPr>
          <w:p w:rsidR="005B4FAA" w:rsidRDefault="00BB6715" w:rsidP="00BB6715">
            <w:r>
              <w:t xml:space="preserve">MOD to Resolution 167 (Guadalajara, 2010): </w:t>
            </w:r>
            <w:r w:rsidRPr="00B16F6D">
              <w:t>Strengthening ITU capabilities for electronic meetings and means to advance the work of the Union</w:t>
            </w:r>
          </w:p>
        </w:tc>
      </w:tr>
      <w:tr w:rsidR="005B4FAA" w:rsidTr="00F42C6B">
        <w:trPr>
          <w:jc w:val="center"/>
        </w:trPr>
        <w:tc>
          <w:tcPr>
            <w:tcW w:w="1696" w:type="dxa"/>
          </w:tcPr>
          <w:p w:rsidR="005B4FAA" w:rsidRPr="005A2B2A" w:rsidRDefault="00BB6715" w:rsidP="00E05F51">
            <w:pPr>
              <w:keepNext/>
              <w:keepLines/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/12</w:t>
            </w:r>
          </w:p>
        </w:tc>
        <w:tc>
          <w:tcPr>
            <w:tcW w:w="8364" w:type="dxa"/>
          </w:tcPr>
          <w:p w:rsidR="005B4FAA" w:rsidRDefault="00BB6715" w:rsidP="00E05F51">
            <w:pPr>
              <w:keepNext/>
              <w:keepLines/>
            </w:pPr>
            <w:r>
              <w:t xml:space="preserve">MOD to Resolution 175 (Guadalajara, 2010): </w:t>
            </w:r>
            <w:r w:rsidRPr="008E4604">
              <w:t>Telecommunication/information and communication technology</w:t>
            </w:r>
            <w:r w:rsidR="00E47071">
              <w:t xml:space="preserve"> </w:t>
            </w:r>
            <w:r w:rsidRPr="008E4604">
              <w:t>accessibility for persons with disabilities, including age-related disabilities</w:t>
            </w:r>
          </w:p>
        </w:tc>
      </w:tr>
      <w:tr w:rsidR="00BB6715" w:rsidTr="00F42C6B">
        <w:trPr>
          <w:jc w:val="center"/>
        </w:trPr>
        <w:tc>
          <w:tcPr>
            <w:tcW w:w="1696" w:type="dxa"/>
          </w:tcPr>
          <w:p w:rsidR="00BB6715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lastRenderedPageBreak/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/13</w:t>
            </w:r>
          </w:p>
        </w:tc>
        <w:tc>
          <w:tcPr>
            <w:tcW w:w="8364" w:type="dxa"/>
          </w:tcPr>
          <w:p w:rsidR="00BB6715" w:rsidRDefault="00BB6715" w:rsidP="00BB6715">
            <w:r>
              <w:t xml:space="preserve">MOD to Resolution 176 (Guadalajara, 2010): </w:t>
            </w:r>
            <w:r w:rsidRPr="008E4604">
              <w:t>Human exposure to and measurement of electromagnetic fields</w:t>
            </w:r>
          </w:p>
        </w:tc>
      </w:tr>
      <w:tr w:rsidR="00BB6715" w:rsidTr="00F42C6B">
        <w:trPr>
          <w:jc w:val="center"/>
        </w:trPr>
        <w:tc>
          <w:tcPr>
            <w:tcW w:w="1696" w:type="dxa"/>
          </w:tcPr>
          <w:p w:rsidR="00BB6715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/14</w:t>
            </w:r>
          </w:p>
        </w:tc>
        <w:tc>
          <w:tcPr>
            <w:tcW w:w="8364" w:type="dxa"/>
          </w:tcPr>
          <w:p w:rsidR="00BB6715" w:rsidRDefault="00BB6715" w:rsidP="00BB6715">
            <w:r>
              <w:t xml:space="preserve">MOD to Resolution 182 (Guadalajara, 2010): </w:t>
            </w:r>
            <w:r w:rsidRPr="0098395B">
              <w:t>The role of telecommunications/information and communication technologies</w:t>
            </w:r>
            <w:r w:rsidR="00E47071">
              <w:t xml:space="preserve"> </w:t>
            </w:r>
            <w:r w:rsidRPr="0098395B">
              <w:t>in regard to climate change and the protection of the environment</w:t>
            </w:r>
          </w:p>
        </w:tc>
      </w:tr>
      <w:tr w:rsidR="00BB6715" w:rsidTr="00F42C6B">
        <w:trPr>
          <w:jc w:val="center"/>
        </w:trPr>
        <w:tc>
          <w:tcPr>
            <w:tcW w:w="1696" w:type="dxa"/>
          </w:tcPr>
          <w:p w:rsidR="00BB6715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/15</w:t>
            </w:r>
          </w:p>
        </w:tc>
        <w:tc>
          <w:tcPr>
            <w:tcW w:w="8364" w:type="dxa"/>
          </w:tcPr>
          <w:p w:rsidR="00BB6715" w:rsidRDefault="00BB6715" w:rsidP="00BB6715">
            <w:r>
              <w:t xml:space="preserve">Draft New Resolution [AFCP-1]: </w:t>
            </w:r>
            <w:r w:rsidRPr="00CF68C1">
              <w:t>Extension Term of the Council Working Group on the Stable Constitution</w:t>
            </w:r>
          </w:p>
        </w:tc>
      </w:tr>
      <w:tr w:rsidR="00BB6715" w:rsidTr="00F42C6B">
        <w:trPr>
          <w:jc w:val="center"/>
        </w:trPr>
        <w:tc>
          <w:tcPr>
            <w:tcW w:w="1696" w:type="dxa"/>
          </w:tcPr>
          <w:p w:rsidR="00BB6715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/16</w:t>
            </w:r>
          </w:p>
        </w:tc>
        <w:tc>
          <w:tcPr>
            <w:tcW w:w="8364" w:type="dxa"/>
          </w:tcPr>
          <w:p w:rsidR="00BB6715" w:rsidRDefault="00BB6715" w:rsidP="00BB6715">
            <w:r>
              <w:t xml:space="preserve">Draft New Resolution [AFCP-2]: </w:t>
            </w:r>
            <w:r w:rsidRPr="00524885">
              <w:t>Non-discriminatory access to online Services and Applications used by ITU</w:t>
            </w:r>
          </w:p>
        </w:tc>
      </w:tr>
      <w:tr w:rsidR="00BB6715" w:rsidTr="00F42C6B">
        <w:trPr>
          <w:jc w:val="center"/>
        </w:trPr>
        <w:tc>
          <w:tcPr>
            <w:tcW w:w="1696" w:type="dxa"/>
          </w:tcPr>
          <w:p w:rsidR="00BB6715" w:rsidRPr="005A2B2A" w:rsidRDefault="00BB6715" w:rsidP="00E05F51">
            <w:pPr>
              <w:rPr>
                <w:b/>
                <w:bCs/>
              </w:rPr>
            </w:pPr>
            <w:r w:rsidRPr="005A2B2A">
              <w:rPr>
                <w:b/>
                <w:bCs/>
              </w:rPr>
              <w:t>AFCP/69</w:t>
            </w:r>
            <w:r w:rsidR="00E05F51">
              <w:rPr>
                <w:b/>
                <w:bCs/>
              </w:rPr>
              <w:t>A1</w:t>
            </w:r>
            <w:r w:rsidRPr="005A2B2A">
              <w:rPr>
                <w:b/>
                <w:bCs/>
              </w:rPr>
              <w:t>/17</w:t>
            </w:r>
          </w:p>
        </w:tc>
        <w:tc>
          <w:tcPr>
            <w:tcW w:w="8364" w:type="dxa"/>
          </w:tcPr>
          <w:p w:rsidR="00BB6715" w:rsidRDefault="00BB6715" w:rsidP="00E22C35">
            <w:r>
              <w:t xml:space="preserve">Draft New Resolution [AFCP-3]: </w:t>
            </w:r>
            <w:r w:rsidRPr="007478DB">
              <w:t>Global flight tracking</w:t>
            </w:r>
          </w:p>
        </w:tc>
      </w:tr>
    </w:tbl>
    <w:p w:rsidR="005B4FAA" w:rsidRDefault="005B4FAA" w:rsidP="00AB2D04"/>
    <w:p w:rsidR="00F42C6B" w:rsidRDefault="00F42C6B" w:rsidP="00AB2D04">
      <w:pPr>
        <w:sectPr w:rsidR="00F42C6B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5A2B2A">
      <w:pPr>
        <w:spacing w:before="360"/>
        <w:rPr>
          <w:szCs w:val="24"/>
        </w:rPr>
      </w:pPr>
      <w:r w:rsidRPr="005E1606">
        <w:rPr>
          <w:szCs w:val="24"/>
        </w:rPr>
        <w:lastRenderedPageBreak/>
        <w:t xml:space="preserve">The table below lists the African Telecommunication Union </w:t>
      </w:r>
      <w:r>
        <w:rPr>
          <w:szCs w:val="24"/>
        </w:rPr>
        <w:t xml:space="preserve">Proposals to ITU PP-14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p w:rsidR="005A2B2A" w:rsidRDefault="005A2B2A"/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42C6B" w:rsidRPr="00F42C6B" w:rsidTr="00E05F51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42C6B" w:rsidRPr="00F42C6B" w:rsidRDefault="00F42C6B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Central Africa</w:t>
            </w:r>
            <w:r w:rsidR="00125206">
              <w:rPr>
                <w:rFonts w:asciiTheme="minorHAnsi" w:hAnsiTheme="minorHAnsi"/>
                <w:sz w:val="18"/>
                <w:szCs w:val="18"/>
                <w:lang w:val="fr-FR"/>
              </w:rPr>
              <w:t>n</w:t>
            </w:r>
            <w:r w:rsidR="00E47071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Republic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="00125206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125206" w:rsidRPr="00125206">
              <w:rPr>
                <w:rFonts w:asciiTheme="minorHAnsi" w:hAnsiTheme="minorHAnsi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E47071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Equa</w:t>
            </w:r>
            <w:r w:rsidR="00F42C6B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torial Guine</w:t>
            </w:r>
            <w:r w:rsidR="00F42C6B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Gabon</w:t>
            </w:r>
            <w:r w:rsidR="00125206">
              <w:rPr>
                <w:rFonts w:asciiTheme="minorHAnsi" w:hAnsiTheme="minorHAnsi"/>
                <w:sz w:val="18"/>
                <w:szCs w:val="18"/>
                <w:lang w:val="es-ES"/>
              </w:rPr>
              <w:t>ese Rep.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E47071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="00F42C6B"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E47071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E47071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Swaziland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C</w:t>
            </w:r>
            <w:r w:rsidR="00F42C6B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had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 w:rsidR="00125206"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E47071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E47071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E47071" w:rsidRDefault="00E14005" w:rsidP="00E1400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E47071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72"/>
        </w:trPr>
        <w:tc>
          <w:tcPr>
            <w:tcW w:w="2278" w:type="dxa"/>
            <w:gridSpan w:val="2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7931B3" w:rsidRDefault="00AF7F50" w:rsidP="00AF7F50">
      <w:pPr>
        <w:spacing w:before="840"/>
        <w:jc w:val="center"/>
      </w:pPr>
      <w:r>
        <w:t>____________________</w:t>
      </w:r>
    </w:p>
    <w:sectPr w:rsidR="007931B3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AE" w:rsidRDefault="00C97FAE">
      <w:r>
        <w:separator/>
      </w:r>
    </w:p>
  </w:endnote>
  <w:endnote w:type="continuationSeparator" w:id="0">
    <w:p w:rsidR="00C97FAE" w:rsidRDefault="00C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26D65" w:rsidRPr="00A516BB" w:rsidRDefault="00426D65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Pr="005A2B2A" w:rsidRDefault="005A2B2A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AE" w:rsidRDefault="00C97FAE">
      <w:r>
        <w:t>____________________</w:t>
      </w:r>
    </w:p>
  </w:footnote>
  <w:footnote w:type="continuationSeparator" w:id="0">
    <w:p w:rsidR="00C97FAE" w:rsidRDefault="00C9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AA533A" w:rsidP="00CE1B90">
    <w:pPr>
      <w:pStyle w:val="Header"/>
    </w:pPr>
    <w:r>
      <w:fldChar w:fldCharType="begin"/>
    </w:r>
    <w:r w:rsidR="00426D65">
      <w:instrText xml:space="preserve"> PAGE   \* MERGEFORMAT </w:instrText>
    </w:r>
    <w:r>
      <w:fldChar w:fldCharType="separate"/>
    </w:r>
    <w:r w:rsidR="00E47071">
      <w:rPr>
        <w:noProof/>
      </w:rPr>
      <w:t>2</w:t>
    </w:r>
    <w:r>
      <w:fldChar w:fldCharType="end"/>
    </w:r>
  </w:p>
  <w:p w:rsidR="00426D65" w:rsidRDefault="00426D65" w:rsidP="00CE1B90">
    <w:pPr>
      <w:pStyle w:val="Header"/>
    </w:pPr>
    <w:r>
      <w:t>PP14/69-E</w:t>
    </w:r>
  </w:p>
  <w:p w:rsidR="00AF7F50" w:rsidRDefault="00AF7F50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Default="00AA533A" w:rsidP="005A2B2A">
    <w:pPr>
      <w:pStyle w:val="Header"/>
    </w:pPr>
    <w:r>
      <w:fldChar w:fldCharType="begin"/>
    </w:r>
    <w:r w:rsidR="005A2B2A">
      <w:instrText xml:space="preserve"> PAGE   \* MERGEFORMAT </w:instrText>
    </w:r>
    <w:r>
      <w:fldChar w:fldCharType="separate"/>
    </w:r>
    <w:r w:rsidR="00E47071">
      <w:rPr>
        <w:noProof/>
      </w:rPr>
      <w:t>3</w:t>
    </w:r>
    <w:r>
      <w:fldChar w:fldCharType="end"/>
    </w:r>
  </w:p>
  <w:p w:rsidR="005A2B2A" w:rsidRDefault="005A2B2A" w:rsidP="005A2B2A">
    <w:pPr>
      <w:pStyle w:val="Header"/>
    </w:pPr>
    <w:r>
      <w:t>PP14/69-E</w:t>
    </w:r>
  </w:p>
  <w:p w:rsidR="005A2B2A" w:rsidRDefault="005A2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4079"/>
    <w:rsid w:val="00617BE4"/>
    <w:rsid w:val="00620233"/>
    <w:rsid w:val="00620361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D662B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48E1"/>
    <w:rsid w:val="009E425E"/>
    <w:rsid w:val="009E4322"/>
    <w:rsid w:val="009F4384"/>
    <w:rsid w:val="009F442D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7F50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674C"/>
    <w:rsid w:val="00ED401C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c8c8ecc-e78c-49c9-bdb9-5736d220f643"/>
  </ds:schemaRefs>
</ds:datastoreItem>
</file>

<file path=customXml/itemProps3.xml><?xml version="1.0" encoding="utf-8"?>
<ds:datastoreItem xmlns:ds="http://schemas.openxmlformats.org/officeDocument/2006/customXml" ds:itemID="{A0B96381-1B66-432F-BC80-09780D56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4952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2014-09-22T14:25:00Z</dcterms:created>
  <dcterms:modified xsi:type="dcterms:W3CDTF">2014-09-22T14:25:00Z</dcterms:modified>
  <cp:category>Conference document</cp:category>
</cp:coreProperties>
</file>