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F050BA" w:rsidTr="00682B62">
        <w:trPr>
          <w:cantSplit/>
        </w:trPr>
        <w:tc>
          <w:tcPr>
            <w:tcW w:w="6911" w:type="dxa"/>
          </w:tcPr>
          <w:p w:rsidR="00255FA1" w:rsidRPr="00F050BA" w:rsidRDefault="00255FA1" w:rsidP="006B6D52">
            <w:pPr>
              <w:rPr>
                <w:b/>
                <w:bCs/>
                <w:szCs w:val="24"/>
              </w:rPr>
            </w:pPr>
            <w:bookmarkStart w:id="0" w:name="dbreak"/>
            <w:bookmarkStart w:id="1" w:name="dpp"/>
            <w:bookmarkEnd w:id="0"/>
            <w:bookmarkEnd w:id="1"/>
            <w:r w:rsidRPr="00E67829">
              <w:rPr>
                <w:rStyle w:val="PageNumber"/>
                <w:rFonts w:cs="Times"/>
                <w:b/>
                <w:sz w:val="30"/>
                <w:szCs w:val="30"/>
              </w:rPr>
              <w:t>Conferencia de Plenipotenciarios (PP-14)</w:t>
            </w:r>
            <w:r w:rsidRPr="00F050BA">
              <w:rPr>
                <w:rStyle w:val="PageNumber"/>
                <w:rFonts w:cs="Times"/>
                <w:szCs w:val="24"/>
              </w:rPr>
              <w:br/>
            </w:r>
            <w:r w:rsidRPr="00F050BA">
              <w:rPr>
                <w:rStyle w:val="PageNumber"/>
                <w:b/>
                <w:bCs/>
                <w:szCs w:val="24"/>
              </w:rPr>
              <w:t>Bus</w:t>
            </w:r>
            <w:r w:rsidR="006B6D52" w:rsidRPr="00F050BA">
              <w:rPr>
                <w:rStyle w:val="PageNumber"/>
                <w:b/>
                <w:bCs/>
                <w:szCs w:val="24"/>
              </w:rPr>
              <w:t>á</w:t>
            </w:r>
            <w:r w:rsidRPr="00F050BA">
              <w:rPr>
                <w:rStyle w:val="PageNumber"/>
                <w:b/>
                <w:bCs/>
                <w:szCs w:val="24"/>
              </w:rPr>
              <w:t xml:space="preserve">n, </w:t>
            </w:r>
            <w:r w:rsidRPr="00F050BA">
              <w:rPr>
                <w:rStyle w:val="PageNumber"/>
                <w:b/>
                <w:szCs w:val="24"/>
              </w:rPr>
              <w:t>20 de octubre - 7 de noviembre de 2014</w:t>
            </w:r>
          </w:p>
        </w:tc>
        <w:tc>
          <w:tcPr>
            <w:tcW w:w="3120" w:type="dxa"/>
          </w:tcPr>
          <w:p w:rsidR="00255FA1" w:rsidRPr="00F050BA" w:rsidRDefault="00255FA1" w:rsidP="00682B62">
            <w:pPr>
              <w:spacing w:before="0" w:line="240" w:lineRule="atLeast"/>
              <w:rPr>
                <w:rFonts w:cstheme="minorHAnsi"/>
                <w:szCs w:val="24"/>
              </w:rPr>
            </w:pPr>
            <w:bookmarkStart w:id="2" w:name="ditulogo"/>
            <w:bookmarkEnd w:id="2"/>
            <w:r w:rsidRPr="00F050BA">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F050BA" w:rsidTr="00682B62">
        <w:trPr>
          <w:cantSplit/>
        </w:trPr>
        <w:tc>
          <w:tcPr>
            <w:tcW w:w="6911" w:type="dxa"/>
            <w:tcBorders>
              <w:bottom w:val="single" w:sz="12" w:space="0" w:color="auto"/>
            </w:tcBorders>
          </w:tcPr>
          <w:p w:rsidR="00255FA1" w:rsidRPr="00F050B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F050BA" w:rsidRDefault="00255FA1" w:rsidP="00682B62">
            <w:pPr>
              <w:spacing w:before="0" w:line="240" w:lineRule="atLeast"/>
              <w:rPr>
                <w:rFonts w:cstheme="minorHAnsi"/>
                <w:szCs w:val="24"/>
              </w:rPr>
            </w:pPr>
          </w:p>
        </w:tc>
      </w:tr>
      <w:tr w:rsidR="00255FA1" w:rsidRPr="00F050BA" w:rsidTr="00682B62">
        <w:trPr>
          <w:cantSplit/>
        </w:trPr>
        <w:tc>
          <w:tcPr>
            <w:tcW w:w="6911" w:type="dxa"/>
            <w:tcBorders>
              <w:top w:val="single" w:sz="12" w:space="0" w:color="auto"/>
            </w:tcBorders>
          </w:tcPr>
          <w:p w:rsidR="00255FA1" w:rsidRPr="00F050BA"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F050BA" w:rsidRDefault="00255FA1" w:rsidP="00682B62">
            <w:pPr>
              <w:spacing w:before="0" w:line="240" w:lineRule="atLeast"/>
              <w:rPr>
                <w:rFonts w:cstheme="minorHAnsi"/>
                <w:szCs w:val="24"/>
              </w:rPr>
            </w:pPr>
          </w:p>
        </w:tc>
      </w:tr>
      <w:bookmarkEnd w:id="3"/>
      <w:tr w:rsidR="00605474" w:rsidRPr="00F050BA" w:rsidTr="00682B62">
        <w:trPr>
          <w:cantSplit/>
        </w:trPr>
        <w:tc>
          <w:tcPr>
            <w:tcW w:w="6911" w:type="dxa"/>
          </w:tcPr>
          <w:p w:rsidR="00605474" w:rsidRPr="00F050BA" w:rsidRDefault="00605474" w:rsidP="00605474">
            <w:pPr>
              <w:pStyle w:val="Committee"/>
              <w:framePr w:hSpace="0" w:wrap="auto" w:hAnchor="text" w:yAlign="inline"/>
              <w:rPr>
                <w:rFonts w:ascii="Calibri" w:hAnsi="Calibri"/>
                <w:lang w:val="es-ES_tradnl"/>
              </w:rPr>
            </w:pPr>
            <w:r w:rsidRPr="00E67829">
              <w:t>SESIÓN PLENARIA</w:t>
            </w:r>
          </w:p>
        </w:tc>
        <w:tc>
          <w:tcPr>
            <w:tcW w:w="3120" w:type="dxa"/>
          </w:tcPr>
          <w:p w:rsidR="00605474" w:rsidRPr="00F050BA" w:rsidRDefault="00605474" w:rsidP="00DC5A96">
            <w:pPr>
              <w:spacing w:before="0" w:line="240" w:lineRule="atLeast"/>
              <w:rPr>
                <w:rFonts w:cstheme="minorHAnsi"/>
                <w:szCs w:val="24"/>
              </w:rPr>
            </w:pPr>
            <w:r w:rsidRPr="00F050BA">
              <w:rPr>
                <w:rFonts w:cstheme="minorHAnsi"/>
                <w:b/>
                <w:szCs w:val="24"/>
              </w:rPr>
              <w:t xml:space="preserve">Documento </w:t>
            </w:r>
            <w:r w:rsidR="00DC5A96">
              <w:rPr>
                <w:rFonts w:cstheme="minorHAnsi"/>
                <w:b/>
                <w:szCs w:val="24"/>
              </w:rPr>
              <w:t>71</w:t>
            </w:r>
            <w:r w:rsidRPr="00F050BA">
              <w:rPr>
                <w:rFonts w:cstheme="minorHAnsi"/>
                <w:b/>
                <w:szCs w:val="24"/>
              </w:rPr>
              <w:t>-S</w:t>
            </w:r>
          </w:p>
        </w:tc>
      </w:tr>
      <w:tr w:rsidR="00605474" w:rsidRPr="00F050BA" w:rsidTr="00682B62">
        <w:trPr>
          <w:cantSplit/>
        </w:trPr>
        <w:tc>
          <w:tcPr>
            <w:tcW w:w="6911" w:type="dxa"/>
          </w:tcPr>
          <w:p w:rsidR="00605474" w:rsidRPr="00F050BA" w:rsidRDefault="00605474" w:rsidP="00605474">
            <w:pPr>
              <w:spacing w:before="0" w:after="48" w:line="240" w:lineRule="atLeast"/>
              <w:rPr>
                <w:rFonts w:cstheme="minorHAnsi"/>
                <w:b/>
                <w:smallCaps/>
                <w:szCs w:val="24"/>
              </w:rPr>
            </w:pPr>
          </w:p>
        </w:tc>
        <w:tc>
          <w:tcPr>
            <w:tcW w:w="3120" w:type="dxa"/>
          </w:tcPr>
          <w:p w:rsidR="00605474" w:rsidRPr="00F050BA" w:rsidRDefault="00DC5A96" w:rsidP="00AA52FF">
            <w:pPr>
              <w:spacing w:before="0" w:line="240" w:lineRule="atLeast"/>
              <w:rPr>
                <w:rFonts w:cstheme="minorHAnsi"/>
                <w:b/>
                <w:szCs w:val="24"/>
              </w:rPr>
            </w:pPr>
            <w:r>
              <w:rPr>
                <w:rFonts w:cstheme="minorHAnsi"/>
                <w:b/>
                <w:szCs w:val="24"/>
              </w:rPr>
              <w:t>18 de septiembre</w:t>
            </w:r>
            <w:r w:rsidRPr="00F050BA">
              <w:rPr>
                <w:rFonts w:cstheme="minorHAnsi"/>
                <w:b/>
                <w:szCs w:val="24"/>
              </w:rPr>
              <w:t xml:space="preserve"> </w:t>
            </w:r>
            <w:r w:rsidR="00F5603D" w:rsidRPr="00F050BA">
              <w:rPr>
                <w:rFonts w:cstheme="minorHAnsi"/>
                <w:b/>
                <w:szCs w:val="24"/>
              </w:rPr>
              <w:t xml:space="preserve">de </w:t>
            </w:r>
            <w:r w:rsidR="00605474" w:rsidRPr="00F050BA">
              <w:rPr>
                <w:rFonts w:cstheme="minorHAnsi"/>
                <w:b/>
                <w:szCs w:val="24"/>
              </w:rPr>
              <w:t>201</w:t>
            </w:r>
            <w:r w:rsidR="00AA52FF" w:rsidRPr="00F050BA">
              <w:rPr>
                <w:rFonts w:cstheme="minorHAnsi"/>
                <w:b/>
                <w:szCs w:val="24"/>
              </w:rPr>
              <w:t>4</w:t>
            </w:r>
          </w:p>
        </w:tc>
      </w:tr>
      <w:tr w:rsidR="00605474" w:rsidRPr="00F050BA" w:rsidTr="00682B62">
        <w:trPr>
          <w:cantSplit/>
        </w:trPr>
        <w:tc>
          <w:tcPr>
            <w:tcW w:w="6911" w:type="dxa"/>
          </w:tcPr>
          <w:p w:rsidR="00605474" w:rsidRPr="00F050BA" w:rsidRDefault="00605474" w:rsidP="00605474">
            <w:pPr>
              <w:spacing w:before="0" w:after="48" w:line="240" w:lineRule="atLeast"/>
              <w:rPr>
                <w:rFonts w:cstheme="minorHAnsi"/>
                <w:b/>
                <w:smallCaps/>
                <w:szCs w:val="24"/>
              </w:rPr>
            </w:pPr>
          </w:p>
        </w:tc>
        <w:tc>
          <w:tcPr>
            <w:tcW w:w="3120" w:type="dxa"/>
          </w:tcPr>
          <w:p w:rsidR="00605474" w:rsidRPr="00F050BA" w:rsidRDefault="00605474" w:rsidP="00605474">
            <w:pPr>
              <w:spacing w:before="0" w:line="240" w:lineRule="atLeast"/>
              <w:rPr>
                <w:rFonts w:cstheme="minorHAnsi"/>
                <w:b/>
                <w:szCs w:val="24"/>
              </w:rPr>
            </w:pPr>
            <w:r w:rsidRPr="00F050BA">
              <w:rPr>
                <w:rFonts w:cstheme="minorHAnsi"/>
                <w:b/>
                <w:szCs w:val="24"/>
              </w:rPr>
              <w:t>Original: inglés</w:t>
            </w:r>
          </w:p>
        </w:tc>
      </w:tr>
      <w:tr w:rsidR="00605474" w:rsidRPr="00F050BA" w:rsidTr="00682B62">
        <w:trPr>
          <w:cantSplit/>
        </w:trPr>
        <w:tc>
          <w:tcPr>
            <w:tcW w:w="10031" w:type="dxa"/>
            <w:gridSpan w:val="2"/>
          </w:tcPr>
          <w:p w:rsidR="00605474" w:rsidRPr="00F050BA" w:rsidRDefault="00605474" w:rsidP="00605474">
            <w:pPr>
              <w:spacing w:before="0" w:line="240" w:lineRule="atLeast"/>
              <w:rPr>
                <w:rFonts w:cstheme="minorHAnsi"/>
                <w:b/>
                <w:szCs w:val="24"/>
              </w:rPr>
            </w:pPr>
          </w:p>
        </w:tc>
      </w:tr>
      <w:tr w:rsidR="00605474" w:rsidRPr="00F050BA" w:rsidTr="00682B62">
        <w:trPr>
          <w:cantSplit/>
        </w:trPr>
        <w:tc>
          <w:tcPr>
            <w:tcW w:w="10031" w:type="dxa"/>
            <w:gridSpan w:val="2"/>
          </w:tcPr>
          <w:p w:rsidR="00605474" w:rsidRPr="00BC4DF0" w:rsidRDefault="00173A08" w:rsidP="00BC4DF0">
            <w:pPr>
              <w:pStyle w:val="Source"/>
            </w:pPr>
            <w:bookmarkStart w:id="4" w:name="dsource" w:colFirst="0" w:colLast="0"/>
            <w:r w:rsidRPr="00BC4DF0">
              <w:t>Nota del Secretario General</w:t>
            </w:r>
          </w:p>
        </w:tc>
      </w:tr>
      <w:tr w:rsidR="00605474" w:rsidRPr="00F050BA" w:rsidTr="00682B62">
        <w:trPr>
          <w:cantSplit/>
        </w:trPr>
        <w:tc>
          <w:tcPr>
            <w:tcW w:w="10031" w:type="dxa"/>
            <w:gridSpan w:val="2"/>
          </w:tcPr>
          <w:p w:rsidR="00605474" w:rsidRPr="00F050BA" w:rsidRDefault="00173A08" w:rsidP="00BC4DF0">
            <w:pPr>
              <w:pStyle w:val="Title1"/>
            </w:pPr>
            <w:bookmarkStart w:id="5" w:name="dtitle1" w:colFirst="0" w:colLast="0"/>
            <w:bookmarkEnd w:id="4"/>
            <w:r w:rsidRPr="00BC4DF0">
              <w:t>CANDIDATURA</w:t>
            </w:r>
            <w:r w:rsidRPr="00F050BA">
              <w:t xml:space="preserve"> AL CARGO DE MIEMBRO DE LA JUNTA </w:t>
            </w:r>
            <w:r w:rsidRPr="00F050BA">
              <w:br/>
              <w:t>DEL REGLAMENTO DE RADIOCOMUNICACIONES</w:t>
            </w:r>
          </w:p>
        </w:tc>
      </w:tr>
      <w:tr w:rsidR="00605474" w:rsidRPr="00F050BA" w:rsidTr="00682B62">
        <w:trPr>
          <w:cantSplit/>
        </w:trPr>
        <w:tc>
          <w:tcPr>
            <w:tcW w:w="10031" w:type="dxa"/>
            <w:gridSpan w:val="2"/>
          </w:tcPr>
          <w:p w:rsidR="00605474" w:rsidRPr="00F050BA" w:rsidRDefault="00605474" w:rsidP="00605474">
            <w:pPr>
              <w:pStyle w:val="Title2"/>
              <w:rPr>
                <w:sz w:val="24"/>
                <w:szCs w:val="24"/>
              </w:rPr>
            </w:pPr>
            <w:bookmarkStart w:id="6" w:name="dtitle2" w:colFirst="0" w:colLast="0"/>
            <w:bookmarkEnd w:id="5"/>
          </w:p>
        </w:tc>
      </w:tr>
      <w:tr w:rsidR="00605474" w:rsidRPr="00F050BA" w:rsidTr="00682B62">
        <w:trPr>
          <w:cantSplit/>
        </w:trPr>
        <w:tc>
          <w:tcPr>
            <w:tcW w:w="10031" w:type="dxa"/>
            <w:gridSpan w:val="2"/>
          </w:tcPr>
          <w:p w:rsidR="00605474" w:rsidRPr="00F050BA" w:rsidRDefault="00605474" w:rsidP="00363900">
            <w:pPr>
              <w:pStyle w:val="Agendaitem"/>
              <w:spacing w:before="120"/>
              <w:rPr>
                <w:rFonts w:ascii="Calibri" w:hAnsi="Calibri"/>
                <w:sz w:val="24"/>
                <w:szCs w:val="24"/>
              </w:rPr>
            </w:pPr>
            <w:bookmarkStart w:id="7" w:name="dtitle3" w:colFirst="0" w:colLast="0"/>
            <w:bookmarkEnd w:id="6"/>
          </w:p>
        </w:tc>
      </w:tr>
      <w:bookmarkEnd w:id="7"/>
    </w:tbl>
    <w:p w:rsidR="00255FA1" w:rsidRPr="00F050BA" w:rsidRDefault="00255FA1" w:rsidP="00173A08">
      <w:pPr>
        <w:rPr>
          <w:rStyle w:val="PageNumber"/>
          <w:szCs w:val="24"/>
        </w:rPr>
      </w:pPr>
    </w:p>
    <w:p w:rsidR="00173A08" w:rsidRPr="00F050BA" w:rsidRDefault="00173A08" w:rsidP="003112AB">
      <w:pPr>
        <w:rPr>
          <w:szCs w:val="24"/>
        </w:rPr>
      </w:pPr>
      <w:r w:rsidRPr="00F050BA">
        <w:rPr>
          <w:szCs w:val="24"/>
        </w:rPr>
        <w:t>En relación con la información publicada en el Documento 3, tengo el honor de transmitir a la Conferencia, en anexo al presente documento, la candidatura del:</w:t>
      </w:r>
    </w:p>
    <w:p w:rsidR="00173A08" w:rsidRPr="00F050BA" w:rsidRDefault="00173A08" w:rsidP="003112AB">
      <w:pPr>
        <w:jc w:val="center"/>
        <w:rPr>
          <w:b/>
          <w:bCs/>
          <w:szCs w:val="24"/>
        </w:rPr>
      </w:pPr>
      <w:r w:rsidRPr="00F050BA">
        <w:rPr>
          <w:b/>
          <w:bCs/>
          <w:szCs w:val="24"/>
        </w:rPr>
        <w:t>Sr. R.J.S. KUSHVAHA (República de la India)</w:t>
      </w:r>
    </w:p>
    <w:p w:rsidR="00173A08" w:rsidRPr="00F050BA" w:rsidRDefault="00173A08" w:rsidP="003112AB">
      <w:pPr>
        <w:rPr>
          <w:szCs w:val="24"/>
        </w:rPr>
      </w:pPr>
      <w:r w:rsidRPr="00F050BA">
        <w:rPr>
          <w:szCs w:val="24"/>
        </w:rPr>
        <w:t>al cargo de miembro de la Junta del Reglamento de Radiocomunicaciones.</w:t>
      </w:r>
    </w:p>
    <w:p w:rsidR="00173A08" w:rsidRPr="00F050BA" w:rsidRDefault="00173A08" w:rsidP="00A2124B">
      <w:pPr>
        <w:rPr>
          <w:szCs w:val="24"/>
        </w:rPr>
      </w:pPr>
    </w:p>
    <w:p w:rsidR="00173A08" w:rsidRPr="00F050BA" w:rsidRDefault="00173A08" w:rsidP="00A2124B">
      <w:pPr>
        <w:rPr>
          <w:szCs w:val="24"/>
        </w:rPr>
      </w:pPr>
    </w:p>
    <w:p w:rsidR="00173A08" w:rsidRPr="00F050BA" w:rsidRDefault="00173A08" w:rsidP="00A2124B">
      <w:pPr>
        <w:rPr>
          <w:szCs w:val="24"/>
        </w:rPr>
      </w:pPr>
    </w:p>
    <w:p w:rsidR="00173A08" w:rsidRPr="00F050BA" w:rsidRDefault="00173A08" w:rsidP="003112AB">
      <w:pPr>
        <w:tabs>
          <w:tab w:val="clear" w:pos="567"/>
          <w:tab w:val="clear" w:pos="1134"/>
          <w:tab w:val="clear" w:pos="1701"/>
          <w:tab w:val="clear" w:pos="2268"/>
          <w:tab w:val="clear" w:pos="2835"/>
          <w:tab w:val="center" w:pos="7088"/>
        </w:tabs>
        <w:rPr>
          <w:szCs w:val="24"/>
        </w:rPr>
      </w:pPr>
      <w:r w:rsidRPr="00F050BA">
        <w:rPr>
          <w:szCs w:val="24"/>
        </w:rPr>
        <w:tab/>
      </w:r>
      <w:r w:rsidR="00C076E4" w:rsidRPr="00F050BA">
        <w:rPr>
          <w:szCs w:val="24"/>
        </w:rPr>
        <w:t xml:space="preserve">Dr. </w:t>
      </w:r>
      <w:r w:rsidRPr="00F050BA">
        <w:rPr>
          <w:szCs w:val="24"/>
        </w:rPr>
        <w:t>Hamadoun I. TOURÉ</w:t>
      </w:r>
      <w:r w:rsidRPr="00F050BA">
        <w:rPr>
          <w:szCs w:val="24"/>
        </w:rPr>
        <w:br/>
      </w:r>
      <w:r w:rsidRPr="00F050BA">
        <w:rPr>
          <w:szCs w:val="24"/>
        </w:rPr>
        <w:tab/>
        <w:t>Secretario General</w:t>
      </w:r>
    </w:p>
    <w:p w:rsidR="00173A08" w:rsidRPr="00F050BA" w:rsidRDefault="00173A08" w:rsidP="00A2124B">
      <w:pPr>
        <w:rPr>
          <w:szCs w:val="24"/>
        </w:rPr>
      </w:pPr>
    </w:p>
    <w:p w:rsidR="00173A08" w:rsidRPr="00F050BA" w:rsidRDefault="00173A08" w:rsidP="00A2124B">
      <w:pPr>
        <w:rPr>
          <w:szCs w:val="24"/>
        </w:rPr>
      </w:pPr>
    </w:p>
    <w:p w:rsidR="00173A08" w:rsidRPr="00F050BA" w:rsidRDefault="00173A08" w:rsidP="00A2124B">
      <w:pPr>
        <w:rPr>
          <w:szCs w:val="24"/>
        </w:rPr>
      </w:pPr>
    </w:p>
    <w:p w:rsidR="00173A08" w:rsidRPr="00F050BA" w:rsidRDefault="00173A08" w:rsidP="00A2124B">
      <w:pPr>
        <w:rPr>
          <w:szCs w:val="24"/>
        </w:rPr>
      </w:pPr>
    </w:p>
    <w:p w:rsidR="00173A08" w:rsidRPr="00F050BA" w:rsidRDefault="00173A08" w:rsidP="00A2124B">
      <w:pPr>
        <w:rPr>
          <w:szCs w:val="24"/>
        </w:rPr>
      </w:pPr>
    </w:p>
    <w:p w:rsidR="00173A08" w:rsidRPr="00F050BA" w:rsidRDefault="00173A08" w:rsidP="003112AB">
      <w:pPr>
        <w:rPr>
          <w:szCs w:val="24"/>
        </w:rPr>
      </w:pPr>
      <w:r w:rsidRPr="00F050BA">
        <w:rPr>
          <w:b/>
          <w:szCs w:val="24"/>
        </w:rPr>
        <w:t>Anexo</w:t>
      </w:r>
      <w:r w:rsidRPr="00F050BA">
        <w:rPr>
          <w:szCs w:val="24"/>
        </w:rPr>
        <w:t>:</w:t>
      </w:r>
      <w:r w:rsidRPr="00F050BA">
        <w:rPr>
          <w:szCs w:val="24"/>
        </w:rPr>
        <w:tab/>
        <w:t>1</w:t>
      </w:r>
    </w:p>
    <w:p w:rsidR="00066A87" w:rsidRDefault="00173A08" w:rsidP="00A2124B">
      <w:pPr>
        <w:tabs>
          <w:tab w:val="clear" w:pos="567"/>
          <w:tab w:val="clear" w:pos="1134"/>
          <w:tab w:val="clear" w:pos="1701"/>
          <w:tab w:val="clear" w:pos="2268"/>
          <w:tab w:val="clear" w:pos="2835"/>
        </w:tabs>
        <w:overflowPunct/>
        <w:autoSpaceDE/>
        <w:autoSpaceDN/>
        <w:adjustRightInd/>
        <w:spacing w:before="0"/>
        <w:textAlignment w:val="auto"/>
        <w:rPr>
          <w:szCs w:val="24"/>
        </w:rPr>
        <w:sectPr w:rsidR="00066A87"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pPr>
      <w:r w:rsidRPr="00F050BA">
        <w:rPr>
          <w:szCs w:val="24"/>
        </w:rPr>
        <w:br w:type="page"/>
      </w:r>
    </w:p>
    <w:p w:rsidR="00173A08" w:rsidRPr="00F050BA" w:rsidRDefault="00173A08" w:rsidP="00A2124B">
      <w:pPr>
        <w:tabs>
          <w:tab w:val="clear" w:pos="567"/>
          <w:tab w:val="clear" w:pos="1134"/>
          <w:tab w:val="clear" w:pos="1701"/>
          <w:tab w:val="clear" w:pos="2268"/>
          <w:tab w:val="clear" w:pos="2835"/>
        </w:tabs>
        <w:overflowPunct/>
        <w:autoSpaceDE/>
        <w:autoSpaceDN/>
        <w:adjustRightInd/>
        <w:spacing w:before="0"/>
        <w:textAlignment w:val="auto"/>
        <w:rPr>
          <w:szCs w:val="24"/>
        </w:rPr>
      </w:pPr>
    </w:p>
    <w:p w:rsidR="00173A08" w:rsidRPr="00F050BA" w:rsidRDefault="00173A08" w:rsidP="005E6E8D">
      <w:pPr>
        <w:pStyle w:val="AnnexNo"/>
        <w:rPr>
          <w:sz w:val="24"/>
          <w:szCs w:val="24"/>
        </w:rPr>
      </w:pPr>
      <w:r w:rsidRPr="00F050BA">
        <w:rPr>
          <w:sz w:val="24"/>
          <w:szCs w:val="24"/>
        </w:rPr>
        <w:t>ANEXO</w:t>
      </w:r>
    </w:p>
    <w:p w:rsidR="00173A08" w:rsidRPr="00F050BA" w:rsidRDefault="00173A08" w:rsidP="008B2848">
      <w:pPr>
        <w:pStyle w:val="Annexref"/>
        <w:rPr>
          <w:sz w:val="24"/>
          <w:szCs w:val="24"/>
        </w:rPr>
      </w:pPr>
    </w:p>
    <w:p w:rsidR="00173A08" w:rsidRPr="00F050BA" w:rsidRDefault="00173A08" w:rsidP="00C076E4">
      <w:pPr>
        <w:tabs>
          <w:tab w:val="clear" w:pos="567"/>
          <w:tab w:val="clear" w:pos="1134"/>
          <w:tab w:val="clear" w:pos="1701"/>
          <w:tab w:val="clear" w:pos="2268"/>
          <w:tab w:val="clear" w:pos="2835"/>
        </w:tabs>
        <w:overflowPunct/>
        <w:autoSpaceDE/>
        <w:autoSpaceDN/>
        <w:adjustRightInd/>
        <w:spacing w:before="0"/>
        <w:jc w:val="right"/>
        <w:textAlignment w:val="auto"/>
        <w:rPr>
          <w:bCs/>
          <w:szCs w:val="24"/>
        </w:rPr>
      </w:pPr>
      <w:r w:rsidRPr="00F050BA">
        <w:rPr>
          <w:bCs/>
          <w:szCs w:val="24"/>
        </w:rPr>
        <w:t>Misión Permanente de la India</w:t>
      </w:r>
      <w:r w:rsidR="00C076E4" w:rsidRPr="00F050BA">
        <w:rPr>
          <w:bCs/>
          <w:szCs w:val="24"/>
        </w:rPr>
        <w:br/>
      </w:r>
      <w:r w:rsidRPr="00F050BA">
        <w:rPr>
          <w:bCs/>
          <w:szCs w:val="24"/>
        </w:rPr>
        <w:t>ante la Oficina de las Naciones Unidas</w:t>
      </w:r>
      <w:r w:rsidR="00C076E4" w:rsidRPr="00F050BA">
        <w:rPr>
          <w:bCs/>
          <w:szCs w:val="24"/>
        </w:rPr>
        <w:br/>
      </w:r>
      <w:r w:rsidRPr="00F050BA">
        <w:rPr>
          <w:bCs/>
          <w:szCs w:val="24"/>
        </w:rPr>
        <w:tab/>
        <w:t>9 rue du Valais, 1202 Ginebra</w:t>
      </w:r>
      <w:r w:rsidR="00C076E4" w:rsidRPr="00F050BA">
        <w:rPr>
          <w:bCs/>
          <w:szCs w:val="24"/>
        </w:rPr>
        <w:br/>
      </w:r>
      <w:r w:rsidRPr="00F050BA">
        <w:rPr>
          <w:bCs/>
          <w:szCs w:val="24"/>
        </w:rPr>
        <w:tab/>
      </w:r>
      <w:r w:rsidR="00C848BE" w:rsidRPr="00F050BA">
        <w:rPr>
          <w:bCs/>
          <w:szCs w:val="24"/>
        </w:rPr>
        <w:t>Tel.</w:t>
      </w:r>
      <w:r w:rsidRPr="00F050BA">
        <w:rPr>
          <w:bCs/>
          <w:szCs w:val="24"/>
        </w:rPr>
        <w:t>: +41</w:t>
      </w:r>
      <w:r w:rsidR="00C076E4" w:rsidRPr="00F050BA">
        <w:rPr>
          <w:bCs/>
          <w:szCs w:val="24"/>
        </w:rPr>
        <w:t>-</w:t>
      </w:r>
      <w:r w:rsidRPr="00F050BA">
        <w:rPr>
          <w:bCs/>
          <w:szCs w:val="24"/>
        </w:rPr>
        <w:t>22-731 28 54</w:t>
      </w:r>
      <w:r w:rsidR="00C076E4" w:rsidRPr="00F050BA">
        <w:rPr>
          <w:bCs/>
          <w:szCs w:val="24"/>
        </w:rPr>
        <w:br/>
      </w:r>
      <w:r w:rsidR="001F25C8">
        <w:rPr>
          <w:bCs/>
          <w:szCs w:val="24"/>
        </w:rPr>
        <w:t>F</w:t>
      </w:r>
      <w:r w:rsidR="002771D2">
        <w:rPr>
          <w:bCs/>
          <w:szCs w:val="24"/>
        </w:rPr>
        <w:t>ax</w:t>
      </w:r>
      <w:r w:rsidRPr="00F050BA">
        <w:rPr>
          <w:bCs/>
          <w:szCs w:val="24"/>
        </w:rPr>
        <w:t>: +41</w:t>
      </w:r>
      <w:r w:rsidR="00C076E4" w:rsidRPr="00F050BA">
        <w:rPr>
          <w:bCs/>
          <w:szCs w:val="24"/>
        </w:rPr>
        <w:t>-</w:t>
      </w:r>
      <w:r w:rsidRPr="00F050BA">
        <w:rPr>
          <w:bCs/>
          <w:szCs w:val="24"/>
        </w:rPr>
        <w:t>22-731 51 42</w:t>
      </w:r>
      <w:r w:rsidR="00C076E4" w:rsidRPr="00F050BA">
        <w:rPr>
          <w:bCs/>
          <w:szCs w:val="24"/>
        </w:rPr>
        <w:br/>
        <w:t>Correo-e: dilip.sinha@</w:t>
      </w:r>
      <w:r w:rsidR="00C848BE" w:rsidRPr="00F050BA">
        <w:rPr>
          <w:bCs/>
          <w:szCs w:val="24"/>
        </w:rPr>
        <w:t>ties.itu.int</w:t>
      </w:r>
    </w:p>
    <w:p w:rsidR="00173A08" w:rsidRPr="00F050BA" w:rsidRDefault="00173A08" w:rsidP="00A43EA7">
      <w:pPr>
        <w:tabs>
          <w:tab w:val="clear" w:pos="567"/>
          <w:tab w:val="clear" w:pos="1134"/>
          <w:tab w:val="clear" w:pos="1701"/>
          <w:tab w:val="clear" w:pos="2268"/>
          <w:tab w:val="clear" w:pos="2835"/>
        </w:tabs>
        <w:overflowPunct/>
        <w:autoSpaceDE/>
        <w:autoSpaceDN/>
        <w:adjustRightInd/>
        <w:spacing w:before="0"/>
        <w:textAlignment w:val="auto"/>
        <w:rPr>
          <w:bCs/>
          <w:iCs/>
          <w:szCs w:val="24"/>
        </w:rPr>
      </w:pPr>
      <w:r w:rsidRPr="00F050BA">
        <w:rPr>
          <w:bCs/>
          <w:i/>
          <w:iCs/>
          <w:szCs w:val="24"/>
        </w:rPr>
        <w:t>Dilip Sinha</w:t>
      </w:r>
    </w:p>
    <w:p w:rsidR="00173A08" w:rsidRPr="00F050BA" w:rsidRDefault="00173A08" w:rsidP="00A43EA7">
      <w:pPr>
        <w:tabs>
          <w:tab w:val="clear" w:pos="567"/>
          <w:tab w:val="clear" w:pos="1134"/>
          <w:tab w:val="clear" w:pos="1701"/>
          <w:tab w:val="clear" w:pos="2268"/>
          <w:tab w:val="clear" w:pos="2835"/>
        </w:tabs>
        <w:overflowPunct/>
        <w:autoSpaceDE/>
        <w:autoSpaceDN/>
        <w:adjustRightInd/>
        <w:spacing w:before="0"/>
        <w:textAlignment w:val="auto"/>
        <w:rPr>
          <w:bCs/>
          <w:iCs/>
          <w:szCs w:val="24"/>
        </w:rPr>
      </w:pPr>
      <w:r w:rsidRPr="00F050BA">
        <w:rPr>
          <w:bCs/>
          <w:iCs/>
          <w:szCs w:val="24"/>
        </w:rPr>
        <w:t>Embajador/Representante Permanente</w:t>
      </w:r>
    </w:p>
    <w:p w:rsidR="00173A08" w:rsidRPr="00F050BA" w:rsidRDefault="00173A08" w:rsidP="00C848BE">
      <w:pPr>
        <w:tabs>
          <w:tab w:val="clear" w:pos="567"/>
          <w:tab w:val="clear" w:pos="1134"/>
          <w:tab w:val="clear" w:pos="1701"/>
          <w:tab w:val="clear" w:pos="2268"/>
          <w:tab w:val="clear" w:pos="2835"/>
        </w:tabs>
        <w:overflowPunct/>
        <w:autoSpaceDE/>
        <w:autoSpaceDN/>
        <w:adjustRightInd/>
        <w:spacing w:before="840"/>
        <w:textAlignment w:val="auto"/>
        <w:rPr>
          <w:bCs/>
          <w:iCs/>
          <w:szCs w:val="24"/>
        </w:rPr>
      </w:pPr>
      <w:r w:rsidRPr="00F050BA">
        <w:rPr>
          <w:bCs/>
          <w:iCs/>
          <w:szCs w:val="24"/>
        </w:rPr>
        <w:t>PMI/ITU/407/2014</w:t>
      </w:r>
      <w:r w:rsidRPr="00F050BA">
        <w:rPr>
          <w:bCs/>
          <w:iCs/>
          <w:szCs w:val="24"/>
        </w:rPr>
        <w:tab/>
      </w:r>
      <w:r w:rsidRPr="00F050BA">
        <w:rPr>
          <w:bCs/>
          <w:iCs/>
          <w:szCs w:val="24"/>
        </w:rPr>
        <w:tab/>
      </w:r>
      <w:r w:rsidRPr="00F050BA">
        <w:rPr>
          <w:bCs/>
          <w:iCs/>
          <w:szCs w:val="24"/>
        </w:rPr>
        <w:tab/>
      </w:r>
      <w:r w:rsidRPr="00F050BA">
        <w:rPr>
          <w:bCs/>
          <w:iCs/>
          <w:szCs w:val="24"/>
        </w:rPr>
        <w:tab/>
      </w:r>
      <w:r w:rsidRPr="00F050BA">
        <w:rPr>
          <w:bCs/>
          <w:iCs/>
          <w:szCs w:val="24"/>
        </w:rPr>
        <w:tab/>
      </w:r>
      <w:r w:rsidRPr="00F050BA">
        <w:rPr>
          <w:bCs/>
          <w:iCs/>
          <w:szCs w:val="24"/>
        </w:rPr>
        <w:tab/>
        <w:t>18 de septiembre de 2014</w:t>
      </w:r>
    </w:p>
    <w:p w:rsidR="00173A08" w:rsidRPr="00F050BA" w:rsidRDefault="00173A08" w:rsidP="00C848BE">
      <w:pPr>
        <w:spacing w:before="480"/>
        <w:rPr>
          <w:szCs w:val="24"/>
        </w:rPr>
      </w:pPr>
      <w:r w:rsidRPr="00F050BA">
        <w:rPr>
          <w:szCs w:val="24"/>
        </w:rPr>
        <w:t>Candidatura de la India a Miembro del Consejo de la UIT y del Sr. R.J.S. Kushvaha al cargo de miembro de la Junta del Reglamento de Radiocomunicaciones (RRB).</w:t>
      </w:r>
    </w:p>
    <w:p w:rsidR="00173A08" w:rsidRPr="00F050BA" w:rsidRDefault="00173A08" w:rsidP="00C848BE">
      <w:pPr>
        <w:tabs>
          <w:tab w:val="clear" w:pos="567"/>
          <w:tab w:val="clear" w:pos="1134"/>
          <w:tab w:val="clear" w:pos="1701"/>
          <w:tab w:val="clear" w:pos="2268"/>
          <w:tab w:val="clear" w:pos="2835"/>
        </w:tabs>
        <w:overflowPunct/>
        <w:autoSpaceDE/>
        <w:autoSpaceDN/>
        <w:adjustRightInd/>
        <w:spacing w:before="360"/>
        <w:textAlignment w:val="auto"/>
        <w:rPr>
          <w:bCs/>
          <w:szCs w:val="24"/>
        </w:rPr>
      </w:pPr>
      <w:r w:rsidRPr="00F050BA">
        <w:rPr>
          <w:b/>
          <w:szCs w:val="24"/>
        </w:rPr>
        <w:t>Excmo. S</w:t>
      </w:r>
      <w:r w:rsidR="00C848BE" w:rsidRPr="00F050BA">
        <w:rPr>
          <w:b/>
          <w:szCs w:val="24"/>
        </w:rPr>
        <w:t>eño</w:t>
      </w:r>
      <w:r w:rsidRPr="00F050BA">
        <w:rPr>
          <w:b/>
          <w:szCs w:val="24"/>
        </w:rPr>
        <w:t>r:</w:t>
      </w:r>
    </w:p>
    <w:p w:rsidR="00173A08" w:rsidRPr="00F050BA" w:rsidRDefault="00173A08" w:rsidP="00C848BE">
      <w:pPr>
        <w:tabs>
          <w:tab w:val="clear" w:pos="567"/>
          <w:tab w:val="clear" w:pos="1134"/>
          <w:tab w:val="clear" w:pos="1701"/>
          <w:tab w:val="clear" w:pos="2268"/>
          <w:tab w:val="clear" w:pos="2835"/>
        </w:tabs>
        <w:overflowPunct/>
        <w:autoSpaceDE/>
        <w:autoSpaceDN/>
        <w:adjustRightInd/>
        <w:spacing w:before="360"/>
        <w:textAlignment w:val="auto"/>
        <w:rPr>
          <w:bCs/>
          <w:szCs w:val="24"/>
        </w:rPr>
      </w:pPr>
      <w:r w:rsidRPr="00F050BA">
        <w:rPr>
          <w:bCs/>
          <w:szCs w:val="24"/>
        </w:rPr>
        <w:t xml:space="preserve">Tengo el honor de remitirme a la Carta Circular </w:t>
      </w:r>
      <w:r w:rsidR="00C848BE" w:rsidRPr="00F050BA">
        <w:rPr>
          <w:bCs/>
          <w:szCs w:val="24"/>
        </w:rPr>
        <w:t>número</w:t>
      </w:r>
      <w:r w:rsidRPr="00F050BA">
        <w:rPr>
          <w:bCs/>
          <w:szCs w:val="24"/>
        </w:rPr>
        <w:t> 165 de la UIT relativa a la Conferencia de Plenipotenciarios (PP</w:t>
      </w:r>
      <w:r w:rsidRPr="00F050BA">
        <w:rPr>
          <w:bCs/>
          <w:szCs w:val="24"/>
        </w:rPr>
        <w:noBreakHyphen/>
        <w:t xml:space="preserve">14) que se celebrará del 20 de octubre al 7 de noviembre de 2014 </w:t>
      </w:r>
      <w:r w:rsidR="00C848BE" w:rsidRPr="00F050BA">
        <w:rPr>
          <w:bCs/>
          <w:szCs w:val="24"/>
        </w:rPr>
        <w:t>en</w:t>
      </w:r>
      <w:r w:rsidRPr="00F050BA">
        <w:rPr>
          <w:bCs/>
          <w:szCs w:val="24"/>
        </w:rPr>
        <w:t xml:space="preserve"> Busán (República de Corea). Tengo el gusto de comunicarle oficialmente que el Gobierno de la India ha decidido presentar las candidaturas siguientes:</w:t>
      </w:r>
    </w:p>
    <w:p w:rsidR="00173A08" w:rsidRPr="00F050BA" w:rsidRDefault="00173A08" w:rsidP="00C848BE">
      <w:pPr>
        <w:pStyle w:val="enumlev2"/>
        <w:rPr>
          <w:szCs w:val="24"/>
        </w:rPr>
      </w:pPr>
      <w:r w:rsidRPr="00F050BA">
        <w:rPr>
          <w:szCs w:val="24"/>
        </w:rPr>
        <w:tab/>
        <w:t>i)</w:t>
      </w:r>
      <w:r w:rsidRPr="00F050BA">
        <w:rPr>
          <w:szCs w:val="24"/>
        </w:rPr>
        <w:tab/>
        <w:t>reelección como Miembro del Consejo de la UIT</w:t>
      </w:r>
    </w:p>
    <w:p w:rsidR="00173A08" w:rsidRPr="00F050BA" w:rsidRDefault="00173A08" w:rsidP="00C848BE">
      <w:pPr>
        <w:pStyle w:val="enumlev2"/>
        <w:rPr>
          <w:bCs/>
          <w:szCs w:val="24"/>
        </w:rPr>
      </w:pPr>
      <w:r w:rsidRPr="00F050BA">
        <w:rPr>
          <w:bCs/>
          <w:szCs w:val="24"/>
        </w:rPr>
        <w:tab/>
        <w:t>ii)</w:t>
      </w:r>
      <w:r w:rsidRPr="00F050BA">
        <w:rPr>
          <w:bCs/>
          <w:szCs w:val="24"/>
        </w:rPr>
        <w:tab/>
        <w:t>elección del Sr. R.J.S. Kushvaha al cargo de miembro de la Junta del Reglamento de Radiocomunicaciones (RRB) para el periodo 2015-2018.</w:t>
      </w:r>
    </w:p>
    <w:p w:rsidR="00173A08" w:rsidRPr="00F050BA" w:rsidRDefault="00C848BE" w:rsidP="00C848BE">
      <w:pPr>
        <w:rPr>
          <w:szCs w:val="24"/>
        </w:rPr>
      </w:pPr>
      <w:r w:rsidRPr="00F050BA">
        <w:rPr>
          <w:szCs w:val="24"/>
        </w:rPr>
        <w:lastRenderedPageBreak/>
        <w:t>2</w:t>
      </w:r>
      <w:r w:rsidR="00173A08" w:rsidRPr="00F050BA">
        <w:rPr>
          <w:szCs w:val="24"/>
        </w:rPr>
        <w:tab/>
        <w:t>La UIT y su oficina son conocedoras del excepcional compromiso del Gobierno de la India y de su contribución a los trabajos de la organización de manera activa y colaborativa, así como su compromiso con los objetivos de la UIT. El Gobierno de la India agradece la buena labor realizada y los logros de la UIT bajo su dirección. La India, junto con otros miembros del Consejo de la UIT, seguirá apoyando plenamente a la organización a fin de diversificar su contribución al desarrollo de las telecomunicaciones en el mundo entero.</w:t>
      </w:r>
    </w:p>
    <w:p w:rsidR="00173A08" w:rsidRPr="00F050BA" w:rsidRDefault="00C848BE" w:rsidP="00C848BE">
      <w:pPr>
        <w:rPr>
          <w:szCs w:val="24"/>
        </w:rPr>
      </w:pPr>
      <w:r w:rsidRPr="00F050BA">
        <w:rPr>
          <w:szCs w:val="24"/>
        </w:rPr>
        <w:t>3</w:t>
      </w:r>
      <w:r w:rsidR="00173A08" w:rsidRPr="00F050BA">
        <w:rPr>
          <w:szCs w:val="24"/>
        </w:rPr>
        <w:tab/>
        <w:t>El Sr. Kushvaha, asesor del Gobierno de la India en sistemas inalámbricos, es candidato al cargo de miembro de la RRB, para el cual también habrá elecciones en la PP</w:t>
      </w:r>
      <w:r w:rsidR="00173A08" w:rsidRPr="00F050BA">
        <w:rPr>
          <w:szCs w:val="24"/>
        </w:rPr>
        <w:noBreakHyphen/>
        <w:t>14 en Busán. El Sr. Kushvaha tiene más de 34 años de experiencia en gestión del espectro radioeléctrico y organización normativa de las radiocomunicaciones en el Departamento de Telecomunicaciones del Ministerio de Comunicaciones. Desde hace más de 20 años participa en reuniones de la Telecomunidad Asia-Pacífico (APT) y diversos otros foros internacionales de telecomunicaciones. También ha presentado diversas propuestas sobre gestión del espectro radioeléctrico y aspectos del Reglamento de Radiocomunicaciones, y también ha presentado diversas propuestas sobre gestión del espectro radioeléctrico y aspectos del Reglamento de Radiocomunicaciones, y también ha presentado ponencias y pronunciado discursos en numerosas conferencias e instituciones nacionales e internacionales. Consideramos que, si es elegido, podrá desempeñar un papel eficaz en la consecución de los objetivos de la UIT y el desarrollo universal de las tecnologías de comunicación internacionales. Fue Vicepresidente de la Comisión Especial para Asuntos Reglamentarios y de Procedimiento de la UIT entre 2007 y 2011 y en el periodo actual. Se adjunta el currículum vitae del Sr. Kushvaha.</w:t>
      </w:r>
      <w:bookmarkStart w:id="8" w:name="_GoBack"/>
      <w:bookmarkEnd w:id="8"/>
    </w:p>
    <w:p w:rsidR="00173A08" w:rsidRPr="00F050BA" w:rsidRDefault="00C848BE" w:rsidP="00C848BE">
      <w:pPr>
        <w:rPr>
          <w:szCs w:val="24"/>
        </w:rPr>
      </w:pPr>
      <w:r w:rsidRPr="00F050BA">
        <w:rPr>
          <w:szCs w:val="24"/>
        </w:rPr>
        <w:t>4</w:t>
      </w:r>
      <w:r w:rsidR="00173A08" w:rsidRPr="00F050BA">
        <w:rPr>
          <w:szCs w:val="24"/>
        </w:rPr>
        <w:tab/>
        <w:t>Le ruego tenga a bien distribuir la candidatura de la India a su reelección al Consejo de la UIT y la del Sr. Kushvaha a miembro de la RRB para la Región E (Asia y Australasia) entre todos los países miembros en el contexto de las elecciones que tendrán lugar en la próxima Conferencia de Plenipotenciarios en Busán (Corea del Sur).</w:t>
      </w:r>
    </w:p>
    <w:p w:rsidR="00C848BE" w:rsidRPr="00F050BA" w:rsidRDefault="00173A08" w:rsidP="00C848BE">
      <w:pPr>
        <w:rPr>
          <w:szCs w:val="24"/>
        </w:rPr>
      </w:pPr>
      <w:r w:rsidRPr="00F050BA">
        <w:rPr>
          <w:szCs w:val="24"/>
        </w:rPr>
        <w:t>Le saluda muy atentamente</w:t>
      </w:r>
    </w:p>
    <w:p w:rsidR="00173A08" w:rsidRPr="00F050BA" w:rsidRDefault="00173A08" w:rsidP="00C848BE">
      <w:pPr>
        <w:spacing w:before="840"/>
        <w:ind w:left="6237"/>
        <w:rPr>
          <w:szCs w:val="24"/>
        </w:rPr>
      </w:pPr>
      <w:r w:rsidRPr="00F050BA">
        <w:rPr>
          <w:bCs/>
          <w:szCs w:val="24"/>
        </w:rPr>
        <w:t>(Dilip Sinha)</w:t>
      </w:r>
    </w:p>
    <w:p w:rsidR="00173A08" w:rsidRPr="00F050BA" w:rsidRDefault="00C848BE" w:rsidP="00C848BE">
      <w:pPr>
        <w:tabs>
          <w:tab w:val="clear" w:pos="567"/>
          <w:tab w:val="clear" w:pos="1134"/>
          <w:tab w:val="clear" w:pos="1701"/>
          <w:tab w:val="clear" w:pos="2268"/>
          <w:tab w:val="clear" w:pos="2835"/>
        </w:tabs>
        <w:overflowPunct/>
        <w:autoSpaceDE/>
        <w:autoSpaceDN/>
        <w:adjustRightInd/>
        <w:spacing w:before="1080"/>
        <w:textAlignment w:val="auto"/>
        <w:rPr>
          <w:bCs/>
          <w:szCs w:val="24"/>
        </w:rPr>
      </w:pPr>
      <w:r w:rsidRPr="00F050BA">
        <w:rPr>
          <w:bCs/>
          <w:szCs w:val="24"/>
        </w:rPr>
        <w:t xml:space="preserve">Dr. </w:t>
      </w:r>
      <w:r w:rsidR="00173A08" w:rsidRPr="00F050BA">
        <w:rPr>
          <w:bCs/>
          <w:szCs w:val="24"/>
        </w:rPr>
        <w:t>Hamadoun I. TOURÉ</w:t>
      </w:r>
      <w:r w:rsidR="00173A08" w:rsidRPr="00F050BA">
        <w:rPr>
          <w:bCs/>
          <w:szCs w:val="24"/>
        </w:rPr>
        <w:br/>
        <w:t>Secretario General</w:t>
      </w:r>
    </w:p>
    <w:p w:rsidR="00173A08" w:rsidRPr="00F050BA" w:rsidRDefault="00173A08" w:rsidP="00337C6D">
      <w:pPr>
        <w:tabs>
          <w:tab w:val="clear" w:pos="567"/>
          <w:tab w:val="clear" w:pos="1134"/>
          <w:tab w:val="clear" w:pos="1701"/>
          <w:tab w:val="clear" w:pos="2268"/>
          <w:tab w:val="clear" w:pos="2835"/>
        </w:tabs>
        <w:overflowPunct/>
        <w:autoSpaceDE/>
        <w:autoSpaceDN/>
        <w:adjustRightInd/>
        <w:spacing w:before="0"/>
        <w:textAlignment w:val="auto"/>
        <w:rPr>
          <w:bCs/>
          <w:szCs w:val="24"/>
        </w:rPr>
      </w:pPr>
      <w:r w:rsidRPr="00F050BA">
        <w:rPr>
          <w:bCs/>
          <w:szCs w:val="24"/>
        </w:rPr>
        <w:t>Unión Internacional de Telecomunicaciones</w:t>
      </w:r>
    </w:p>
    <w:p w:rsidR="00173A08" w:rsidRPr="00F050BA" w:rsidRDefault="00173A08" w:rsidP="00337C6D">
      <w:pPr>
        <w:tabs>
          <w:tab w:val="clear" w:pos="567"/>
          <w:tab w:val="clear" w:pos="1134"/>
          <w:tab w:val="clear" w:pos="1701"/>
          <w:tab w:val="clear" w:pos="2268"/>
          <w:tab w:val="clear" w:pos="2835"/>
        </w:tabs>
        <w:overflowPunct/>
        <w:autoSpaceDE/>
        <w:autoSpaceDN/>
        <w:adjustRightInd/>
        <w:spacing w:before="0"/>
        <w:textAlignment w:val="auto"/>
        <w:rPr>
          <w:bCs/>
          <w:szCs w:val="24"/>
        </w:rPr>
      </w:pPr>
      <w:r w:rsidRPr="00F050BA">
        <w:rPr>
          <w:bCs/>
          <w:szCs w:val="24"/>
        </w:rPr>
        <w:lastRenderedPageBreak/>
        <w:t>Ginebra</w:t>
      </w:r>
    </w:p>
    <w:p w:rsidR="00173A08" w:rsidRPr="00F050BA" w:rsidRDefault="00173A08" w:rsidP="004F42E5">
      <w:pPr>
        <w:tabs>
          <w:tab w:val="clear" w:pos="567"/>
          <w:tab w:val="clear" w:pos="1134"/>
          <w:tab w:val="clear" w:pos="1701"/>
          <w:tab w:val="clear" w:pos="2268"/>
          <w:tab w:val="clear" w:pos="2835"/>
        </w:tabs>
        <w:overflowPunct/>
        <w:autoSpaceDE/>
        <w:autoSpaceDN/>
        <w:adjustRightInd/>
        <w:spacing w:before="0"/>
        <w:ind w:left="709" w:hanging="709"/>
        <w:textAlignment w:val="auto"/>
        <w:rPr>
          <w:bCs/>
          <w:szCs w:val="24"/>
        </w:rPr>
      </w:pPr>
    </w:p>
    <w:p w:rsidR="00173A08" w:rsidRPr="00F050BA" w:rsidRDefault="00173A08" w:rsidP="004F42E5">
      <w:pPr>
        <w:tabs>
          <w:tab w:val="clear" w:pos="567"/>
          <w:tab w:val="clear" w:pos="1134"/>
          <w:tab w:val="clear" w:pos="1701"/>
          <w:tab w:val="clear" w:pos="2268"/>
          <w:tab w:val="clear" w:pos="2835"/>
        </w:tabs>
        <w:overflowPunct/>
        <w:autoSpaceDE/>
        <w:autoSpaceDN/>
        <w:adjustRightInd/>
        <w:spacing w:before="0"/>
        <w:ind w:left="709" w:hanging="709"/>
        <w:textAlignment w:val="auto"/>
        <w:rPr>
          <w:bCs/>
          <w:szCs w:val="24"/>
        </w:rPr>
      </w:pPr>
    </w:p>
    <w:p w:rsidR="00173A08" w:rsidRPr="00F050BA" w:rsidRDefault="00173A08" w:rsidP="00D23F57">
      <w:pPr>
        <w:pStyle w:val="Annextitle"/>
        <w:rPr>
          <w:sz w:val="24"/>
          <w:szCs w:val="24"/>
        </w:rPr>
      </w:pPr>
    </w:p>
    <w:p w:rsidR="00173A08" w:rsidRPr="00F050BA" w:rsidRDefault="00173A08" w:rsidP="00D23F57">
      <w:pPr>
        <w:rPr>
          <w:szCs w:val="24"/>
        </w:rPr>
      </w:pPr>
    </w:p>
    <w:p w:rsidR="00173A08" w:rsidRPr="00F050BA" w:rsidRDefault="00173A08">
      <w:pPr>
        <w:tabs>
          <w:tab w:val="clear" w:pos="567"/>
          <w:tab w:val="clear" w:pos="1134"/>
          <w:tab w:val="clear" w:pos="1701"/>
          <w:tab w:val="clear" w:pos="2268"/>
          <w:tab w:val="clear" w:pos="2835"/>
        </w:tabs>
        <w:overflowPunct/>
        <w:autoSpaceDE/>
        <w:autoSpaceDN/>
        <w:adjustRightInd/>
        <w:spacing w:before="0"/>
        <w:textAlignment w:val="auto"/>
        <w:rPr>
          <w:szCs w:val="24"/>
        </w:rPr>
      </w:pPr>
      <w:r w:rsidRPr="00F050BA">
        <w:rPr>
          <w:szCs w:val="24"/>
        </w:rPr>
        <w:br w:type="page"/>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3156"/>
      </w:tblGrid>
      <w:tr w:rsidR="00173A08" w:rsidRPr="00F050BA" w:rsidTr="00D23F57">
        <w:tc>
          <w:tcPr>
            <w:tcW w:w="7192" w:type="dxa"/>
          </w:tcPr>
          <w:p w:rsidR="00173A08" w:rsidRPr="005A6F72" w:rsidRDefault="00173A08" w:rsidP="00DC5A96">
            <w:pPr>
              <w:tabs>
                <w:tab w:val="clear" w:pos="567"/>
                <w:tab w:val="clear" w:pos="1134"/>
                <w:tab w:val="clear" w:pos="1701"/>
                <w:tab w:val="clear" w:pos="2268"/>
                <w:tab w:val="clear" w:pos="2835"/>
                <w:tab w:val="left" w:pos="2161"/>
              </w:tabs>
              <w:overflowPunct/>
              <w:spacing w:before="240"/>
              <w:ind w:left="34" w:hanging="709"/>
              <w:jc w:val="center"/>
              <w:textAlignment w:val="auto"/>
              <w:rPr>
                <w:color w:val="000000"/>
                <w:sz w:val="28"/>
                <w:szCs w:val="28"/>
                <w:lang w:eastAsia="zh-CN"/>
              </w:rPr>
            </w:pPr>
            <w:r w:rsidRPr="005A6F72">
              <w:rPr>
                <w:b/>
                <w:bCs/>
                <w:color w:val="000000"/>
                <w:sz w:val="28"/>
                <w:szCs w:val="28"/>
                <w:lang w:eastAsia="zh-CN"/>
              </w:rPr>
              <w:lastRenderedPageBreak/>
              <w:t>CURRICULUM VITAE</w:t>
            </w:r>
          </w:p>
          <w:p w:rsidR="00173A08" w:rsidRPr="001F25C8" w:rsidRDefault="00173A08" w:rsidP="001A7D45">
            <w:pPr>
              <w:tabs>
                <w:tab w:val="clear" w:pos="567"/>
                <w:tab w:val="clear" w:pos="1134"/>
                <w:tab w:val="clear" w:pos="1701"/>
                <w:tab w:val="clear" w:pos="2268"/>
                <w:tab w:val="clear" w:pos="2835"/>
                <w:tab w:val="left" w:pos="2161"/>
              </w:tabs>
              <w:overflowPunct/>
              <w:spacing w:before="240"/>
              <w:textAlignment w:val="auto"/>
              <w:rPr>
                <w:color w:val="000000"/>
                <w:szCs w:val="24"/>
                <w:lang w:eastAsia="zh-CN"/>
              </w:rPr>
            </w:pPr>
            <w:r w:rsidRPr="001F25C8">
              <w:rPr>
                <w:b/>
                <w:bCs/>
                <w:color w:val="000000"/>
                <w:szCs w:val="24"/>
                <w:lang w:eastAsia="zh-CN"/>
              </w:rPr>
              <w:t>Nombre</w:t>
            </w:r>
            <w:r w:rsidR="00F050BA" w:rsidRPr="00F050BA">
              <w:rPr>
                <w:b/>
                <w:bCs/>
                <w:color w:val="000000"/>
                <w:szCs w:val="24"/>
                <w:lang w:eastAsia="zh-CN"/>
              </w:rPr>
              <w:t>:</w:t>
            </w:r>
            <w:r w:rsidRPr="001F25C8">
              <w:rPr>
                <w:b/>
                <w:bCs/>
                <w:color w:val="000000"/>
                <w:szCs w:val="24"/>
                <w:lang w:eastAsia="zh-CN"/>
              </w:rPr>
              <w:tab/>
            </w:r>
            <w:r w:rsidRPr="001F25C8">
              <w:rPr>
                <w:color w:val="000000"/>
                <w:szCs w:val="24"/>
                <w:lang w:eastAsia="zh-CN"/>
              </w:rPr>
              <w:t xml:space="preserve">R.J.S.KUSHVAHA </w:t>
            </w:r>
          </w:p>
          <w:p w:rsidR="00173A08" w:rsidRPr="00F050BA" w:rsidRDefault="00173A08" w:rsidP="005A7187">
            <w:pPr>
              <w:tabs>
                <w:tab w:val="clear" w:pos="567"/>
                <w:tab w:val="clear" w:pos="1134"/>
                <w:tab w:val="clear" w:pos="1701"/>
                <w:tab w:val="clear" w:pos="2268"/>
                <w:tab w:val="clear" w:pos="2835"/>
                <w:tab w:val="left" w:pos="2161"/>
              </w:tabs>
              <w:overflowPunct/>
              <w:spacing w:before="240"/>
              <w:textAlignment w:val="auto"/>
              <w:rPr>
                <w:color w:val="000000"/>
                <w:szCs w:val="24"/>
                <w:lang w:eastAsia="zh-CN"/>
              </w:rPr>
            </w:pPr>
            <w:r w:rsidRPr="00F050BA">
              <w:rPr>
                <w:b/>
                <w:bCs/>
                <w:color w:val="000000"/>
                <w:szCs w:val="24"/>
                <w:lang w:eastAsia="zh-CN"/>
              </w:rPr>
              <w:t>Nacionalidad:</w:t>
            </w:r>
            <w:r w:rsidRPr="00F050BA">
              <w:rPr>
                <w:color w:val="000000"/>
                <w:szCs w:val="24"/>
                <w:lang w:eastAsia="zh-CN"/>
              </w:rPr>
              <w:tab/>
              <w:t>India</w:t>
            </w:r>
          </w:p>
          <w:p w:rsidR="00173A08" w:rsidRPr="00F050BA" w:rsidRDefault="00173A08" w:rsidP="005F2467">
            <w:pPr>
              <w:tabs>
                <w:tab w:val="clear" w:pos="567"/>
                <w:tab w:val="clear" w:pos="1134"/>
                <w:tab w:val="clear" w:pos="1701"/>
                <w:tab w:val="clear" w:pos="2268"/>
                <w:tab w:val="clear" w:pos="2835"/>
                <w:tab w:val="left" w:pos="2161"/>
                <w:tab w:val="left" w:pos="2586"/>
              </w:tabs>
              <w:overflowPunct/>
              <w:spacing w:before="240"/>
              <w:textAlignment w:val="auto"/>
              <w:rPr>
                <w:color w:val="000000"/>
                <w:szCs w:val="24"/>
                <w:lang w:eastAsia="zh-CN"/>
              </w:rPr>
            </w:pPr>
            <w:r w:rsidRPr="00F050BA">
              <w:rPr>
                <w:b/>
                <w:bCs/>
                <w:color w:val="000000"/>
                <w:szCs w:val="24"/>
                <w:lang w:eastAsia="zh-CN"/>
              </w:rPr>
              <w:t xml:space="preserve">Fecha de </w:t>
            </w:r>
            <w:r w:rsidR="005F2467" w:rsidRPr="00F050BA">
              <w:rPr>
                <w:b/>
                <w:bCs/>
                <w:color w:val="000000"/>
                <w:szCs w:val="24"/>
                <w:lang w:eastAsia="zh-CN"/>
              </w:rPr>
              <w:br/>
            </w:r>
            <w:r w:rsidRPr="00F050BA">
              <w:rPr>
                <w:b/>
                <w:bCs/>
                <w:color w:val="000000"/>
                <w:szCs w:val="24"/>
                <w:lang w:eastAsia="zh-CN"/>
              </w:rPr>
              <w:t>nacimiento:</w:t>
            </w:r>
            <w:r w:rsidRPr="00F050BA">
              <w:rPr>
                <w:color w:val="000000"/>
                <w:szCs w:val="24"/>
                <w:lang w:eastAsia="zh-CN"/>
              </w:rPr>
              <w:tab/>
              <w:t xml:space="preserve">1 de julio de 1956 </w:t>
            </w:r>
          </w:p>
          <w:p w:rsidR="00173A08" w:rsidRPr="00F050BA" w:rsidRDefault="00173A08" w:rsidP="000B140F">
            <w:pPr>
              <w:tabs>
                <w:tab w:val="clear" w:pos="567"/>
                <w:tab w:val="clear" w:pos="1134"/>
                <w:tab w:val="clear" w:pos="1701"/>
                <w:tab w:val="clear" w:pos="2268"/>
                <w:tab w:val="clear" w:pos="2835"/>
                <w:tab w:val="left" w:pos="2161"/>
              </w:tabs>
              <w:overflowPunct/>
              <w:spacing w:before="240"/>
              <w:textAlignment w:val="auto"/>
              <w:rPr>
                <w:color w:val="000000"/>
                <w:szCs w:val="24"/>
                <w:lang w:eastAsia="zh-CN"/>
              </w:rPr>
            </w:pPr>
            <w:r w:rsidRPr="00F050BA">
              <w:rPr>
                <w:b/>
                <w:bCs/>
                <w:color w:val="000000"/>
                <w:szCs w:val="24"/>
                <w:lang w:eastAsia="zh-CN"/>
              </w:rPr>
              <w:t>Estado civil:</w:t>
            </w:r>
            <w:r w:rsidRPr="00F050BA">
              <w:rPr>
                <w:color w:val="000000"/>
                <w:szCs w:val="24"/>
                <w:lang w:eastAsia="zh-CN"/>
              </w:rPr>
              <w:tab/>
              <w:t>Casado, una hija y un hijo</w:t>
            </w:r>
          </w:p>
          <w:p w:rsidR="00173A08" w:rsidRPr="00F050BA" w:rsidRDefault="00173A08" w:rsidP="0035258C">
            <w:pPr>
              <w:tabs>
                <w:tab w:val="clear" w:pos="567"/>
                <w:tab w:val="clear" w:pos="1134"/>
                <w:tab w:val="clear" w:pos="1701"/>
                <w:tab w:val="clear" w:pos="2268"/>
                <w:tab w:val="clear" w:pos="2835"/>
                <w:tab w:val="left" w:pos="2161"/>
              </w:tabs>
              <w:overflowPunct/>
              <w:spacing w:before="240"/>
              <w:ind w:left="2836" w:hanging="2836"/>
              <w:textAlignment w:val="auto"/>
              <w:rPr>
                <w:szCs w:val="24"/>
              </w:rPr>
            </w:pPr>
            <w:r w:rsidRPr="00F050BA">
              <w:rPr>
                <w:b/>
                <w:bCs/>
                <w:color w:val="000000"/>
                <w:szCs w:val="24"/>
                <w:lang w:eastAsia="zh-CN"/>
              </w:rPr>
              <w:t>Cargo desempeñado</w:t>
            </w:r>
            <w:r w:rsidRPr="00F050BA">
              <w:rPr>
                <w:color w:val="000000"/>
                <w:szCs w:val="24"/>
                <w:lang w:eastAsia="zh-CN"/>
              </w:rPr>
              <w:tab/>
              <w:t>Asesor del Gobierno de la India sobre comunicaciones inalámbricas</w:t>
            </w:r>
          </w:p>
        </w:tc>
        <w:tc>
          <w:tcPr>
            <w:tcW w:w="3156" w:type="dxa"/>
          </w:tcPr>
          <w:p w:rsidR="00173A08" w:rsidRPr="00F050BA" w:rsidRDefault="00173A08" w:rsidP="00D23F57">
            <w:pPr>
              <w:rPr>
                <w:szCs w:val="24"/>
              </w:rPr>
            </w:pPr>
            <w:r w:rsidRPr="00F050BA">
              <w:rPr>
                <w:noProof/>
                <w:szCs w:val="24"/>
                <w:lang w:eastAsia="zh-CN"/>
              </w:rPr>
              <w:tab/>
            </w:r>
            <w:r w:rsidRPr="00F050BA">
              <w:rPr>
                <w:noProof/>
                <w:szCs w:val="24"/>
                <w:lang w:val="en-US" w:eastAsia="zh-CN"/>
              </w:rPr>
              <w:drawing>
                <wp:inline distT="0" distB="0" distL="0" distR="0" wp14:anchorId="4E606DD4" wp14:editId="64622E69">
                  <wp:extent cx="1394693" cy="1476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834" cy="1480758"/>
                          </a:xfrm>
                          <a:prstGeom prst="rect">
                            <a:avLst/>
                          </a:prstGeom>
                          <a:noFill/>
                          <a:ln>
                            <a:noFill/>
                          </a:ln>
                        </pic:spPr>
                      </pic:pic>
                    </a:graphicData>
                  </a:graphic>
                </wp:inline>
              </w:drawing>
            </w:r>
          </w:p>
        </w:tc>
      </w:tr>
    </w:tbl>
    <w:p w:rsidR="00173A08" w:rsidRPr="00F050BA" w:rsidRDefault="00173A08" w:rsidP="00047DA0">
      <w:pPr>
        <w:tabs>
          <w:tab w:val="clear" w:pos="567"/>
          <w:tab w:val="clear" w:pos="1134"/>
          <w:tab w:val="clear" w:pos="1701"/>
          <w:tab w:val="clear" w:pos="2268"/>
          <w:tab w:val="clear" w:pos="2835"/>
          <w:tab w:val="left" w:pos="2127"/>
        </w:tabs>
        <w:overflowPunct/>
        <w:spacing w:before="240"/>
        <w:textAlignment w:val="auto"/>
        <w:rPr>
          <w:color w:val="000000"/>
          <w:szCs w:val="24"/>
          <w:lang w:eastAsia="zh-CN"/>
        </w:rPr>
      </w:pPr>
      <w:r w:rsidRPr="00F050BA">
        <w:rPr>
          <w:b/>
          <w:bCs/>
          <w:color w:val="000000"/>
          <w:szCs w:val="24"/>
          <w:lang w:eastAsia="zh-CN"/>
        </w:rPr>
        <w:t>Idioma:</w:t>
      </w:r>
      <w:r w:rsidRPr="00F050BA">
        <w:rPr>
          <w:color w:val="000000"/>
          <w:szCs w:val="24"/>
          <w:lang w:eastAsia="zh-CN"/>
        </w:rPr>
        <w:tab/>
        <w:t>Inglés e</w:t>
      </w:r>
      <w:r w:rsidR="00F050BA" w:rsidRPr="00F050BA">
        <w:rPr>
          <w:color w:val="000000"/>
          <w:szCs w:val="24"/>
          <w:lang w:eastAsia="zh-CN"/>
        </w:rPr>
        <w:t xml:space="preserve"> Hindi</w:t>
      </w:r>
    </w:p>
    <w:p w:rsidR="00173A08" w:rsidRPr="00F050BA" w:rsidRDefault="00173A08" w:rsidP="00047DA0">
      <w:pPr>
        <w:tabs>
          <w:tab w:val="clear" w:pos="567"/>
          <w:tab w:val="clear" w:pos="1134"/>
          <w:tab w:val="clear" w:pos="1701"/>
          <w:tab w:val="clear" w:pos="2268"/>
          <w:tab w:val="clear" w:pos="2835"/>
          <w:tab w:val="left" w:pos="2127"/>
        </w:tabs>
        <w:overflowPunct/>
        <w:spacing w:before="240"/>
        <w:textAlignment w:val="auto"/>
        <w:rPr>
          <w:color w:val="000000"/>
          <w:szCs w:val="24"/>
          <w:lang w:eastAsia="zh-CN"/>
        </w:rPr>
      </w:pPr>
      <w:r w:rsidRPr="00F050BA">
        <w:rPr>
          <w:b/>
          <w:bCs/>
          <w:color w:val="000000"/>
          <w:szCs w:val="24"/>
          <w:lang w:eastAsia="zh-CN"/>
        </w:rPr>
        <w:t>Formación:</w:t>
      </w:r>
      <w:r w:rsidRPr="00F050BA">
        <w:rPr>
          <w:color w:val="000000"/>
          <w:szCs w:val="24"/>
          <w:lang w:eastAsia="zh-CN"/>
        </w:rPr>
        <w:tab/>
        <w:t>Licenciado en ingeniería (ingeniería electrónica y de comunicaciones)</w:t>
      </w:r>
    </w:p>
    <w:p w:rsidR="00173A08" w:rsidRPr="001F25C8" w:rsidRDefault="00173A08" w:rsidP="00D23F57">
      <w:pPr>
        <w:tabs>
          <w:tab w:val="clear" w:pos="567"/>
          <w:tab w:val="clear" w:pos="1134"/>
          <w:tab w:val="clear" w:pos="1701"/>
          <w:tab w:val="clear" w:pos="2268"/>
          <w:tab w:val="clear" w:pos="2835"/>
          <w:tab w:val="left" w:pos="2127"/>
        </w:tabs>
        <w:overflowPunct/>
        <w:spacing w:before="240"/>
        <w:textAlignment w:val="auto"/>
        <w:rPr>
          <w:szCs w:val="24"/>
          <w:lang w:val="en-US" w:eastAsia="zh-CN"/>
        </w:rPr>
      </w:pPr>
      <w:r w:rsidRPr="001F25C8">
        <w:rPr>
          <w:b/>
          <w:bCs/>
          <w:szCs w:val="24"/>
          <w:lang w:val="en-US" w:eastAsia="zh-CN"/>
        </w:rPr>
        <w:t>Dirección oficial:</w:t>
      </w:r>
    </w:p>
    <w:p w:rsidR="00173A08" w:rsidRPr="00F050BA" w:rsidRDefault="00173A08" w:rsidP="001A7D45">
      <w:pPr>
        <w:tabs>
          <w:tab w:val="clear" w:pos="567"/>
          <w:tab w:val="clear" w:pos="1134"/>
          <w:tab w:val="clear" w:pos="1701"/>
          <w:tab w:val="clear" w:pos="2268"/>
          <w:tab w:val="clear" w:pos="2835"/>
          <w:tab w:val="left" w:pos="2127"/>
        </w:tabs>
        <w:overflowPunct/>
        <w:spacing w:before="0"/>
        <w:ind w:left="2127"/>
        <w:textAlignment w:val="auto"/>
        <w:rPr>
          <w:i/>
          <w:iCs/>
          <w:szCs w:val="24"/>
          <w:lang w:val="en-US" w:eastAsia="zh-CN"/>
        </w:rPr>
      </w:pPr>
      <w:r w:rsidRPr="00F050BA">
        <w:rPr>
          <w:i/>
          <w:iCs/>
          <w:szCs w:val="24"/>
          <w:lang w:val="en-US" w:eastAsia="zh-CN"/>
        </w:rPr>
        <w:t>Wireless Adv</w:t>
      </w:r>
      <w:r w:rsidR="00F050BA" w:rsidRPr="00F050BA">
        <w:rPr>
          <w:i/>
          <w:iCs/>
          <w:szCs w:val="24"/>
          <w:lang w:val="en-US" w:eastAsia="zh-CN"/>
        </w:rPr>
        <w:t>iser to the Government of India</w:t>
      </w:r>
    </w:p>
    <w:p w:rsidR="00173A08" w:rsidRPr="00F050BA" w:rsidRDefault="00173A08" w:rsidP="001A7D45">
      <w:pPr>
        <w:tabs>
          <w:tab w:val="clear" w:pos="567"/>
          <w:tab w:val="clear" w:pos="1134"/>
          <w:tab w:val="clear" w:pos="1701"/>
          <w:tab w:val="clear" w:pos="2268"/>
          <w:tab w:val="clear" w:pos="2835"/>
          <w:tab w:val="left" w:pos="2127"/>
        </w:tabs>
        <w:overflowPunct/>
        <w:spacing w:before="0"/>
        <w:ind w:left="2127"/>
        <w:textAlignment w:val="auto"/>
        <w:rPr>
          <w:szCs w:val="24"/>
          <w:lang w:val="en-US" w:eastAsia="zh-CN"/>
        </w:rPr>
      </w:pPr>
      <w:r w:rsidRPr="00F050BA">
        <w:rPr>
          <w:i/>
          <w:iCs/>
          <w:szCs w:val="24"/>
          <w:lang w:val="en-US" w:eastAsia="zh-CN"/>
        </w:rPr>
        <w:t>Wireless Planning and Coordination Wing</w:t>
      </w:r>
    </w:p>
    <w:p w:rsidR="00173A08" w:rsidRPr="001F25C8" w:rsidRDefault="00173A08" w:rsidP="001A7D45">
      <w:pPr>
        <w:tabs>
          <w:tab w:val="clear" w:pos="567"/>
          <w:tab w:val="clear" w:pos="1134"/>
          <w:tab w:val="clear" w:pos="1701"/>
          <w:tab w:val="clear" w:pos="2268"/>
          <w:tab w:val="clear" w:pos="2835"/>
          <w:tab w:val="left" w:pos="2127"/>
        </w:tabs>
        <w:overflowPunct/>
        <w:spacing w:before="0"/>
        <w:ind w:left="2127"/>
        <w:textAlignment w:val="auto"/>
        <w:rPr>
          <w:szCs w:val="24"/>
          <w:lang w:val="en-US" w:eastAsia="zh-CN"/>
        </w:rPr>
      </w:pPr>
      <w:r w:rsidRPr="001F25C8">
        <w:rPr>
          <w:szCs w:val="24"/>
          <w:lang w:val="en-US" w:eastAsia="zh-CN"/>
        </w:rPr>
        <w:t>D</w:t>
      </w:r>
      <w:r w:rsidR="00F050BA" w:rsidRPr="001F25C8">
        <w:rPr>
          <w:szCs w:val="24"/>
          <w:lang w:val="en-US" w:eastAsia="zh-CN"/>
        </w:rPr>
        <w:t>epartment of Telecommunications</w:t>
      </w:r>
    </w:p>
    <w:p w:rsidR="00173A08" w:rsidRPr="00F050BA" w:rsidRDefault="00173A08" w:rsidP="00F050BA">
      <w:pPr>
        <w:tabs>
          <w:tab w:val="clear" w:pos="567"/>
          <w:tab w:val="clear" w:pos="1134"/>
          <w:tab w:val="clear" w:pos="1701"/>
          <w:tab w:val="clear" w:pos="2268"/>
          <w:tab w:val="clear" w:pos="2835"/>
          <w:tab w:val="left" w:pos="2127"/>
        </w:tabs>
        <w:overflowPunct/>
        <w:spacing w:before="0"/>
        <w:ind w:left="2127"/>
        <w:textAlignment w:val="auto"/>
        <w:rPr>
          <w:szCs w:val="24"/>
          <w:lang w:val="en-US" w:eastAsia="zh-CN"/>
        </w:rPr>
      </w:pPr>
      <w:r w:rsidRPr="00F050BA">
        <w:rPr>
          <w:szCs w:val="24"/>
          <w:lang w:val="en-US" w:eastAsia="zh-CN"/>
        </w:rPr>
        <w:t>Room N</w:t>
      </w:r>
      <w:r w:rsidR="00F050BA" w:rsidRPr="00F050BA">
        <w:rPr>
          <w:szCs w:val="24"/>
          <w:lang w:val="en-US" w:eastAsia="zh-CN"/>
        </w:rPr>
        <w:t>º</w:t>
      </w:r>
      <w:r w:rsidRPr="00F050BA">
        <w:rPr>
          <w:szCs w:val="24"/>
          <w:lang w:val="en-US" w:eastAsia="zh-CN"/>
        </w:rPr>
        <w:t xml:space="preserve"> 601, </w:t>
      </w:r>
      <w:r w:rsidR="00F050BA" w:rsidRPr="00F050BA">
        <w:rPr>
          <w:szCs w:val="24"/>
          <w:lang w:val="en-US" w:eastAsia="zh-CN"/>
        </w:rPr>
        <w:t>Sanchar Bhawan, 20 Ashoka Road,</w:t>
      </w:r>
    </w:p>
    <w:p w:rsidR="00173A08" w:rsidRPr="001F25C8" w:rsidRDefault="00F050BA" w:rsidP="001A7D45">
      <w:pPr>
        <w:tabs>
          <w:tab w:val="clear" w:pos="567"/>
          <w:tab w:val="clear" w:pos="1134"/>
          <w:tab w:val="clear" w:pos="1701"/>
          <w:tab w:val="clear" w:pos="2268"/>
          <w:tab w:val="clear" w:pos="2835"/>
          <w:tab w:val="left" w:pos="2127"/>
        </w:tabs>
        <w:overflowPunct/>
        <w:spacing w:before="0"/>
        <w:ind w:left="2127"/>
        <w:textAlignment w:val="auto"/>
        <w:rPr>
          <w:szCs w:val="24"/>
          <w:lang w:val="en-US" w:eastAsia="zh-CN"/>
        </w:rPr>
      </w:pPr>
      <w:r w:rsidRPr="001F25C8">
        <w:rPr>
          <w:szCs w:val="24"/>
          <w:lang w:val="en-US" w:eastAsia="zh-CN"/>
        </w:rPr>
        <w:t>New Delhi – 110 001, INDIA</w:t>
      </w:r>
    </w:p>
    <w:p w:rsidR="00173A08" w:rsidRPr="001F25C8" w:rsidRDefault="00173A08" w:rsidP="001A7D45">
      <w:pPr>
        <w:tabs>
          <w:tab w:val="clear" w:pos="567"/>
          <w:tab w:val="clear" w:pos="1134"/>
          <w:tab w:val="clear" w:pos="1701"/>
          <w:tab w:val="clear" w:pos="2268"/>
          <w:tab w:val="clear" w:pos="2835"/>
          <w:tab w:val="left" w:pos="2127"/>
        </w:tabs>
        <w:overflowPunct/>
        <w:spacing w:before="0"/>
        <w:ind w:left="2127"/>
        <w:textAlignment w:val="auto"/>
        <w:rPr>
          <w:szCs w:val="24"/>
          <w:lang w:val="en-US" w:eastAsia="zh-CN"/>
        </w:rPr>
      </w:pPr>
      <w:r w:rsidRPr="001F25C8">
        <w:rPr>
          <w:szCs w:val="24"/>
          <w:lang w:val="en-US" w:eastAsia="zh-CN"/>
        </w:rPr>
        <w:t>Tel</w:t>
      </w:r>
      <w:r w:rsidR="00F050BA" w:rsidRPr="001F25C8">
        <w:rPr>
          <w:szCs w:val="24"/>
          <w:lang w:val="en-US" w:eastAsia="zh-CN"/>
        </w:rPr>
        <w:t>.: +91 11 23755420</w:t>
      </w:r>
    </w:p>
    <w:p w:rsidR="00173A08" w:rsidRPr="001F25C8" w:rsidRDefault="00F050BA" w:rsidP="001A7D45">
      <w:pPr>
        <w:tabs>
          <w:tab w:val="clear" w:pos="567"/>
          <w:tab w:val="clear" w:pos="1134"/>
          <w:tab w:val="clear" w:pos="1701"/>
          <w:tab w:val="clear" w:pos="2268"/>
          <w:tab w:val="clear" w:pos="2835"/>
          <w:tab w:val="left" w:pos="2127"/>
        </w:tabs>
        <w:overflowPunct/>
        <w:spacing w:before="0"/>
        <w:ind w:left="2127"/>
        <w:textAlignment w:val="auto"/>
        <w:rPr>
          <w:szCs w:val="24"/>
          <w:lang w:val="en-US" w:eastAsia="zh-CN"/>
        </w:rPr>
      </w:pPr>
      <w:r w:rsidRPr="001F25C8">
        <w:rPr>
          <w:szCs w:val="24"/>
          <w:lang w:val="en-US" w:eastAsia="zh-CN"/>
        </w:rPr>
        <w:t>FAX: +91 11 23372141</w:t>
      </w:r>
    </w:p>
    <w:p w:rsidR="00173A08" w:rsidRPr="00F050BA" w:rsidRDefault="00173A08" w:rsidP="001A7D45">
      <w:pPr>
        <w:tabs>
          <w:tab w:val="clear" w:pos="567"/>
          <w:tab w:val="clear" w:pos="1134"/>
          <w:tab w:val="clear" w:pos="1701"/>
          <w:tab w:val="clear" w:pos="2268"/>
          <w:tab w:val="clear" w:pos="2835"/>
          <w:tab w:val="left" w:pos="2127"/>
        </w:tabs>
        <w:overflowPunct/>
        <w:spacing w:before="0"/>
        <w:ind w:left="2127"/>
        <w:textAlignment w:val="auto"/>
        <w:rPr>
          <w:szCs w:val="24"/>
          <w:lang w:eastAsia="zh-CN"/>
        </w:rPr>
      </w:pPr>
      <w:r w:rsidRPr="00F050BA">
        <w:rPr>
          <w:szCs w:val="24"/>
          <w:lang w:eastAsia="zh-CN"/>
        </w:rPr>
        <w:t xml:space="preserve">Email: </w:t>
      </w:r>
      <w:hyperlink r:id="rId13" w:history="1">
        <w:r w:rsidRPr="00F050BA">
          <w:rPr>
            <w:rStyle w:val="Hyperlink"/>
            <w:szCs w:val="24"/>
            <w:lang w:eastAsia="zh-CN"/>
          </w:rPr>
          <w:t>wawpc@nic.in</w:t>
        </w:r>
      </w:hyperlink>
    </w:p>
    <w:p w:rsidR="00173A08" w:rsidRPr="00F050BA" w:rsidRDefault="00173A08" w:rsidP="00D23F57">
      <w:pPr>
        <w:tabs>
          <w:tab w:val="clear" w:pos="567"/>
          <w:tab w:val="clear" w:pos="1134"/>
          <w:tab w:val="clear" w:pos="1701"/>
          <w:tab w:val="clear" w:pos="2268"/>
          <w:tab w:val="clear" w:pos="2835"/>
          <w:tab w:val="left" w:pos="2127"/>
        </w:tabs>
        <w:overflowPunct/>
        <w:spacing w:before="240"/>
        <w:textAlignment w:val="auto"/>
        <w:rPr>
          <w:szCs w:val="24"/>
          <w:lang w:eastAsia="zh-CN"/>
        </w:rPr>
      </w:pPr>
      <w:r w:rsidRPr="00F050BA">
        <w:rPr>
          <w:b/>
          <w:bCs/>
          <w:szCs w:val="24"/>
          <w:lang w:eastAsia="zh-CN"/>
        </w:rPr>
        <w:t>Resumen de la carrera profesional:</w:t>
      </w:r>
    </w:p>
    <w:p w:rsidR="00173A08" w:rsidRPr="00F050BA" w:rsidRDefault="00F050BA" w:rsidP="00F050BA">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t>–</w:t>
      </w:r>
      <w:r w:rsidRPr="00F050BA">
        <w:rPr>
          <w:szCs w:val="24"/>
          <w:lang w:eastAsia="zh-CN"/>
        </w:rPr>
        <w:tab/>
      </w:r>
      <w:r w:rsidR="00173A08" w:rsidRPr="00F050BA">
        <w:rPr>
          <w:szCs w:val="24"/>
          <w:lang w:eastAsia="zh-CN"/>
        </w:rPr>
        <w:t>Asesor del Gobierno de la India sobre comunicaciones inalámbricas, Sector de planificación y coordinación inalámbrica del Departamento de Telecomunicaciones del Ministerio de Comunicaciones y TI, desde el 01.12.2012, responsable de gestión del espectro y reglamentación radioeléctrica.</w:t>
      </w:r>
    </w:p>
    <w:p w:rsidR="00173A08" w:rsidRPr="00F050BA" w:rsidRDefault="00173A08" w:rsidP="00F050BA">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 xml:space="preserve">Más de 34 años de experiencia en gestión y supervisión del espectro radioeléctrico en diversos cargos en la organización nacional de gestión y reglamentación del espectro radioeléctrico del Departamento de Telecomunicaciones del Ministerio de Comunicaciones y TI. Entre dos actividades como ha asumido funciones de gestión del espectro y reglamentación de las radiocomunicaciones, políticas internacionales y nacionales </w:t>
      </w:r>
      <w:r w:rsidRPr="00F050BA">
        <w:rPr>
          <w:szCs w:val="24"/>
          <w:lang w:eastAsia="zh-CN"/>
        </w:rPr>
        <w:lastRenderedPageBreak/>
        <w:t>relativas a todos los asuntos de radiocomunicaci</w:t>
      </w:r>
      <w:r w:rsidR="00CF0996">
        <w:rPr>
          <w:szCs w:val="24"/>
          <w:lang w:eastAsia="zh-CN"/>
        </w:rPr>
        <w:t>ones relacionados con todo tipo</w:t>
      </w:r>
      <w:r w:rsidRPr="00F050BA">
        <w:rPr>
          <w:szCs w:val="24"/>
          <w:lang w:eastAsia="zh-CN"/>
        </w:rPr>
        <w:t xml:space="preserve"> de satélites y servicios de radiocomunicaciones terrenales, coordinación nacional e internacional del espectro y órbita, concesión de licencias, comprobación técnica radioeléctrica, incluidos diseño y desarrollo de sistemas de comprobación técnica por Satélite prestaciones terrenales y otras instalaciones de comprobación técnica, asuntos relacionados con las radiocomunicaciones que conciernen a la Unión Internacional de Telecomunicaciones (UIT) y la Telecomunidad Asia-Pacífico (APT). Formulación e implementación de políticas nacionales relacionadas con las Telecomunicaciones como radiodifusión, tecnología espacial, etc.</w:t>
      </w:r>
    </w:p>
    <w:p w:rsidR="00173A08" w:rsidRPr="00F050BA" w:rsidRDefault="00173A08" w:rsidP="00A96E24">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 xml:space="preserve">Miembro de la </w:t>
      </w:r>
      <w:r w:rsidRPr="00F050BA">
        <w:rPr>
          <w:i/>
          <w:iCs/>
          <w:szCs w:val="24"/>
          <w:lang w:eastAsia="zh-CN"/>
        </w:rPr>
        <w:t>Institution of Electronics &amp; Telecommunications Engineers</w:t>
      </w:r>
      <w:r w:rsidRPr="00F050BA">
        <w:rPr>
          <w:szCs w:val="24"/>
          <w:lang w:eastAsia="zh-CN"/>
        </w:rPr>
        <w:t xml:space="preserve"> de la India</w:t>
      </w:r>
    </w:p>
    <w:p w:rsidR="00173A08" w:rsidRPr="00F050BA" w:rsidRDefault="00173A08" w:rsidP="00A96E24">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Formulación y desarrollo del Plan Nacional de Atribución de Frecuencias del país.</w:t>
      </w:r>
    </w:p>
    <w:p w:rsidR="00173A08" w:rsidRPr="00F050BA" w:rsidRDefault="00173A08" w:rsidP="00A96E24">
      <w:pPr>
        <w:tabs>
          <w:tab w:val="clear" w:pos="567"/>
          <w:tab w:val="clear" w:pos="1134"/>
          <w:tab w:val="clear" w:pos="1701"/>
          <w:tab w:val="clear" w:pos="2268"/>
          <w:tab w:val="clear" w:pos="2835"/>
          <w:tab w:val="left" w:pos="2127"/>
        </w:tabs>
        <w:overflowPunct/>
        <w:spacing w:before="240"/>
        <w:textAlignment w:val="auto"/>
        <w:rPr>
          <w:szCs w:val="24"/>
          <w:lang w:eastAsia="zh-CN"/>
        </w:rPr>
      </w:pPr>
      <w:r w:rsidRPr="00F050BA">
        <w:rPr>
          <w:b/>
          <w:bCs/>
          <w:szCs w:val="24"/>
          <w:lang w:eastAsia="zh-CN"/>
        </w:rPr>
        <w:t>Cargos importantes a nivel internacional:</w:t>
      </w:r>
    </w:p>
    <w:p w:rsidR="00173A08" w:rsidRPr="00F050BA" w:rsidRDefault="00173A08" w:rsidP="00C60F2D">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Vicepresidente de la Comisión Especial para Asuntos Reglamentarios y de Procedimiento de la UIT entre 2007 y 2011 y en el periodo actual.</w:t>
      </w:r>
    </w:p>
    <w:p w:rsidR="00173A08" w:rsidRPr="00F050BA" w:rsidRDefault="00173A08" w:rsidP="00D23F57">
      <w:pPr>
        <w:tabs>
          <w:tab w:val="clear" w:pos="567"/>
          <w:tab w:val="clear" w:pos="1134"/>
          <w:tab w:val="clear" w:pos="1701"/>
          <w:tab w:val="clear" w:pos="2268"/>
          <w:tab w:val="clear" w:pos="2835"/>
          <w:tab w:val="left" w:pos="2127"/>
        </w:tabs>
        <w:overflowPunct/>
        <w:spacing w:before="240"/>
        <w:textAlignment w:val="auto"/>
        <w:rPr>
          <w:szCs w:val="24"/>
          <w:lang w:eastAsia="zh-CN"/>
        </w:rPr>
      </w:pPr>
      <w:r w:rsidRPr="00F050BA">
        <w:rPr>
          <w:b/>
          <w:bCs/>
          <w:szCs w:val="24"/>
          <w:lang w:eastAsia="zh-CN"/>
        </w:rPr>
        <w:t>Principales actividades en el ámbito internacional:</w:t>
      </w:r>
    </w:p>
    <w:p w:rsidR="00173A08" w:rsidRPr="00F050BA" w:rsidRDefault="00173A08" w:rsidP="00F050BA">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Participación en diversas actividades de la UIT, la APT y otros foros internacionales desde hace más de 20 años, como por ejemplo, la Conferencia Administrativa Mundial de Radiocomunicaciones de 1992 (CAMR</w:t>
      </w:r>
      <w:r w:rsidRPr="00F050BA">
        <w:rPr>
          <w:szCs w:val="24"/>
          <w:lang w:eastAsia="zh-CN"/>
        </w:rPr>
        <w:noBreakHyphen/>
        <w:t>92), la Conferencia de Plenipotenciarios de 1994 (PP</w:t>
      </w:r>
      <w:r w:rsidRPr="00F050BA">
        <w:rPr>
          <w:szCs w:val="24"/>
          <w:lang w:eastAsia="zh-CN"/>
        </w:rPr>
        <w:noBreakHyphen/>
        <w:t>94), la Conferencia Mundial de Radiocomunicaciones de 1995 (CMR</w:t>
      </w:r>
      <w:r w:rsidRPr="00F050BA">
        <w:rPr>
          <w:szCs w:val="24"/>
          <w:lang w:eastAsia="zh-CN"/>
        </w:rPr>
        <w:noBreakHyphen/>
        <w:t>95), la Conferencia Mundial de Radiocomunicaciones de 2000 (CMR</w:t>
      </w:r>
      <w:r w:rsidRPr="00F050BA">
        <w:rPr>
          <w:szCs w:val="24"/>
          <w:lang w:eastAsia="zh-CN"/>
        </w:rPr>
        <w:noBreakHyphen/>
        <w:t>2000), la Conferencia de Plenipotenciarios de 2006 (PP</w:t>
      </w:r>
      <w:r w:rsidRPr="00F050BA">
        <w:rPr>
          <w:szCs w:val="24"/>
          <w:lang w:eastAsia="zh-CN"/>
        </w:rPr>
        <w:noBreakHyphen/>
        <w:t>06), la Conferencia Mundial de Radiocomunicaciones de 2007 (CMR</w:t>
      </w:r>
      <w:r w:rsidRPr="00F050BA">
        <w:rPr>
          <w:szCs w:val="24"/>
          <w:lang w:eastAsia="zh-CN"/>
        </w:rPr>
        <w:noBreakHyphen/>
        <w:t>07), la Reunión Preparatoria de Conferencia (RPC</w:t>
      </w:r>
      <w:r w:rsidRPr="00F050BA">
        <w:rPr>
          <w:szCs w:val="24"/>
          <w:lang w:eastAsia="zh-CN"/>
        </w:rPr>
        <w:noBreakHyphen/>
        <w:t>11</w:t>
      </w:r>
      <w:r w:rsidRPr="00F050BA">
        <w:rPr>
          <w:szCs w:val="24"/>
          <w:lang w:eastAsia="zh-CN"/>
        </w:rPr>
        <w:noBreakHyphen/>
        <w:t>2), la Conferencia Mundial de Radiocomunicaciones de 2012 (CMR</w:t>
      </w:r>
      <w:r w:rsidRPr="00F050BA">
        <w:rPr>
          <w:szCs w:val="24"/>
          <w:lang w:eastAsia="zh-CN"/>
        </w:rPr>
        <w:noBreakHyphen/>
        <w:t>12), Comisiones de Estudio del UIT-R, sus Grupos de Trabajo y Grupos de Trabajo Mixtos, y reuniones del Grupo Preparatorio de Conferencia de la APT para las CMR.</w:t>
      </w:r>
    </w:p>
    <w:p w:rsidR="00173A08" w:rsidRPr="00F050BA" w:rsidRDefault="00173A08" w:rsidP="00F050BA">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 xml:space="preserve">Jefe/Jefe suplente de la delegación de la India en diversas reuniones bilaterales con distintas administraciones, organizaciones internacionales y consorcios, especialmente en relación con la gestión del espectro, asuntos de coordinación internacional y reglamentación radioeléctrica para diversas redes de telecomunicaciones por satélite y terrenales. </w:t>
      </w:r>
    </w:p>
    <w:p w:rsidR="00173A08" w:rsidRPr="00F050BA" w:rsidRDefault="00173A08" w:rsidP="001A7D45">
      <w:pPr>
        <w:tabs>
          <w:tab w:val="clear" w:pos="567"/>
          <w:tab w:val="clear" w:pos="1134"/>
          <w:tab w:val="clear" w:pos="1701"/>
          <w:tab w:val="clear" w:pos="2268"/>
          <w:tab w:val="clear" w:pos="2835"/>
          <w:tab w:val="left" w:pos="2127"/>
        </w:tabs>
        <w:overflowPunct/>
        <w:spacing w:before="240"/>
        <w:textAlignment w:val="auto"/>
        <w:rPr>
          <w:szCs w:val="24"/>
          <w:lang w:eastAsia="zh-CN"/>
        </w:rPr>
      </w:pPr>
      <w:r w:rsidRPr="00F050BA">
        <w:rPr>
          <w:b/>
          <w:bCs/>
          <w:szCs w:val="24"/>
          <w:lang w:eastAsia="zh-CN"/>
        </w:rPr>
        <w:t xml:space="preserve">Principales actividades en el ámbito nacional: </w:t>
      </w:r>
    </w:p>
    <w:p w:rsidR="00173A08" w:rsidRPr="00F050BA" w:rsidRDefault="00173A08" w:rsidP="007B2E77">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Presidente del Comité Preparatorio Nacional de la CMR</w:t>
      </w:r>
      <w:r w:rsidRPr="00F050BA">
        <w:rPr>
          <w:szCs w:val="24"/>
          <w:lang w:eastAsia="zh-CN"/>
        </w:rPr>
        <w:noBreakHyphen/>
        <w:t>07 y la CMR</w:t>
      </w:r>
      <w:r w:rsidRPr="00F050BA">
        <w:rPr>
          <w:szCs w:val="24"/>
          <w:lang w:eastAsia="zh-CN"/>
        </w:rPr>
        <w:noBreakHyphen/>
        <w:t>12. Elaboración de contribuciones nacionales para conferencias de la UIT y para el Grupo Preparatorio de la APT para las CMR.</w:t>
      </w:r>
    </w:p>
    <w:p w:rsidR="00173A08" w:rsidRPr="00F050BA" w:rsidRDefault="00173A08" w:rsidP="00F43193">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lastRenderedPageBreak/>
        <w:tab/>
      </w:r>
      <w:r w:rsidR="00F050BA" w:rsidRPr="00F050BA">
        <w:rPr>
          <w:szCs w:val="24"/>
          <w:lang w:eastAsia="zh-CN"/>
        </w:rPr>
        <w:t>–</w:t>
      </w:r>
      <w:r w:rsidRPr="00F050BA">
        <w:rPr>
          <w:szCs w:val="24"/>
          <w:lang w:eastAsia="zh-CN"/>
        </w:rPr>
        <w:tab/>
        <w:t xml:space="preserve">Presidente de varias comisiones nacionales, relacionadas específicamente con la gestión del espectro, la reglamentación de las radiocomunicaciones y estudios sobre compatibilidad electromagnética. </w:t>
      </w:r>
    </w:p>
    <w:p w:rsidR="00173A08" w:rsidRPr="00F050BA" w:rsidRDefault="00173A08" w:rsidP="00F43193">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F050BA" w:rsidRPr="00F050BA">
        <w:rPr>
          <w:szCs w:val="24"/>
          <w:lang w:eastAsia="zh-CN"/>
        </w:rPr>
        <w:t>–</w:t>
      </w:r>
      <w:r w:rsidRPr="00F050BA">
        <w:rPr>
          <w:szCs w:val="24"/>
          <w:lang w:eastAsia="zh-CN"/>
        </w:rPr>
        <w:tab/>
        <w:t>Miembro de diversas comisiones nacionales relacionadas con actividades de radiocomunicaciones, incluida la coordinación de frecuencias orbitales para redes de satélite de INSAT, política espacial, política de radiodifusión por satélite terrenal, etc.</w:t>
      </w:r>
    </w:p>
    <w:p w:rsidR="00173A08" w:rsidRPr="00F050BA" w:rsidRDefault="00173A08" w:rsidP="00F050BA">
      <w:pPr>
        <w:keepNext/>
        <w:tabs>
          <w:tab w:val="clear" w:pos="567"/>
          <w:tab w:val="clear" w:pos="1134"/>
          <w:tab w:val="clear" w:pos="1701"/>
          <w:tab w:val="clear" w:pos="2268"/>
          <w:tab w:val="clear" w:pos="2835"/>
          <w:tab w:val="left" w:pos="2127"/>
        </w:tabs>
        <w:overflowPunct/>
        <w:spacing w:before="240"/>
        <w:textAlignment w:val="auto"/>
        <w:rPr>
          <w:szCs w:val="24"/>
          <w:lang w:eastAsia="zh-CN"/>
        </w:rPr>
      </w:pPr>
      <w:r w:rsidRPr="00F050BA">
        <w:rPr>
          <w:b/>
          <w:bCs/>
          <w:szCs w:val="24"/>
          <w:lang w:eastAsia="zh-CN"/>
        </w:rPr>
        <w:t>Publicaciones:</w:t>
      </w:r>
    </w:p>
    <w:p w:rsidR="00173A08" w:rsidRPr="00F050BA" w:rsidRDefault="00173A08" w:rsidP="00467F31">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4D5FB1" w:rsidRPr="004D5FB1">
        <w:rPr>
          <w:szCs w:val="24"/>
          <w:lang w:eastAsia="zh-CN"/>
        </w:rPr>
        <w:t>–</w:t>
      </w:r>
      <w:r w:rsidRPr="00F050BA">
        <w:rPr>
          <w:szCs w:val="24"/>
          <w:lang w:eastAsia="zh-CN"/>
        </w:rPr>
        <w:tab/>
        <w:t>Presentación de publicaciones sobre diversos temas, especialmente relacionados con gestión del espectro, aspectos de reglamentación de las radiocomunicaciones y compatibilidad electromagnética en seminarios, talleres nacionales, etc.</w:t>
      </w:r>
    </w:p>
    <w:p w:rsidR="00173A08" w:rsidRPr="00F050BA" w:rsidRDefault="00173A08" w:rsidP="00467F31">
      <w:pPr>
        <w:tabs>
          <w:tab w:val="clear" w:pos="567"/>
          <w:tab w:val="clear" w:pos="1134"/>
          <w:tab w:val="clear" w:pos="1701"/>
          <w:tab w:val="clear" w:pos="2268"/>
          <w:tab w:val="clear" w:pos="2835"/>
          <w:tab w:val="left" w:pos="1560"/>
          <w:tab w:val="left" w:pos="2127"/>
        </w:tabs>
        <w:overflowPunct/>
        <w:ind w:left="2126" w:hanging="2127"/>
        <w:textAlignment w:val="auto"/>
        <w:rPr>
          <w:szCs w:val="24"/>
          <w:lang w:eastAsia="zh-CN"/>
        </w:rPr>
      </w:pPr>
      <w:r w:rsidRPr="00F050BA">
        <w:rPr>
          <w:szCs w:val="24"/>
          <w:lang w:eastAsia="zh-CN"/>
        </w:rPr>
        <w:tab/>
      </w:r>
      <w:r w:rsidR="004D5FB1" w:rsidRPr="004D5FB1">
        <w:rPr>
          <w:szCs w:val="24"/>
          <w:lang w:eastAsia="zh-CN"/>
        </w:rPr>
        <w:t>–</w:t>
      </w:r>
      <w:r w:rsidRPr="00F050BA">
        <w:rPr>
          <w:szCs w:val="24"/>
          <w:lang w:eastAsia="zh-CN"/>
        </w:rPr>
        <w:tab/>
        <w:t>Ponencias y discursos de apertura en numerosos foros internacionales y nacionales, instituciones técnicas, etc.</w:t>
      </w:r>
    </w:p>
    <w:p w:rsidR="00173A08" w:rsidRPr="00F050BA" w:rsidRDefault="00173A08" w:rsidP="0032202E">
      <w:pPr>
        <w:pStyle w:val="Reasons"/>
        <w:rPr>
          <w:szCs w:val="24"/>
        </w:rPr>
      </w:pPr>
    </w:p>
    <w:p w:rsidR="00173A08" w:rsidRPr="00F050BA" w:rsidRDefault="00173A08">
      <w:pPr>
        <w:jc w:val="center"/>
        <w:rPr>
          <w:szCs w:val="24"/>
        </w:rPr>
      </w:pPr>
      <w:r w:rsidRPr="00F050BA">
        <w:rPr>
          <w:szCs w:val="24"/>
        </w:rPr>
        <w:t>______________</w:t>
      </w:r>
    </w:p>
    <w:p w:rsidR="00173A08" w:rsidRPr="00F050BA" w:rsidRDefault="00173A08" w:rsidP="001A7D45">
      <w:pPr>
        <w:tabs>
          <w:tab w:val="left" w:pos="2127"/>
        </w:tabs>
        <w:spacing w:before="240"/>
        <w:jc w:val="center"/>
        <w:rPr>
          <w:szCs w:val="24"/>
          <w:u w:val="single"/>
        </w:rPr>
      </w:pPr>
    </w:p>
    <w:p w:rsidR="00D42B55" w:rsidRPr="00F050BA" w:rsidRDefault="00D42B55" w:rsidP="004B07DB">
      <w:pPr>
        <w:rPr>
          <w:rStyle w:val="PageNumber"/>
          <w:szCs w:val="24"/>
        </w:rPr>
      </w:pPr>
    </w:p>
    <w:sectPr w:rsidR="00D42B55" w:rsidRPr="00F050BA" w:rsidSect="00066A87">
      <w:headerReference w:type="first" r:id="rId14"/>
      <w:footerReference w:type="first" r:id="rId15"/>
      <w:type w:val="oddPage"/>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08" w:rsidRDefault="00173A08">
      <w:r>
        <w:separator/>
      </w:r>
    </w:p>
  </w:endnote>
  <w:endnote w:type="continuationSeparator" w:id="0">
    <w:p w:rsidR="00173A08" w:rsidRDefault="0017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E4" w:rsidRPr="00840778" w:rsidRDefault="00C076E4">
    <w:pPr>
      <w:pStyle w:val="Footer"/>
      <w:rPr>
        <w:color w:val="FFFFFF" w:themeColor="background1"/>
        <w:szCs w:val="16"/>
      </w:rPr>
    </w:pPr>
    <w:r w:rsidRPr="00840778">
      <w:rPr>
        <w:noProof w:val="0"/>
        <w:color w:val="FFFFFF" w:themeColor="background1"/>
        <w:szCs w:val="16"/>
      </w:rPr>
      <w:fldChar w:fldCharType="begin"/>
    </w:r>
    <w:r w:rsidRPr="00840778">
      <w:rPr>
        <w:color w:val="FFFFFF" w:themeColor="background1"/>
        <w:szCs w:val="16"/>
      </w:rPr>
      <w:instrText xml:space="preserve"> FILENAME \p  \* MERGEFORMAT </w:instrText>
    </w:r>
    <w:r w:rsidRPr="00840778">
      <w:rPr>
        <w:noProof w:val="0"/>
        <w:color w:val="FFFFFF" w:themeColor="background1"/>
        <w:szCs w:val="16"/>
      </w:rPr>
      <w:fldChar w:fldCharType="separate"/>
    </w:r>
    <w:r w:rsidR="00BC4DF0" w:rsidRPr="00840778">
      <w:rPr>
        <w:color w:val="FFFFFF" w:themeColor="background1"/>
        <w:szCs w:val="16"/>
      </w:rPr>
      <w:t>P:\ESP\SG\CONF-SG\PP14\000\071S.docx</w:t>
    </w:r>
    <w:r w:rsidRPr="00840778">
      <w:rPr>
        <w:color w:val="FFFFFF" w:themeColor="background1"/>
        <w:szCs w:val="16"/>
      </w:rPr>
      <w:fldChar w:fldCharType="end"/>
    </w:r>
    <w:r w:rsidRPr="00840778">
      <w:rPr>
        <w:color w:val="FFFFFF" w:themeColor="background1"/>
        <w:szCs w:val="16"/>
      </w:rPr>
      <w:t xml:space="preserve"> (368947)</w:t>
    </w:r>
    <w:r w:rsidRPr="00840778">
      <w:rPr>
        <w:color w:val="FFFFFF" w:themeColor="background1"/>
        <w:szCs w:val="16"/>
      </w:rPr>
      <w:tab/>
    </w:r>
    <w:r w:rsidRPr="00840778">
      <w:rPr>
        <w:color w:val="FFFFFF" w:themeColor="background1"/>
        <w:szCs w:val="16"/>
      </w:rPr>
      <w:fldChar w:fldCharType="begin"/>
    </w:r>
    <w:r w:rsidRPr="00840778">
      <w:rPr>
        <w:color w:val="FFFFFF" w:themeColor="background1"/>
        <w:szCs w:val="16"/>
      </w:rPr>
      <w:instrText xml:space="preserve"> SAVEDATE \@ DD.MM.YY </w:instrText>
    </w:r>
    <w:r w:rsidRPr="00840778">
      <w:rPr>
        <w:color w:val="FFFFFF" w:themeColor="background1"/>
        <w:szCs w:val="16"/>
      </w:rPr>
      <w:fldChar w:fldCharType="separate"/>
    </w:r>
    <w:r w:rsidR="00840778" w:rsidRPr="00840778">
      <w:rPr>
        <w:color w:val="FFFFFF" w:themeColor="background1"/>
        <w:szCs w:val="16"/>
      </w:rPr>
      <w:t>23.09.14</w:t>
    </w:r>
    <w:r w:rsidRPr="00840778">
      <w:rPr>
        <w:color w:val="FFFFFF" w:themeColor="background1"/>
        <w:szCs w:val="16"/>
      </w:rPr>
      <w:fldChar w:fldCharType="end"/>
    </w:r>
    <w:r w:rsidRPr="00840778">
      <w:rPr>
        <w:color w:val="FFFFFF" w:themeColor="background1"/>
        <w:szCs w:val="16"/>
      </w:rPr>
      <w:tab/>
    </w:r>
    <w:r w:rsidRPr="00840778">
      <w:rPr>
        <w:color w:val="FFFFFF" w:themeColor="background1"/>
        <w:szCs w:val="16"/>
      </w:rPr>
      <w:fldChar w:fldCharType="begin"/>
    </w:r>
    <w:r w:rsidRPr="00840778">
      <w:rPr>
        <w:color w:val="FFFFFF" w:themeColor="background1"/>
        <w:szCs w:val="16"/>
      </w:rPr>
      <w:instrText xml:space="preserve"> PRINTDATE \@ DD.MM.YY </w:instrText>
    </w:r>
    <w:r w:rsidRPr="00840778">
      <w:rPr>
        <w:color w:val="FFFFFF" w:themeColor="background1"/>
        <w:szCs w:val="16"/>
      </w:rPr>
      <w:fldChar w:fldCharType="separate"/>
    </w:r>
    <w:r w:rsidR="00BC4DF0" w:rsidRPr="00840778">
      <w:rPr>
        <w:color w:val="FFFFFF" w:themeColor="background1"/>
        <w:szCs w:val="16"/>
      </w:rPr>
      <w:t>23.09.14</w:t>
    </w:r>
    <w:r w:rsidRPr="00840778">
      <w:rPr>
        <w:color w:val="FFFFFF" w:themeColor="background1"/>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22" w:rsidRDefault="006A3A22" w:rsidP="006A3A2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A3A22" w:rsidRPr="00255FA1" w:rsidRDefault="006A3A22" w:rsidP="006A3A22">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22" w:rsidRPr="00840778" w:rsidRDefault="006A3A22" w:rsidP="006A3A22">
    <w:pPr>
      <w:pStyle w:val="Footer"/>
      <w:rPr>
        <w:color w:val="FFFFFF" w:themeColor="background1"/>
        <w:szCs w:val="16"/>
      </w:rPr>
    </w:pPr>
    <w:r w:rsidRPr="00840778">
      <w:rPr>
        <w:noProof w:val="0"/>
        <w:color w:val="FFFFFF" w:themeColor="background1"/>
        <w:szCs w:val="16"/>
      </w:rPr>
      <w:fldChar w:fldCharType="begin"/>
    </w:r>
    <w:r w:rsidRPr="00840778">
      <w:rPr>
        <w:color w:val="FFFFFF" w:themeColor="background1"/>
        <w:szCs w:val="16"/>
      </w:rPr>
      <w:instrText xml:space="preserve"> FILENAME \p  \* MERGEFORMAT </w:instrText>
    </w:r>
    <w:r w:rsidRPr="00840778">
      <w:rPr>
        <w:noProof w:val="0"/>
        <w:color w:val="FFFFFF" w:themeColor="background1"/>
        <w:szCs w:val="16"/>
      </w:rPr>
      <w:fldChar w:fldCharType="separate"/>
    </w:r>
    <w:r w:rsidRPr="00840778">
      <w:rPr>
        <w:color w:val="FFFFFF" w:themeColor="background1"/>
        <w:szCs w:val="16"/>
      </w:rPr>
      <w:t>P:\ESP\SG\CONF-SG\PP14\000\071S.docx</w:t>
    </w:r>
    <w:r w:rsidRPr="00840778">
      <w:rPr>
        <w:color w:val="FFFFFF" w:themeColor="background1"/>
        <w:szCs w:val="16"/>
      </w:rPr>
      <w:fldChar w:fldCharType="end"/>
    </w:r>
    <w:r w:rsidRPr="00840778">
      <w:rPr>
        <w:color w:val="FFFFFF" w:themeColor="background1"/>
        <w:szCs w:val="16"/>
      </w:rPr>
      <w:t xml:space="preserve"> (368947)</w:t>
    </w:r>
    <w:r w:rsidRPr="00840778">
      <w:rPr>
        <w:color w:val="FFFFFF" w:themeColor="background1"/>
        <w:szCs w:val="16"/>
      </w:rPr>
      <w:tab/>
    </w:r>
    <w:r w:rsidRPr="00840778">
      <w:rPr>
        <w:color w:val="FFFFFF" w:themeColor="background1"/>
        <w:szCs w:val="16"/>
      </w:rPr>
      <w:fldChar w:fldCharType="begin"/>
    </w:r>
    <w:r w:rsidRPr="00840778">
      <w:rPr>
        <w:color w:val="FFFFFF" w:themeColor="background1"/>
        <w:szCs w:val="16"/>
      </w:rPr>
      <w:instrText xml:space="preserve"> SAVEDATE \@ DD.MM.YY </w:instrText>
    </w:r>
    <w:r w:rsidRPr="00840778">
      <w:rPr>
        <w:color w:val="FFFFFF" w:themeColor="background1"/>
        <w:szCs w:val="16"/>
      </w:rPr>
      <w:fldChar w:fldCharType="separate"/>
    </w:r>
    <w:r w:rsidR="00840778" w:rsidRPr="00840778">
      <w:rPr>
        <w:color w:val="FFFFFF" w:themeColor="background1"/>
        <w:szCs w:val="16"/>
      </w:rPr>
      <w:t>23.09.14</w:t>
    </w:r>
    <w:r w:rsidRPr="00840778">
      <w:rPr>
        <w:color w:val="FFFFFF" w:themeColor="background1"/>
        <w:szCs w:val="16"/>
      </w:rPr>
      <w:fldChar w:fldCharType="end"/>
    </w:r>
    <w:r w:rsidRPr="00840778">
      <w:rPr>
        <w:color w:val="FFFFFF" w:themeColor="background1"/>
        <w:szCs w:val="16"/>
      </w:rPr>
      <w:tab/>
    </w:r>
    <w:r w:rsidRPr="00840778">
      <w:rPr>
        <w:color w:val="FFFFFF" w:themeColor="background1"/>
        <w:szCs w:val="16"/>
      </w:rPr>
      <w:fldChar w:fldCharType="begin"/>
    </w:r>
    <w:r w:rsidRPr="00840778">
      <w:rPr>
        <w:color w:val="FFFFFF" w:themeColor="background1"/>
        <w:szCs w:val="16"/>
      </w:rPr>
      <w:instrText xml:space="preserve"> PRINTDATE \@ DD.MM.YY </w:instrText>
    </w:r>
    <w:r w:rsidRPr="00840778">
      <w:rPr>
        <w:color w:val="FFFFFF" w:themeColor="background1"/>
        <w:szCs w:val="16"/>
      </w:rPr>
      <w:fldChar w:fldCharType="separate"/>
    </w:r>
    <w:r w:rsidRPr="00840778">
      <w:rPr>
        <w:color w:val="FFFFFF" w:themeColor="background1"/>
        <w:szCs w:val="16"/>
      </w:rPr>
      <w:t>23.09.14</w:t>
    </w:r>
    <w:r w:rsidRPr="00840778">
      <w:rPr>
        <w:color w:val="FFFFFF" w:themeColor="background1"/>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08" w:rsidRDefault="00173A08">
      <w:r>
        <w:t>____________________</w:t>
      </w:r>
    </w:p>
  </w:footnote>
  <w:footnote w:type="continuationSeparator" w:id="0">
    <w:p w:rsidR="00173A08" w:rsidRDefault="00173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840778">
      <w:rPr>
        <w:noProof/>
      </w:rPr>
      <w:t>5</w:t>
    </w:r>
    <w:r>
      <w:fldChar w:fldCharType="end"/>
    </w:r>
  </w:p>
  <w:p w:rsidR="00605474" w:rsidRDefault="00605474" w:rsidP="00C076E4">
    <w:pPr>
      <w:pStyle w:val="Header"/>
    </w:pPr>
    <w:r>
      <w:rPr>
        <w:lang w:val="en-US"/>
      </w:rPr>
      <w:t>PP14</w:t>
    </w:r>
    <w:r>
      <w:t>/</w:t>
    </w:r>
    <w:r w:rsidR="00C076E4">
      <w:t>71</w:t>
    </w:r>
    <w:r>
      <w:t>-</w:t>
    </w:r>
    <w:r w:rsidRPr="00010B43">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22" w:rsidRDefault="006A3A22" w:rsidP="00066A87">
    <w:pPr>
      <w:pStyle w:val="Header"/>
    </w:pPr>
    <w:r>
      <w:fldChar w:fldCharType="begin"/>
    </w:r>
    <w:r>
      <w:instrText xml:space="preserve"> PAGE </w:instrText>
    </w:r>
    <w:r>
      <w:fldChar w:fldCharType="separate"/>
    </w:r>
    <w:r w:rsidR="00840778">
      <w:rPr>
        <w:noProof/>
      </w:rPr>
      <w:t>3</w:t>
    </w:r>
    <w:r>
      <w:fldChar w:fldCharType="end"/>
    </w:r>
  </w:p>
  <w:p w:rsidR="006A3A22" w:rsidRDefault="006A3A22" w:rsidP="00066A87">
    <w:pPr>
      <w:pStyle w:val="Header"/>
    </w:pPr>
    <w:r>
      <w:rPr>
        <w:lang w:val="en-US"/>
      </w:rPr>
      <w:t>PP14</w:t>
    </w:r>
    <w:r>
      <w:t>/71-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84EAB"/>
    <w:multiLevelType w:val="hybridMultilevel"/>
    <w:tmpl w:val="FDEE457A"/>
    <w:lvl w:ilvl="0" w:tplc="90325AE8">
      <w:start w:val="4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08"/>
    <w:rsid w:val="0000188C"/>
    <w:rsid w:val="00066A87"/>
    <w:rsid w:val="000863AB"/>
    <w:rsid w:val="000A1523"/>
    <w:rsid w:val="000B1752"/>
    <w:rsid w:val="0010546D"/>
    <w:rsid w:val="00173A08"/>
    <w:rsid w:val="001D6EC3"/>
    <w:rsid w:val="001D787B"/>
    <w:rsid w:val="001E3D06"/>
    <w:rsid w:val="001F25C8"/>
    <w:rsid w:val="00237C17"/>
    <w:rsid w:val="00242376"/>
    <w:rsid w:val="002535DD"/>
    <w:rsid w:val="00255FA1"/>
    <w:rsid w:val="002771D2"/>
    <w:rsid w:val="002C6527"/>
    <w:rsid w:val="002E44FC"/>
    <w:rsid w:val="00363900"/>
    <w:rsid w:val="003707E5"/>
    <w:rsid w:val="003E6E73"/>
    <w:rsid w:val="00484B72"/>
    <w:rsid w:val="004A346E"/>
    <w:rsid w:val="004A63A9"/>
    <w:rsid w:val="004B07DB"/>
    <w:rsid w:val="004B0BCB"/>
    <w:rsid w:val="004C39C6"/>
    <w:rsid w:val="004D23BA"/>
    <w:rsid w:val="004D5FB1"/>
    <w:rsid w:val="004E08E0"/>
    <w:rsid w:val="00507662"/>
    <w:rsid w:val="00523448"/>
    <w:rsid w:val="005359B6"/>
    <w:rsid w:val="00550FCF"/>
    <w:rsid w:val="00567ED5"/>
    <w:rsid w:val="00586703"/>
    <w:rsid w:val="005A6F72"/>
    <w:rsid w:val="005D1164"/>
    <w:rsid w:val="005D6488"/>
    <w:rsid w:val="005F2467"/>
    <w:rsid w:val="005F6278"/>
    <w:rsid w:val="00601280"/>
    <w:rsid w:val="00605474"/>
    <w:rsid w:val="006455D2"/>
    <w:rsid w:val="006A3A22"/>
    <w:rsid w:val="006B5512"/>
    <w:rsid w:val="006B6D52"/>
    <w:rsid w:val="006C190D"/>
    <w:rsid w:val="00720686"/>
    <w:rsid w:val="00737EFF"/>
    <w:rsid w:val="00750806"/>
    <w:rsid w:val="007F6EBC"/>
    <w:rsid w:val="00840778"/>
    <w:rsid w:val="00882773"/>
    <w:rsid w:val="008B4706"/>
    <w:rsid w:val="008B6676"/>
    <w:rsid w:val="008E51C5"/>
    <w:rsid w:val="008F7109"/>
    <w:rsid w:val="009107B0"/>
    <w:rsid w:val="009220DE"/>
    <w:rsid w:val="0099270D"/>
    <w:rsid w:val="009A1A86"/>
    <w:rsid w:val="009C3478"/>
    <w:rsid w:val="009D5A04"/>
    <w:rsid w:val="009E0C42"/>
    <w:rsid w:val="00A70E95"/>
    <w:rsid w:val="00AA1F73"/>
    <w:rsid w:val="00AA52FF"/>
    <w:rsid w:val="00AD400E"/>
    <w:rsid w:val="00AF0DC5"/>
    <w:rsid w:val="00B73978"/>
    <w:rsid w:val="00B77C4D"/>
    <w:rsid w:val="00BB13FE"/>
    <w:rsid w:val="00BC4DF0"/>
    <w:rsid w:val="00BC7EE2"/>
    <w:rsid w:val="00C076E4"/>
    <w:rsid w:val="00C42D2D"/>
    <w:rsid w:val="00C51E36"/>
    <w:rsid w:val="00C61A48"/>
    <w:rsid w:val="00C80F8F"/>
    <w:rsid w:val="00C84355"/>
    <w:rsid w:val="00C848BE"/>
    <w:rsid w:val="00CD20D9"/>
    <w:rsid w:val="00CD701A"/>
    <w:rsid w:val="00CF0996"/>
    <w:rsid w:val="00D05AAE"/>
    <w:rsid w:val="00D05E6B"/>
    <w:rsid w:val="00D254A6"/>
    <w:rsid w:val="00D42B55"/>
    <w:rsid w:val="00D57D70"/>
    <w:rsid w:val="00DC5A96"/>
    <w:rsid w:val="00E05D81"/>
    <w:rsid w:val="00E66FC3"/>
    <w:rsid w:val="00E677DD"/>
    <w:rsid w:val="00E67829"/>
    <w:rsid w:val="00E77F17"/>
    <w:rsid w:val="00E921EC"/>
    <w:rsid w:val="00EC395A"/>
    <w:rsid w:val="00F01632"/>
    <w:rsid w:val="00F050BA"/>
    <w:rsid w:val="00F43D44"/>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52FFAC7-6A6C-43E7-9A7E-6C1A75DA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17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73A0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character" w:styleId="FollowedHyperlink">
    <w:name w:val="FollowedHyperlink"/>
    <w:basedOn w:val="DefaultParagraphFont"/>
    <w:semiHidden/>
    <w:unhideWhenUsed/>
    <w:rsid w:val="006A3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wpc@ni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CF9F-E648-4F14-B07F-6F0A7147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7</Pages>
  <Words>1295</Words>
  <Characters>7385</Characters>
  <Application>Microsoft Office Word</Application>
  <DocSecurity>4</DocSecurity>
  <Lines>61</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8663</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Mendoza Siles, Sidma Jeanneth</dc:creator>
  <cp:keywords>PP-06</cp:keywords>
  <dc:description>PS_PP14.dotx  For: _x000d_Document date: _x000d_Saved by ITU51009317 at 10:37:49 on 19/03/2013</dc:description>
  <cp:lastModifiedBy>Janin, Patricia</cp:lastModifiedBy>
  <cp:revision>2</cp:revision>
  <cp:lastPrinted>2014-09-23T12:57:00Z</cp:lastPrinted>
  <dcterms:created xsi:type="dcterms:W3CDTF">2014-09-24T14:09:00Z</dcterms:created>
  <dcterms:modified xsi:type="dcterms:W3CDTF">2014-09-24T14:09:00Z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