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F94B2D"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84660D" w:rsidRDefault="001A16ED" w:rsidP="003740BC">
            <w:pPr>
              <w:tabs>
                <w:tab w:val="left" w:pos="851"/>
              </w:tabs>
              <w:spacing w:before="0"/>
              <w:rPr>
                <w:rFonts w:cstheme="minorHAnsi"/>
                <w:b/>
                <w:szCs w:val="24"/>
                <w:lang w:val="es-ES"/>
              </w:rPr>
            </w:pPr>
            <w:proofErr w:type="spellStart"/>
            <w:r w:rsidRPr="0084660D">
              <w:rPr>
                <w:rFonts w:eastAsia="SimSun" w:cs="Traditional Arabic"/>
                <w:b/>
                <w:szCs w:val="24"/>
                <w:lang w:val="es-ES"/>
              </w:rPr>
              <w:t>Corrigendum</w:t>
            </w:r>
            <w:proofErr w:type="spellEnd"/>
            <w:r w:rsidRPr="0084660D">
              <w:rPr>
                <w:rFonts w:eastAsia="SimSun" w:cs="Traditional Arabic"/>
                <w:b/>
                <w:szCs w:val="24"/>
                <w:lang w:val="es-ES"/>
              </w:rPr>
              <w:t xml:space="preserve"> 1 to</w:t>
            </w:r>
            <w:r w:rsidRPr="0084660D">
              <w:rPr>
                <w:rFonts w:eastAsia="SimSun" w:cs="Traditional Arabic"/>
                <w:b/>
                <w:szCs w:val="24"/>
                <w:lang w:val="es-ES"/>
              </w:rPr>
              <w:br/>
            </w:r>
            <w:proofErr w:type="spellStart"/>
            <w:r w:rsidRPr="0084660D">
              <w:rPr>
                <w:rFonts w:eastAsia="SimSun" w:cs="Traditional Arabic"/>
                <w:b/>
                <w:szCs w:val="24"/>
                <w:lang w:val="es-ES"/>
              </w:rPr>
              <w:t>Document</w:t>
            </w:r>
            <w:proofErr w:type="spellEnd"/>
            <w:r w:rsidRPr="0084660D">
              <w:rPr>
                <w:rFonts w:eastAsia="SimSun" w:cs="Traditional Arabic"/>
                <w:b/>
                <w:szCs w:val="24"/>
                <w:lang w:val="es-ES"/>
              </w:rPr>
              <w:t xml:space="preserve"> 79(Add.1)</w:t>
            </w:r>
            <w:r w:rsidR="00F44B1A" w:rsidRPr="0084660D">
              <w:rPr>
                <w:rFonts w:eastAsia="SimSun" w:cs="Traditional Arabic"/>
                <w:b/>
                <w:szCs w:val="24"/>
                <w:lang w:val="es-ES"/>
              </w:rPr>
              <w:t>-E</w:t>
            </w:r>
          </w:p>
        </w:tc>
      </w:tr>
      <w:tr w:rsidR="001A16ED" w:rsidRPr="00C324A8" w:rsidTr="00AB2D04">
        <w:trPr>
          <w:cantSplit/>
          <w:trHeight w:val="23"/>
        </w:trPr>
        <w:tc>
          <w:tcPr>
            <w:tcW w:w="6629" w:type="dxa"/>
            <w:shd w:val="clear" w:color="auto" w:fill="auto"/>
          </w:tcPr>
          <w:p w:rsidR="001A16ED" w:rsidRPr="0084660D" w:rsidRDefault="001A16ED" w:rsidP="003740BC">
            <w:pPr>
              <w:tabs>
                <w:tab w:val="left" w:pos="851"/>
              </w:tabs>
              <w:spacing w:before="0"/>
              <w:rPr>
                <w:rFonts w:asciiTheme="minorHAnsi" w:hAnsiTheme="minorHAnsi" w:cstheme="minorHAnsi"/>
                <w:b/>
                <w:szCs w:val="24"/>
                <w:lang w:val="es-ES"/>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2 November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rPr>
                <w:rFonts w:eastAsia="SimSun" w:cs="Traditional Arabic"/>
              </w:rPr>
              <w:t>Arab States Administrations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Arab Common 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7"/>
    <w:bookmarkEnd w:id="8"/>
    <w:p w:rsidR="0084660D" w:rsidRDefault="0084660D" w:rsidP="0084660D">
      <w:pPr>
        <w:spacing w:before="840"/>
      </w:pPr>
      <w:r>
        <w:t>Please replace Part 8 of Addendum 1 to Document 79 – Proposal ARB/79A1/9 – by the attached text.</w:t>
      </w:r>
    </w:p>
    <w:p w:rsidR="0084660D" w:rsidRPr="005C0B59" w:rsidRDefault="0084660D" w:rsidP="0084660D">
      <w:pPr>
        <w:pStyle w:val="Part"/>
        <w:spacing w:before="960"/>
      </w:pPr>
      <w:r w:rsidRPr="005C0B59">
        <w:t>PART 8</w:t>
      </w:r>
    </w:p>
    <w:p w:rsidR="0084660D" w:rsidRPr="005C0B59" w:rsidRDefault="0084660D" w:rsidP="0084660D">
      <w:pPr>
        <w:pStyle w:val="Restitle"/>
      </w:pPr>
      <w:r w:rsidRPr="005C0B59">
        <w:t>Draft new resolution</w:t>
      </w:r>
    </w:p>
    <w:p w:rsidR="0084660D" w:rsidRPr="005C0B59" w:rsidRDefault="0084660D" w:rsidP="0084660D">
      <w:pPr>
        <w:pStyle w:val="Headingb"/>
        <w:spacing w:before="120"/>
      </w:pPr>
      <w:r w:rsidRPr="005C0B59">
        <w:t>Introduction</w:t>
      </w:r>
    </w:p>
    <w:p w:rsidR="0084660D" w:rsidRPr="005C0B59" w:rsidRDefault="0084660D" w:rsidP="0084660D">
      <w:pPr>
        <w:rPr>
          <w:b/>
        </w:rPr>
      </w:pPr>
      <w:r w:rsidRPr="005C0B59">
        <w:t>The Arab group proposes a new resolution to support and assist Iraq in rebuilding and overhauling its telecommunication infrastructure, establishing institutions, developing human resources and setting tariffs, as shown below.</w:t>
      </w:r>
    </w:p>
    <w:p w:rsidR="0084660D" w:rsidRPr="005C0B59" w:rsidRDefault="0084660D" w:rsidP="0084660D">
      <w:pPr>
        <w:pStyle w:val="Headingb"/>
        <w:spacing w:before="240"/>
      </w:pPr>
      <w:r w:rsidRPr="005C0B59">
        <w:t>Aim of the proposal</w:t>
      </w:r>
    </w:p>
    <w:p w:rsidR="0084660D" w:rsidRPr="005C0B59" w:rsidRDefault="0084660D" w:rsidP="0084660D">
      <w:pPr>
        <w:rPr>
          <w:b/>
        </w:rPr>
      </w:pPr>
      <w:proofErr w:type="gramStart"/>
      <w:r w:rsidRPr="005C0B59">
        <w:t>To support and assist the Republic of Iraq in rebuilding and overhauling its telecommunication infrastructure, establishing institutions, developing human resources and setting tariffs, by setting up training operations inside and outside Iraqi territory as necessary, seconding experts to address the shortfall in expertise in some areas, meeting requests from the Iraqi Administration for the required specialists and providing other forms of assistance, including technical assistance.</w:t>
      </w:r>
      <w:proofErr w:type="gramEnd"/>
    </w:p>
    <w:p w:rsidR="001A16ED" w:rsidRDefault="001A16ED" w:rsidP="00AB2D04"/>
    <w:p w:rsidR="001A16ED" w:rsidRDefault="001A16ED" w:rsidP="00AB2D04">
      <w:r>
        <w:br w:type="page"/>
      </w:r>
    </w:p>
    <w:p w:rsidR="00F94B2D" w:rsidRPr="0008540E" w:rsidRDefault="00F94B2D" w:rsidP="00F94B2D"/>
    <w:p w:rsidR="00F94B2D" w:rsidRDefault="00F94B2D" w:rsidP="00F94B2D">
      <w:pPr>
        <w:pStyle w:val="Proposal"/>
      </w:pPr>
      <w:r>
        <w:t>ADD</w:t>
      </w:r>
      <w:r>
        <w:tab/>
        <w:t>ARB/79A1/9</w:t>
      </w:r>
    </w:p>
    <w:p w:rsidR="00F94B2D" w:rsidRDefault="00F94B2D" w:rsidP="00F94B2D">
      <w:pPr>
        <w:pStyle w:val="ResNo"/>
      </w:pPr>
      <w:r>
        <w:t>Draft New Resolution [ARB-1]</w:t>
      </w:r>
    </w:p>
    <w:p w:rsidR="0048265F" w:rsidRDefault="0084660D" w:rsidP="00E635D2">
      <w:pPr>
        <w:pStyle w:val="Restitle"/>
      </w:pPr>
      <w:r w:rsidRPr="0084660D">
        <w:t>Support and assistance for Iraq</w:t>
      </w:r>
      <w:r>
        <w:t xml:space="preserve"> </w:t>
      </w:r>
      <w:r w:rsidRPr="0084660D">
        <w:t>to rebuild its telecommunication sector</w:t>
      </w:r>
    </w:p>
    <w:p w:rsidR="0084660D" w:rsidRPr="005C0B59" w:rsidRDefault="0084660D" w:rsidP="0084660D">
      <w:pPr>
        <w:pStyle w:val="Normalaftertitle"/>
        <w:tabs>
          <w:tab w:val="clear" w:pos="567"/>
          <w:tab w:val="clear" w:pos="1134"/>
          <w:tab w:val="clear" w:pos="1701"/>
          <w:tab w:val="clear" w:pos="2268"/>
          <w:tab w:val="clear" w:pos="2835"/>
        </w:tabs>
        <w:snapToGrid w:val="0"/>
        <w:spacing w:before="120"/>
      </w:pPr>
      <w:r w:rsidRPr="005C0B59">
        <w:t>The Plenipotentiary Conference of the International Telecommunication Union (Busan, 2014),</w:t>
      </w:r>
    </w:p>
    <w:p w:rsidR="0084660D" w:rsidRPr="001F58D5" w:rsidRDefault="0084660D" w:rsidP="0084660D">
      <w:pPr>
        <w:pStyle w:val="Call"/>
      </w:pPr>
      <w:proofErr w:type="gramStart"/>
      <w:r w:rsidRPr="001F58D5">
        <w:t>recalling</w:t>
      </w:r>
      <w:proofErr w:type="gramEnd"/>
    </w:p>
    <w:p w:rsidR="0084660D" w:rsidRPr="005C0B59" w:rsidRDefault="0084660D" w:rsidP="0084660D">
      <w:pPr>
        <w:tabs>
          <w:tab w:val="clear" w:pos="567"/>
          <w:tab w:val="clear" w:pos="1134"/>
          <w:tab w:val="clear" w:pos="1701"/>
          <w:tab w:val="clear" w:pos="2268"/>
          <w:tab w:val="clear" w:pos="2835"/>
        </w:tabs>
        <w:snapToGrid w:val="0"/>
      </w:pPr>
      <w:r w:rsidRPr="005C0B59">
        <w:rPr>
          <w:i/>
          <w:iCs/>
        </w:rPr>
        <w:t>a)</w:t>
      </w:r>
      <w:r w:rsidRPr="005C0B59">
        <w:tab/>
      </w:r>
      <w:proofErr w:type="gramStart"/>
      <w:r w:rsidRPr="005C0B59">
        <w:t>the</w:t>
      </w:r>
      <w:proofErr w:type="gramEnd"/>
      <w:r w:rsidRPr="005C0B59">
        <w:t xml:space="preserve"> noble principles, purpose and objectives enshrined in the Charter of the United Nations and in the Universal Declaration of Human Rights;</w:t>
      </w:r>
    </w:p>
    <w:p w:rsidR="0084660D" w:rsidRPr="005C0B59" w:rsidRDefault="0084660D" w:rsidP="0084660D">
      <w:pPr>
        <w:tabs>
          <w:tab w:val="clear" w:pos="567"/>
          <w:tab w:val="clear" w:pos="1134"/>
          <w:tab w:val="clear" w:pos="1701"/>
          <w:tab w:val="clear" w:pos="2268"/>
          <w:tab w:val="clear" w:pos="2835"/>
        </w:tabs>
        <w:snapToGrid w:val="0"/>
      </w:pPr>
      <w:r w:rsidRPr="005C0B59">
        <w:rPr>
          <w:i/>
          <w:iCs/>
        </w:rPr>
        <w:t>b)</w:t>
      </w:r>
      <w:r w:rsidRPr="005C0B59">
        <w:tab/>
      </w:r>
      <w:proofErr w:type="gramStart"/>
      <w:r w:rsidRPr="005C0B59">
        <w:t>the</w:t>
      </w:r>
      <w:proofErr w:type="gramEnd"/>
      <w:r w:rsidRPr="005C0B59">
        <w:t xml:space="preserve"> efforts of the United Nations to promote sustainable development and the relevant United Nations Security Council resolutions concerning the situation;</w:t>
      </w:r>
    </w:p>
    <w:p w:rsidR="0084660D" w:rsidRPr="005C0B59" w:rsidRDefault="0084660D" w:rsidP="0084660D">
      <w:pPr>
        <w:tabs>
          <w:tab w:val="clear" w:pos="567"/>
          <w:tab w:val="clear" w:pos="1134"/>
          <w:tab w:val="clear" w:pos="1701"/>
          <w:tab w:val="clear" w:pos="2268"/>
          <w:tab w:val="clear" w:pos="2835"/>
        </w:tabs>
        <w:snapToGrid w:val="0"/>
      </w:pPr>
      <w:r w:rsidRPr="005C0B59">
        <w:rPr>
          <w:i/>
          <w:iCs/>
        </w:rPr>
        <w:t>c)</w:t>
      </w:r>
      <w:r w:rsidRPr="005C0B59">
        <w:tab/>
      </w:r>
      <w:proofErr w:type="gramStart"/>
      <w:r w:rsidRPr="005C0B59">
        <w:t>the</w:t>
      </w:r>
      <w:proofErr w:type="gramEnd"/>
      <w:r w:rsidRPr="005C0B59">
        <w:t xml:space="preserve"> purposes of the Union as enshrined in Article 1 of the ITU Constitution;</w:t>
      </w:r>
    </w:p>
    <w:p w:rsidR="0084660D" w:rsidRDefault="0084660D" w:rsidP="0084660D">
      <w:pPr>
        <w:tabs>
          <w:tab w:val="clear" w:pos="567"/>
          <w:tab w:val="clear" w:pos="1134"/>
          <w:tab w:val="clear" w:pos="1701"/>
          <w:tab w:val="clear" w:pos="2268"/>
          <w:tab w:val="clear" w:pos="2835"/>
        </w:tabs>
        <w:snapToGrid w:val="0"/>
        <w:rPr>
          <w:rtl/>
        </w:rPr>
      </w:pPr>
      <w:r>
        <w:rPr>
          <w:i/>
          <w:iCs/>
        </w:rPr>
        <w:t>d)</w:t>
      </w:r>
      <w:r w:rsidRPr="005C0B59">
        <w:tab/>
        <w:t>§ 16 of the Geneva Declaration of Principles adopted by the World Summit on the Information Society</w:t>
      </w:r>
      <w:r>
        <w:t>;</w:t>
      </w:r>
    </w:p>
    <w:p w:rsidR="0084660D" w:rsidRDefault="0084660D" w:rsidP="0084660D">
      <w:pPr>
        <w:tabs>
          <w:tab w:val="clear" w:pos="567"/>
          <w:tab w:val="clear" w:pos="1134"/>
          <w:tab w:val="clear" w:pos="1701"/>
          <w:tab w:val="clear" w:pos="2268"/>
          <w:tab w:val="clear" w:pos="2835"/>
        </w:tabs>
        <w:snapToGrid w:val="0"/>
        <w:rPr>
          <w:rtl/>
        </w:rPr>
      </w:pPr>
      <w:r w:rsidRPr="001F58D5">
        <w:rPr>
          <w:i/>
          <w:iCs/>
          <w:lang w:val="en-US"/>
        </w:rPr>
        <w:t>e)</w:t>
      </w:r>
      <w:r>
        <w:rPr>
          <w:lang w:val="en-US"/>
        </w:rPr>
        <w:t xml:space="preserve"> </w:t>
      </w:r>
      <w:r>
        <w:t xml:space="preserve">§ 15 of the Tunis Commitment </w:t>
      </w:r>
      <w:r w:rsidRPr="005C0B59">
        <w:t>adopted by the World Summit on the Information Society,</w:t>
      </w:r>
    </w:p>
    <w:p w:rsidR="0084660D" w:rsidRPr="001F58D5" w:rsidRDefault="0084660D" w:rsidP="0084660D">
      <w:pPr>
        <w:pStyle w:val="Call"/>
      </w:pPr>
      <w:proofErr w:type="gramStart"/>
      <w:r w:rsidRPr="001F58D5">
        <w:t>recognizing</w:t>
      </w:r>
      <w:proofErr w:type="gramEnd"/>
    </w:p>
    <w:p w:rsidR="0084660D" w:rsidRPr="005C0B59" w:rsidRDefault="0084660D" w:rsidP="0084660D">
      <w:pPr>
        <w:tabs>
          <w:tab w:val="clear" w:pos="567"/>
          <w:tab w:val="clear" w:pos="1134"/>
          <w:tab w:val="clear" w:pos="1701"/>
          <w:tab w:val="clear" w:pos="2268"/>
          <w:tab w:val="clear" w:pos="2835"/>
        </w:tabs>
        <w:snapToGrid w:val="0"/>
      </w:pPr>
      <w:r w:rsidRPr="005C0B59">
        <w:rPr>
          <w:i/>
          <w:iCs/>
        </w:rPr>
        <w:t>a)</w:t>
      </w:r>
      <w:r w:rsidRPr="005C0B59">
        <w:tab/>
      </w:r>
      <w:proofErr w:type="gramStart"/>
      <w:r w:rsidRPr="005C0B59">
        <w:t>that</w:t>
      </w:r>
      <w:proofErr w:type="gramEnd"/>
      <w:r w:rsidRPr="005C0B59">
        <w:t xml:space="preserve"> a reliable telecommunication network </w:t>
      </w:r>
      <w:r>
        <w:t xml:space="preserve">infrastructure and related services used appropriately are </w:t>
      </w:r>
      <w:r w:rsidRPr="005C0B59">
        <w:t xml:space="preserve">indispensable to support the social and economic development of nations, particularly those that have suffered natural disasters, </w:t>
      </w:r>
      <w:r>
        <w:t>and wars</w:t>
      </w:r>
      <w:r w:rsidRPr="005C0B59">
        <w:t>;</w:t>
      </w:r>
    </w:p>
    <w:p w:rsidR="0084660D" w:rsidRPr="005C0B59" w:rsidRDefault="0084660D" w:rsidP="00E90B17">
      <w:pPr>
        <w:tabs>
          <w:tab w:val="clear" w:pos="567"/>
          <w:tab w:val="clear" w:pos="1134"/>
          <w:tab w:val="clear" w:pos="1701"/>
          <w:tab w:val="clear" w:pos="2268"/>
          <w:tab w:val="clear" w:pos="2835"/>
        </w:tabs>
        <w:snapToGrid w:val="0"/>
      </w:pPr>
      <w:r w:rsidRPr="005C0B59">
        <w:rPr>
          <w:i/>
          <w:iCs/>
        </w:rPr>
        <w:t>b)</w:t>
      </w:r>
      <w:r w:rsidRPr="005C0B59">
        <w:tab/>
      </w:r>
      <w:proofErr w:type="gramStart"/>
      <w:r w:rsidRPr="005C0B59">
        <w:t>that</w:t>
      </w:r>
      <w:proofErr w:type="gramEnd"/>
      <w:r w:rsidRPr="005C0B59">
        <w:t xml:space="preserve"> telecommunication facilities in Iraq </w:t>
      </w:r>
      <w:r>
        <w:t xml:space="preserve">has </w:t>
      </w:r>
      <w:r w:rsidRPr="005C0B59">
        <w:t>suffer</w:t>
      </w:r>
      <w:r>
        <w:t>ed and still suffering</w:t>
      </w:r>
      <w:r w:rsidRPr="005C0B59">
        <w:t xml:space="preserve"> </w:t>
      </w:r>
      <w:r>
        <w:t xml:space="preserve">enormous </w:t>
      </w:r>
      <w:r w:rsidRPr="005C0B59">
        <w:t>damage</w:t>
      </w:r>
      <w:r>
        <w:t>s</w:t>
      </w:r>
      <w:r w:rsidRPr="005C0B59">
        <w:t xml:space="preserve"> as a result of </w:t>
      </w:r>
      <w:r>
        <w:t xml:space="preserve">many </w:t>
      </w:r>
      <w:r w:rsidRPr="005C0B59">
        <w:t>war</w:t>
      </w:r>
      <w:r>
        <w:t>s;</w:t>
      </w:r>
    </w:p>
    <w:p w:rsidR="0084660D" w:rsidRPr="005C0B59" w:rsidRDefault="0084660D" w:rsidP="0084660D">
      <w:pPr>
        <w:tabs>
          <w:tab w:val="clear" w:pos="567"/>
          <w:tab w:val="clear" w:pos="1134"/>
          <w:tab w:val="clear" w:pos="1701"/>
          <w:tab w:val="clear" w:pos="2268"/>
          <w:tab w:val="clear" w:pos="2835"/>
        </w:tabs>
        <w:snapToGrid w:val="0"/>
      </w:pPr>
      <w:r w:rsidRPr="005C0B59">
        <w:rPr>
          <w:i/>
          <w:iCs/>
        </w:rPr>
        <w:t>c)</w:t>
      </w:r>
      <w:r w:rsidRPr="005C0B59">
        <w:tab/>
      </w:r>
      <w:proofErr w:type="gramStart"/>
      <w:r w:rsidRPr="005C0B59">
        <w:t>that</w:t>
      </w:r>
      <w:proofErr w:type="gramEnd"/>
      <w:r w:rsidRPr="005C0B59">
        <w:t xml:space="preserve"> the damage caused to Iraq's telecommunications </w:t>
      </w:r>
      <w:r>
        <w:t xml:space="preserve">infrastructure and the illicit use of ICT services in the prevailing war situation, is </w:t>
      </w:r>
      <w:r w:rsidRPr="005C0B59">
        <w:t>a matter of concern for the international community</w:t>
      </w:r>
      <w:r>
        <w:t xml:space="preserve"> and relevant bodies/agencies;</w:t>
      </w:r>
    </w:p>
    <w:p w:rsidR="0084660D" w:rsidRPr="005C0B59" w:rsidRDefault="0084660D" w:rsidP="0084660D">
      <w:pPr>
        <w:tabs>
          <w:tab w:val="clear" w:pos="567"/>
          <w:tab w:val="clear" w:pos="1134"/>
          <w:tab w:val="clear" w:pos="1701"/>
          <w:tab w:val="clear" w:pos="2268"/>
          <w:tab w:val="clear" w:pos="2835"/>
        </w:tabs>
        <w:snapToGrid w:val="0"/>
      </w:pPr>
      <w:r w:rsidRPr="005C0B59">
        <w:rPr>
          <w:i/>
          <w:iCs/>
        </w:rPr>
        <w:t>d)</w:t>
      </w:r>
      <w:r w:rsidRPr="005C0B59">
        <w:tab/>
        <w:t>that Resolution 34 (Guadalajara, 2010) of the Plenipotentiary Conference provides for continuing support for Iraq to rebuild and overhaul its telecommunication infrastructure, establish institutions, develop human resources and set tariffs;</w:t>
      </w:r>
    </w:p>
    <w:p w:rsidR="0084660D" w:rsidRPr="005C0B59" w:rsidRDefault="0084660D" w:rsidP="0084660D">
      <w:pPr>
        <w:tabs>
          <w:tab w:val="clear" w:pos="567"/>
          <w:tab w:val="clear" w:pos="1134"/>
          <w:tab w:val="clear" w:pos="1701"/>
          <w:tab w:val="clear" w:pos="2268"/>
          <w:tab w:val="clear" w:pos="2835"/>
        </w:tabs>
        <w:snapToGrid w:val="0"/>
      </w:pPr>
      <w:r w:rsidRPr="005C0B59">
        <w:rPr>
          <w:i/>
          <w:iCs/>
        </w:rPr>
        <w:t>e)</w:t>
      </w:r>
      <w:r w:rsidRPr="005C0B59">
        <w:tab/>
        <w:t>that Resolution 34 (Guadalajara, 2010) has not yet been translated into deeds or put into action: Iraq has not received the necessary support from ITU to rebuild and overhaul its telecommunication infrastructure, establish institutions, develop human resources and set tariffs;</w:t>
      </w:r>
    </w:p>
    <w:p w:rsidR="0084660D" w:rsidRDefault="0084660D" w:rsidP="0084660D">
      <w:pPr>
        <w:tabs>
          <w:tab w:val="clear" w:pos="567"/>
          <w:tab w:val="clear" w:pos="1134"/>
          <w:tab w:val="clear" w:pos="1701"/>
          <w:tab w:val="clear" w:pos="2268"/>
          <w:tab w:val="clear" w:pos="2835"/>
        </w:tabs>
        <w:snapToGrid w:val="0"/>
      </w:pPr>
      <w:r w:rsidRPr="005C0B59">
        <w:rPr>
          <w:i/>
          <w:iCs/>
        </w:rPr>
        <w:t>f)</w:t>
      </w:r>
      <w:r w:rsidR="00E90B17">
        <w:tab/>
      </w:r>
      <w:proofErr w:type="gramStart"/>
      <w:r w:rsidR="00E90B17">
        <w:t>that</w:t>
      </w:r>
      <w:proofErr w:type="gramEnd"/>
      <w:r w:rsidR="00E90B17">
        <w:t xml:space="preserve"> Iraq will be unable, </w:t>
      </w:r>
      <w:r w:rsidRPr="005C0B59">
        <w:t>to bring it up to an acceptable international level without help from the international community, provided bilaterally or through international organizations,</w:t>
      </w:r>
    </w:p>
    <w:p w:rsidR="0084660D" w:rsidRPr="001F58D5" w:rsidRDefault="0084660D" w:rsidP="0084660D">
      <w:pPr>
        <w:pStyle w:val="Call"/>
      </w:pPr>
      <w:proofErr w:type="gramStart"/>
      <w:r w:rsidRPr="001F58D5">
        <w:t>considering</w:t>
      </w:r>
      <w:proofErr w:type="gramEnd"/>
    </w:p>
    <w:p w:rsidR="0084660D" w:rsidRPr="005C0B59" w:rsidRDefault="0084660D" w:rsidP="0084660D">
      <w:pPr>
        <w:tabs>
          <w:tab w:val="clear" w:pos="1134"/>
          <w:tab w:val="clear" w:pos="1701"/>
          <w:tab w:val="clear" w:pos="2268"/>
          <w:tab w:val="clear" w:pos="2835"/>
        </w:tabs>
        <w:snapToGrid w:val="0"/>
      </w:pPr>
      <w:r w:rsidRPr="005C0B59">
        <w:rPr>
          <w:i/>
          <w:iCs/>
        </w:rPr>
        <w:t>a)</w:t>
      </w:r>
      <w:r w:rsidRPr="005C0B59">
        <w:tab/>
      </w:r>
      <w:proofErr w:type="gramStart"/>
      <w:r w:rsidRPr="005C0B59">
        <w:t>that</w:t>
      </w:r>
      <w:proofErr w:type="gramEnd"/>
      <w:r w:rsidRPr="005C0B59">
        <w:t xml:space="preserve"> such efforts will help to rebuild and modernize the telecommunication infrastructure;</w:t>
      </w:r>
    </w:p>
    <w:p w:rsidR="0084660D" w:rsidRPr="005C0B59" w:rsidRDefault="0084660D" w:rsidP="0084660D">
      <w:pPr>
        <w:tabs>
          <w:tab w:val="clear" w:pos="1134"/>
          <w:tab w:val="clear" w:pos="1701"/>
          <w:tab w:val="clear" w:pos="2268"/>
          <w:tab w:val="clear" w:pos="2835"/>
        </w:tabs>
        <w:snapToGrid w:val="0"/>
      </w:pPr>
      <w:r w:rsidRPr="005C0B59">
        <w:rPr>
          <w:i/>
          <w:iCs/>
        </w:rPr>
        <w:lastRenderedPageBreak/>
        <w:t>b)</w:t>
      </w:r>
      <w:r w:rsidRPr="005C0B59">
        <w:tab/>
        <w:t>that such efforts will also strengthen the capacity of Iraq's administrative and security systems to meet the country's economic, service and security needs in the telecommunication field,</w:t>
      </w:r>
    </w:p>
    <w:p w:rsidR="0084660D" w:rsidRPr="001F58D5" w:rsidRDefault="0084660D" w:rsidP="0084660D">
      <w:pPr>
        <w:pStyle w:val="Call"/>
      </w:pPr>
      <w:proofErr w:type="gramStart"/>
      <w:r w:rsidRPr="001F58D5">
        <w:t>resolves</w:t>
      </w:r>
      <w:proofErr w:type="gramEnd"/>
    </w:p>
    <w:p w:rsidR="0084660D" w:rsidRPr="005C0B59" w:rsidRDefault="0084660D" w:rsidP="0084660D">
      <w:pPr>
        <w:tabs>
          <w:tab w:val="clear" w:pos="1134"/>
          <w:tab w:val="clear" w:pos="1701"/>
          <w:tab w:val="clear" w:pos="2268"/>
          <w:tab w:val="clear" w:pos="2835"/>
        </w:tabs>
        <w:snapToGrid w:val="0"/>
      </w:pPr>
      <w:proofErr w:type="gramStart"/>
      <w:r w:rsidRPr="005C0B59">
        <w:t>1</w:t>
      </w:r>
      <w:r w:rsidRPr="005C0B59">
        <w:tab/>
      </w:r>
      <w:r w:rsidRPr="00051E3A">
        <w:t xml:space="preserve">that it is necessary to undertake special, clearly-defined actions within the framework of the ITU </w:t>
      </w:r>
      <w:r w:rsidRPr="005C0B59">
        <w:t xml:space="preserve">on the basis of a </w:t>
      </w:r>
      <w:r>
        <w:t xml:space="preserve">clearly defined </w:t>
      </w:r>
      <w:r w:rsidRPr="005C0B59">
        <w:t xml:space="preserve">timetable and action plan agreed between the Union and the Iraqi Administration, in order to implement this resolution </w:t>
      </w:r>
      <w:r>
        <w:t xml:space="preserve">to </w:t>
      </w:r>
      <w:r w:rsidRPr="005C0B59">
        <w:t>provide appropriate support for Iraq for rebuilding and overhaul its telecommunication infrastructure</w:t>
      </w:r>
      <w:r>
        <w:t xml:space="preserve"> and technical skills</w:t>
      </w:r>
      <w:r w:rsidRPr="005C0B59">
        <w:t xml:space="preserve"> establishing </w:t>
      </w:r>
      <w:r>
        <w:t xml:space="preserve">the </w:t>
      </w:r>
      <w:r w:rsidRPr="005C0B59">
        <w:t xml:space="preserve">appropriate </w:t>
      </w:r>
      <w:r>
        <w:t xml:space="preserve">ICT </w:t>
      </w:r>
      <w:r w:rsidRPr="005C0B59">
        <w:t xml:space="preserve">institutions, developing human resources and </w:t>
      </w:r>
      <w:r>
        <w:t xml:space="preserve">the assistance in the assignment of appropriate </w:t>
      </w:r>
      <w:r w:rsidRPr="005C0B59">
        <w:t>tariffs;</w:t>
      </w:r>
      <w:proofErr w:type="gramEnd"/>
    </w:p>
    <w:p w:rsidR="0084660D" w:rsidRPr="005C0B59" w:rsidRDefault="0084660D" w:rsidP="0084660D">
      <w:pPr>
        <w:tabs>
          <w:tab w:val="clear" w:pos="1134"/>
          <w:tab w:val="clear" w:pos="1701"/>
          <w:tab w:val="clear" w:pos="2268"/>
          <w:tab w:val="clear" w:pos="2835"/>
        </w:tabs>
        <w:snapToGrid w:val="0"/>
      </w:pPr>
      <w:proofErr w:type="gramStart"/>
      <w:r w:rsidRPr="005C0B59">
        <w:t>2</w:t>
      </w:r>
      <w:proofErr w:type="gramEnd"/>
      <w:r w:rsidRPr="005C0B59">
        <w:tab/>
        <w:t xml:space="preserve">to allocate the necessary </w:t>
      </w:r>
      <w:r>
        <w:t xml:space="preserve">technical </w:t>
      </w:r>
      <w:r w:rsidRPr="005C0B59">
        <w:t xml:space="preserve">expertise, within the available resources </w:t>
      </w:r>
      <w:r>
        <w:t xml:space="preserve">within or external to the union </w:t>
      </w:r>
      <w:r w:rsidRPr="005C0B59">
        <w:t>for the implementation of this resolution;</w:t>
      </w:r>
    </w:p>
    <w:p w:rsidR="0084660D" w:rsidRPr="005C0B59" w:rsidRDefault="0084660D" w:rsidP="0084660D">
      <w:pPr>
        <w:tabs>
          <w:tab w:val="clear" w:pos="1134"/>
          <w:tab w:val="clear" w:pos="1701"/>
          <w:tab w:val="clear" w:pos="2268"/>
          <w:tab w:val="clear" w:pos="2835"/>
        </w:tabs>
        <w:snapToGrid w:val="0"/>
      </w:pPr>
      <w:r w:rsidRPr="005C0B59">
        <w:t>3</w:t>
      </w:r>
      <w:r w:rsidRPr="005C0B59">
        <w:tab/>
        <w:t>to build and develop human resources and capacity by instituting training programmes inside and outside Iraqi territory as necessary,</w:t>
      </w:r>
      <w:r>
        <w:t xml:space="preserve"> for </w:t>
      </w:r>
      <w:r w:rsidRPr="005C0B59">
        <w:t xml:space="preserve"> experts to address the shortfall in expertise in </w:t>
      </w:r>
      <w:r>
        <w:t xml:space="preserve">key </w:t>
      </w:r>
      <w:r w:rsidRPr="005C0B59">
        <w:t xml:space="preserve">areas, meeting requests from the Iraqi Administration for the required </w:t>
      </w:r>
      <w:r>
        <w:t xml:space="preserve">technical </w:t>
      </w:r>
      <w:r w:rsidRPr="005C0B59">
        <w:t>specialists and providing other forms of assistance</w:t>
      </w:r>
      <w:r>
        <w:t>,</w:t>
      </w:r>
    </w:p>
    <w:p w:rsidR="0084660D" w:rsidRPr="001F58D5" w:rsidRDefault="0084660D" w:rsidP="0084660D">
      <w:pPr>
        <w:pStyle w:val="Call"/>
      </w:pPr>
      <w:r w:rsidRPr="001F58D5">
        <w:t>Invite</w:t>
      </w:r>
      <w:r w:rsidR="00E90B17">
        <w:t>s</w:t>
      </w:r>
      <w:r w:rsidRPr="001F58D5">
        <w:t xml:space="preserve"> Member States</w:t>
      </w:r>
    </w:p>
    <w:p w:rsidR="0084660D" w:rsidRDefault="0084660D" w:rsidP="0084660D">
      <w:pPr>
        <w:tabs>
          <w:tab w:val="clear" w:pos="567"/>
          <w:tab w:val="clear" w:pos="1134"/>
          <w:tab w:val="clear" w:pos="1701"/>
          <w:tab w:val="clear" w:pos="2268"/>
          <w:tab w:val="clear" w:pos="2835"/>
        </w:tabs>
        <w:snapToGrid w:val="0"/>
      </w:pPr>
      <w:proofErr w:type="gramStart"/>
      <w:r w:rsidRPr="005C0B59">
        <w:t>to</w:t>
      </w:r>
      <w:proofErr w:type="gramEnd"/>
      <w:r w:rsidRPr="005C0B59">
        <w:t xml:space="preserve"> ensure all possible </w:t>
      </w:r>
      <w:r>
        <w:t xml:space="preserve">technical </w:t>
      </w:r>
      <w:r w:rsidRPr="005C0B59">
        <w:t xml:space="preserve">assistance and support to </w:t>
      </w:r>
      <w:r>
        <w:t>the Administration of Iraq, in:</w:t>
      </w:r>
    </w:p>
    <w:p w:rsidR="0084660D" w:rsidRDefault="0084660D" w:rsidP="0084660D">
      <w:pPr>
        <w:tabs>
          <w:tab w:val="clear" w:pos="1134"/>
          <w:tab w:val="clear" w:pos="1701"/>
          <w:tab w:val="clear" w:pos="2268"/>
          <w:tab w:val="clear" w:pos="2835"/>
        </w:tabs>
        <w:snapToGrid w:val="0"/>
      </w:pPr>
      <w:proofErr w:type="gramStart"/>
      <w:r>
        <w:t>1</w:t>
      </w:r>
      <w:proofErr w:type="gramEnd"/>
      <w:r>
        <w:tab/>
        <w:t>rehabilitating its telecommunications sector;</w:t>
      </w:r>
    </w:p>
    <w:p w:rsidR="0084660D" w:rsidRDefault="0084660D" w:rsidP="0084660D">
      <w:pPr>
        <w:tabs>
          <w:tab w:val="clear" w:pos="1134"/>
          <w:tab w:val="clear" w:pos="1701"/>
          <w:tab w:val="clear" w:pos="2268"/>
          <w:tab w:val="clear" w:pos="2835"/>
        </w:tabs>
        <w:snapToGrid w:val="0"/>
      </w:pPr>
      <w:proofErr w:type="gramStart"/>
      <w:r>
        <w:t>2</w:t>
      </w:r>
      <w:proofErr w:type="gramEnd"/>
      <w:r>
        <w:tab/>
        <w:t>ensuring the lawful use of Information and Communications Technology in the prevailing situation;</w:t>
      </w:r>
    </w:p>
    <w:p w:rsidR="0084660D" w:rsidRDefault="0084660D" w:rsidP="0084660D">
      <w:pPr>
        <w:tabs>
          <w:tab w:val="clear" w:pos="1134"/>
          <w:tab w:val="clear" w:pos="1701"/>
          <w:tab w:val="clear" w:pos="2268"/>
          <w:tab w:val="clear" w:pos="2835"/>
        </w:tabs>
        <w:snapToGrid w:val="0"/>
      </w:pPr>
      <w:proofErr w:type="gramStart"/>
      <w:r>
        <w:t>3</w:t>
      </w:r>
      <w:proofErr w:type="gramEnd"/>
      <w:r>
        <w:tab/>
        <w:t>achieving the most effective use of ICT for economic and social benefits,</w:t>
      </w:r>
    </w:p>
    <w:p w:rsidR="0084660D" w:rsidRPr="001F58D5" w:rsidRDefault="0084660D" w:rsidP="0084660D">
      <w:pPr>
        <w:pStyle w:val="Call"/>
      </w:pPr>
      <w:r w:rsidRPr="001F58D5">
        <w:t xml:space="preserve">Instructs </w:t>
      </w:r>
      <w:r>
        <w:t>the Secretary-General</w:t>
      </w:r>
    </w:p>
    <w:p w:rsidR="0084660D" w:rsidRDefault="0084660D" w:rsidP="0084660D">
      <w:pPr>
        <w:pStyle w:val="ListParagraph"/>
        <w:numPr>
          <w:ilvl w:val="0"/>
          <w:numId w:val="1"/>
        </w:numPr>
        <w:tabs>
          <w:tab w:val="clear" w:pos="1134"/>
          <w:tab w:val="clear" w:pos="1701"/>
          <w:tab w:val="clear" w:pos="2268"/>
          <w:tab w:val="clear" w:pos="2835"/>
        </w:tabs>
        <w:snapToGrid w:val="0"/>
        <w:ind w:left="0" w:firstLine="0"/>
        <w:contextualSpacing w:val="0"/>
      </w:pPr>
      <w:r w:rsidRPr="005C0B59">
        <w:t xml:space="preserve">to </w:t>
      </w:r>
      <w:r>
        <w:t xml:space="preserve">provide </w:t>
      </w:r>
      <w:r w:rsidRPr="005C0B59">
        <w:t xml:space="preserve">the necessary </w:t>
      </w:r>
      <w:r>
        <w:t>technical resources</w:t>
      </w:r>
      <w:r w:rsidRPr="005C0B59">
        <w:t xml:space="preserve"> for such actions, on the basis of an action plan and timetable agreed </w:t>
      </w:r>
      <w:r>
        <w:t>with the Administration of Iraq;</w:t>
      </w:r>
    </w:p>
    <w:p w:rsidR="0084660D" w:rsidRDefault="0084660D" w:rsidP="0084660D">
      <w:pPr>
        <w:pStyle w:val="ListParagraph"/>
        <w:numPr>
          <w:ilvl w:val="0"/>
          <w:numId w:val="1"/>
        </w:numPr>
        <w:tabs>
          <w:tab w:val="clear" w:pos="1134"/>
          <w:tab w:val="clear" w:pos="1701"/>
          <w:tab w:val="clear" w:pos="2268"/>
          <w:tab w:val="clear" w:pos="2835"/>
        </w:tabs>
        <w:snapToGrid w:val="0"/>
        <w:ind w:left="0" w:firstLine="0"/>
        <w:contextualSpacing w:val="0"/>
      </w:pPr>
      <w:proofErr w:type="gramStart"/>
      <w:r w:rsidRPr="005C0B59">
        <w:t>to</w:t>
      </w:r>
      <w:proofErr w:type="gramEnd"/>
      <w:r w:rsidRPr="005C0B59">
        <w:t xml:space="preserve"> report on the matter periodically to the Council.</w:t>
      </w:r>
    </w:p>
    <w:p w:rsidR="0084660D" w:rsidRDefault="0084660D">
      <w:pPr>
        <w:pStyle w:val="Reasons"/>
      </w:pPr>
      <w:bookmarkStart w:id="9" w:name="_GoBack"/>
      <w:bookmarkEnd w:id="9"/>
    </w:p>
    <w:p w:rsidR="0084660D" w:rsidRDefault="0084660D" w:rsidP="0084660D">
      <w:pPr>
        <w:spacing w:before="840"/>
        <w:jc w:val="center"/>
      </w:pPr>
      <w:r>
        <w:t>__________________</w:t>
      </w:r>
    </w:p>
    <w:sectPr w:rsidR="0084660D" w:rsidSect="00361097">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E90B17"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3A4E67">
      <w:t>C:\Users\manias\Dropbox\ProposalManagement\ProposalSharing\PP14\Templates\PP14-E.docx</w:t>
    </w:r>
    <w:r>
      <w:fldChar w:fldCharType="end"/>
    </w:r>
    <w:r w:rsidR="007E7B63">
      <w:tab/>
    </w:r>
    <w:r w:rsidR="007E7B63">
      <w:fldChar w:fldCharType="begin"/>
    </w:r>
    <w:r w:rsidR="007E7B63">
      <w:instrText xml:space="preserve"> savedate \@ dd.MM.yy </w:instrText>
    </w:r>
    <w:r w:rsidR="007E7B63">
      <w:fldChar w:fldCharType="separate"/>
    </w:r>
    <w:r w:rsidR="00F94B2D">
      <w:t>02.11.14</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E90B17"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3A4E67">
      <w:t>C:\Users\manias\Dropbox\ProposalManagement\ProposalSharing\PP14\Templates\PP14-E.docx</w:t>
    </w:r>
    <w:r>
      <w:fldChar w:fldCharType="end"/>
    </w:r>
    <w:r w:rsidR="00A516BB">
      <w:tab/>
    </w:r>
    <w:r w:rsidR="00A516BB">
      <w:fldChar w:fldCharType="begin"/>
    </w:r>
    <w:r w:rsidR="00A516BB">
      <w:instrText xml:space="preserve"> savedate \@ dd.MM.yy </w:instrText>
    </w:r>
    <w:r w:rsidR="00A516BB">
      <w:fldChar w:fldCharType="separate"/>
    </w:r>
    <w:r w:rsidR="00F94B2D">
      <w:t>02.11.14</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E90B17">
      <w:rPr>
        <w:noProof/>
      </w:rPr>
      <w:t>3</w:t>
    </w:r>
    <w:r>
      <w:fldChar w:fldCharType="end"/>
    </w:r>
  </w:p>
  <w:p w:rsidR="00CE1B90" w:rsidRDefault="00CE1B90" w:rsidP="00CE1B90">
    <w:pPr>
      <w:pStyle w:val="Header"/>
    </w:pPr>
    <w:r>
      <w:t>PP14/79(Add.1</w:t>
    </w:r>
    <w:proofErr w:type="gramStart"/>
    <w:r>
      <w:t>)(</w:t>
    </w:r>
    <w:proofErr w:type="gramEnd"/>
    <w:r>
      <w:t>Cor.1)-E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374D6"/>
    <w:multiLevelType w:val="hybridMultilevel"/>
    <w:tmpl w:val="E68AD860"/>
    <w:lvl w:ilvl="0" w:tplc="63BED34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265F"/>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60D"/>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35D2"/>
    <w:rsid w:val="00E6599B"/>
    <w:rsid w:val="00E726DE"/>
    <w:rsid w:val="00E844D5"/>
    <w:rsid w:val="00E86536"/>
    <w:rsid w:val="00E871C2"/>
    <w:rsid w:val="00E90B17"/>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2D"/>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84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315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61faacc-f0ba-4fbe-942c-17f0b5a444e7">Documents Proposals Manager (DPM)</DPM_x0020_Author>
    <DPM_x0020_File_x0020_name xmlns="661faacc-f0ba-4fbe-942c-17f0b5a444e7">S14-PP-C-0079!A1-C1!MSW-E</DPM_x0020_File_x0020_name>
    <DPM_x0020_Version xmlns="661faacc-f0ba-4fbe-942c-17f0b5a444e7">DPM_v5.7.1.46_prod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1faacc-f0ba-4fbe-942c-17f0b5a444e7" targetNamespace="http://schemas.microsoft.com/office/2006/metadata/properties" ma:root="true" ma:fieldsID="d41af5c836d734370eb92e7ee5f83852" ns2:_="" ns3:_="">
    <xsd:import namespace="996b2e75-67fd-4955-a3b0-5ab9934cb50b"/>
    <xsd:import namespace="661faacc-f0ba-4fbe-942c-17f0b5a444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1faacc-f0ba-4fbe-942c-17f0b5a444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faacc-f0ba-4fbe-942c-17f0b5a44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1faacc-f0ba-4fbe-942c-17f0b5a44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S14-PP-C-0079!A1-C1!MSW-E</vt:lpstr>
    </vt:vector>
  </TitlesOfParts>
  <Manager/>
  <Company/>
  <LinksUpToDate>false</LinksUpToDate>
  <CharactersWithSpaces>5131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S14-PP-C-0079!A1-C1!MSW-E</dc:title>
  <dc:subject>Plenipotentiary Conference (PP-14)</dc:subject>
  <dc:creator/>
  <cp:keywords>DPM_v5.7.1.46_prod</cp:keywords>
  <cp:lastModifiedBy/>
  <cp:revision>1</cp:revision>
  <dcterms:created xsi:type="dcterms:W3CDTF">2014-11-02T08:33:00Z</dcterms:created>
  <dcterms:modified xsi:type="dcterms:W3CDTF">2014-11-02T09:03:00Z</dcterms:modified>
  <cp:category>Conference document</cp:category>
</cp:coreProperties>
</file>