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491A25">
            <w:pPr>
              <w:rPr>
                <w:b/>
                <w:bCs/>
                <w:szCs w:val="22"/>
              </w:rPr>
            </w:pPr>
            <w:bookmarkStart w:id="0" w:name="dbreak"/>
            <w:bookmarkStart w:id="1" w:name="dpp"/>
            <w:bookmarkEnd w:id="0"/>
            <w:bookmarkEnd w:id="1"/>
            <w:r w:rsidRPr="007F6EBC">
              <w:rPr>
                <w:rStyle w:val="PageNumber"/>
                <w:rFonts w:eastAsia="SimSun" w:cs="Traditional Arabic"/>
                <w:b/>
                <w:sz w:val="30"/>
                <w:szCs w:val="30"/>
              </w:rPr>
              <w:t>Conferencia de Plenipotenciarios (PP-1</w:t>
            </w:r>
            <w:r>
              <w:rPr>
                <w:rStyle w:val="PageNumber"/>
                <w:rFonts w:eastAsia="SimSun" w:cs="Traditional Arabic"/>
                <w:b/>
                <w:sz w:val="30"/>
                <w:szCs w:val="30"/>
              </w:rPr>
              <w:t>4</w:t>
            </w:r>
            <w:r w:rsidRPr="007F6EBC">
              <w:rPr>
                <w:rStyle w:val="PageNumber"/>
                <w:rFonts w:eastAsia="SimSun" w:cs="Traditional Arabic"/>
                <w:b/>
                <w:sz w:val="30"/>
                <w:szCs w:val="30"/>
              </w:rPr>
              <w:t>)</w:t>
            </w:r>
            <w:r w:rsidRPr="007F6EBC">
              <w:rPr>
                <w:rStyle w:val="PageNumber"/>
                <w:rFonts w:cs="Times"/>
                <w:sz w:val="26"/>
                <w:szCs w:val="26"/>
              </w:rPr>
              <w:br/>
            </w:r>
            <w:r>
              <w:rPr>
                <w:rStyle w:val="PageNumber"/>
                <w:rFonts w:eastAsia="SimSun" w:cs="Traditional Arabic"/>
                <w:b/>
                <w:bCs/>
                <w:szCs w:val="24"/>
              </w:rPr>
              <w:t>Bus</w:t>
            </w:r>
            <w:r w:rsidR="00B501AB">
              <w:rPr>
                <w:rStyle w:val="PageNumber"/>
                <w:rFonts w:eastAsia="SimSun" w:cs="Traditional Arabic"/>
                <w:b/>
                <w:bCs/>
                <w:szCs w:val="24"/>
              </w:rPr>
              <w:t>á</w:t>
            </w:r>
            <w:r>
              <w:rPr>
                <w:rStyle w:val="PageNumber"/>
                <w:rFonts w:eastAsia="SimSun" w:cs="Traditional Arabic"/>
                <w:b/>
                <w:bCs/>
                <w:szCs w:val="24"/>
              </w:rPr>
              <w:t>n</w:t>
            </w:r>
            <w:r w:rsidRPr="007F6EBC">
              <w:rPr>
                <w:rStyle w:val="PageNumber"/>
                <w:rFonts w:eastAsia="SimSun" w:cs="Traditional Arabic"/>
                <w:b/>
                <w:bCs/>
                <w:szCs w:val="24"/>
              </w:rPr>
              <w:t xml:space="preserve">, </w:t>
            </w:r>
            <w:r w:rsidRPr="004B07DB">
              <w:rPr>
                <w:rStyle w:val="PageNumber"/>
                <w:rFonts w:eastAsia="SimSun" w:cs="Traditional Arabic"/>
                <w:b/>
                <w:szCs w:val="24"/>
              </w:rPr>
              <w:t xml:space="preserve">20 de octubre </w:t>
            </w:r>
            <w:r w:rsidR="00491A25">
              <w:rPr>
                <w:rStyle w:val="PageNumber"/>
                <w:rFonts w:eastAsia="SimSun" w:cs="Traditional Arabic"/>
                <w:b/>
                <w:szCs w:val="24"/>
              </w:rPr>
              <w:t>–</w:t>
            </w:r>
            <w:r w:rsidRPr="004B07DB">
              <w:rPr>
                <w:rStyle w:val="PageNumber"/>
                <w:rFonts w:eastAsia="SimSun" w:cs="Traditional Arabic"/>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682B62">
        <w:trPr>
          <w:cantSplit/>
        </w:trPr>
        <w:tc>
          <w:tcPr>
            <w:tcW w:w="6911" w:type="dxa"/>
            <w:shd w:val="clear" w:color="auto" w:fill="auto"/>
          </w:tcPr>
          <w:p w:rsidR="00255FA1" w:rsidRPr="004C22ED" w:rsidRDefault="00255FA1" w:rsidP="004F4BB1">
            <w:pPr>
              <w:pStyle w:val="Committee"/>
              <w:framePr w:hSpace="0" w:wrap="auto" w:hAnchor="text" w:yAlign="inline"/>
              <w:spacing w:after="0" w:line="240" w:lineRule="auto"/>
            </w:pPr>
            <w:r w:rsidRPr="004C22ED">
              <w:rPr>
                <w:rFonts w:ascii="Calibri" w:eastAsia="SimSun" w:hAnsi="Calibri" w:cs="Traditional Arabic"/>
              </w:rPr>
              <w:t>SESIÓN PLENARIA</w:t>
            </w:r>
          </w:p>
        </w:tc>
        <w:tc>
          <w:tcPr>
            <w:tcW w:w="3120" w:type="dxa"/>
            <w:shd w:val="clear" w:color="auto" w:fill="auto"/>
          </w:tcPr>
          <w:p w:rsidR="00255FA1" w:rsidRPr="00207389" w:rsidRDefault="00255FA1" w:rsidP="004F4BB1">
            <w:pPr>
              <w:spacing w:before="0"/>
              <w:rPr>
                <w:rFonts w:cstheme="minorHAnsi"/>
                <w:szCs w:val="24"/>
              </w:rPr>
            </w:pPr>
            <w:r w:rsidRPr="00207389">
              <w:rPr>
                <w:rFonts w:eastAsia="SimSun" w:cs="Traditional Arabic"/>
                <w:b/>
                <w:szCs w:val="24"/>
              </w:rPr>
              <w:t>Corrigéndum 1 al</w:t>
            </w:r>
            <w:r w:rsidRPr="00207389">
              <w:rPr>
                <w:rFonts w:eastAsia="SimSun" w:cs="Traditional Arabic"/>
                <w:b/>
                <w:szCs w:val="24"/>
              </w:rPr>
              <w:br/>
              <w:t>Documento 79(Add.1)</w:t>
            </w:r>
            <w:r w:rsidR="00262FF4" w:rsidRPr="00F44B1A">
              <w:rPr>
                <w:rFonts w:eastAsia="SimSun" w:cs="Traditional Arabic"/>
                <w:b/>
                <w:szCs w:val="24"/>
              </w:rPr>
              <w:t>-S</w:t>
            </w:r>
          </w:p>
        </w:tc>
      </w:tr>
      <w:tr w:rsidR="00255FA1" w:rsidRPr="0002785D" w:rsidTr="00682B62">
        <w:trPr>
          <w:cantSplit/>
        </w:trPr>
        <w:tc>
          <w:tcPr>
            <w:tcW w:w="6911" w:type="dxa"/>
            <w:shd w:val="clear" w:color="auto" w:fill="auto"/>
          </w:tcPr>
          <w:p w:rsidR="00255FA1" w:rsidRPr="00207389" w:rsidRDefault="00255FA1" w:rsidP="004F4BB1">
            <w:pPr>
              <w:spacing w:before="0"/>
              <w:rPr>
                <w:rFonts w:cstheme="minorHAnsi"/>
                <w:b/>
                <w:szCs w:val="24"/>
              </w:rPr>
            </w:pPr>
          </w:p>
        </w:tc>
        <w:tc>
          <w:tcPr>
            <w:tcW w:w="3120" w:type="dxa"/>
            <w:shd w:val="clear" w:color="auto" w:fill="auto"/>
          </w:tcPr>
          <w:p w:rsidR="00255FA1" w:rsidRPr="004C22ED" w:rsidRDefault="00255FA1" w:rsidP="004F4BB1">
            <w:pPr>
              <w:spacing w:before="0"/>
              <w:rPr>
                <w:rFonts w:cstheme="minorHAnsi"/>
                <w:b/>
                <w:szCs w:val="24"/>
                <w:lang w:val="en-US"/>
              </w:rPr>
            </w:pPr>
            <w:r w:rsidRPr="004C22ED">
              <w:rPr>
                <w:rFonts w:eastAsia="SimSun" w:cs="Traditional Arabic"/>
                <w:b/>
                <w:szCs w:val="24"/>
                <w:lang w:val="en-US"/>
              </w:rPr>
              <w:t>2 de noviembre de 2014</w:t>
            </w:r>
          </w:p>
        </w:tc>
      </w:tr>
      <w:tr w:rsidR="00255FA1" w:rsidRPr="0002785D" w:rsidTr="00682B62">
        <w:trPr>
          <w:cantSplit/>
        </w:trPr>
        <w:tc>
          <w:tcPr>
            <w:tcW w:w="6911" w:type="dxa"/>
          </w:tcPr>
          <w:p w:rsidR="00255FA1" w:rsidRPr="004C22ED" w:rsidRDefault="00255FA1" w:rsidP="004F4BB1">
            <w:pPr>
              <w:spacing w:before="0"/>
              <w:rPr>
                <w:rFonts w:cstheme="minorHAnsi"/>
                <w:b/>
                <w:smallCaps/>
                <w:szCs w:val="24"/>
                <w:lang w:val="en-US"/>
              </w:rPr>
            </w:pPr>
          </w:p>
        </w:tc>
        <w:tc>
          <w:tcPr>
            <w:tcW w:w="3120" w:type="dxa"/>
          </w:tcPr>
          <w:p w:rsidR="00255FA1" w:rsidRPr="004C22ED" w:rsidRDefault="00255FA1" w:rsidP="004F4BB1">
            <w:pPr>
              <w:spacing w:before="0"/>
              <w:rPr>
                <w:rFonts w:cstheme="minorHAnsi"/>
                <w:b/>
                <w:szCs w:val="24"/>
                <w:lang w:val="en-US"/>
              </w:rPr>
            </w:pPr>
            <w:r w:rsidRPr="004C22ED">
              <w:rPr>
                <w:rFonts w:eastAsia="SimSun" w:cs="Traditional Arabic"/>
                <w:b/>
                <w:szCs w:val="24"/>
                <w:lang w:val="en-US"/>
              </w:rPr>
              <w:t>Original: inglés</w:t>
            </w:r>
          </w:p>
        </w:tc>
      </w:tr>
      <w:tr w:rsidR="00255FA1" w:rsidRPr="0002785D" w:rsidTr="00682B62">
        <w:trPr>
          <w:cantSplit/>
        </w:trPr>
        <w:tc>
          <w:tcPr>
            <w:tcW w:w="10031" w:type="dxa"/>
            <w:gridSpan w:val="2"/>
          </w:tcPr>
          <w:p w:rsidR="00255FA1" w:rsidRPr="004C22ED" w:rsidRDefault="00255FA1" w:rsidP="00682B62">
            <w:pPr>
              <w:spacing w:before="0" w:line="240" w:lineRule="atLeast"/>
              <w:rPr>
                <w:rFonts w:cstheme="minorHAnsi"/>
                <w:b/>
                <w:szCs w:val="24"/>
                <w:lang w:val="en-US"/>
              </w:rPr>
            </w:pPr>
          </w:p>
        </w:tc>
      </w:tr>
      <w:tr w:rsidR="00255FA1" w:rsidRPr="0002785D" w:rsidTr="00682B62">
        <w:trPr>
          <w:cantSplit/>
        </w:trPr>
        <w:tc>
          <w:tcPr>
            <w:tcW w:w="10031" w:type="dxa"/>
            <w:gridSpan w:val="2"/>
          </w:tcPr>
          <w:p w:rsidR="00255FA1" w:rsidRPr="00207389" w:rsidRDefault="00255FA1" w:rsidP="00682B62">
            <w:pPr>
              <w:pStyle w:val="Source"/>
            </w:pPr>
            <w:bookmarkStart w:id="4" w:name="dsource" w:colFirst="0" w:colLast="0"/>
            <w:bookmarkEnd w:id="3"/>
            <w:r w:rsidRPr="00207389">
              <w:rPr>
                <w:rFonts w:eastAsia="SimSun" w:cs="Traditional Arabic"/>
              </w:rPr>
              <w:t>Administraciones de los Estados Árabes</w:t>
            </w:r>
          </w:p>
        </w:tc>
      </w:tr>
      <w:tr w:rsidR="00255FA1" w:rsidRPr="00207389" w:rsidTr="00682B62">
        <w:trPr>
          <w:cantSplit/>
        </w:trPr>
        <w:tc>
          <w:tcPr>
            <w:tcW w:w="10031" w:type="dxa"/>
            <w:gridSpan w:val="2"/>
          </w:tcPr>
          <w:p w:rsidR="00255FA1" w:rsidRPr="00207389" w:rsidRDefault="00207389" w:rsidP="00682B62">
            <w:pPr>
              <w:pStyle w:val="Title1"/>
              <w:rPr>
                <w:rPrChange w:id="5" w:author="Author">
                  <w:rPr>
                    <w:lang w:val="en-US"/>
                  </w:rPr>
                </w:rPrChange>
              </w:rPr>
            </w:pPr>
            <w:bookmarkStart w:id="6" w:name="dtitle1" w:colFirst="0" w:colLast="0"/>
            <w:bookmarkEnd w:id="4"/>
            <w:r w:rsidRPr="00207389">
              <w:rPr>
                <w:rPrChange w:id="7" w:author="Author">
                  <w:rPr>
                    <w:lang w:val="en-US"/>
                  </w:rPr>
                </w:rPrChange>
              </w:rPr>
              <w:t xml:space="preserve">propuestas comunes de los estados </w:t>
            </w:r>
            <w:r>
              <w:t xml:space="preserve">árabes para los </w:t>
            </w:r>
            <w:r w:rsidR="00BE10B9">
              <w:br/>
            </w:r>
            <w:r>
              <w:t>trabajos de la conferencia</w:t>
            </w:r>
          </w:p>
        </w:tc>
      </w:tr>
      <w:tr w:rsidR="00255FA1" w:rsidRPr="00207389" w:rsidTr="00682B62">
        <w:trPr>
          <w:cantSplit/>
        </w:trPr>
        <w:tc>
          <w:tcPr>
            <w:tcW w:w="10031" w:type="dxa"/>
            <w:gridSpan w:val="2"/>
          </w:tcPr>
          <w:p w:rsidR="00F94581" w:rsidRPr="00207389" w:rsidRDefault="00F94581">
            <w:pPr>
              <w:pStyle w:val="Normalaftertitle"/>
              <w:rPr>
                <w:caps/>
                <w:rPrChange w:id="8" w:author="Author">
                  <w:rPr>
                    <w:caps w:val="0"/>
                    <w:sz w:val="24"/>
                    <w:lang w:val="en-US"/>
                  </w:rPr>
                </w:rPrChange>
              </w:rPr>
              <w:pPrChange w:id="9" w:author="Author">
                <w:pPr>
                  <w:pStyle w:val="Title2"/>
                  <w:framePr w:hSpace="180" w:wrap="around" w:hAnchor="margin" w:y="-675"/>
                </w:pPr>
              </w:pPrChange>
            </w:pPr>
            <w:bookmarkStart w:id="10" w:name="dtitle2" w:colFirst="0" w:colLast="0"/>
            <w:bookmarkEnd w:id="6"/>
          </w:p>
        </w:tc>
      </w:tr>
    </w:tbl>
    <w:bookmarkEnd w:id="10"/>
    <w:p w:rsidR="00C97F9F" w:rsidRDefault="00C97F9F" w:rsidP="00C97F9F">
      <w:pPr>
        <w:spacing w:before="360"/>
      </w:pPr>
      <w:r w:rsidRPr="00207389">
        <w:rPr>
          <w:rPrChange w:id="11" w:author="Author">
            <w:rPr>
              <w:sz w:val="28"/>
              <w:lang w:val="en-US"/>
            </w:rPr>
          </w:rPrChange>
        </w:rPr>
        <w:t>Sírvase sustituir la Parte 8 del Add</w:t>
      </w:r>
      <w:r>
        <w:t>éndum 1 al Documento 79 – Propuesta ARB/79A1/9 – por el texto que se adjunta.</w:t>
      </w:r>
    </w:p>
    <w:p w:rsidR="00F94581" w:rsidRPr="00C5603F" w:rsidRDefault="00F94581" w:rsidP="00C97F9F">
      <w:pPr>
        <w:pStyle w:val="Part"/>
        <w:spacing w:before="840"/>
      </w:pPr>
      <w:r w:rsidRPr="00C5603F">
        <w:t>PARTE 8</w:t>
      </w:r>
    </w:p>
    <w:p w:rsidR="00F94581" w:rsidRPr="00C5603F" w:rsidRDefault="00F94581" w:rsidP="00F94581">
      <w:pPr>
        <w:pStyle w:val="Restitle"/>
      </w:pPr>
      <w:r w:rsidRPr="00C5603F">
        <w:t>Proyecto de nueva Resolución</w:t>
      </w:r>
    </w:p>
    <w:p w:rsidR="00F94581" w:rsidRPr="00C5603F" w:rsidRDefault="00F94581">
      <w:pPr>
        <w:pStyle w:val="Headingb"/>
        <w:pPrChange w:id="12" w:author="Author">
          <w:pPr>
            <w:spacing w:line="480" w:lineRule="auto"/>
            <w:jc w:val="both"/>
          </w:pPr>
        </w:pPrChange>
      </w:pPr>
      <w:r w:rsidRPr="00C5603F">
        <w:t>Introducción</w:t>
      </w:r>
    </w:p>
    <w:p w:rsidR="00F94581" w:rsidRPr="00C5603F" w:rsidRDefault="00F94581">
      <w:pPr>
        <w:pPrChange w:id="13" w:author="Author">
          <w:pPr>
            <w:spacing w:line="480" w:lineRule="auto"/>
            <w:jc w:val="both"/>
          </w:pPr>
        </w:pPrChange>
      </w:pPr>
      <w:r w:rsidRPr="00C5603F">
        <w:t>El Grupo de los Estados Árabes propone a continuación una nueva Resolución para prestar ayuda y asistencia</w:t>
      </w:r>
      <w:r>
        <w:t xml:space="preserve"> a Iraq en la reconstrucción y la</w:t>
      </w:r>
      <w:r w:rsidRPr="00C5603F">
        <w:t xml:space="preserve"> </w:t>
      </w:r>
      <w:r>
        <w:t>renovación</w:t>
      </w:r>
      <w:r w:rsidRPr="00C5603F">
        <w:t xml:space="preserve"> de su infraestructura de telecomunicaciones, el establecimiento de instituciones, el fortalecimiento de los recursos humanos y la determinación de tarifas.</w:t>
      </w:r>
    </w:p>
    <w:p w:rsidR="00F94581" w:rsidRPr="00C5603F" w:rsidRDefault="00F94581">
      <w:pPr>
        <w:pStyle w:val="Headingb"/>
        <w:pPrChange w:id="14" w:author="Author">
          <w:pPr>
            <w:spacing w:line="480" w:lineRule="auto"/>
            <w:jc w:val="both"/>
          </w:pPr>
        </w:pPrChange>
      </w:pPr>
      <w:r w:rsidRPr="00C5603F">
        <w:t>Finalidad de la propuesta</w:t>
      </w:r>
    </w:p>
    <w:p w:rsidR="00F94581" w:rsidRPr="00C5603F" w:rsidRDefault="00F94581">
      <w:pPr>
        <w:pPrChange w:id="15" w:author="Author">
          <w:pPr>
            <w:spacing w:line="480" w:lineRule="auto"/>
            <w:jc w:val="both"/>
          </w:pPr>
        </w:pPrChange>
      </w:pPr>
      <w:r w:rsidRPr="00C5603F">
        <w:t xml:space="preserve">Prestar ayuda y asistencia a Iraq en la reconstrucción y </w:t>
      </w:r>
      <w:r>
        <w:t>la</w:t>
      </w:r>
      <w:r w:rsidRPr="00C5603F">
        <w:t xml:space="preserve"> </w:t>
      </w:r>
      <w:r>
        <w:t>renovación</w:t>
      </w:r>
      <w:r w:rsidRPr="00C5603F">
        <w:t xml:space="preserve"> de su infraestructura de telecomunicaciones, el establecimiento de instituciones, el fortalecimiento de los recursos humanos y la determinación de tarifas mediante la organización de actividades de capacitación dentro y fuera del territorio de Iraq, según corresponda, la adscripción de expertos para suplir las carencias de conocimientos especializados en algunos ámbitos, la dotación de los especialistas que solicite la Administración de</w:t>
      </w:r>
      <w:r>
        <w:t xml:space="preserve"> </w:t>
      </w:r>
      <w:r w:rsidRPr="00C5603F">
        <w:t>Iraq y otras formas de asistencia, entre ellas la asistencia técnica.</w:t>
      </w:r>
    </w:p>
    <w:p w:rsidR="00255FA1"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bookmarkStart w:id="16" w:name="_GoBack"/>
      <w:bookmarkEnd w:id="16"/>
      <w:r>
        <w:rPr>
          <w:rStyle w:val="PageNumber"/>
        </w:rPr>
        <w:br w:type="page"/>
      </w:r>
    </w:p>
    <w:p w:rsidR="00523E3A" w:rsidRPr="00207389" w:rsidRDefault="00D53C70">
      <w:pPr>
        <w:pStyle w:val="Proposal"/>
        <w:rPr>
          <w:lang w:val="es-ES_tradnl"/>
        </w:rPr>
      </w:pPr>
      <w:r w:rsidRPr="00207389">
        <w:rPr>
          <w:lang w:val="es-ES_tradnl"/>
        </w:rPr>
        <w:lastRenderedPageBreak/>
        <w:t>ADD</w:t>
      </w:r>
      <w:r w:rsidRPr="00207389">
        <w:rPr>
          <w:lang w:val="es-ES_tradnl"/>
        </w:rPr>
        <w:tab/>
        <w:t>ARB/79A1/9</w:t>
      </w:r>
    </w:p>
    <w:p w:rsidR="00813B8C" w:rsidRPr="00C5603F" w:rsidRDefault="00813B8C" w:rsidP="00813B8C">
      <w:pPr>
        <w:pStyle w:val="ResNo"/>
      </w:pPr>
      <w:r w:rsidRPr="00C5603F">
        <w:t>Proyecto de nueva Resolución [ARB-1]</w:t>
      </w:r>
    </w:p>
    <w:p w:rsidR="00813B8C" w:rsidRPr="00C5603F" w:rsidRDefault="006F4887" w:rsidP="000F10D1">
      <w:pPr>
        <w:pStyle w:val="Restitle"/>
      </w:pPr>
      <w:r>
        <w:t xml:space="preserve">Apoyo y asistencia a </w:t>
      </w:r>
      <w:r w:rsidR="00813B8C" w:rsidRPr="00C5603F">
        <w:t xml:space="preserve">Iraq para que reconstruya </w:t>
      </w:r>
      <w:r w:rsidR="000F10D1">
        <w:br/>
      </w:r>
      <w:r w:rsidR="00813B8C" w:rsidRPr="00C5603F">
        <w:t>su sector de las telecomunicaciones</w:t>
      </w:r>
    </w:p>
    <w:p w:rsidR="00813B8C" w:rsidRPr="00C5603F" w:rsidRDefault="00813B8C">
      <w:pPr>
        <w:pPrChange w:id="17" w:author="Author">
          <w:pPr>
            <w:spacing w:line="480" w:lineRule="auto"/>
            <w:jc w:val="both"/>
          </w:pPr>
        </w:pPrChange>
      </w:pPr>
      <w:r w:rsidRPr="00C5603F">
        <w:t>La Conferencia de Plenipotenciarios de la Unión Internacional de Telecomunicaciones (Busán,</w:t>
      </w:r>
      <w:r w:rsidR="00BE10B9">
        <w:t> </w:t>
      </w:r>
      <w:r w:rsidRPr="00C5603F">
        <w:t>2014),</w:t>
      </w:r>
    </w:p>
    <w:p w:rsidR="00813B8C" w:rsidRPr="00C5603F" w:rsidRDefault="00813B8C" w:rsidP="00813B8C">
      <w:pPr>
        <w:pStyle w:val="Call"/>
      </w:pPr>
      <w:r w:rsidRPr="00C5603F">
        <w:t>recordando</w:t>
      </w:r>
    </w:p>
    <w:p w:rsidR="00813B8C" w:rsidRPr="00C5603F" w:rsidRDefault="00813B8C" w:rsidP="00813B8C">
      <w:pPr>
        <w:rPr>
          <w:rFonts w:asciiTheme="minorHAnsi" w:hAnsiTheme="minorHAnsi"/>
        </w:rPr>
      </w:pPr>
      <w:r w:rsidRPr="00C5603F">
        <w:rPr>
          <w:rFonts w:asciiTheme="minorHAnsi" w:hAnsiTheme="minorHAnsi"/>
          <w:i/>
        </w:rPr>
        <w:t>a)</w:t>
      </w:r>
      <w:r w:rsidRPr="00C5603F">
        <w:rPr>
          <w:rFonts w:asciiTheme="minorHAnsi" w:hAnsiTheme="minorHAnsi"/>
          <w:i/>
        </w:rPr>
        <w:tab/>
      </w:r>
      <w:r w:rsidRPr="00C5603F">
        <w:rPr>
          <w:rFonts w:asciiTheme="minorHAnsi" w:hAnsiTheme="minorHAnsi"/>
        </w:rPr>
        <w:t>los nobles principios, fines y objetivos de la Carta de las Naciones Unidas y de la Declaración Universal de Derechos Humanos;</w:t>
      </w:r>
    </w:p>
    <w:p w:rsidR="00813B8C" w:rsidRPr="00C5603F" w:rsidRDefault="00813B8C" w:rsidP="00813B8C">
      <w:pPr>
        <w:rPr>
          <w:rFonts w:asciiTheme="minorHAnsi" w:hAnsiTheme="minorHAnsi"/>
        </w:rPr>
      </w:pPr>
      <w:r w:rsidRPr="00C5603F">
        <w:rPr>
          <w:rFonts w:asciiTheme="minorHAnsi" w:hAnsiTheme="minorHAnsi"/>
          <w:i/>
        </w:rPr>
        <w:t>b)</w:t>
      </w:r>
      <w:r w:rsidRPr="00C5603F">
        <w:rPr>
          <w:rFonts w:asciiTheme="minorHAnsi" w:hAnsiTheme="minorHAnsi"/>
          <w:i/>
        </w:rPr>
        <w:tab/>
      </w:r>
      <w:r w:rsidRPr="00C5603F">
        <w:rPr>
          <w:rFonts w:asciiTheme="minorHAnsi" w:hAnsiTheme="minorHAnsi"/>
        </w:rPr>
        <w:t>los esfuerzos desplegados por las Naciones Unidas para promover un desarrollo sostenible y las resoluciones pertinentes del Consejo de Seguridad de las Naciones Unidas a propósito de la situación;</w:t>
      </w:r>
    </w:p>
    <w:p w:rsidR="00813B8C" w:rsidRPr="00C5603F" w:rsidRDefault="00813B8C" w:rsidP="000F10D1">
      <w:pPr>
        <w:rPr>
          <w:rFonts w:asciiTheme="minorHAnsi" w:hAnsiTheme="minorHAnsi"/>
        </w:rPr>
      </w:pPr>
      <w:r w:rsidRPr="00C5603F">
        <w:rPr>
          <w:rFonts w:asciiTheme="minorHAnsi" w:hAnsiTheme="minorHAnsi"/>
          <w:i/>
        </w:rPr>
        <w:t>c)</w:t>
      </w:r>
      <w:r w:rsidRPr="00C5603F">
        <w:rPr>
          <w:rFonts w:asciiTheme="minorHAnsi" w:hAnsiTheme="minorHAnsi"/>
          <w:i/>
        </w:rPr>
        <w:tab/>
      </w:r>
      <w:r w:rsidRPr="00C5603F">
        <w:rPr>
          <w:rFonts w:asciiTheme="minorHAnsi" w:hAnsiTheme="minorHAnsi"/>
        </w:rPr>
        <w:t>el objeto de la Unión enunciado en el Artículo 1 de la Constitución de la UIT;</w:t>
      </w:r>
    </w:p>
    <w:p w:rsidR="00813B8C" w:rsidRDefault="00813B8C" w:rsidP="000F10D1">
      <w:pPr>
        <w:rPr>
          <w:rFonts w:asciiTheme="minorHAnsi" w:hAnsiTheme="minorHAnsi"/>
        </w:rPr>
      </w:pPr>
      <w:r w:rsidRPr="00C5603F">
        <w:rPr>
          <w:rFonts w:asciiTheme="minorHAnsi" w:hAnsiTheme="minorHAnsi"/>
          <w:i/>
        </w:rPr>
        <w:t>d)</w:t>
      </w:r>
      <w:r w:rsidRPr="00C5603F">
        <w:rPr>
          <w:rFonts w:asciiTheme="minorHAnsi" w:hAnsiTheme="minorHAnsi"/>
          <w:i/>
        </w:rPr>
        <w:tab/>
      </w:r>
      <w:r w:rsidRPr="00C5603F">
        <w:rPr>
          <w:rFonts w:asciiTheme="minorHAnsi" w:hAnsiTheme="minorHAnsi"/>
        </w:rPr>
        <w:t>el punto 16 de la Declaración de Principios de Ginebra, adoptada en la Cumbre Mundial sobre la Sociedad de la Información</w:t>
      </w:r>
      <w:r w:rsidR="004D32BF">
        <w:rPr>
          <w:rFonts w:asciiTheme="minorHAnsi" w:hAnsiTheme="minorHAnsi"/>
        </w:rPr>
        <w:t>;</w:t>
      </w:r>
    </w:p>
    <w:p w:rsidR="004D32BF" w:rsidRPr="00C5603F" w:rsidRDefault="004D32BF" w:rsidP="000F10D1">
      <w:pPr>
        <w:rPr>
          <w:rFonts w:asciiTheme="minorHAnsi" w:hAnsiTheme="minorHAnsi"/>
        </w:rPr>
      </w:pPr>
      <w:r>
        <w:rPr>
          <w:rFonts w:asciiTheme="minorHAnsi" w:hAnsiTheme="minorHAnsi"/>
        </w:rPr>
        <w:t>e)</w:t>
      </w:r>
      <w:r>
        <w:rPr>
          <w:rFonts w:asciiTheme="minorHAnsi" w:hAnsiTheme="minorHAnsi"/>
        </w:rPr>
        <w:tab/>
        <w:t>el punto 15 del Compromiso de Túnez, adoptado en la Cumbre Mundial sobre la Sociedad de la Información,</w:t>
      </w:r>
    </w:p>
    <w:p w:rsidR="00813B8C" w:rsidRPr="00C5603F" w:rsidRDefault="00813B8C" w:rsidP="000F10D1">
      <w:pPr>
        <w:pStyle w:val="Call"/>
      </w:pPr>
      <w:r w:rsidRPr="00C5603F">
        <w:t>reconociendo</w:t>
      </w:r>
    </w:p>
    <w:p w:rsidR="00813B8C" w:rsidRPr="00C5603F" w:rsidRDefault="00813B8C" w:rsidP="0048694C">
      <w:pPr>
        <w:rPr>
          <w:rFonts w:asciiTheme="minorHAnsi" w:hAnsiTheme="minorHAnsi"/>
        </w:rPr>
      </w:pPr>
      <w:r w:rsidRPr="00C5603F">
        <w:rPr>
          <w:rFonts w:asciiTheme="minorHAnsi" w:hAnsiTheme="minorHAnsi"/>
          <w:i/>
        </w:rPr>
        <w:t>a)</w:t>
      </w:r>
      <w:r w:rsidRPr="00C5603F">
        <w:rPr>
          <w:rFonts w:asciiTheme="minorHAnsi" w:hAnsiTheme="minorHAnsi"/>
          <w:i/>
        </w:rPr>
        <w:tab/>
      </w:r>
      <w:r w:rsidRPr="00C5603F">
        <w:rPr>
          <w:rFonts w:asciiTheme="minorHAnsi" w:hAnsiTheme="minorHAnsi"/>
        </w:rPr>
        <w:t xml:space="preserve">que </w:t>
      </w:r>
      <w:r w:rsidR="004D32BF">
        <w:rPr>
          <w:rFonts w:asciiTheme="minorHAnsi" w:hAnsiTheme="minorHAnsi"/>
        </w:rPr>
        <w:t xml:space="preserve">es indispensable contar con </w:t>
      </w:r>
      <w:r w:rsidRPr="00C5603F">
        <w:rPr>
          <w:rFonts w:asciiTheme="minorHAnsi" w:hAnsiTheme="minorHAnsi"/>
        </w:rPr>
        <w:t>una</w:t>
      </w:r>
      <w:r w:rsidR="004D32BF">
        <w:rPr>
          <w:rFonts w:asciiTheme="minorHAnsi" w:hAnsiTheme="minorHAnsi"/>
        </w:rPr>
        <w:t xml:space="preserve"> infraestructura de</w:t>
      </w:r>
      <w:r w:rsidRPr="00C5603F">
        <w:rPr>
          <w:rFonts w:asciiTheme="minorHAnsi" w:hAnsiTheme="minorHAnsi"/>
        </w:rPr>
        <w:t xml:space="preserve"> redes de telecomunicaciones </w:t>
      </w:r>
      <w:r w:rsidR="00BE10B9">
        <w:rPr>
          <w:rFonts w:asciiTheme="minorHAnsi" w:hAnsiTheme="minorHAnsi"/>
        </w:rPr>
        <w:t xml:space="preserve">fiable </w:t>
      </w:r>
      <w:r w:rsidR="004D32BF">
        <w:rPr>
          <w:rFonts w:asciiTheme="minorHAnsi" w:hAnsiTheme="minorHAnsi"/>
        </w:rPr>
        <w:t xml:space="preserve">y utilizar los servicios </w:t>
      </w:r>
      <w:r w:rsidR="00BE10B9">
        <w:rPr>
          <w:rFonts w:asciiTheme="minorHAnsi" w:hAnsiTheme="minorHAnsi"/>
        </w:rPr>
        <w:t xml:space="preserve">conexos </w:t>
      </w:r>
      <w:r w:rsidR="004D32BF">
        <w:rPr>
          <w:rFonts w:asciiTheme="minorHAnsi" w:hAnsiTheme="minorHAnsi"/>
        </w:rPr>
        <w:t xml:space="preserve">adecuadamente </w:t>
      </w:r>
      <w:r w:rsidRPr="00C5603F">
        <w:rPr>
          <w:rFonts w:asciiTheme="minorHAnsi" w:hAnsiTheme="minorHAnsi"/>
        </w:rPr>
        <w:t xml:space="preserve">para el desarrollo socioeconómico de los países, en particular de aquellos que han sufrido catástrofes naturales </w:t>
      </w:r>
      <w:r w:rsidR="004D32BF">
        <w:rPr>
          <w:rFonts w:asciiTheme="minorHAnsi" w:hAnsiTheme="minorHAnsi"/>
        </w:rPr>
        <w:t>y</w:t>
      </w:r>
      <w:r w:rsidRPr="00C5603F">
        <w:rPr>
          <w:rFonts w:asciiTheme="minorHAnsi" w:hAnsiTheme="minorHAnsi"/>
        </w:rPr>
        <w:t xml:space="preserve"> guerras;</w:t>
      </w:r>
    </w:p>
    <w:p w:rsidR="00813B8C" w:rsidRPr="00C5603F" w:rsidRDefault="00813B8C">
      <w:pPr>
        <w:rPr>
          <w:rFonts w:asciiTheme="minorHAnsi" w:hAnsiTheme="minorHAnsi"/>
        </w:rPr>
        <w:pPrChange w:id="18" w:author="Author">
          <w:pPr>
            <w:spacing w:line="480" w:lineRule="auto"/>
            <w:jc w:val="both"/>
          </w:pPr>
        </w:pPrChange>
      </w:pPr>
      <w:r w:rsidRPr="00C5603F">
        <w:rPr>
          <w:rFonts w:asciiTheme="minorHAnsi" w:hAnsiTheme="minorHAnsi"/>
          <w:i/>
        </w:rPr>
        <w:t>b)</w:t>
      </w:r>
      <w:r w:rsidRPr="00C5603F">
        <w:rPr>
          <w:rFonts w:asciiTheme="minorHAnsi" w:hAnsiTheme="minorHAnsi"/>
          <w:i/>
        </w:rPr>
        <w:tab/>
      </w:r>
      <w:r w:rsidRPr="00C5603F">
        <w:rPr>
          <w:rFonts w:asciiTheme="minorHAnsi" w:hAnsiTheme="minorHAnsi"/>
        </w:rPr>
        <w:t xml:space="preserve">que las instalaciones de telecomunicaciones de Iraq han sufrido </w:t>
      </w:r>
      <w:r w:rsidR="004D32BF">
        <w:rPr>
          <w:rFonts w:asciiTheme="minorHAnsi" w:hAnsiTheme="minorHAnsi"/>
        </w:rPr>
        <w:t xml:space="preserve">y siguen sufriendo </w:t>
      </w:r>
      <w:r w:rsidRPr="00C5603F">
        <w:rPr>
          <w:rFonts w:asciiTheme="minorHAnsi" w:hAnsiTheme="minorHAnsi"/>
        </w:rPr>
        <w:t xml:space="preserve">graves daños a raíz </w:t>
      </w:r>
      <w:r>
        <w:rPr>
          <w:rFonts w:asciiTheme="minorHAnsi" w:hAnsiTheme="minorHAnsi"/>
        </w:rPr>
        <w:t xml:space="preserve">de </w:t>
      </w:r>
      <w:r w:rsidR="004D32BF">
        <w:rPr>
          <w:rFonts w:asciiTheme="minorHAnsi" w:hAnsiTheme="minorHAnsi"/>
        </w:rPr>
        <w:t>numerosas guerras</w:t>
      </w:r>
      <w:r w:rsidRPr="00C5603F">
        <w:rPr>
          <w:rFonts w:asciiTheme="minorHAnsi" w:hAnsiTheme="minorHAnsi"/>
        </w:rPr>
        <w:t>;</w:t>
      </w:r>
    </w:p>
    <w:p w:rsidR="00813B8C" w:rsidRPr="00C5603F" w:rsidRDefault="00813B8C" w:rsidP="0048694C">
      <w:pPr>
        <w:rPr>
          <w:rFonts w:asciiTheme="minorHAnsi" w:hAnsiTheme="minorHAnsi"/>
        </w:rPr>
      </w:pPr>
      <w:r w:rsidRPr="00C5603F">
        <w:rPr>
          <w:rFonts w:asciiTheme="minorHAnsi" w:hAnsiTheme="minorHAnsi"/>
          <w:i/>
        </w:rPr>
        <w:t>c)</w:t>
      </w:r>
      <w:r w:rsidRPr="00C5603F">
        <w:rPr>
          <w:rFonts w:asciiTheme="minorHAnsi" w:hAnsiTheme="minorHAnsi"/>
          <w:i/>
        </w:rPr>
        <w:tab/>
      </w:r>
      <w:r w:rsidRPr="00C5603F">
        <w:rPr>
          <w:rFonts w:asciiTheme="minorHAnsi" w:hAnsiTheme="minorHAnsi"/>
        </w:rPr>
        <w:t xml:space="preserve">que los daños causados a la </w:t>
      </w:r>
      <w:r w:rsidR="004D32BF">
        <w:rPr>
          <w:rFonts w:asciiTheme="minorHAnsi" w:hAnsiTheme="minorHAnsi"/>
        </w:rPr>
        <w:t xml:space="preserve">infraestructura de </w:t>
      </w:r>
      <w:r w:rsidRPr="00C5603F">
        <w:rPr>
          <w:rFonts w:asciiTheme="minorHAnsi" w:hAnsiTheme="minorHAnsi"/>
        </w:rPr>
        <w:t xml:space="preserve">telecomunicaciones de Iraq </w:t>
      </w:r>
      <w:r w:rsidR="004D32BF">
        <w:rPr>
          <w:rFonts w:asciiTheme="minorHAnsi" w:hAnsiTheme="minorHAnsi"/>
        </w:rPr>
        <w:t xml:space="preserve">y la utilización ilícita de los servicios de TIC en la situación </w:t>
      </w:r>
      <w:r w:rsidR="000F10D1">
        <w:rPr>
          <w:rFonts w:asciiTheme="minorHAnsi" w:hAnsiTheme="minorHAnsi"/>
        </w:rPr>
        <w:t>bélica actual</w:t>
      </w:r>
      <w:r w:rsidR="004D32BF">
        <w:rPr>
          <w:rFonts w:asciiTheme="minorHAnsi" w:hAnsiTheme="minorHAnsi"/>
        </w:rPr>
        <w:t xml:space="preserve">, </w:t>
      </w:r>
      <w:r w:rsidRPr="00C5603F">
        <w:rPr>
          <w:rFonts w:asciiTheme="minorHAnsi" w:hAnsiTheme="minorHAnsi"/>
        </w:rPr>
        <w:t>preocupa</w:t>
      </w:r>
      <w:r w:rsidR="004D32BF">
        <w:rPr>
          <w:rFonts w:asciiTheme="minorHAnsi" w:hAnsiTheme="minorHAnsi"/>
        </w:rPr>
        <w:t>n</w:t>
      </w:r>
      <w:r w:rsidRPr="00C5603F">
        <w:rPr>
          <w:rFonts w:asciiTheme="minorHAnsi" w:hAnsiTheme="minorHAnsi"/>
        </w:rPr>
        <w:t xml:space="preserve"> a la comunidad internacional y</w:t>
      </w:r>
      <w:r w:rsidR="0048694C">
        <w:rPr>
          <w:rFonts w:asciiTheme="minorHAnsi" w:hAnsiTheme="minorHAnsi"/>
        </w:rPr>
        <w:t> </w:t>
      </w:r>
      <w:r w:rsidR="004D32BF">
        <w:rPr>
          <w:rFonts w:asciiTheme="minorHAnsi" w:hAnsiTheme="minorHAnsi"/>
        </w:rPr>
        <w:t>los órganos/organismos pertinentes</w:t>
      </w:r>
      <w:r w:rsidRPr="00C5603F">
        <w:rPr>
          <w:rFonts w:asciiTheme="minorHAnsi" w:hAnsiTheme="minorHAnsi"/>
        </w:rPr>
        <w:t>;</w:t>
      </w:r>
    </w:p>
    <w:p w:rsidR="00813B8C" w:rsidRPr="00C5603F" w:rsidRDefault="00813B8C">
      <w:pPr>
        <w:rPr>
          <w:rFonts w:asciiTheme="minorHAnsi" w:hAnsiTheme="minorHAnsi"/>
        </w:rPr>
        <w:pPrChange w:id="19" w:author="Author">
          <w:pPr>
            <w:spacing w:line="480" w:lineRule="auto"/>
          </w:pPr>
        </w:pPrChange>
      </w:pPr>
      <w:r w:rsidRPr="00C5603F">
        <w:rPr>
          <w:rFonts w:asciiTheme="minorHAnsi" w:hAnsiTheme="minorHAnsi"/>
          <w:i/>
          <w:iCs/>
        </w:rPr>
        <w:t>d)</w:t>
      </w:r>
      <w:r w:rsidRPr="00C5603F">
        <w:rPr>
          <w:rFonts w:asciiTheme="minorHAnsi" w:hAnsiTheme="minorHAnsi"/>
        </w:rPr>
        <w:tab/>
        <w:t xml:space="preserve">que la Resolución 34 (Guadalajara, 2010) de la Conferencia de Plenipotenciarios solicita que se tomen las </w:t>
      </w:r>
      <w:r>
        <w:rPr>
          <w:rFonts w:asciiTheme="minorHAnsi" w:hAnsiTheme="minorHAnsi"/>
        </w:rPr>
        <w:t>medidas adecuadas para ayudar a</w:t>
      </w:r>
      <w:r w:rsidRPr="00C5603F">
        <w:rPr>
          <w:rFonts w:asciiTheme="minorHAnsi" w:hAnsiTheme="minorHAnsi"/>
        </w:rPr>
        <w:t xml:space="preserve"> </w:t>
      </w:r>
      <w:r>
        <w:rPr>
          <w:rFonts w:asciiTheme="minorHAnsi" w:hAnsiTheme="minorHAnsi"/>
        </w:rPr>
        <w:t>Iraq</w:t>
      </w:r>
      <w:r w:rsidRPr="00C5603F">
        <w:rPr>
          <w:rFonts w:asciiTheme="minorHAnsi" w:hAnsiTheme="minorHAnsi"/>
        </w:rPr>
        <w:t xml:space="preserve"> a restablecer su red de telecomunicaciones</w:t>
      </w:r>
      <w:r>
        <w:rPr>
          <w:rFonts w:asciiTheme="minorHAnsi" w:hAnsiTheme="minorHAnsi"/>
        </w:rPr>
        <w:t xml:space="preserve">, </w:t>
      </w:r>
      <w:r w:rsidRPr="00C5603F">
        <w:t>establecer instituciones, fortalecer los recursos humanos y determinar las tarifas</w:t>
      </w:r>
      <w:r w:rsidRPr="00C5603F">
        <w:rPr>
          <w:rFonts w:asciiTheme="minorHAnsi" w:hAnsiTheme="minorHAnsi"/>
        </w:rPr>
        <w:t>;</w:t>
      </w:r>
    </w:p>
    <w:p w:rsidR="00813B8C" w:rsidRPr="00C5603F" w:rsidRDefault="00813B8C">
      <w:pPr>
        <w:pPrChange w:id="20" w:author="Author">
          <w:pPr>
            <w:spacing w:line="480" w:lineRule="auto"/>
            <w:jc w:val="both"/>
          </w:pPr>
        </w:pPrChange>
      </w:pPr>
      <w:r w:rsidRPr="00C5603F">
        <w:rPr>
          <w:i/>
          <w:iCs/>
        </w:rPr>
        <w:t>e)</w:t>
      </w:r>
      <w:r w:rsidRPr="00C5603F">
        <w:tab/>
        <w:t xml:space="preserve">que la Resolución 34 </w:t>
      </w:r>
      <w:r w:rsidRPr="00C5603F">
        <w:rPr>
          <w:rFonts w:asciiTheme="minorHAnsi" w:hAnsiTheme="minorHAnsi"/>
        </w:rPr>
        <w:t xml:space="preserve">(Guadalajara, 2010) </w:t>
      </w:r>
      <w:r w:rsidRPr="00C5603F">
        <w:t>aún no se ha traducido en medidas concretas o puesto en práctica: Iraq aún no ha recibido el apoyo necesario de la UIT para reconstruir y reacondicionar su infraestructura de telecomunicaciones, establecer instituciones, fortalecer los recursos humanos y determinar las tarifas</w:t>
      </w:r>
      <w:r w:rsidRPr="00C5603F">
        <w:rPr>
          <w:rFonts w:asciiTheme="minorHAnsi" w:hAnsiTheme="minorHAnsi"/>
        </w:rPr>
        <w:t>;</w:t>
      </w:r>
      <w:r w:rsidRPr="00C5603F">
        <w:t xml:space="preserve"> </w:t>
      </w:r>
    </w:p>
    <w:p w:rsidR="00813B8C" w:rsidRPr="00C5603F" w:rsidRDefault="00813B8C" w:rsidP="000F10D1">
      <w:r w:rsidRPr="00C5603F">
        <w:rPr>
          <w:i/>
          <w:iCs/>
        </w:rPr>
        <w:t>f)</w:t>
      </w:r>
      <w:r w:rsidRPr="00C5603F">
        <w:tab/>
        <w:t>que</w:t>
      </w:r>
      <w:r w:rsidR="00327EC3">
        <w:t xml:space="preserve"> </w:t>
      </w:r>
      <w:r w:rsidRPr="00C5603F">
        <w:t>Iraq no estará en condiciones de modernizarlo hasta un nivel internacional aceptable sin la ayuda de la comunidad internacional, ya sea bilateralmente o por conducto de organizaciones internacionales,</w:t>
      </w:r>
    </w:p>
    <w:p w:rsidR="00813B8C" w:rsidRPr="000F10D1" w:rsidRDefault="00813B8C">
      <w:pPr>
        <w:pStyle w:val="Call"/>
        <w:pPrChange w:id="21" w:author="Author">
          <w:pPr>
            <w:spacing w:line="480" w:lineRule="auto"/>
            <w:jc w:val="both"/>
          </w:pPr>
        </w:pPrChange>
      </w:pPr>
      <w:r w:rsidRPr="000F10D1">
        <w:lastRenderedPageBreak/>
        <w:t>considerando</w:t>
      </w:r>
    </w:p>
    <w:p w:rsidR="00813B8C" w:rsidRPr="00C5603F" w:rsidRDefault="00813B8C">
      <w:pPr>
        <w:rPr>
          <w:i/>
          <w:iCs/>
        </w:rPr>
        <w:pPrChange w:id="22" w:author="Author">
          <w:pPr>
            <w:spacing w:line="480" w:lineRule="auto"/>
          </w:pPr>
        </w:pPrChange>
      </w:pPr>
      <w:r w:rsidRPr="00C5603F">
        <w:rPr>
          <w:i/>
          <w:iCs/>
        </w:rPr>
        <w:t>a)</w:t>
      </w:r>
      <w:r w:rsidRPr="00C5603F">
        <w:rPr>
          <w:i/>
          <w:iCs/>
        </w:rPr>
        <w:tab/>
      </w:r>
      <w:r w:rsidRPr="00C5603F">
        <w:t>que los esfuerzos ayudarán a reconstruir y mejorar la infraestructura de la red de telecomunicaciones;</w:t>
      </w:r>
    </w:p>
    <w:p w:rsidR="00813B8C" w:rsidRPr="00C5603F" w:rsidRDefault="00813B8C">
      <w:pPr>
        <w:pPrChange w:id="23" w:author="Author">
          <w:pPr>
            <w:spacing w:line="480" w:lineRule="auto"/>
          </w:pPr>
        </w:pPrChange>
      </w:pPr>
      <w:r w:rsidRPr="00C5603F">
        <w:rPr>
          <w:i/>
          <w:iCs/>
        </w:rPr>
        <w:t>b)</w:t>
      </w:r>
      <w:r w:rsidRPr="00C5603F">
        <w:tab/>
        <w:t>que los esfuerzos también mejorarán la robustez de sus sistemas de gestión y seguridad a fin de satisfacer sus necesidades en materia de seguridad y de servicios económicos y de telecomunicaciones,</w:t>
      </w:r>
    </w:p>
    <w:p w:rsidR="00813B8C" w:rsidRPr="00C5603F" w:rsidRDefault="00813B8C">
      <w:pPr>
        <w:pStyle w:val="Call"/>
        <w:pPrChange w:id="24" w:author="Author">
          <w:pPr>
            <w:pStyle w:val="Call"/>
            <w:spacing w:line="480" w:lineRule="auto"/>
          </w:pPr>
        </w:pPrChange>
      </w:pPr>
      <w:r w:rsidRPr="00C5603F">
        <w:t>resuelve</w:t>
      </w:r>
    </w:p>
    <w:p w:rsidR="00813B8C" w:rsidRPr="00C5603F" w:rsidRDefault="00813B8C" w:rsidP="000F10D1">
      <w:r w:rsidRPr="00C5603F">
        <w:t>1</w:t>
      </w:r>
      <w:r w:rsidRPr="00C5603F">
        <w:tab/>
        <w:t xml:space="preserve">que se adopten medidas especiales y específicas en el marco de las actividades de la </w:t>
      </w:r>
      <w:r w:rsidR="009A73A7">
        <w:t>UIT</w:t>
      </w:r>
      <w:r w:rsidRPr="00C5603F">
        <w:t xml:space="preserve"> en función de los plazos </w:t>
      </w:r>
      <w:r w:rsidR="00F34DF7">
        <w:t xml:space="preserve">claramente definidos </w:t>
      </w:r>
      <w:r w:rsidRPr="00C5603F">
        <w:t xml:space="preserve">y el plan de acción acordados entre la Unión y </w:t>
      </w:r>
      <w:r w:rsidR="000F10D1">
        <w:t xml:space="preserve">la Administración </w:t>
      </w:r>
      <w:r w:rsidRPr="00C5603F">
        <w:t xml:space="preserve">de Iraq a fin de aplicar la presente Resolución </w:t>
      </w:r>
      <w:r w:rsidR="00F34DF7">
        <w:t>con objeto</w:t>
      </w:r>
      <w:r w:rsidRPr="00C5603F">
        <w:t xml:space="preserve"> de prestar a Iraq la asistencia y el apoyo apropiados para la reconstrucción y el reacondicionamiento de su infraestructura de telecomunicaciones</w:t>
      </w:r>
      <w:r w:rsidR="000F10D1">
        <w:t>,</w:t>
      </w:r>
      <w:r w:rsidR="00F34DF7">
        <w:t xml:space="preserve"> y la capacitación técnica para</w:t>
      </w:r>
      <w:r w:rsidRPr="00C5603F">
        <w:t xml:space="preserve"> establec</w:t>
      </w:r>
      <w:r w:rsidR="00F34DF7">
        <w:t>er</w:t>
      </w:r>
      <w:r w:rsidRPr="00C5603F">
        <w:t xml:space="preserve"> </w:t>
      </w:r>
      <w:r w:rsidR="00F34DF7">
        <w:t xml:space="preserve">las </w:t>
      </w:r>
      <w:r w:rsidRPr="00C5603F">
        <w:t>instituciones</w:t>
      </w:r>
      <w:r w:rsidR="00F34DF7">
        <w:t xml:space="preserve"> de TIC adecuadas</w:t>
      </w:r>
      <w:r w:rsidRPr="00C5603F">
        <w:t>, fortalec</w:t>
      </w:r>
      <w:r w:rsidR="00F34DF7">
        <w:t>er</w:t>
      </w:r>
      <w:r w:rsidRPr="00C5603F">
        <w:t xml:space="preserve"> los recursos humanos y </w:t>
      </w:r>
      <w:r w:rsidR="00F34DF7">
        <w:t xml:space="preserve">ayudar en la </w:t>
      </w:r>
      <w:r w:rsidR="000F10D1">
        <w:t>fij</w:t>
      </w:r>
      <w:r w:rsidR="00F34DF7">
        <w:t>ación de</w:t>
      </w:r>
      <w:r w:rsidR="00F34DF7" w:rsidRPr="00C5603F">
        <w:t xml:space="preserve"> </w:t>
      </w:r>
      <w:r w:rsidRPr="00C5603F">
        <w:t>las tarifas</w:t>
      </w:r>
      <w:r w:rsidR="00F34DF7">
        <w:t xml:space="preserve"> adecuadas</w:t>
      </w:r>
      <w:r w:rsidRPr="00C5603F">
        <w:rPr>
          <w:rFonts w:asciiTheme="minorHAnsi" w:hAnsiTheme="minorHAnsi"/>
        </w:rPr>
        <w:t>;</w:t>
      </w:r>
    </w:p>
    <w:p w:rsidR="00813B8C" w:rsidRPr="00C5603F" w:rsidRDefault="00813B8C" w:rsidP="000F10D1">
      <w:r w:rsidRPr="00C5603F">
        <w:t>2</w:t>
      </w:r>
      <w:r w:rsidRPr="00C5603F">
        <w:tab/>
        <w:t xml:space="preserve">que se deben asignar los </w:t>
      </w:r>
      <w:r w:rsidR="00990695">
        <w:t>conocimientos técnicos</w:t>
      </w:r>
      <w:r w:rsidR="00990695" w:rsidRPr="00C5603F">
        <w:t xml:space="preserve"> </w:t>
      </w:r>
      <w:r w:rsidRPr="00C5603F">
        <w:t>necesarios para llevar a la práctica la presente Resolución, con sujeción a los recursos disponibles</w:t>
      </w:r>
      <w:r w:rsidR="006C509D">
        <w:t xml:space="preserve"> dentro y fuera</w:t>
      </w:r>
      <w:r w:rsidRPr="00C5603F">
        <w:t xml:space="preserve"> de la Unión;</w:t>
      </w:r>
    </w:p>
    <w:p w:rsidR="00813B8C" w:rsidRPr="00C5603F" w:rsidRDefault="00813B8C" w:rsidP="000F10D1">
      <w:r w:rsidRPr="00C5603F">
        <w:t>3</w:t>
      </w:r>
      <w:r w:rsidRPr="00C5603F">
        <w:tab/>
        <w:t xml:space="preserve">que se fomenten y consoliden los recursos humanos y las capacidades mediante la organización de programas de capacitación dentro y fuera del territorio de Iraq según corresponda, </w:t>
      </w:r>
      <w:r w:rsidR="006C509D">
        <w:t>para que los</w:t>
      </w:r>
      <w:r w:rsidRPr="00C5603F">
        <w:t xml:space="preserve"> expertos </w:t>
      </w:r>
      <w:r w:rsidR="006C509D">
        <w:t>puedan</w:t>
      </w:r>
      <w:r w:rsidR="006C509D" w:rsidRPr="00C5603F">
        <w:t xml:space="preserve"> </w:t>
      </w:r>
      <w:r w:rsidRPr="00C5603F">
        <w:t xml:space="preserve">suplir las carencias de conocimientos especializados en </w:t>
      </w:r>
      <w:r w:rsidR="006C509D">
        <w:t>los</w:t>
      </w:r>
      <w:r w:rsidR="006C509D" w:rsidRPr="00C5603F">
        <w:t xml:space="preserve"> </w:t>
      </w:r>
      <w:r w:rsidRPr="00C5603F">
        <w:t>ámbitos</w:t>
      </w:r>
      <w:r w:rsidR="006C509D">
        <w:t xml:space="preserve"> fundamentales</w:t>
      </w:r>
      <w:r w:rsidRPr="00C5603F">
        <w:t xml:space="preserve">, </w:t>
      </w:r>
      <w:r w:rsidR="006C509D">
        <w:t>proporcionando a la Administración de Iraq los</w:t>
      </w:r>
      <w:r w:rsidRPr="00C5603F">
        <w:t xml:space="preserve"> especialistas </w:t>
      </w:r>
      <w:r w:rsidR="006C509D">
        <w:t xml:space="preserve">técnicos </w:t>
      </w:r>
      <w:r w:rsidRPr="00C5603F">
        <w:t xml:space="preserve">que solicite y </w:t>
      </w:r>
      <w:r w:rsidR="006C509D">
        <w:t xml:space="preserve">ofreciendo </w:t>
      </w:r>
      <w:r w:rsidRPr="00C5603F">
        <w:t xml:space="preserve">otras formas de asistencia, </w:t>
      </w:r>
    </w:p>
    <w:p w:rsidR="00813B8C" w:rsidRPr="00C5603F" w:rsidRDefault="006C509D" w:rsidP="000F10D1">
      <w:pPr>
        <w:pStyle w:val="Call"/>
      </w:pPr>
      <w:r>
        <w:t>invita</w:t>
      </w:r>
      <w:r w:rsidRPr="00C5603F">
        <w:t xml:space="preserve"> </w:t>
      </w:r>
      <w:r w:rsidR="00813B8C" w:rsidRPr="00C5603F">
        <w:t xml:space="preserve">a los Estados Miembros </w:t>
      </w:r>
    </w:p>
    <w:p w:rsidR="00813B8C" w:rsidRDefault="006C509D" w:rsidP="000F10D1">
      <w:r>
        <w:t>a facilitar</w:t>
      </w:r>
      <w:r w:rsidR="00813B8C" w:rsidRPr="00C5603F">
        <w:t xml:space="preserve"> toda la ayuda y el apoyo </w:t>
      </w:r>
      <w:r>
        <w:t>técnico</w:t>
      </w:r>
      <w:r w:rsidR="000F10D1">
        <w:t>s</w:t>
      </w:r>
      <w:r>
        <w:t xml:space="preserve"> </w:t>
      </w:r>
      <w:r w:rsidR="00813B8C" w:rsidRPr="00C5603F">
        <w:t xml:space="preserve">posibles </w:t>
      </w:r>
      <w:r>
        <w:t>a la Administración</w:t>
      </w:r>
      <w:r w:rsidR="00813B8C" w:rsidRPr="00C5603F">
        <w:t xml:space="preserve"> de Iraq</w:t>
      </w:r>
      <w:r>
        <w:t xml:space="preserve"> para:</w:t>
      </w:r>
    </w:p>
    <w:p w:rsidR="00813B8C" w:rsidRDefault="00813B8C" w:rsidP="000F10D1">
      <w:r>
        <w:t>1</w:t>
      </w:r>
      <w:r>
        <w:tab/>
      </w:r>
      <w:r w:rsidR="006C509D">
        <w:t xml:space="preserve">rehabilitar su sector de </w:t>
      </w:r>
      <w:r w:rsidR="000F10D1">
        <w:t xml:space="preserve">las </w:t>
      </w:r>
      <w:r w:rsidR="006C509D">
        <w:t>telecomunicaciones;</w:t>
      </w:r>
    </w:p>
    <w:p w:rsidR="00813B8C" w:rsidRDefault="00813B8C" w:rsidP="000F10D1">
      <w:r>
        <w:t>2</w:t>
      </w:r>
      <w:r>
        <w:tab/>
      </w:r>
      <w:r w:rsidR="000F10D1">
        <w:t>velar por el uso</w:t>
      </w:r>
      <w:r w:rsidR="006C509D">
        <w:t xml:space="preserve"> lícit</w:t>
      </w:r>
      <w:r w:rsidR="000F10D1">
        <w:t>o</w:t>
      </w:r>
      <w:r w:rsidR="006C509D">
        <w:t xml:space="preserve"> de las tecnologías de la información y la comunicación en la situación actual;</w:t>
      </w:r>
    </w:p>
    <w:p w:rsidR="00813B8C" w:rsidRDefault="00813B8C" w:rsidP="000F10D1">
      <w:r>
        <w:t>3</w:t>
      </w:r>
      <w:r>
        <w:tab/>
      </w:r>
      <w:r w:rsidR="000E19A0">
        <w:t xml:space="preserve">lograr </w:t>
      </w:r>
      <w:r w:rsidR="000F10D1">
        <w:t>que</w:t>
      </w:r>
      <w:r w:rsidR="000E19A0">
        <w:t xml:space="preserve"> las TIC </w:t>
      </w:r>
      <w:r w:rsidR="000F10D1">
        <w:t xml:space="preserve">se utilicen </w:t>
      </w:r>
      <w:r w:rsidR="000E19A0">
        <w:t>de la manera más eficaz</w:t>
      </w:r>
      <w:r w:rsidR="000F10D1">
        <w:t xml:space="preserve"> posible</w:t>
      </w:r>
      <w:r w:rsidR="000E19A0">
        <w:t xml:space="preserve"> </w:t>
      </w:r>
      <w:r w:rsidR="000F10D1">
        <w:t>e</w:t>
      </w:r>
      <w:r w:rsidR="0048694C">
        <w:t>n</w:t>
      </w:r>
      <w:r w:rsidR="000F10D1">
        <w:t xml:space="preserve"> pro de</w:t>
      </w:r>
      <w:r w:rsidR="000E19A0">
        <w:t xml:space="preserve"> los beneficios sociales y económicos,</w:t>
      </w:r>
    </w:p>
    <w:p w:rsidR="00813B8C" w:rsidRPr="00D54566" w:rsidRDefault="000E19A0" w:rsidP="00D54566">
      <w:pPr>
        <w:pStyle w:val="Call"/>
      </w:pPr>
      <w:r w:rsidRPr="00D54566">
        <w:t>encarga al Secretario General</w:t>
      </w:r>
    </w:p>
    <w:p w:rsidR="00813B8C" w:rsidRPr="00C5603F" w:rsidRDefault="000F10D1" w:rsidP="000F10D1">
      <w:r>
        <w:t>1</w:t>
      </w:r>
      <w:r>
        <w:tab/>
      </w:r>
      <w:r w:rsidR="00813B8C" w:rsidRPr="00C5603F">
        <w:t xml:space="preserve">que </w:t>
      </w:r>
      <w:r>
        <w:t>proporcione</w:t>
      </w:r>
      <w:r w:rsidR="005D3D17" w:rsidRPr="00C5603F">
        <w:t xml:space="preserve"> </w:t>
      </w:r>
      <w:r w:rsidR="00813B8C" w:rsidRPr="00C5603F">
        <w:t xml:space="preserve">los </w:t>
      </w:r>
      <w:r w:rsidR="005D3D17">
        <w:t>recursos técnicos</w:t>
      </w:r>
      <w:r w:rsidR="005D3D17" w:rsidRPr="00C5603F">
        <w:t xml:space="preserve"> </w:t>
      </w:r>
      <w:r w:rsidR="00813B8C" w:rsidRPr="00C5603F">
        <w:t>necesarios</w:t>
      </w:r>
      <w:r w:rsidR="005D3D17">
        <w:t xml:space="preserve"> para llevar a cabo dichas medidas</w:t>
      </w:r>
      <w:r w:rsidR="00813B8C" w:rsidRPr="00C5603F">
        <w:t>, en función de los plazos y el plan de acción acordados</w:t>
      </w:r>
      <w:r w:rsidR="005D3D17">
        <w:t xml:space="preserve"> con la Administración de Iraq</w:t>
      </w:r>
      <w:r>
        <w:t>;</w:t>
      </w:r>
    </w:p>
    <w:p w:rsidR="00813B8C" w:rsidRDefault="005D3D17" w:rsidP="000F10D1">
      <w:r>
        <w:t>2</w:t>
      </w:r>
      <w:r>
        <w:tab/>
        <w:t>que</w:t>
      </w:r>
      <w:r w:rsidR="00813B8C" w:rsidRPr="00C5603F">
        <w:t xml:space="preserve"> inform</w:t>
      </w:r>
      <w:r>
        <w:t>e</w:t>
      </w:r>
      <w:r w:rsidR="00813B8C" w:rsidRPr="00C5603F">
        <w:t xml:space="preserve"> periódicamente al Consejo sobre el asunto.</w:t>
      </w:r>
    </w:p>
    <w:p w:rsidR="000F10D1" w:rsidRDefault="000F10D1" w:rsidP="000F10D1">
      <w:pPr>
        <w:pStyle w:val="Reasons"/>
      </w:pPr>
    </w:p>
    <w:p w:rsidR="000F10D1" w:rsidRDefault="000F10D1">
      <w:pPr>
        <w:jc w:val="center"/>
      </w:pPr>
      <w:r>
        <w:t>______________</w:t>
      </w:r>
    </w:p>
    <w:p w:rsidR="00813B8C" w:rsidRPr="00C5603F" w:rsidRDefault="00813B8C" w:rsidP="00813B8C">
      <w:pPr>
        <w:pStyle w:val="Reasons"/>
      </w:pPr>
    </w:p>
    <w:sectPr w:rsidR="00813B8C" w:rsidRPr="00C5603F" w:rsidSect="00A70E95">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63C" w:rsidRDefault="00B0763C">
      <w:r>
        <w:separator/>
      </w:r>
    </w:p>
  </w:endnote>
  <w:endnote w:type="continuationSeparator" w:id="0">
    <w:p w:rsidR="00B0763C" w:rsidRDefault="00B0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410" w:rsidRPr="00207389" w:rsidRDefault="00B0763C">
    <w:pPr>
      <w:pStyle w:val="Footer"/>
      <w:rPr>
        <w:lang w:val="en-US"/>
      </w:rPr>
    </w:pPr>
    <w:r>
      <w:fldChar w:fldCharType="begin"/>
    </w:r>
    <w:r w:rsidRPr="00207389">
      <w:rPr>
        <w:lang w:val="en-US"/>
      </w:rPr>
      <w:instrText xml:space="preserve"> FILENAME \p  \* MERGEFORMAT </w:instrText>
    </w:r>
    <w:r>
      <w:fldChar w:fldCharType="separate"/>
    </w:r>
    <w:r w:rsidR="006F4887">
      <w:rPr>
        <w:lang w:val="en-US"/>
      </w:rPr>
      <w:t>P:\ESP\SG\CONF-SG\PP14\000\079ADD01COR1S.docx</w:t>
    </w:r>
    <w:r>
      <w:fldChar w:fldCharType="end"/>
    </w:r>
    <w:r w:rsidR="00C73410" w:rsidRPr="00207389">
      <w:rPr>
        <w:lang w:val="en-US"/>
      </w:rPr>
      <w:t xml:space="preserve"> (372041)</w:t>
    </w:r>
    <w:r w:rsidR="00C73410" w:rsidRPr="00207389">
      <w:rPr>
        <w:lang w:val="en-US"/>
      </w:rPr>
      <w:tab/>
    </w:r>
    <w:r w:rsidR="00C73410">
      <w:fldChar w:fldCharType="begin"/>
    </w:r>
    <w:r w:rsidR="00C73410">
      <w:instrText xml:space="preserve"> SAVEDATE \@ DD.MM.YY </w:instrText>
    </w:r>
    <w:r w:rsidR="00C73410">
      <w:fldChar w:fldCharType="separate"/>
    </w:r>
    <w:r w:rsidR="006F4887">
      <w:t>03.11.14</w:t>
    </w:r>
    <w:r w:rsidR="00C73410">
      <w:fldChar w:fldCharType="end"/>
    </w:r>
    <w:r w:rsidR="00C73410" w:rsidRPr="00207389">
      <w:rPr>
        <w:lang w:val="en-US"/>
      </w:rPr>
      <w:tab/>
    </w:r>
    <w:r w:rsidR="00C73410">
      <w:fldChar w:fldCharType="begin"/>
    </w:r>
    <w:r w:rsidR="00C73410">
      <w:instrText xml:space="preserve"> PRINTDATE \@ DD.MM.YY </w:instrText>
    </w:r>
    <w:r w:rsidR="00C73410">
      <w:fldChar w:fldCharType="separate"/>
    </w:r>
    <w:r w:rsidR="006F4887">
      <w:t>00.00.00</w:t>
    </w:r>
    <w:r w:rsidR="00C7341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63C" w:rsidRDefault="00B0763C">
      <w:r>
        <w:t>____________________</w:t>
      </w:r>
    </w:p>
  </w:footnote>
  <w:footnote w:type="continuationSeparator" w:id="0">
    <w:p w:rsidR="00B0763C" w:rsidRDefault="00B07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C97F9F">
      <w:rPr>
        <w:noProof/>
      </w:rPr>
      <w:t>3</w:t>
    </w:r>
    <w:r>
      <w:fldChar w:fldCharType="end"/>
    </w:r>
  </w:p>
  <w:p w:rsidR="00255FA1" w:rsidRDefault="00255FA1" w:rsidP="00255FA1">
    <w:pPr>
      <w:pStyle w:val="Header"/>
    </w:pPr>
    <w:r>
      <w:rPr>
        <w:lang w:val="en-US"/>
      </w:rPr>
      <w:t>PP14</w:t>
    </w:r>
    <w:r>
      <w:t>/79(Add.1)(Cor.1)-</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863AB"/>
    <w:rsid w:val="000A0F98"/>
    <w:rsid w:val="000A1523"/>
    <w:rsid w:val="000B1752"/>
    <w:rsid w:val="000E19A0"/>
    <w:rsid w:val="000F10D1"/>
    <w:rsid w:val="0010546D"/>
    <w:rsid w:val="001632E3"/>
    <w:rsid w:val="001D4983"/>
    <w:rsid w:val="001D6EC3"/>
    <w:rsid w:val="001D787B"/>
    <w:rsid w:val="001E3D06"/>
    <w:rsid w:val="00207389"/>
    <w:rsid w:val="00225F6B"/>
    <w:rsid w:val="00237C17"/>
    <w:rsid w:val="00242376"/>
    <w:rsid w:val="00255FA1"/>
    <w:rsid w:val="00262FF4"/>
    <w:rsid w:val="002C6527"/>
    <w:rsid w:val="002E44FC"/>
    <w:rsid w:val="00327EC3"/>
    <w:rsid w:val="003707E5"/>
    <w:rsid w:val="00391611"/>
    <w:rsid w:val="003D0027"/>
    <w:rsid w:val="003E6E73"/>
    <w:rsid w:val="00484B72"/>
    <w:rsid w:val="0048694C"/>
    <w:rsid w:val="00491A25"/>
    <w:rsid w:val="004A346E"/>
    <w:rsid w:val="004A63A9"/>
    <w:rsid w:val="004B07DB"/>
    <w:rsid w:val="004B09D4"/>
    <w:rsid w:val="004B0BCB"/>
    <w:rsid w:val="004C39C6"/>
    <w:rsid w:val="004D23BA"/>
    <w:rsid w:val="004D32BF"/>
    <w:rsid w:val="004E069C"/>
    <w:rsid w:val="004E08E0"/>
    <w:rsid w:val="004E28FB"/>
    <w:rsid w:val="004F4BB1"/>
    <w:rsid w:val="00504FD4"/>
    <w:rsid w:val="00507662"/>
    <w:rsid w:val="00523448"/>
    <w:rsid w:val="00523E3A"/>
    <w:rsid w:val="005359B6"/>
    <w:rsid w:val="005470E8"/>
    <w:rsid w:val="00550FCF"/>
    <w:rsid w:val="00556958"/>
    <w:rsid w:val="00567ED5"/>
    <w:rsid w:val="005D1164"/>
    <w:rsid w:val="005D3D17"/>
    <w:rsid w:val="005D6488"/>
    <w:rsid w:val="005F6278"/>
    <w:rsid w:val="00601280"/>
    <w:rsid w:val="00641DBD"/>
    <w:rsid w:val="006455D2"/>
    <w:rsid w:val="006537F3"/>
    <w:rsid w:val="006B5512"/>
    <w:rsid w:val="006C190D"/>
    <w:rsid w:val="006C509D"/>
    <w:rsid w:val="006D6DD3"/>
    <w:rsid w:val="006F4887"/>
    <w:rsid w:val="00720686"/>
    <w:rsid w:val="00737EFF"/>
    <w:rsid w:val="00750806"/>
    <w:rsid w:val="007F6EBC"/>
    <w:rsid w:val="00810438"/>
    <w:rsid w:val="00813B8C"/>
    <w:rsid w:val="00882773"/>
    <w:rsid w:val="008B4706"/>
    <w:rsid w:val="008B6676"/>
    <w:rsid w:val="008E51C5"/>
    <w:rsid w:val="008F7109"/>
    <w:rsid w:val="009107B0"/>
    <w:rsid w:val="009220DE"/>
    <w:rsid w:val="00930E84"/>
    <w:rsid w:val="00990695"/>
    <w:rsid w:val="0099270D"/>
    <w:rsid w:val="0099551E"/>
    <w:rsid w:val="009A1A86"/>
    <w:rsid w:val="009A73A7"/>
    <w:rsid w:val="009E0C42"/>
    <w:rsid w:val="00A70E95"/>
    <w:rsid w:val="00AA1F73"/>
    <w:rsid w:val="00AB34CA"/>
    <w:rsid w:val="00AD400E"/>
    <w:rsid w:val="00AF0DC5"/>
    <w:rsid w:val="00B0763C"/>
    <w:rsid w:val="00B501AB"/>
    <w:rsid w:val="00B73978"/>
    <w:rsid w:val="00B77C4D"/>
    <w:rsid w:val="00BB13FE"/>
    <w:rsid w:val="00BC7EE2"/>
    <w:rsid w:val="00BE10B9"/>
    <w:rsid w:val="00BF5475"/>
    <w:rsid w:val="00C42D2D"/>
    <w:rsid w:val="00C61A48"/>
    <w:rsid w:val="00C73410"/>
    <w:rsid w:val="00C80F8F"/>
    <w:rsid w:val="00C84355"/>
    <w:rsid w:val="00C97F9F"/>
    <w:rsid w:val="00CA3051"/>
    <w:rsid w:val="00CD20D9"/>
    <w:rsid w:val="00CD701A"/>
    <w:rsid w:val="00D05AAE"/>
    <w:rsid w:val="00D05E6B"/>
    <w:rsid w:val="00D254A6"/>
    <w:rsid w:val="00D42B55"/>
    <w:rsid w:val="00D53C70"/>
    <w:rsid w:val="00D54566"/>
    <w:rsid w:val="00D57D70"/>
    <w:rsid w:val="00E05D81"/>
    <w:rsid w:val="00E53DFC"/>
    <w:rsid w:val="00E66FC3"/>
    <w:rsid w:val="00E677DD"/>
    <w:rsid w:val="00E77F17"/>
    <w:rsid w:val="00E921EC"/>
    <w:rsid w:val="00EB23D0"/>
    <w:rsid w:val="00EC395A"/>
    <w:rsid w:val="00F01632"/>
    <w:rsid w:val="00F04858"/>
    <w:rsid w:val="00F34DF7"/>
    <w:rsid w:val="00F3510D"/>
    <w:rsid w:val="00F43D44"/>
    <w:rsid w:val="00F80E6E"/>
    <w:rsid w:val="00F94581"/>
    <w:rsid w:val="00FB1162"/>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link w:val="RestitleChar"/>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RestitleChar">
    <w:name w:val="Res_title Char"/>
    <w:basedOn w:val="DefaultParagraphFont"/>
    <w:link w:val="Restitle"/>
    <w:uiPriority w:val="99"/>
    <w:rsid w:val="00F94581"/>
    <w:rPr>
      <w:rFonts w:ascii="Calibri" w:hAnsi="Calibri"/>
      <w:b/>
      <w:sz w:val="28"/>
      <w:lang w:val="es-ES_tradnl" w:eastAsia="en-US"/>
    </w:rPr>
  </w:style>
  <w:style w:type="character" w:customStyle="1" w:styleId="CallChar">
    <w:name w:val="Call Char"/>
    <w:basedOn w:val="DefaultParagraphFont"/>
    <w:link w:val="Call"/>
    <w:locked/>
    <w:rsid w:val="00813B8C"/>
    <w:rPr>
      <w:rFonts w:ascii="Calibri" w:hAnsi="Calibri"/>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5aafb38-c605-49a8-b99a-258c83827b3a">Documents Proposals Manager (DPM)</DPM_x0020_Author>
    <DPM_x0020_File_x0020_name xmlns="f5aafb38-c605-49a8-b99a-258c83827b3a">S14-PP-C-0079!A1-C1!MSW-S</DPM_x0020_File_x0020_name>
    <DPM_x0020_Version xmlns="f5aafb38-c605-49a8-b99a-258c83827b3a">DPM_v5.7.1.46_prod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5aafb38-c605-49a8-b99a-258c83827b3a" targetNamespace="http://schemas.microsoft.com/office/2006/metadata/properties" ma:root="true" ma:fieldsID="d41af5c836d734370eb92e7ee5f83852" ns2:_="" ns3:_="">
    <xsd:import namespace="996b2e75-67fd-4955-a3b0-5ab9934cb50b"/>
    <xsd:import namespace="f5aafb38-c605-49a8-b99a-258c83827b3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5aafb38-c605-49a8-b99a-258c83827b3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f5aafb38-c605-49a8-b99a-258c83827b3a"/>
    <ds:schemaRef ds:uri="http://schemas.microsoft.com/office/2006/documentManagement/types"/>
    <ds:schemaRef ds:uri="http://www.w3.org/XML/1998/namespace"/>
    <ds:schemaRef ds:uri="http://purl.org/dc/elements/1.1/"/>
    <ds:schemaRef ds:uri="996b2e75-67fd-4955-a3b0-5ab9934cb50b"/>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5aafb38-c605-49a8-b99a-258c83827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767B5-3C23-4C3E-A25A-F9CAC9BC8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S14-PP-C-0079!A1-C1!MSW-S</vt:lpstr>
    </vt:vector>
  </TitlesOfParts>
  <Manager/>
  <Company/>
  <LinksUpToDate>false</LinksUpToDate>
  <CharactersWithSpaces>5884</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S14-PP-C-0079!A1-C1!MSW-S</dc:title>
  <dc:subject>Plenipotentiary Conference (PP-14)</dc:subject>
  <dc:creator/>
  <cp:keywords>DPM_v5.7.1.46_prod</cp:keywords>
  <dc:description/>
  <cp:lastModifiedBy/>
  <cp:revision>1</cp:revision>
  <dcterms:created xsi:type="dcterms:W3CDTF">2014-11-03T00:52:00Z</dcterms:created>
  <dcterms:modified xsi:type="dcterms:W3CDTF">2014-11-03T00:55:00Z</dcterms:modified>
  <cp:category>Conference document</cp:category>
</cp:coreProperties>
</file>