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453C47">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w:t>
            </w:r>
            <w:r w:rsidR="006B6D52">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453C47">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453C47">
        <w:trPr>
          <w:cantSplit/>
        </w:trPr>
        <w:tc>
          <w:tcPr>
            <w:tcW w:w="6911" w:type="dxa"/>
            <w:tcBorders>
              <w:bottom w:val="single" w:sz="12" w:space="0" w:color="auto"/>
            </w:tcBorders>
          </w:tcPr>
          <w:p w:rsidR="00255FA1" w:rsidRPr="004C22ED" w:rsidRDefault="00255FA1" w:rsidP="00453C47">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453C47">
            <w:pPr>
              <w:spacing w:before="0" w:line="240" w:lineRule="atLeast"/>
              <w:rPr>
                <w:rFonts w:cstheme="minorHAnsi"/>
                <w:szCs w:val="24"/>
                <w:lang w:val="en-US"/>
              </w:rPr>
            </w:pPr>
          </w:p>
        </w:tc>
      </w:tr>
      <w:tr w:rsidR="00255FA1" w:rsidRPr="0002785D" w:rsidTr="00453C47">
        <w:trPr>
          <w:cantSplit/>
        </w:trPr>
        <w:tc>
          <w:tcPr>
            <w:tcW w:w="6911" w:type="dxa"/>
            <w:tcBorders>
              <w:top w:val="single" w:sz="12" w:space="0" w:color="auto"/>
            </w:tcBorders>
          </w:tcPr>
          <w:p w:rsidR="00255FA1" w:rsidRPr="004C22ED" w:rsidRDefault="00255FA1" w:rsidP="00453C47">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453C47">
            <w:pPr>
              <w:spacing w:before="0" w:line="240" w:lineRule="atLeast"/>
              <w:rPr>
                <w:rFonts w:cstheme="minorHAnsi"/>
                <w:szCs w:val="24"/>
                <w:lang w:val="en-US"/>
              </w:rPr>
            </w:pPr>
          </w:p>
        </w:tc>
      </w:tr>
      <w:bookmarkEnd w:id="3"/>
      <w:tr w:rsidR="00605474" w:rsidRPr="0002785D" w:rsidTr="00453C47">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9757D0">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w:t>
            </w:r>
            <w:r w:rsidR="009757D0">
              <w:rPr>
                <w:rFonts w:cstheme="minorHAnsi"/>
                <w:b/>
                <w:szCs w:val="24"/>
                <w:lang w:val="en-US"/>
              </w:rPr>
              <w:t>80</w:t>
            </w:r>
            <w:r>
              <w:rPr>
                <w:rFonts w:cstheme="minorHAnsi"/>
                <w:b/>
                <w:szCs w:val="24"/>
                <w:lang w:val="en-US"/>
              </w:rPr>
              <w:t>-S</w:t>
            </w:r>
          </w:p>
        </w:tc>
      </w:tr>
      <w:tr w:rsidR="00605474" w:rsidRPr="0002785D" w:rsidTr="00453C47">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9757D0" w:rsidP="009757D0">
            <w:pPr>
              <w:spacing w:before="0" w:line="240" w:lineRule="atLeast"/>
              <w:rPr>
                <w:rFonts w:cstheme="minorHAnsi"/>
                <w:b/>
                <w:szCs w:val="24"/>
                <w:lang w:val="en-US"/>
              </w:rPr>
            </w:pPr>
            <w:r>
              <w:rPr>
                <w:rFonts w:cstheme="minorHAnsi"/>
                <w:b/>
                <w:szCs w:val="24"/>
                <w:lang w:val="en-US"/>
              </w:rPr>
              <w:t xml:space="preserve">6 de </w:t>
            </w:r>
            <w:proofErr w:type="spellStart"/>
            <w:r>
              <w:rPr>
                <w:rFonts w:cstheme="minorHAnsi"/>
                <w:b/>
                <w:szCs w:val="24"/>
                <w:lang w:val="en-US"/>
              </w:rPr>
              <w:t>octubre</w:t>
            </w:r>
            <w:proofErr w:type="spellEnd"/>
            <w:r>
              <w:rPr>
                <w:rFonts w:cstheme="minorHAnsi"/>
                <w:b/>
                <w:szCs w:val="24"/>
                <w:lang w:val="en-US"/>
              </w:rPr>
              <w:t xml:space="preserv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453C47">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453C47">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453C47">
        <w:trPr>
          <w:cantSplit/>
        </w:trPr>
        <w:tc>
          <w:tcPr>
            <w:tcW w:w="10031" w:type="dxa"/>
            <w:gridSpan w:val="2"/>
          </w:tcPr>
          <w:p w:rsidR="00605474" w:rsidRPr="009757D0" w:rsidRDefault="009757D0" w:rsidP="00605474">
            <w:pPr>
              <w:pStyle w:val="Source"/>
            </w:pPr>
            <w:bookmarkStart w:id="4" w:name="dsource" w:colFirst="0" w:colLast="0"/>
            <w:r w:rsidRPr="004B3E89">
              <w:t xml:space="preserve">Estados Miembros de la Conferencia Europea de Administraciones </w:t>
            </w:r>
            <w:r>
              <w:br/>
            </w:r>
            <w:r w:rsidRPr="004B3E89">
              <w:t>de Cor</w:t>
            </w:r>
            <w:r>
              <w:t>r</w:t>
            </w:r>
            <w:r w:rsidRPr="004B3E89">
              <w:t>eos y Telecomunicaciones (CEPT)</w:t>
            </w:r>
          </w:p>
        </w:tc>
      </w:tr>
      <w:tr w:rsidR="00605474" w:rsidRPr="0002785D" w:rsidTr="00453C47">
        <w:trPr>
          <w:cantSplit/>
        </w:trPr>
        <w:tc>
          <w:tcPr>
            <w:tcW w:w="10031" w:type="dxa"/>
            <w:gridSpan w:val="2"/>
          </w:tcPr>
          <w:p w:rsidR="00605474" w:rsidRPr="009757D0" w:rsidRDefault="009757D0" w:rsidP="00605474">
            <w:pPr>
              <w:pStyle w:val="Title1"/>
            </w:pPr>
            <w:bookmarkStart w:id="5" w:name="dtitle1" w:colFirst="0" w:colLast="0"/>
            <w:bookmarkEnd w:id="4"/>
            <w:r>
              <w:t>PROPUESTAS COMUNES EUROPEAS PARA LOS TRABAJOS DE LA CONFERENCIA</w:t>
            </w:r>
          </w:p>
        </w:tc>
      </w:tr>
      <w:tr w:rsidR="00605474" w:rsidRPr="0002785D" w:rsidTr="00453C47">
        <w:trPr>
          <w:cantSplit/>
        </w:trPr>
        <w:tc>
          <w:tcPr>
            <w:tcW w:w="10031" w:type="dxa"/>
            <w:gridSpan w:val="2"/>
          </w:tcPr>
          <w:p w:rsidR="00605474" w:rsidRPr="009757D0" w:rsidRDefault="00605474" w:rsidP="00605474">
            <w:pPr>
              <w:pStyle w:val="Title2"/>
            </w:pPr>
            <w:bookmarkStart w:id="6" w:name="dtitle2" w:colFirst="0" w:colLast="0"/>
            <w:bookmarkEnd w:id="5"/>
          </w:p>
        </w:tc>
      </w:tr>
      <w:bookmarkEnd w:id="6"/>
    </w:tbl>
    <w:p w:rsidR="00255FA1" w:rsidRDefault="00255FA1" w:rsidP="004B07DB">
      <w:pPr>
        <w:rPr>
          <w:rStyle w:val="PageNumber"/>
        </w:rPr>
      </w:pPr>
    </w:p>
    <w:p w:rsidR="009757D0" w:rsidRDefault="009757D0" w:rsidP="00453C47">
      <w:pPr>
        <w:rPr>
          <w:rFonts w:cs="Calibri"/>
          <w:bCs/>
          <w:szCs w:val="24"/>
        </w:rPr>
      </w:pPr>
      <w:r w:rsidRPr="008C583F">
        <w:rPr>
          <w:rFonts w:cs="Calibri"/>
          <w:bCs/>
          <w:szCs w:val="24"/>
        </w:rPr>
        <w:t xml:space="preserve">La Conferencia Europea de Administraciones de Correos y Telecomunicaciones </w:t>
      </w:r>
      <w:r w:rsidRPr="004B3E89">
        <w:rPr>
          <w:rFonts w:cs="Calibri"/>
          <w:bCs/>
          <w:szCs w:val="24"/>
        </w:rPr>
        <w:t>(</w:t>
      </w:r>
      <w:hyperlink r:id="rId9" w:history="1">
        <w:r w:rsidRPr="004B3E89">
          <w:rPr>
            <w:rStyle w:val="Hyperlink"/>
            <w:rFonts w:cs="Calibri"/>
            <w:bCs/>
            <w:szCs w:val="24"/>
          </w:rPr>
          <w:t>CEPT</w:t>
        </w:r>
      </w:hyperlink>
      <w:r>
        <w:rPr>
          <w:rFonts w:cs="Calibri"/>
          <w:bCs/>
          <w:szCs w:val="24"/>
        </w:rPr>
        <w:t xml:space="preserve">) </w:t>
      </w:r>
      <w:r w:rsidRPr="00162EEC">
        <w:rPr>
          <w:bCs/>
          <w:lang w:val="es-ES"/>
        </w:rPr>
        <w:t>felicita a la Unión Internacional de Telecomunicaciones (UIT) y a las autoridades de</w:t>
      </w:r>
      <w:r>
        <w:rPr>
          <w:bCs/>
          <w:lang w:val="es-ES"/>
        </w:rPr>
        <w:t xml:space="preserve"> la República de Corea por organizar la Conferencia de Plenipotenciarios de la Unión Internacional de Telecomunicaciones de 2014</w:t>
      </w:r>
      <w:r w:rsidRPr="004B3E89">
        <w:rPr>
          <w:rFonts w:cs="Calibri"/>
          <w:bCs/>
          <w:szCs w:val="24"/>
        </w:rPr>
        <w:t xml:space="preserve"> (PP-14</w:t>
      </w:r>
      <w:r>
        <w:rPr>
          <w:rFonts w:cs="Calibri"/>
          <w:bCs/>
          <w:szCs w:val="24"/>
        </w:rPr>
        <w:t xml:space="preserve"> de la UIT</w:t>
      </w:r>
      <w:r w:rsidRPr="004B3E89">
        <w:rPr>
          <w:rFonts w:cs="Calibri"/>
          <w:bCs/>
          <w:szCs w:val="24"/>
        </w:rPr>
        <w:t xml:space="preserve">). </w:t>
      </w:r>
    </w:p>
    <w:p w:rsidR="009757D0" w:rsidRPr="004B3E89" w:rsidRDefault="009757D0" w:rsidP="00453C47">
      <w:r w:rsidRPr="00D94E41">
        <w:rPr>
          <w:rFonts w:asciiTheme="minorHAnsi" w:eastAsia="SimSun" w:hAnsiTheme="minorHAnsi"/>
          <w:szCs w:val="24"/>
          <w:lang w:val="es-ES"/>
        </w:rPr>
        <w:t>En esta contribución se presentan las Propuestas Comu</w:t>
      </w:r>
      <w:r>
        <w:rPr>
          <w:rFonts w:asciiTheme="minorHAnsi" w:eastAsia="SimSun" w:hAnsiTheme="minorHAnsi"/>
          <w:szCs w:val="24"/>
          <w:lang w:val="es-ES"/>
        </w:rPr>
        <w:t>nes Europeas (PCE) para la PP-14</w:t>
      </w:r>
      <w:r w:rsidRPr="00D94E41">
        <w:rPr>
          <w:rFonts w:asciiTheme="minorHAnsi" w:eastAsia="SimSun" w:hAnsiTheme="minorHAnsi"/>
          <w:szCs w:val="24"/>
          <w:lang w:val="es-ES"/>
        </w:rPr>
        <w:t>, elaboradas por la Comisión para la Política de la UIT (</w:t>
      </w:r>
      <w:proofErr w:type="spellStart"/>
      <w:r w:rsidRPr="00D94E41">
        <w:rPr>
          <w:rFonts w:asciiTheme="minorHAnsi" w:eastAsia="SimSun" w:hAnsiTheme="minorHAnsi"/>
          <w:szCs w:val="24"/>
          <w:lang w:val="es-ES"/>
        </w:rPr>
        <w:t>Com</w:t>
      </w:r>
      <w:proofErr w:type="spellEnd"/>
      <w:r w:rsidRPr="00D94E41">
        <w:rPr>
          <w:rFonts w:asciiTheme="minorHAnsi" w:eastAsia="SimSun" w:hAnsiTheme="minorHAnsi"/>
          <w:szCs w:val="24"/>
          <w:lang w:val="es-ES"/>
        </w:rPr>
        <w:t>-ITU) de la CEPT</w:t>
      </w:r>
      <w:r>
        <w:rPr>
          <w:rFonts w:asciiTheme="minorHAnsi" w:eastAsia="SimSun" w:hAnsiTheme="minorHAnsi"/>
          <w:szCs w:val="24"/>
          <w:lang w:val="es-ES"/>
        </w:rPr>
        <w:t>.</w:t>
      </w:r>
    </w:p>
    <w:p w:rsidR="009757D0" w:rsidRPr="004B3E89" w:rsidRDefault="009757D0" w:rsidP="00453C47">
      <w:pPr>
        <w:rPr>
          <w:rFonts w:cs="Calibri"/>
          <w:bCs/>
          <w:szCs w:val="24"/>
        </w:rPr>
      </w:pPr>
      <w:r>
        <w:rPr>
          <w:rFonts w:cs="Calibri"/>
          <w:bCs/>
          <w:szCs w:val="24"/>
        </w:rPr>
        <w:t>Las siguientes propuestas de la CEPT para la PP-14 reflejan las prioridades europeas para la UIT durante los cuatro próximos años. La CEPT confía en que la PP-14 sea un éxito y contribuya de manera positiva al desarrollo de las telecomunicaciones en todo el planeta.</w:t>
      </w:r>
    </w:p>
    <w:p w:rsidR="009757D0" w:rsidRPr="004B3E89" w:rsidRDefault="009757D0" w:rsidP="00002122">
      <w:r w:rsidRPr="00695590">
        <w:t xml:space="preserve">Las Administraciones europeas </w:t>
      </w:r>
      <w:r w:rsidR="00002122">
        <w:t>aprovechan</w:t>
      </w:r>
      <w:r w:rsidRPr="00695590">
        <w:t xml:space="preserve"> la oportunidad que ofrece la PP-1</w:t>
      </w:r>
      <w:r>
        <w:t>4</w:t>
      </w:r>
      <w:r w:rsidRPr="00695590">
        <w:t xml:space="preserve"> de debatir en profundidad con </w:t>
      </w:r>
      <w:r>
        <w:t>los otros</w:t>
      </w:r>
      <w:r w:rsidRPr="00695590">
        <w:t xml:space="preserve"> Miembros de la UIT las cuestiones </w:t>
      </w:r>
      <w:r>
        <w:t>que se van a abordar en</w:t>
      </w:r>
      <w:r w:rsidRPr="00695590">
        <w:t xml:space="preserve"> esta Conferencia. A tal efecto, se han designado coordinadores para cada punto del orden del día, que servirán de enlace con los demás participantes </w:t>
      </w:r>
      <w:r w:rsidR="00002122">
        <w:t xml:space="preserve">a fin de </w:t>
      </w:r>
      <w:r w:rsidRPr="00695590">
        <w:t>contribuir a los esfuerzos de la Conferencia para llegar a decisiones que puedan obtener el respaldo de todos los Miembros de la UIT.</w:t>
      </w:r>
    </w:p>
    <w:p w:rsidR="009757D0" w:rsidRDefault="009757D0" w:rsidP="00453C47">
      <w:r w:rsidRPr="00ED6308">
        <w:t xml:space="preserve">En el </w:t>
      </w:r>
      <w:r w:rsidRPr="00002122">
        <w:rPr>
          <w:b/>
          <w:bCs/>
        </w:rPr>
        <w:t>Anexo 1</w:t>
      </w:r>
      <w:r w:rsidRPr="00ED6308">
        <w:t xml:space="preserve"> pueden encontrarse la estructura de las Propuestas Comunes Europeas a la PP-1</w:t>
      </w:r>
      <w:r>
        <w:t>4</w:t>
      </w:r>
      <w:r w:rsidRPr="00ED6308">
        <w:t xml:space="preserve"> y la lista de coordinadores europeos para cada una de esas propuestas.</w:t>
      </w:r>
    </w:p>
    <w:p w:rsidR="009757D0" w:rsidRPr="00D94E41" w:rsidRDefault="009757D0" w:rsidP="00453C47">
      <w:pPr>
        <w:rPr>
          <w:rFonts w:asciiTheme="minorHAnsi" w:hAnsiTheme="minorHAnsi"/>
          <w:szCs w:val="24"/>
        </w:rPr>
      </w:pPr>
      <w:r w:rsidRPr="00D94E41">
        <w:rPr>
          <w:rFonts w:asciiTheme="minorHAnsi" w:hAnsiTheme="minorHAnsi"/>
          <w:szCs w:val="24"/>
        </w:rPr>
        <w:t xml:space="preserve">En el </w:t>
      </w:r>
      <w:r w:rsidRPr="00D94E41">
        <w:rPr>
          <w:rFonts w:asciiTheme="minorHAnsi" w:hAnsiTheme="minorHAnsi"/>
          <w:b/>
          <w:bCs/>
          <w:szCs w:val="24"/>
        </w:rPr>
        <w:t>Anexo 2</w:t>
      </w:r>
      <w:r w:rsidRPr="00D94E41">
        <w:rPr>
          <w:rFonts w:asciiTheme="minorHAnsi" w:hAnsiTheme="minorHAnsi"/>
          <w:szCs w:val="24"/>
        </w:rPr>
        <w:t xml:space="preserve"> se presenta la lista de </w:t>
      </w:r>
      <w:r>
        <w:rPr>
          <w:rFonts w:asciiTheme="minorHAnsi" w:hAnsiTheme="minorHAnsi"/>
          <w:szCs w:val="24"/>
        </w:rPr>
        <w:t>A</w:t>
      </w:r>
      <w:r w:rsidRPr="00D94E41">
        <w:rPr>
          <w:rFonts w:asciiTheme="minorHAnsi" w:hAnsiTheme="minorHAnsi"/>
          <w:szCs w:val="24"/>
        </w:rPr>
        <w:t>dministraciones europeas cosignatarias.</w:t>
      </w:r>
    </w:p>
    <w:p w:rsidR="009757D0" w:rsidRPr="004B3E89" w:rsidRDefault="009757D0" w:rsidP="00453C47">
      <w:pPr>
        <w:tabs>
          <w:tab w:val="clear" w:pos="567"/>
          <w:tab w:val="clear" w:pos="1134"/>
          <w:tab w:val="clear" w:pos="1701"/>
          <w:tab w:val="clear" w:pos="2268"/>
          <w:tab w:val="clear" w:pos="2835"/>
        </w:tabs>
        <w:overflowPunct/>
        <w:autoSpaceDE/>
        <w:autoSpaceDN/>
        <w:adjustRightInd/>
        <w:spacing w:before="0"/>
        <w:textAlignment w:val="auto"/>
      </w:pPr>
      <w:r w:rsidRPr="004B3E89">
        <w:br w:type="page"/>
      </w:r>
    </w:p>
    <w:p w:rsidR="009757D0" w:rsidRPr="004B3E89" w:rsidRDefault="009757D0" w:rsidP="00453C47">
      <w:pPr>
        <w:pStyle w:val="AnnexNo"/>
      </w:pPr>
      <w:r>
        <w:lastRenderedPageBreak/>
        <w:t>Ane</w:t>
      </w:r>
      <w:r w:rsidRPr="004B3E89">
        <w:t>x</w:t>
      </w:r>
      <w:r>
        <w:t>o</w:t>
      </w:r>
      <w:r w:rsidRPr="004B3E89">
        <w:t xml:space="preserve"> 1</w:t>
      </w:r>
    </w:p>
    <w:p w:rsidR="009757D0" w:rsidRPr="004B3E89" w:rsidRDefault="009757D0" w:rsidP="00453C47">
      <w:pPr>
        <w:pStyle w:val="Annextitle"/>
      </w:pPr>
      <w:r>
        <w:t xml:space="preserve">Coordinación de la </w:t>
      </w:r>
      <w:r w:rsidRPr="004B3E89">
        <w:t xml:space="preserve">CEPT </w:t>
      </w:r>
      <w:r>
        <w:t>para la</w:t>
      </w:r>
      <w:r w:rsidRPr="004B3E89">
        <w:t xml:space="preserve"> PP-14</w:t>
      </w:r>
    </w:p>
    <w:p w:rsidR="009757D0" w:rsidRPr="004B3E89" w:rsidRDefault="009757D0" w:rsidP="00453C47">
      <w:pPr>
        <w:overflowPunct/>
        <w:autoSpaceDE/>
        <w:autoSpaceDN/>
        <w:adjustRightInd/>
        <w:spacing w:before="0" w:after="120"/>
        <w:jc w:val="center"/>
        <w:textAlignment w:val="auto"/>
        <w:rPr>
          <w:bCs/>
          <w:sz w:val="32"/>
          <w:szCs w:val="32"/>
        </w:rPr>
      </w:pPr>
      <w:r>
        <w:rPr>
          <w:bCs/>
          <w:sz w:val="32"/>
          <w:szCs w:val="32"/>
        </w:rPr>
        <w:t xml:space="preserve">Coordinadores de la </w:t>
      </w:r>
      <w:r w:rsidRPr="004B3E89">
        <w:rPr>
          <w:bCs/>
          <w:sz w:val="32"/>
          <w:szCs w:val="32"/>
        </w:rPr>
        <w:t xml:space="preserve">CEPT </w:t>
      </w:r>
      <w:r>
        <w:rPr>
          <w:bCs/>
          <w:sz w:val="32"/>
          <w:szCs w:val="32"/>
        </w:rPr>
        <w:t>para los asuntos relativos a las PCE</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3402"/>
        <w:gridCol w:w="2693"/>
        <w:gridCol w:w="2977"/>
      </w:tblGrid>
      <w:tr w:rsidR="009757D0" w:rsidRPr="004B3E89" w:rsidTr="00453C47">
        <w:trPr>
          <w:tblHeader/>
        </w:trPr>
        <w:tc>
          <w:tcPr>
            <w:tcW w:w="1022" w:type="dxa"/>
            <w:shd w:val="clear" w:color="auto" w:fill="D9D9D9" w:themeFill="background1" w:themeFillShade="D9"/>
          </w:tcPr>
          <w:p w:rsidR="009757D0" w:rsidRPr="00453C47" w:rsidRDefault="009757D0" w:rsidP="00453C47">
            <w:pPr>
              <w:pStyle w:val="Tablehead0"/>
              <w:spacing w:before="80" w:after="80"/>
              <w:jc w:val="center"/>
              <w:rPr>
                <w:sz w:val="22"/>
                <w:szCs w:val="22"/>
              </w:rPr>
            </w:pPr>
            <w:r w:rsidRPr="00453C47">
              <w:rPr>
                <w:sz w:val="22"/>
                <w:szCs w:val="22"/>
              </w:rPr>
              <w:t>PCE N</w:t>
            </w:r>
            <w:r w:rsidR="00C30DF0">
              <w:rPr>
                <w:sz w:val="22"/>
                <w:szCs w:val="22"/>
              </w:rPr>
              <w:t>.</w:t>
            </w:r>
            <w:r w:rsidRPr="00453C47">
              <w:rPr>
                <w:sz w:val="22"/>
                <w:szCs w:val="22"/>
              </w:rPr>
              <w:t>º</w:t>
            </w:r>
          </w:p>
        </w:tc>
        <w:tc>
          <w:tcPr>
            <w:tcW w:w="3402" w:type="dxa"/>
            <w:shd w:val="clear" w:color="auto" w:fill="D9D9D9" w:themeFill="background1" w:themeFillShade="D9"/>
          </w:tcPr>
          <w:p w:rsidR="009757D0" w:rsidRPr="00453C47" w:rsidRDefault="009757D0" w:rsidP="00453C47">
            <w:pPr>
              <w:pStyle w:val="Tablehead0"/>
              <w:spacing w:before="80" w:after="80"/>
              <w:jc w:val="center"/>
              <w:rPr>
                <w:sz w:val="22"/>
                <w:szCs w:val="22"/>
              </w:rPr>
            </w:pPr>
            <w:proofErr w:type="spellStart"/>
            <w:r w:rsidRPr="00453C47">
              <w:rPr>
                <w:sz w:val="22"/>
                <w:szCs w:val="22"/>
              </w:rPr>
              <w:t>Tema</w:t>
            </w:r>
            <w:proofErr w:type="spellEnd"/>
          </w:p>
        </w:tc>
        <w:tc>
          <w:tcPr>
            <w:tcW w:w="2693" w:type="dxa"/>
            <w:shd w:val="clear" w:color="auto" w:fill="D9D9D9" w:themeFill="background1" w:themeFillShade="D9"/>
          </w:tcPr>
          <w:p w:rsidR="009757D0" w:rsidRPr="00453C47" w:rsidRDefault="009757D0" w:rsidP="00453C47">
            <w:pPr>
              <w:pStyle w:val="Tablehead0"/>
              <w:spacing w:before="80" w:after="80"/>
              <w:jc w:val="center"/>
              <w:rPr>
                <w:sz w:val="22"/>
                <w:szCs w:val="22"/>
              </w:rPr>
            </w:pPr>
            <w:proofErr w:type="spellStart"/>
            <w:r w:rsidRPr="00453C47">
              <w:rPr>
                <w:sz w:val="22"/>
                <w:szCs w:val="22"/>
              </w:rPr>
              <w:t>Coordinador</w:t>
            </w:r>
            <w:proofErr w:type="spellEnd"/>
            <w:r w:rsidRPr="00453C47">
              <w:rPr>
                <w:sz w:val="22"/>
                <w:szCs w:val="22"/>
              </w:rPr>
              <w:t xml:space="preserve"> de la CEPT</w:t>
            </w:r>
          </w:p>
        </w:tc>
        <w:tc>
          <w:tcPr>
            <w:tcW w:w="2977" w:type="dxa"/>
            <w:shd w:val="clear" w:color="auto" w:fill="D9D9D9" w:themeFill="background1" w:themeFillShade="D9"/>
          </w:tcPr>
          <w:p w:rsidR="009757D0" w:rsidRPr="00453C47" w:rsidRDefault="009757D0" w:rsidP="00453C47">
            <w:pPr>
              <w:pStyle w:val="Tablehead0"/>
              <w:spacing w:before="80" w:after="80"/>
              <w:jc w:val="center"/>
              <w:rPr>
                <w:sz w:val="22"/>
                <w:szCs w:val="22"/>
              </w:rPr>
            </w:pPr>
            <w:proofErr w:type="spellStart"/>
            <w:r w:rsidRPr="00453C47">
              <w:rPr>
                <w:sz w:val="22"/>
                <w:szCs w:val="22"/>
              </w:rPr>
              <w:t>Dirección</w:t>
            </w:r>
            <w:proofErr w:type="spellEnd"/>
            <w:r w:rsidRPr="00453C47">
              <w:rPr>
                <w:sz w:val="22"/>
                <w:szCs w:val="22"/>
              </w:rPr>
              <w:t xml:space="preserve"> de </w:t>
            </w:r>
            <w:proofErr w:type="spellStart"/>
            <w:r w:rsidRPr="00453C47">
              <w:rPr>
                <w:sz w:val="22"/>
                <w:szCs w:val="22"/>
              </w:rPr>
              <w:t>correo</w:t>
            </w:r>
            <w:proofErr w:type="spellEnd"/>
            <w:r w:rsidRPr="00453C47">
              <w:rPr>
                <w:sz w:val="22"/>
                <w:szCs w:val="22"/>
              </w:rPr>
              <w:t>-e</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lang w:eastAsia="sv-SE"/>
              </w:rPr>
            </w:pPr>
            <w:r w:rsidRPr="004B3E89">
              <w:rPr>
                <w:rFonts w:asciiTheme="minorHAnsi" w:hAnsiTheme="minorHAnsi"/>
                <w:sz w:val="20"/>
                <w:lang w:eastAsia="sv-SE"/>
              </w:rPr>
              <w:t>-</w:t>
            </w:r>
          </w:p>
        </w:tc>
        <w:tc>
          <w:tcPr>
            <w:tcW w:w="3402" w:type="dxa"/>
          </w:tcPr>
          <w:p w:rsidR="009757D0" w:rsidRPr="004B3E89" w:rsidRDefault="009757D0" w:rsidP="00C30DF0">
            <w:pPr>
              <w:pStyle w:val="Tabletext"/>
              <w:tabs>
                <w:tab w:val="left" w:pos="794"/>
                <w:tab w:val="left" w:pos="1191"/>
                <w:tab w:val="left" w:pos="1588"/>
                <w:tab w:val="left" w:pos="1985"/>
              </w:tabs>
              <w:spacing w:before="40" w:after="40"/>
              <w:rPr>
                <w:rFonts w:asciiTheme="minorHAnsi" w:hAnsiTheme="minorHAnsi"/>
                <w:sz w:val="20"/>
                <w:lang w:eastAsia="sv-SE"/>
              </w:rPr>
            </w:pPr>
            <w:r>
              <w:rPr>
                <w:rFonts w:asciiTheme="minorHAnsi" w:hAnsiTheme="minorHAnsi"/>
                <w:sz w:val="20"/>
              </w:rPr>
              <w:t>Coordinación general</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Marcin</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Krasuski</w:t>
            </w:r>
            <w:proofErr w:type="spellEnd"/>
            <w:r w:rsidR="009757D0" w:rsidRPr="004B3E89">
              <w:rPr>
                <w:rFonts w:asciiTheme="minorHAnsi" w:hAnsiTheme="minorHAnsi"/>
                <w:sz w:val="20"/>
              </w:rPr>
              <w:t xml:space="preserve"> (</w:t>
            </w:r>
            <w:r w:rsidR="009757D0">
              <w:rPr>
                <w:rFonts w:asciiTheme="minorHAnsi" w:hAnsiTheme="minorHAnsi"/>
                <w:sz w:val="20"/>
              </w:rPr>
              <w:t xml:space="preserve">Presidente de </w:t>
            </w:r>
            <w:proofErr w:type="spellStart"/>
            <w:r w:rsidR="009757D0" w:rsidRPr="004B3E89">
              <w:rPr>
                <w:rFonts w:asciiTheme="minorHAnsi" w:hAnsiTheme="minorHAnsi"/>
                <w:sz w:val="20"/>
              </w:rPr>
              <w:t>Com</w:t>
            </w:r>
            <w:proofErr w:type="spellEnd"/>
            <w:r w:rsidR="009757D0" w:rsidRPr="004B3E89">
              <w:rPr>
                <w:rFonts w:asciiTheme="minorHAnsi" w:hAnsiTheme="minorHAnsi"/>
                <w:sz w:val="20"/>
              </w:rPr>
              <w:t>-ITU)</w:t>
            </w:r>
          </w:p>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Wojciech</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Berezowski</w:t>
            </w:r>
            <w:proofErr w:type="spellEnd"/>
            <w:r w:rsidR="009757D0" w:rsidRPr="004B3E89">
              <w:rPr>
                <w:rFonts w:asciiTheme="minorHAnsi" w:hAnsiTheme="minorHAnsi"/>
                <w:sz w:val="20"/>
              </w:rPr>
              <w:t xml:space="preserve"> (POL, </w:t>
            </w:r>
            <w:r w:rsidR="009757D0">
              <w:rPr>
                <w:rFonts w:asciiTheme="minorHAnsi" w:hAnsiTheme="minorHAnsi"/>
                <w:sz w:val="20"/>
              </w:rPr>
              <w:t>apoyo como coordinador de la CEPT para la PP-14</w:t>
            </w:r>
            <w:r w:rsidR="009757D0" w:rsidRPr="004B3E89">
              <w:rPr>
                <w:rFonts w:asciiTheme="minorHAnsi" w:hAnsiTheme="minorHAnsi"/>
                <w:sz w:val="20"/>
              </w:rPr>
              <w:t>)</w:t>
            </w:r>
          </w:p>
        </w:tc>
        <w:tc>
          <w:tcPr>
            <w:tcW w:w="2977" w:type="dxa"/>
          </w:tcPr>
          <w:p w:rsidR="009757D0" w:rsidRPr="004B3E89" w:rsidRDefault="00B15609" w:rsidP="00C30DF0">
            <w:pPr>
              <w:pStyle w:val="Tabletext"/>
              <w:tabs>
                <w:tab w:val="left" w:pos="794"/>
                <w:tab w:val="left" w:pos="1191"/>
                <w:tab w:val="left" w:pos="1588"/>
                <w:tab w:val="left" w:pos="1985"/>
              </w:tabs>
              <w:spacing w:before="40" w:after="40"/>
              <w:rPr>
                <w:rFonts w:asciiTheme="minorHAnsi" w:hAnsiTheme="minorHAnsi"/>
                <w:sz w:val="20"/>
                <w:lang w:eastAsia="sv-SE"/>
              </w:rPr>
            </w:pPr>
            <w:hyperlink r:id="rId10" w:history="1">
              <w:r w:rsidR="009757D0" w:rsidRPr="004B3E89">
                <w:rPr>
                  <w:rStyle w:val="Hyperlink"/>
                  <w:rFonts w:asciiTheme="minorHAnsi" w:hAnsiTheme="minorHAnsi"/>
                  <w:sz w:val="20"/>
                  <w:lang w:eastAsia="sv-SE"/>
                </w:rPr>
                <w:t>marcin.krasuski@mac.gov.pl</w:t>
              </w:r>
            </w:hyperlink>
          </w:p>
          <w:p w:rsidR="009757D0" w:rsidRPr="004B3E89" w:rsidRDefault="009757D0" w:rsidP="00C30DF0">
            <w:pPr>
              <w:pStyle w:val="Tabletext"/>
              <w:tabs>
                <w:tab w:val="left" w:pos="794"/>
                <w:tab w:val="left" w:pos="1191"/>
                <w:tab w:val="left" w:pos="1588"/>
                <w:tab w:val="left" w:pos="1985"/>
              </w:tabs>
              <w:spacing w:before="40" w:after="40"/>
              <w:rPr>
                <w:rFonts w:asciiTheme="minorHAnsi" w:hAnsiTheme="minorHAnsi"/>
                <w:sz w:val="20"/>
                <w:lang w:eastAsia="sv-SE"/>
              </w:rPr>
            </w:pPr>
          </w:p>
          <w:p w:rsidR="009757D0" w:rsidRPr="004B3E89" w:rsidRDefault="00B15609" w:rsidP="00C30DF0">
            <w:pPr>
              <w:pStyle w:val="Tabletext"/>
              <w:tabs>
                <w:tab w:val="left" w:pos="794"/>
                <w:tab w:val="left" w:pos="1191"/>
                <w:tab w:val="left" w:pos="1588"/>
                <w:tab w:val="left" w:pos="1985"/>
              </w:tabs>
              <w:spacing w:before="40" w:after="40"/>
              <w:rPr>
                <w:rFonts w:asciiTheme="minorHAnsi" w:hAnsiTheme="minorHAnsi"/>
                <w:sz w:val="20"/>
                <w:lang w:eastAsia="sv-SE"/>
              </w:rPr>
            </w:pPr>
            <w:hyperlink r:id="rId11" w:history="1">
              <w:r w:rsidR="009757D0" w:rsidRPr="004B3E89">
                <w:rPr>
                  <w:rStyle w:val="Hyperlink"/>
                  <w:rFonts w:asciiTheme="minorHAnsi" w:hAnsiTheme="minorHAnsi"/>
                  <w:sz w:val="20"/>
                  <w:lang w:eastAsia="sv-SE"/>
                </w:rPr>
                <w:t>w.berezowski@uke.gov.pl</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lang w:eastAsia="sv-SE"/>
              </w:rPr>
            </w:pPr>
            <w:r>
              <w:rPr>
                <w:rFonts w:asciiTheme="minorHAnsi" w:hAnsiTheme="minorHAnsi"/>
                <w:sz w:val="20"/>
                <w:lang w:eastAsia="sv-SE"/>
              </w:rPr>
              <w:t>PCE</w:t>
            </w:r>
            <w:r w:rsidRPr="004B3E89">
              <w:rPr>
                <w:rFonts w:asciiTheme="minorHAnsi" w:hAnsiTheme="minorHAnsi"/>
                <w:sz w:val="20"/>
                <w:lang w:eastAsia="sv-SE"/>
              </w:rPr>
              <w:t xml:space="preserve"> 1</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101: </w:t>
            </w:r>
            <w:r>
              <w:rPr>
                <w:rFonts w:asciiTheme="minorHAnsi" w:hAnsiTheme="minorHAnsi"/>
                <w:sz w:val="20"/>
              </w:rPr>
              <w:t>Redes basadas en el protocolo Internet</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r w:rsidR="009757D0" w:rsidRPr="004B3E89">
              <w:rPr>
                <w:rFonts w:asciiTheme="minorHAnsi" w:hAnsiTheme="minorHAnsi"/>
                <w:sz w:val="20"/>
              </w:rPr>
              <w:t xml:space="preserve">Paul </w:t>
            </w:r>
            <w:proofErr w:type="spellStart"/>
            <w:r w:rsidR="009757D0" w:rsidRPr="004B3E89">
              <w:rPr>
                <w:rFonts w:asciiTheme="minorHAnsi" w:hAnsiTheme="minorHAnsi"/>
                <w:sz w:val="20"/>
              </w:rPr>
              <w:t>Redwin</w:t>
            </w:r>
            <w:proofErr w:type="spellEnd"/>
            <w:r w:rsidR="009757D0" w:rsidRPr="004B3E89">
              <w:rPr>
                <w:rFonts w:asciiTheme="minorHAnsi" w:hAnsiTheme="minorHAnsi"/>
                <w:sz w:val="20"/>
              </w:rPr>
              <w:t xml:space="preserve"> (G)</w:t>
            </w:r>
          </w:p>
        </w:tc>
        <w:tc>
          <w:tcPr>
            <w:tcW w:w="2977" w:type="dxa"/>
          </w:tcPr>
          <w:p w:rsidR="009757D0" w:rsidRPr="004B3E89" w:rsidRDefault="00B15609" w:rsidP="00C30DF0">
            <w:pPr>
              <w:spacing w:before="40" w:after="40"/>
              <w:rPr>
                <w:rStyle w:val="Hyperlink"/>
                <w:rFonts w:asciiTheme="minorHAnsi" w:hAnsiTheme="minorHAnsi"/>
                <w:sz w:val="20"/>
              </w:rPr>
            </w:pPr>
            <w:hyperlink r:id="rId12" w:history="1">
              <w:r w:rsidR="009757D0" w:rsidRPr="004B3E89">
                <w:rPr>
                  <w:rStyle w:val="Hyperlink"/>
                  <w:rFonts w:asciiTheme="minorHAnsi" w:hAnsiTheme="minorHAnsi"/>
                  <w:sz w:val="20"/>
                </w:rPr>
                <w:t>Paul.Redwin@Culture.gsi.gov.uk</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2</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102: </w:t>
            </w:r>
            <w:r w:rsidRPr="001D21E4">
              <w:rPr>
                <w:rFonts w:asciiTheme="minorHAnsi" w:hAnsiTheme="minorHAnsi"/>
                <w:sz w:val="20"/>
              </w:rPr>
              <w:t>Función de la UIT con respecto a las cuestiones de política pública internacional relacionadas con Internet y la gestión de los recursos de Internet, incluidos los nombres de dominio y las direcciones</w:t>
            </w:r>
          </w:p>
        </w:tc>
        <w:tc>
          <w:tcPr>
            <w:tcW w:w="2693" w:type="dxa"/>
          </w:tcPr>
          <w:p w:rsidR="009757D0" w:rsidRPr="004B3E89" w:rsidRDefault="009757D0" w:rsidP="00C30DF0">
            <w:pPr>
              <w:pStyle w:val="Tabletext"/>
              <w:tabs>
                <w:tab w:val="left" w:pos="794"/>
                <w:tab w:val="left" w:pos="1191"/>
                <w:tab w:val="left" w:pos="1588"/>
                <w:tab w:val="left" w:pos="1985"/>
              </w:tabs>
              <w:spacing w:before="40" w:after="40"/>
              <w:rPr>
                <w:rFonts w:asciiTheme="minorHAnsi" w:hAnsiTheme="minorHAnsi"/>
                <w:sz w:val="20"/>
              </w:rPr>
            </w:pPr>
            <w:r w:rsidRPr="004B3E89">
              <w:rPr>
                <w:rFonts w:asciiTheme="minorHAnsi" w:hAnsiTheme="minorHAnsi"/>
                <w:sz w:val="20"/>
              </w:rPr>
              <w:t xml:space="preserve">Paul </w:t>
            </w:r>
            <w:proofErr w:type="spellStart"/>
            <w:r w:rsidRPr="004B3E89">
              <w:rPr>
                <w:rFonts w:asciiTheme="minorHAnsi" w:hAnsiTheme="minorHAnsi"/>
                <w:sz w:val="20"/>
              </w:rPr>
              <w:t>Redwin</w:t>
            </w:r>
            <w:proofErr w:type="spellEnd"/>
            <w:r w:rsidRPr="004B3E89">
              <w:rPr>
                <w:rFonts w:asciiTheme="minorHAnsi" w:hAnsiTheme="minorHAnsi"/>
                <w:sz w:val="20"/>
              </w:rPr>
              <w:t xml:space="preserve"> (G)</w:t>
            </w:r>
          </w:p>
        </w:tc>
        <w:tc>
          <w:tcPr>
            <w:tcW w:w="2977" w:type="dxa"/>
          </w:tcPr>
          <w:p w:rsidR="009757D0" w:rsidRPr="004B3E89" w:rsidRDefault="00B15609" w:rsidP="00C30DF0">
            <w:pPr>
              <w:spacing w:before="40" w:after="40"/>
              <w:rPr>
                <w:rStyle w:val="Hyperlink"/>
                <w:rFonts w:asciiTheme="minorHAnsi" w:hAnsiTheme="minorHAnsi"/>
                <w:sz w:val="20"/>
              </w:rPr>
            </w:pPr>
            <w:hyperlink r:id="rId13" w:history="1">
              <w:r w:rsidR="009757D0" w:rsidRPr="004B3E89">
                <w:rPr>
                  <w:rStyle w:val="Hyperlink"/>
                  <w:rFonts w:asciiTheme="minorHAnsi" w:hAnsiTheme="minorHAnsi"/>
                  <w:sz w:val="20"/>
                </w:rPr>
                <w:t>Paul.Redwin@Culture.gsi.gov.uk</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3</w:t>
            </w:r>
          </w:p>
        </w:tc>
        <w:tc>
          <w:tcPr>
            <w:tcW w:w="3402" w:type="dxa"/>
          </w:tcPr>
          <w:p w:rsidR="009757D0" w:rsidRPr="004B3E89" w:rsidRDefault="009757D0" w:rsidP="00C30DF0">
            <w:pPr>
              <w:spacing w:before="40" w:after="40"/>
              <w:ind w:right="662"/>
              <w:rPr>
                <w:rFonts w:asciiTheme="minorHAnsi" w:hAnsiTheme="minorHAnsi"/>
                <w:sz w:val="20"/>
              </w:rPr>
            </w:pPr>
            <w:r>
              <w:rPr>
                <w:rFonts w:asciiTheme="minorHAnsi" w:hAnsiTheme="minorHAnsi"/>
                <w:sz w:val="20"/>
              </w:rPr>
              <w:t>Revisión de la Resolución</w:t>
            </w:r>
            <w:r w:rsidR="00453C47">
              <w:rPr>
                <w:rFonts w:asciiTheme="minorHAnsi" w:hAnsiTheme="minorHAnsi"/>
                <w:sz w:val="20"/>
              </w:rPr>
              <w:t xml:space="preserve"> </w:t>
            </w:r>
            <w:r w:rsidRPr="004B3E89">
              <w:rPr>
                <w:rFonts w:asciiTheme="minorHAnsi" w:hAnsiTheme="minorHAnsi"/>
                <w:sz w:val="20"/>
              </w:rPr>
              <w:t xml:space="preserve">133: </w:t>
            </w:r>
            <w:r w:rsidRPr="001D21E4">
              <w:rPr>
                <w:rFonts w:asciiTheme="minorHAnsi" w:hAnsiTheme="minorHAnsi"/>
                <w:sz w:val="20"/>
              </w:rPr>
              <w:t>Función de las Administraciones de los Estados Miembros en</w:t>
            </w:r>
            <w:r w:rsidR="00453C47">
              <w:rPr>
                <w:rFonts w:asciiTheme="minorHAnsi" w:hAnsiTheme="minorHAnsi"/>
                <w:sz w:val="20"/>
              </w:rPr>
              <w:t xml:space="preserve"> </w:t>
            </w:r>
            <w:r w:rsidRPr="001D21E4">
              <w:rPr>
                <w:rFonts w:asciiTheme="minorHAnsi" w:hAnsiTheme="minorHAnsi"/>
                <w:sz w:val="20"/>
              </w:rPr>
              <w:t>la gestión de los nombres de dominio internacionalizados (plurilingües)</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r w:rsidR="009757D0" w:rsidRPr="004B3E89">
              <w:rPr>
                <w:rFonts w:asciiTheme="minorHAnsi" w:hAnsiTheme="minorHAnsi"/>
                <w:sz w:val="20"/>
              </w:rPr>
              <w:t xml:space="preserve">Paul </w:t>
            </w:r>
            <w:proofErr w:type="spellStart"/>
            <w:r w:rsidR="009757D0" w:rsidRPr="004B3E89">
              <w:rPr>
                <w:rFonts w:asciiTheme="minorHAnsi" w:hAnsiTheme="minorHAnsi"/>
                <w:sz w:val="20"/>
              </w:rPr>
              <w:t>Redwin</w:t>
            </w:r>
            <w:proofErr w:type="spellEnd"/>
            <w:r w:rsidR="009757D0" w:rsidRPr="004B3E89">
              <w:rPr>
                <w:rFonts w:asciiTheme="minorHAnsi" w:hAnsiTheme="minorHAnsi"/>
                <w:sz w:val="20"/>
              </w:rPr>
              <w:t xml:space="preserve"> (G)</w:t>
            </w:r>
          </w:p>
        </w:tc>
        <w:tc>
          <w:tcPr>
            <w:tcW w:w="2977" w:type="dxa"/>
          </w:tcPr>
          <w:p w:rsidR="009757D0" w:rsidRPr="004B3E89" w:rsidRDefault="00B15609" w:rsidP="00C30DF0">
            <w:pPr>
              <w:spacing w:before="40" w:after="40"/>
              <w:rPr>
                <w:rStyle w:val="Hyperlink"/>
                <w:rFonts w:asciiTheme="minorHAnsi" w:hAnsiTheme="minorHAnsi"/>
                <w:sz w:val="20"/>
              </w:rPr>
            </w:pPr>
            <w:hyperlink r:id="rId14" w:history="1">
              <w:r w:rsidR="009757D0" w:rsidRPr="004B3E89">
                <w:rPr>
                  <w:rStyle w:val="Hyperlink"/>
                  <w:rFonts w:asciiTheme="minorHAnsi" w:hAnsiTheme="minorHAnsi"/>
                  <w:sz w:val="20"/>
                </w:rPr>
                <w:t>Paul.Redwin@Culture.gsi.gov.uk</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4</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Decisión</w:t>
            </w:r>
            <w:r w:rsidRPr="004B3E89">
              <w:rPr>
                <w:rFonts w:asciiTheme="minorHAnsi" w:hAnsiTheme="minorHAnsi"/>
                <w:sz w:val="20"/>
              </w:rPr>
              <w:t xml:space="preserve"> 11: </w:t>
            </w:r>
            <w:r w:rsidRPr="001D21E4">
              <w:rPr>
                <w:rFonts w:asciiTheme="minorHAnsi" w:hAnsiTheme="minorHAnsi"/>
                <w:sz w:val="20"/>
              </w:rPr>
              <w:t>Creación y gestión de los grupos de trabajo del Consejo</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Anders</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Jonsson</w:t>
            </w:r>
            <w:proofErr w:type="spellEnd"/>
            <w:r w:rsidR="009757D0" w:rsidRPr="004B3E89">
              <w:rPr>
                <w:rFonts w:asciiTheme="minorHAnsi" w:hAnsiTheme="minorHAnsi"/>
                <w:sz w:val="20"/>
              </w:rPr>
              <w:t xml:space="preserve"> (S)</w:t>
            </w:r>
          </w:p>
        </w:tc>
        <w:tc>
          <w:tcPr>
            <w:tcW w:w="2977" w:type="dxa"/>
          </w:tcPr>
          <w:p w:rsidR="009757D0" w:rsidRPr="004B3E89" w:rsidRDefault="00B15609" w:rsidP="00C30DF0">
            <w:pPr>
              <w:spacing w:before="40" w:after="40"/>
              <w:rPr>
                <w:rFonts w:asciiTheme="minorHAnsi" w:hAnsiTheme="minorHAnsi"/>
                <w:bCs/>
                <w:sz w:val="20"/>
              </w:rPr>
            </w:pPr>
            <w:hyperlink r:id="rId15" w:history="1">
              <w:r w:rsidR="009757D0" w:rsidRPr="004B3E89">
                <w:rPr>
                  <w:rStyle w:val="Hyperlink"/>
                  <w:rFonts w:asciiTheme="minorHAnsi" w:hAnsiTheme="minorHAnsi"/>
                  <w:bCs/>
                  <w:sz w:val="20"/>
                </w:rPr>
                <w:t>Anders.Jonsson@pts.se</w:t>
              </w:r>
            </w:hyperlink>
            <w:r w:rsidR="009757D0" w:rsidRPr="004B3E89">
              <w:rPr>
                <w:rFonts w:asciiTheme="minorHAnsi" w:hAnsiTheme="minorHAnsi"/>
                <w:bCs/>
                <w:sz w:val="20"/>
              </w:rPr>
              <w:t xml:space="preserve"> </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5</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Nueva Decisión sobre el acceso a los documentos de la UIT</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Anders</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Jonsson</w:t>
            </w:r>
            <w:proofErr w:type="spellEnd"/>
            <w:r w:rsidR="009757D0" w:rsidRPr="004B3E89">
              <w:rPr>
                <w:rFonts w:asciiTheme="minorHAnsi" w:hAnsiTheme="minorHAnsi"/>
                <w:sz w:val="20"/>
              </w:rPr>
              <w:t xml:space="preserve"> (S)</w:t>
            </w:r>
          </w:p>
        </w:tc>
        <w:tc>
          <w:tcPr>
            <w:tcW w:w="2977" w:type="dxa"/>
          </w:tcPr>
          <w:p w:rsidR="009757D0" w:rsidRPr="004B3E89" w:rsidRDefault="00B15609" w:rsidP="00C30DF0">
            <w:pPr>
              <w:spacing w:before="40" w:after="40"/>
              <w:rPr>
                <w:rFonts w:asciiTheme="minorHAnsi" w:hAnsiTheme="minorHAnsi"/>
                <w:sz w:val="20"/>
              </w:rPr>
            </w:pPr>
            <w:hyperlink r:id="rId16" w:history="1">
              <w:r w:rsidR="009757D0" w:rsidRPr="004B3E89">
                <w:rPr>
                  <w:rStyle w:val="Hyperlink"/>
                  <w:rFonts w:asciiTheme="minorHAnsi" w:hAnsiTheme="minorHAnsi"/>
                  <w:bCs/>
                  <w:sz w:val="20"/>
                </w:rPr>
                <w:t>Anders.Jonsson@pts.se</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6</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 xml:space="preserve">Nueva </w:t>
            </w:r>
            <w:r w:rsidR="00D25676">
              <w:rPr>
                <w:rFonts w:asciiTheme="minorHAnsi" w:hAnsiTheme="minorHAnsi"/>
                <w:sz w:val="20"/>
              </w:rPr>
              <w:t>R</w:t>
            </w:r>
            <w:r>
              <w:rPr>
                <w:rFonts w:asciiTheme="minorHAnsi" w:hAnsiTheme="minorHAnsi"/>
                <w:sz w:val="20"/>
              </w:rPr>
              <w:t>esolución sobre normas internacionales para el seguimiento mundial de los vuelos en tiempo real para las aplicaciones aeronáuticas de seguridad de la vida</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Rainer</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Wegner</w:t>
            </w:r>
            <w:proofErr w:type="spellEnd"/>
            <w:r w:rsidR="009757D0" w:rsidRPr="004B3E89">
              <w:rPr>
                <w:rFonts w:asciiTheme="minorHAnsi" w:hAnsiTheme="minorHAnsi"/>
                <w:sz w:val="20"/>
              </w:rPr>
              <w:t xml:space="preserve"> (D)</w:t>
            </w:r>
          </w:p>
        </w:tc>
        <w:tc>
          <w:tcPr>
            <w:tcW w:w="2977" w:type="dxa"/>
          </w:tcPr>
          <w:p w:rsidR="009757D0" w:rsidRPr="004B3E89" w:rsidRDefault="00B15609" w:rsidP="00C30DF0">
            <w:pPr>
              <w:spacing w:before="40" w:after="40"/>
              <w:rPr>
                <w:rFonts w:asciiTheme="minorHAnsi" w:hAnsiTheme="minorHAnsi"/>
                <w:sz w:val="20"/>
              </w:rPr>
            </w:pPr>
            <w:hyperlink r:id="rId17" w:history="1">
              <w:r w:rsidR="009757D0" w:rsidRPr="004B3E89">
                <w:rPr>
                  <w:rStyle w:val="Hyperlink"/>
                  <w:rFonts w:asciiTheme="minorHAnsi" w:hAnsiTheme="minorHAnsi"/>
                  <w:sz w:val="20"/>
                </w:rPr>
                <w:t>rainer.wegner@bmwi.bund.de</w:t>
              </w:r>
            </w:hyperlink>
            <w:r w:rsidR="009757D0" w:rsidRPr="004B3E89">
              <w:rPr>
                <w:rFonts w:asciiTheme="minorHAnsi" w:hAnsiTheme="minorHAnsi"/>
                <w:sz w:val="20"/>
              </w:rPr>
              <w:t xml:space="preserve"> </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7</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119: </w:t>
            </w:r>
            <w:r w:rsidRPr="00E765A2">
              <w:rPr>
                <w:rFonts w:asciiTheme="minorHAnsi" w:hAnsiTheme="minorHAnsi"/>
                <w:sz w:val="20"/>
              </w:rPr>
              <w:t>Métodos para mejorar la eficiencia y eficacia de la</w:t>
            </w:r>
            <w:r>
              <w:rPr>
                <w:rFonts w:asciiTheme="minorHAnsi" w:hAnsiTheme="minorHAnsi"/>
                <w:sz w:val="20"/>
              </w:rPr>
              <w:t xml:space="preserve"> </w:t>
            </w:r>
            <w:r w:rsidRPr="00E765A2">
              <w:rPr>
                <w:rFonts w:asciiTheme="minorHAnsi" w:hAnsiTheme="minorHAnsi"/>
                <w:sz w:val="20"/>
              </w:rPr>
              <w:t>Junta del Reglamento de Radiocomunicaciones</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r w:rsidR="009757D0" w:rsidRPr="004B3E89">
              <w:rPr>
                <w:rFonts w:asciiTheme="minorHAnsi" w:hAnsiTheme="minorHAnsi"/>
                <w:sz w:val="20"/>
              </w:rPr>
              <w:t xml:space="preserve">Alexandre </w:t>
            </w:r>
            <w:proofErr w:type="spellStart"/>
            <w:r w:rsidR="009757D0" w:rsidRPr="004B3E89">
              <w:rPr>
                <w:rFonts w:asciiTheme="minorHAnsi" w:hAnsiTheme="minorHAnsi"/>
                <w:sz w:val="20"/>
              </w:rPr>
              <w:t>Vallet</w:t>
            </w:r>
            <w:proofErr w:type="spellEnd"/>
            <w:r w:rsidR="009757D0" w:rsidRPr="004B3E89">
              <w:rPr>
                <w:rFonts w:asciiTheme="minorHAnsi" w:hAnsiTheme="minorHAnsi"/>
                <w:sz w:val="20"/>
              </w:rPr>
              <w:t xml:space="preserve"> (F)</w:t>
            </w:r>
          </w:p>
        </w:tc>
        <w:tc>
          <w:tcPr>
            <w:tcW w:w="2977" w:type="dxa"/>
          </w:tcPr>
          <w:p w:rsidR="009757D0" w:rsidRPr="004B3E89" w:rsidRDefault="00B15609" w:rsidP="00C30DF0">
            <w:pPr>
              <w:spacing w:before="40" w:after="40"/>
              <w:rPr>
                <w:rFonts w:asciiTheme="minorHAnsi" w:hAnsiTheme="minorHAnsi"/>
                <w:sz w:val="20"/>
              </w:rPr>
            </w:pPr>
            <w:hyperlink r:id="rId18" w:history="1">
              <w:r w:rsidR="009757D0" w:rsidRPr="004B3E89">
                <w:rPr>
                  <w:rStyle w:val="Hyperlink"/>
                  <w:rFonts w:asciiTheme="minorHAnsi" w:hAnsiTheme="minorHAnsi"/>
                  <w:sz w:val="20"/>
                </w:rPr>
                <w:t>alexandre.vallet@anfr.fr</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8</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 xml:space="preserve">Nueva Resolución sobre el fortalecimiento del papel de la UIT con respecto a las medidas para fomentar la transparencia y la confianza en las actividades del espacio </w:t>
            </w:r>
            <w:r w:rsidR="00002122">
              <w:rPr>
                <w:rFonts w:asciiTheme="minorHAnsi" w:hAnsiTheme="minorHAnsi"/>
                <w:sz w:val="20"/>
              </w:rPr>
              <w:t>ultraterrestre</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r w:rsidR="009757D0" w:rsidRPr="004B3E89">
              <w:rPr>
                <w:rFonts w:asciiTheme="minorHAnsi" w:hAnsiTheme="minorHAnsi"/>
                <w:sz w:val="20"/>
              </w:rPr>
              <w:t xml:space="preserve">Alexandre </w:t>
            </w:r>
            <w:proofErr w:type="spellStart"/>
            <w:r w:rsidR="009757D0" w:rsidRPr="004B3E89">
              <w:rPr>
                <w:rFonts w:asciiTheme="minorHAnsi" w:hAnsiTheme="minorHAnsi"/>
                <w:sz w:val="20"/>
              </w:rPr>
              <w:t>Vallet</w:t>
            </w:r>
            <w:proofErr w:type="spellEnd"/>
            <w:r w:rsidR="009757D0" w:rsidRPr="004B3E89">
              <w:rPr>
                <w:rFonts w:asciiTheme="minorHAnsi" w:hAnsiTheme="minorHAnsi"/>
                <w:sz w:val="20"/>
              </w:rPr>
              <w:t xml:space="preserve"> (F)</w:t>
            </w:r>
          </w:p>
        </w:tc>
        <w:tc>
          <w:tcPr>
            <w:tcW w:w="2977" w:type="dxa"/>
          </w:tcPr>
          <w:p w:rsidR="009757D0" w:rsidRPr="004B3E89" w:rsidRDefault="00B15609" w:rsidP="00C30DF0">
            <w:pPr>
              <w:spacing w:before="40" w:after="40"/>
              <w:rPr>
                <w:rFonts w:asciiTheme="minorHAnsi" w:hAnsiTheme="minorHAnsi"/>
                <w:sz w:val="20"/>
              </w:rPr>
            </w:pPr>
            <w:hyperlink r:id="rId19" w:history="1">
              <w:r w:rsidR="009757D0" w:rsidRPr="004B3E89">
                <w:rPr>
                  <w:rStyle w:val="Hyperlink"/>
                  <w:rFonts w:asciiTheme="minorHAnsi" w:hAnsiTheme="minorHAnsi"/>
                  <w:sz w:val="20"/>
                </w:rPr>
                <w:t>alexandre.vallet@anfr.fr</w:t>
              </w:r>
            </w:hyperlink>
          </w:p>
        </w:tc>
      </w:tr>
      <w:tr w:rsidR="009757D0" w:rsidRPr="004B3E89" w:rsidTr="00453C47">
        <w:trPr>
          <w:cantSplit/>
        </w:trPr>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lastRenderedPageBreak/>
              <w:t>PCE</w:t>
            </w:r>
            <w:r w:rsidRPr="004B3E89">
              <w:rPr>
                <w:rFonts w:asciiTheme="minorHAnsi" w:hAnsiTheme="minorHAnsi"/>
                <w:sz w:val="20"/>
              </w:rPr>
              <w:t xml:space="preserve"> 9</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169: </w:t>
            </w:r>
            <w:r w:rsidRPr="00F42738">
              <w:rPr>
                <w:rFonts w:asciiTheme="minorHAnsi" w:hAnsiTheme="minorHAnsi"/>
                <w:sz w:val="20"/>
              </w:rPr>
              <w:t>Admisión de sectores académicos, universidades y sus instituciones</w:t>
            </w:r>
            <w:r w:rsidR="00D25676">
              <w:rPr>
                <w:rFonts w:asciiTheme="minorHAnsi" w:hAnsiTheme="minorHAnsi"/>
                <w:sz w:val="20"/>
              </w:rPr>
              <w:t xml:space="preserve"> </w:t>
            </w:r>
            <w:r w:rsidRPr="00F42738">
              <w:rPr>
                <w:rFonts w:asciiTheme="minorHAnsi" w:hAnsiTheme="minorHAnsi"/>
                <w:sz w:val="20"/>
              </w:rPr>
              <w:t>de investigación asociadas para que participen en los trabajos</w:t>
            </w:r>
            <w:r w:rsidR="00002122">
              <w:rPr>
                <w:rFonts w:asciiTheme="minorHAnsi" w:hAnsiTheme="minorHAnsi"/>
                <w:sz w:val="20"/>
              </w:rPr>
              <w:t xml:space="preserve"> </w:t>
            </w:r>
            <w:r w:rsidRPr="00F42738">
              <w:rPr>
                <w:rFonts w:asciiTheme="minorHAnsi" w:hAnsiTheme="minorHAnsi"/>
                <w:sz w:val="20"/>
              </w:rPr>
              <w:t>de los tres Sectores de la Unión</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Sra. </w:t>
            </w:r>
            <w:proofErr w:type="spellStart"/>
            <w:r w:rsidR="009757D0" w:rsidRPr="004B3E89">
              <w:rPr>
                <w:rFonts w:asciiTheme="minorHAnsi" w:hAnsiTheme="minorHAnsi"/>
                <w:sz w:val="20"/>
              </w:rPr>
              <w:t>Annelies</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Vrbova</w:t>
            </w:r>
            <w:proofErr w:type="spellEnd"/>
            <w:r w:rsidR="009757D0" w:rsidRPr="004B3E89">
              <w:rPr>
                <w:rFonts w:asciiTheme="minorHAnsi" w:hAnsiTheme="minorHAnsi"/>
                <w:sz w:val="20"/>
              </w:rPr>
              <w:t xml:space="preserve"> (CZE)</w:t>
            </w:r>
          </w:p>
        </w:tc>
        <w:tc>
          <w:tcPr>
            <w:tcW w:w="2977" w:type="dxa"/>
          </w:tcPr>
          <w:p w:rsidR="009757D0" w:rsidRPr="004B3E89" w:rsidRDefault="00B15609" w:rsidP="00C30DF0">
            <w:pPr>
              <w:spacing w:before="40" w:after="40"/>
              <w:rPr>
                <w:rFonts w:asciiTheme="minorHAnsi" w:hAnsiTheme="minorHAnsi"/>
                <w:sz w:val="20"/>
              </w:rPr>
            </w:pPr>
            <w:hyperlink r:id="rId20" w:history="1">
              <w:r w:rsidR="009757D0" w:rsidRPr="004B3E89">
                <w:rPr>
                  <w:rStyle w:val="Hyperlink"/>
                  <w:rFonts w:asciiTheme="minorHAnsi" w:hAnsiTheme="minorHAnsi"/>
                  <w:sz w:val="20"/>
                </w:rPr>
                <w:t>vrbovaa@mpo.cz</w:t>
              </w:r>
            </w:hyperlink>
            <w:r w:rsidR="009757D0" w:rsidRPr="004B3E89">
              <w:rPr>
                <w:rFonts w:asciiTheme="minorHAnsi" w:hAnsiTheme="minorHAnsi"/>
                <w:sz w:val="20"/>
              </w:rPr>
              <w:t xml:space="preserve"> </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10</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w:t>
            </w:r>
            <w:r w:rsidR="00002122">
              <w:rPr>
                <w:rFonts w:asciiTheme="minorHAnsi" w:hAnsiTheme="minorHAnsi"/>
                <w:sz w:val="20"/>
              </w:rPr>
              <w:t xml:space="preserve">ones </w:t>
            </w:r>
            <w:r>
              <w:rPr>
                <w:rFonts w:asciiTheme="minorHAnsi" w:hAnsiTheme="minorHAnsi"/>
                <w:sz w:val="20"/>
              </w:rPr>
              <w:t>de la Resolución</w:t>
            </w:r>
            <w:r w:rsidR="00002122">
              <w:rPr>
                <w:rFonts w:asciiTheme="minorHAnsi" w:hAnsiTheme="minorHAnsi"/>
                <w:sz w:val="20"/>
              </w:rPr>
              <w:t xml:space="preserve"> 140: </w:t>
            </w:r>
            <w:r w:rsidRPr="00F42738">
              <w:rPr>
                <w:rFonts w:asciiTheme="minorHAnsi" w:hAnsiTheme="minorHAnsi"/>
                <w:sz w:val="20"/>
              </w:rPr>
              <w:t>Función de la UIT en la puesta en práctica de los resultados de</w:t>
            </w:r>
            <w:r w:rsidR="00002122">
              <w:rPr>
                <w:rFonts w:asciiTheme="minorHAnsi" w:hAnsiTheme="minorHAnsi"/>
                <w:sz w:val="20"/>
              </w:rPr>
              <w:t xml:space="preserve"> </w:t>
            </w:r>
            <w:r w:rsidRPr="00F42738">
              <w:rPr>
                <w:rFonts w:asciiTheme="minorHAnsi" w:hAnsiTheme="minorHAnsi"/>
                <w:sz w:val="20"/>
              </w:rPr>
              <w:t>la Cumbre Mundial sobre la Sociedad de la Información</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r w:rsidR="009757D0" w:rsidRPr="004B3E89">
              <w:rPr>
                <w:rFonts w:asciiTheme="minorHAnsi" w:hAnsiTheme="minorHAnsi"/>
                <w:sz w:val="20"/>
              </w:rPr>
              <w:t xml:space="preserve">Paul </w:t>
            </w:r>
            <w:proofErr w:type="spellStart"/>
            <w:r w:rsidR="009757D0" w:rsidRPr="004B3E89">
              <w:rPr>
                <w:rFonts w:asciiTheme="minorHAnsi" w:hAnsiTheme="minorHAnsi"/>
                <w:sz w:val="20"/>
              </w:rPr>
              <w:t>Redwin</w:t>
            </w:r>
            <w:proofErr w:type="spellEnd"/>
            <w:r w:rsidR="009757D0" w:rsidRPr="004B3E89">
              <w:rPr>
                <w:rFonts w:asciiTheme="minorHAnsi" w:hAnsiTheme="minorHAnsi"/>
                <w:sz w:val="20"/>
              </w:rPr>
              <w:t xml:space="preserve"> (G)</w:t>
            </w:r>
          </w:p>
        </w:tc>
        <w:tc>
          <w:tcPr>
            <w:tcW w:w="2977" w:type="dxa"/>
          </w:tcPr>
          <w:p w:rsidR="009757D0" w:rsidRPr="004B3E89" w:rsidRDefault="00B15609" w:rsidP="00C30DF0">
            <w:pPr>
              <w:spacing w:before="40" w:after="40"/>
              <w:rPr>
                <w:rFonts w:asciiTheme="minorHAnsi" w:hAnsiTheme="minorHAnsi"/>
                <w:sz w:val="20"/>
              </w:rPr>
            </w:pPr>
            <w:hyperlink r:id="rId21" w:history="1">
              <w:r w:rsidR="009757D0" w:rsidRPr="004B3E89">
                <w:rPr>
                  <w:rStyle w:val="Hyperlink"/>
                  <w:rFonts w:asciiTheme="minorHAnsi" w:hAnsiTheme="minorHAnsi"/>
                  <w:sz w:val="20"/>
                </w:rPr>
                <w:t>Paul.Redwin@Culture.gsi.gov.uk</w:t>
              </w:r>
            </w:hyperlink>
          </w:p>
          <w:p w:rsidR="009757D0" w:rsidRPr="004B3E89" w:rsidRDefault="009757D0" w:rsidP="00C30DF0">
            <w:pPr>
              <w:spacing w:before="40" w:after="40"/>
              <w:jc w:val="center"/>
              <w:rPr>
                <w:rFonts w:asciiTheme="minorHAnsi" w:hAnsiTheme="minorHAnsi"/>
                <w:sz w:val="20"/>
              </w:rPr>
            </w:pP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11</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179: </w:t>
            </w:r>
            <w:r w:rsidRPr="00F42738">
              <w:rPr>
                <w:rFonts w:asciiTheme="minorHAnsi" w:hAnsiTheme="minorHAnsi"/>
                <w:sz w:val="20"/>
              </w:rPr>
              <w:t>Función de la UIT en la protección de la infancia en línea</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r w:rsidR="009757D0" w:rsidRPr="004B3E89">
              <w:rPr>
                <w:rFonts w:asciiTheme="minorHAnsi" w:hAnsiTheme="minorHAnsi"/>
                <w:sz w:val="20"/>
              </w:rPr>
              <w:t xml:space="preserve">Phil </w:t>
            </w:r>
            <w:proofErr w:type="spellStart"/>
            <w:r w:rsidR="009757D0" w:rsidRPr="004B3E89">
              <w:rPr>
                <w:rFonts w:asciiTheme="minorHAnsi" w:hAnsiTheme="minorHAnsi"/>
                <w:sz w:val="20"/>
              </w:rPr>
              <w:t>Rushton</w:t>
            </w:r>
            <w:proofErr w:type="spellEnd"/>
            <w:r w:rsidR="009757D0" w:rsidRPr="004B3E89">
              <w:rPr>
                <w:rFonts w:asciiTheme="minorHAnsi" w:hAnsiTheme="minorHAnsi"/>
                <w:sz w:val="20"/>
              </w:rPr>
              <w:t xml:space="preserve"> (G)</w:t>
            </w:r>
          </w:p>
        </w:tc>
        <w:tc>
          <w:tcPr>
            <w:tcW w:w="2977" w:type="dxa"/>
          </w:tcPr>
          <w:p w:rsidR="009757D0" w:rsidRPr="004B3E89" w:rsidRDefault="00B15609" w:rsidP="00C30DF0">
            <w:pPr>
              <w:spacing w:before="40" w:after="40"/>
              <w:jc w:val="center"/>
              <w:rPr>
                <w:rFonts w:asciiTheme="minorHAnsi" w:hAnsiTheme="minorHAnsi"/>
                <w:sz w:val="20"/>
              </w:rPr>
            </w:pPr>
            <w:hyperlink r:id="rId22" w:history="1">
              <w:r w:rsidR="009757D0" w:rsidRPr="004B3E89">
                <w:rPr>
                  <w:rStyle w:val="Hyperlink"/>
                  <w:rFonts w:asciiTheme="minorHAnsi" w:hAnsiTheme="minorHAnsi"/>
                  <w:sz w:val="20"/>
                </w:rPr>
                <w:t>philip.m.rushton@bt.com</w:t>
              </w:r>
            </w:hyperlink>
            <w:r w:rsidR="009757D0" w:rsidRPr="004B3E89">
              <w:rPr>
                <w:rFonts w:asciiTheme="minorHAnsi" w:hAnsiTheme="minorHAnsi"/>
                <w:sz w:val="20"/>
              </w:rPr>
              <w:t xml:space="preserve"> </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12</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182</w:t>
            </w:r>
            <w:r w:rsidR="00D25676">
              <w:rPr>
                <w:rFonts w:asciiTheme="minorHAnsi" w:hAnsiTheme="minorHAnsi"/>
                <w:sz w:val="20"/>
              </w:rPr>
              <w:t xml:space="preserve"> </w:t>
            </w:r>
            <w:r>
              <w:rPr>
                <w:rFonts w:asciiTheme="minorHAnsi" w:hAnsiTheme="minorHAnsi"/>
                <w:sz w:val="20"/>
              </w:rPr>
              <w:t>relativa al cambio climático y supresión de la Resolución</w:t>
            </w:r>
            <w:r w:rsidRPr="004B3E89">
              <w:rPr>
                <w:rFonts w:asciiTheme="minorHAnsi" w:hAnsiTheme="minorHAnsi"/>
                <w:sz w:val="20"/>
              </w:rPr>
              <w:t xml:space="preserve"> 35</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r w:rsidR="009757D0" w:rsidRPr="004B3E89">
              <w:rPr>
                <w:rFonts w:asciiTheme="minorHAnsi" w:hAnsiTheme="minorHAnsi"/>
                <w:sz w:val="20"/>
              </w:rPr>
              <w:t xml:space="preserve">Phil </w:t>
            </w:r>
            <w:proofErr w:type="spellStart"/>
            <w:r w:rsidR="009757D0" w:rsidRPr="004B3E89">
              <w:rPr>
                <w:rFonts w:asciiTheme="minorHAnsi" w:hAnsiTheme="minorHAnsi"/>
                <w:sz w:val="20"/>
              </w:rPr>
              <w:t>Rushton</w:t>
            </w:r>
            <w:proofErr w:type="spellEnd"/>
            <w:r w:rsidR="009757D0" w:rsidRPr="004B3E89">
              <w:rPr>
                <w:rFonts w:asciiTheme="minorHAnsi" w:hAnsiTheme="minorHAnsi"/>
                <w:sz w:val="20"/>
              </w:rPr>
              <w:t xml:space="preserve"> (G)</w:t>
            </w:r>
          </w:p>
        </w:tc>
        <w:tc>
          <w:tcPr>
            <w:tcW w:w="2977" w:type="dxa"/>
          </w:tcPr>
          <w:p w:rsidR="009757D0" w:rsidRPr="004B3E89" w:rsidRDefault="00B15609" w:rsidP="00C30DF0">
            <w:pPr>
              <w:spacing w:before="40" w:after="40"/>
              <w:jc w:val="center"/>
              <w:rPr>
                <w:rFonts w:asciiTheme="minorHAnsi" w:hAnsiTheme="minorHAnsi"/>
                <w:sz w:val="20"/>
              </w:rPr>
            </w:pPr>
            <w:hyperlink r:id="rId23" w:history="1">
              <w:r w:rsidR="009757D0" w:rsidRPr="004B3E89">
                <w:rPr>
                  <w:rStyle w:val="Hyperlink"/>
                  <w:rFonts w:asciiTheme="minorHAnsi" w:hAnsiTheme="minorHAnsi"/>
                  <w:sz w:val="20"/>
                </w:rPr>
                <w:t>philip.m.rushton@bt.com</w:t>
              </w:r>
            </w:hyperlink>
            <w:r w:rsidR="009757D0" w:rsidRPr="004B3E89">
              <w:rPr>
                <w:rFonts w:asciiTheme="minorHAnsi" w:hAnsiTheme="minorHAnsi"/>
                <w:sz w:val="20"/>
              </w:rPr>
              <w:t xml:space="preserve"> </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13</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130: </w:t>
            </w:r>
            <w:r w:rsidRPr="00F42738">
              <w:rPr>
                <w:rFonts w:asciiTheme="minorHAnsi" w:hAnsiTheme="minorHAnsi"/>
                <w:sz w:val="20"/>
              </w:rPr>
              <w:t>Fortalecimiento del papel de la UIT en la creación de confianza y seguridad en la utilización de las tecnologías de la información</w:t>
            </w:r>
            <w:r>
              <w:rPr>
                <w:rFonts w:asciiTheme="minorHAnsi" w:hAnsiTheme="minorHAnsi"/>
                <w:sz w:val="20"/>
              </w:rPr>
              <w:t xml:space="preserve"> </w:t>
            </w:r>
            <w:r w:rsidRPr="00F42738">
              <w:rPr>
                <w:rFonts w:asciiTheme="minorHAnsi" w:hAnsiTheme="minorHAnsi"/>
                <w:sz w:val="20"/>
              </w:rPr>
              <w:t>y la comunicación</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Gavin</w:t>
            </w:r>
            <w:proofErr w:type="spellEnd"/>
            <w:r w:rsidR="009757D0" w:rsidRPr="004B3E89">
              <w:rPr>
                <w:rFonts w:asciiTheme="minorHAnsi" w:hAnsiTheme="minorHAnsi"/>
                <w:sz w:val="20"/>
              </w:rPr>
              <w:t xml:space="preserve"> Willis (G)</w:t>
            </w:r>
          </w:p>
        </w:tc>
        <w:tc>
          <w:tcPr>
            <w:tcW w:w="2977" w:type="dxa"/>
          </w:tcPr>
          <w:p w:rsidR="009757D0" w:rsidRPr="004B3E89" w:rsidRDefault="009757D0" w:rsidP="00C30DF0">
            <w:pPr>
              <w:spacing w:before="40" w:after="40"/>
              <w:jc w:val="center"/>
              <w:rPr>
                <w:rFonts w:asciiTheme="minorHAnsi" w:hAnsiTheme="minorHAnsi"/>
                <w:sz w:val="20"/>
              </w:rPr>
            </w:pP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14</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162: </w:t>
            </w:r>
            <w:r w:rsidRPr="00F42738">
              <w:rPr>
                <w:rFonts w:asciiTheme="minorHAnsi" w:hAnsiTheme="minorHAnsi"/>
                <w:sz w:val="20"/>
              </w:rPr>
              <w:t>Comité Asesor Independiente sobre la Gestión</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Anders</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Jonsson</w:t>
            </w:r>
            <w:proofErr w:type="spellEnd"/>
            <w:r w:rsidR="009757D0" w:rsidRPr="004B3E89">
              <w:rPr>
                <w:rFonts w:asciiTheme="minorHAnsi" w:hAnsiTheme="minorHAnsi"/>
                <w:sz w:val="20"/>
              </w:rPr>
              <w:t xml:space="preserve"> (S)</w:t>
            </w:r>
          </w:p>
        </w:tc>
        <w:tc>
          <w:tcPr>
            <w:tcW w:w="2977" w:type="dxa"/>
          </w:tcPr>
          <w:p w:rsidR="009757D0" w:rsidRPr="004B3E89" w:rsidRDefault="009757D0" w:rsidP="00C30DF0">
            <w:pPr>
              <w:spacing w:before="40" w:after="40"/>
              <w:jc w:val="center"/>
              <w:rPr>
                <w:rFonts w:asciiTheme="minorHAnsi" w:hAnsiTheme="minorHAnsi"/>
                <w:sz w:val="20"/>
              </w:rPr>
            </w:pPr>
            <w:hyperlink r:id="rId24" w:history="1">
              <w:r w:rsidRPr="004B3E89">
                <w:rPr>
                  <w:rStyle w:val="Hyperlink"/>
                  <w:rFonts w:asciiTheme="minorHAnsi" w:hAnsiTheme="minorHAnsi"/>
                  <w:bCs/>
                  <w:sz w:val="20"/>
                </w:rPr>
                <w:t>Anders.Jonsson@pts.se</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15</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Posición de la CEPT sobre la Constitución Estable de la UIT y la supresión de la Resolución 163</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Dirk</w:t>
            </w:r>
            <w:proofErr w:type="spellEnd"/>
            <w:r w:rsidR="009757D0" w:rsidRPr="004B3E89">
              <w:rPr>
                <w:rFonts w:asciiTheme="minorHAnsi" w:hAnsiTheme="minorHAnsi"/>
                <w:sz w:val="20"/>
              </w:rPr>
              <w:t xml:space="preserve">-Olivier von der </w:t>
            </w:r>
            <w:proofErr w:type="spellStart"/>
            <w:r w:rsidR="009757D0" w:rsidRPr="004B3E89">
              <w:rPr>
                <w:rFonts w:asciiTheme="minorHAnsi" w:hAnsiTheme="minorHAnsi"/>
                <w:sz w:val="20"/>
              </w:rPr>
              <w:t>Emden</w:t>
            </w:r>
            <w:proofErr w:type="spellEnd"/>
            <w:r w:rsidR="009757D0" w:rsidRPr="004B3E89">
              <w:rPr>
                <w:rFonts w:asciiTheme="minorHAnsi" w:hAnsiTheme="minorHAnsi"/>
                <w:sz w:val="20"/>
              </w:rPr>
              <w:t xml:space="preserve"> (SUI)</w:t>
            </w:r>
          </w:p>
        </w:tc>
        <w:tc>
          <w:tcPr>
            <w:tcW w:w="2977" w:type="dxa"/>
          </w:tcPr>
          <w:p w:rsidR="009757D0" w:rsidRPr="004B3E89" w:rsidRDefault="00B15609" w:rsidP="00C30DF0">
            <w:pPr>
              <w:spacing w:before="40" w:after="40"/>
              <w:jc w:val="center"/>
              <w:rPr>
                <w:rFonts w:asciiTheme="minorHAnsi" w:hAnsiTheme="minorHAnsi"/>
                <w:sz w:val="20"/>
              </w:rPr>
            </w:pPr>
            <w:hyperlink r:id="rId25" w:history="1">
              <w:r w:rsidR="009757D0" w:rsidRPr="004B3E89">
                <w:rPr>
                  <w:rStyle w:val="Hyperlink"/>
                  <w:rFonts w:asciiTheme="minorHAnsi" w:hAnsiTheme="minorHAnsi"/>
                  <w:sz w:val="20"/>
                </w:rPr>
                <w:t>Dirk-Olivier.VonderEmden@bakom.admin.ch</w:t>
              </w:r>
            </w:hyperlink>
            <w:r w:rsidR="009757D0" w:rsidRPr="004B3E89">
              <w:rPr>
                <w:rFonts w:asciiTheme="minorHAnsi" w:hAnsiTheme="minorHAnsi"/>
                <w:sz w:val="20"/>
              </w:rPr>
              <w:t xml:space="preserve"> </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16</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72: </w:t>
            </w:r>
            <w:r w:rsidRPr="00F42738">
              <w:rPr>
                <w:rFonts w:asciiTheme="minorHAnsi" w:hAnsiTheme="minorHAnsi"/>
                <w:sz w:val="20"/>
              </w:rPr>
              <w:t>Vinculación de la planificación estratégica, financiera y</w:t>
            </w:r>
            <w:r>
              <w:rPr>
                <w:rFonts w:asciiTheme="minorHAnsi" w:hAnsiTheme="minorHAnsi"/>
                <w:sz w:val="20"/>
              </w:rPr>
              <w:t xml:space="preserve"> </w:t>
            </w:r>
            <w:r w:rsidRPr="00F42738">
              <w:rPr>
                <w:rFonts w:asciiTheme="minorHAnsi" w:hAnsiTheme="minorHAnsi"/>
                <w:sz w:val="20"/>
              </w:rPr>
              <w:t>operacional en la UIT</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Dirk</w:t>
            </w:r>
            <w:proofErr w:type="spellEnd"/>
            <w:r w:rsidR="009757D0" w:rsidRPr="004B3E89">
              <w:rPr>
                <w:rFonts w:asciiTheme="minorHAnsi" w:hAnsiTheme="minorHAnsi"/>
                <w:sz w:val="20"/>
              </w:rPr>
              <w:t xml:space="preserve">-Olivier von der </w:t>
            </w:r>
            <w:proofErr w:type="spellStart"/>
            <w:r w:rsidR="009757D0" w:rsidRPr="004B3E89">
              <w:rPr>
                <w:rFonts w:asciiTheme="minorHAnsi" w:hAnsiTheme="minorHAnsi"/>
                <w:sz w:val="20"/>
              </w:rPr>
              <w:t>Emden</w:t>
            </w:r>
            <w:proofErr w:type="spellEnd"/>
            <w:r w:rsidR="009757D0" w:rsidRPr="004B3E89">
              <w:rPr>
                <w:rFonts w:asciiTheme="minorHAnsi" w:hAnsiTheme="minorHAnsi"/>
                <w:sz w:val="20"/>
              </w:rPr>
              <w:t xml:space="preserve"> (SUI)</w:t>
            </w:r>
          </w:p>
        </w:tc>
        <w:tc>
          <w:tcPr>
            <w:tcW w:w="2977" w:type="dxa"/>
          </w:tcPr>
          <w:p w:rsidR="009757D0" w:rsidRPr="004B3E89" w:rsidRDefault="00B15609" w:rsidP="00C30DF0">
            <w:pPr>
              <w:spacing w:before="40" w:after="40"/>
              <w:jc w:val="center"/>
              <w:rPr>
                <w:rFonts w:asciiTheme="minorHAnsi" w:hAnsiTheme="minorHAnsi"/>
                <w:sz w:val="20"/>
              </w:rPr>
            </w:pPr>
            <w:hyperlink r:id="rId26" w:history="1">
              <w:r w:rsidR="009757D0" w:rsidRPr="004B3E89">
                <w:rPr>
                  <w:rStyle w:val="Hyperlink"/>
                  <w:rFonts w:asciiTheme="minorHAnsi" w:hAnsiTheme="minorHAnsi"/>
                  <w:sz w:val="20"/>
                </w:rPr>
                <w:t>Dirk-Olivier.VonderEmden@bakom.admin.ch</w:t>
              </w:r>
            </w:hyperlink>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17</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Revisión de la Resolución</w:t>
            </w:r>
            <w:r w:rsidRPr="004B3E89">
              <w:rPr>
                <w:rFonts w:asciiTheme="minorHAnsi" w:hAnsiTheme="minorHAnsi"/>
                <w:sz w:val="20"/>
              </w:rPr>
              <w:t xml:space="preserve"> 70: </w:t>
            </w:r>
            <w:r w:rsidRPr="00F42738">
              <w:rPr>
                <w:rFonts w:asciiTheme="minorHAnsi" w:hAnsiTheme="minorHAnsi"/>
                <w:sz w:val="20"/>
              </w:rPr>
              <w:t>Incorporación de una política de género en la UIT y promoción de la igualdad de género y el empoderamiento de la mujer por medio</w:t>
            </w:r>
            <w:r>
              <w:rPr>
                <w:rFonts w:asciiTheme="minorHAnsi" w:hAnsiTheme="minorHAnsi"/>
                <w:sz w:val="20"/>
              </w:rPr>
              <w:t xml:space="preserve"> </w:t>
            </w:r>
            <w:r w:rsidRPr="00F42738">
              <w:rPr>
                <w:rFonts w:asciiTheme="minorHAnsi" w:hAnsiTheme="minorHAnsi"/>
                <w:sz w:val="20"/>
              </w:rPr>
              <w:t>de las tecnologías de la información y la comunicación</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Philippe</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Horisberger</w:t>
            </w:r>
            <w:proofErr w:type="spellEnd"/>
            <w:r w:rsidR="009757D0" w:rsidRPr="004B3E89">
              <w:rPr>
                <w:rFonts w:asciiTheme="minorHAnsi" w:hAnsiTheme="minorHAnsi"/>
                <w:sz w:val="20"/>
              </w:rPr>
              <w:t xml:space="preserve"> (SUI)</w:t>
            </w:r>
          </w:p>
        </w:tc>
        <w:tc>
          <w:tcPr>
            <w:tcW w:w="2977" w:type="dxa"/>
          </w:tcPr>
          <w:p w:rsidR="009757D0" w:rsidRPr="004B3E89" w:rsidRDefault="00B15609" w:rsidP="00C30DF0">
            <w:pPr>
              <w:spacing w:before="40" w:after="40"/>
              <w:jc w:val="center"/>
              <w:rPr>
                <w:rFonts w:asciiTheme="minorHAnsi" w:hAnsiTheme="minorHAnsi"/>
                <w:sz w:val="20"/>
              </w:rPr>
            </w:pPr>
            <w:hyperlink r:id="rId27" w:history="1">
              <w:r w:rsidR="009757D0" w:rsidRPr="004B3E89">
                <w:rPr>
                  <w:rStyle w:val="Hyperlink"/>
                  <w:rFonts w:asciiTheme="minorHAnsi" w:hAnsiTheme="minorHAnsi"/>
                  <w:sz w:val="20"/>
                </w:rPr>
                <w:t>Philippe.horisberger@bakom.admin.ch</w:t>
              </w:r>
            </w:hyperlink>
            <w:r w:rsidR="009757D0" w:rsidRPr="004B3E89">
              <w:rPr>
                <w:rFonts w:asciiTheme="minorHAnsi" w:hAnsiTheme="minorHAnsi"/>
                <w:color w:val="1F497D"/>
                <w:sz w:val="20"/>
              </w:rPr>
              <w:t xml:space="preserve">  </w:t>
            </w:r>
          </w:p>
        </w:tc>
      </w:tr>
      <w:tr w:rsidR="009757D0" w:rsidRPr="004B3E89" w:rsidTr="00453C47">
        <w:tc>
          <w:tcPr>
            <w:tcW w:w="1022" w:type="dxa"/>
          </w:tcPr>
          <w:p w:rsidR="009757D0" w:rsidRPr="004B3E89" w:rsidRDefault="009757D0" w:rsidP="00C30DF0">
            <w:pPr>
              <w:spacing w:before="40" w:after="40"/>
              <w:rPr>
                <w:rFonts w:asciiTheme="minorHAnsi" w:hAnsiTheme="minorHAnsi"/>
                <w:sz w:val="20"/>
              </w:rPr>
            </w:pPr>
            <w:r>
              <w:rPr>
                <w:rFonts w:asciiTheme="minorHAnsi" w:hAnsiTheme="minorHAnsi"/>
                <w:sz w:val="20"/>
              </w:rPr>
              <w:t>PCE</w:t>
            </w:r>
            <w:r w:rsidRPr="004B3E89">
              <w:rPr>
                <w:rFonts w:asciiTheme="minorHAnsi" w:hAnsiTheme="minorHAnsi"/>
                <w:sz w:val="20"/>
              </w:rPr>
              <w:t xml:space="preserve"> 18</w:t>
            </w:r>
          </w:p>
        </w:tc>
        <w:tc>
          <w:tcPr>
            <w:tcW w:w="3402" w:type="dxa"/>
          </w:tcPr>
          <w:p w:rsidR="009757D0" w:rsidRPr="004B3E89" w:rsidRDefault="009757D0" w:rsidP="00C30DF0">
            <w:pPr>
              <w:spacing w:before="40" w:after="40"/>
              <w:rPr>
                <w:rFonts w:asciiTheme="minorHAnsi" w:hAnsiTheme="minorHAnsi"/>
                <w:sz w:val="20"/>
              </w:rPr>
            </w:pPr>
            <w:r>
              <w:rPr>
                <w:rFonts w:asciiTheme="minorHAnsi" w:hAnsiTheme="minorHAnsi"/>
                <w:sz w:val="20"/>
              </w:rPr>
              <w:t>Nueva Resolución sobre la emancipación de los jóvenes gracias a las tecnologías de la información y la comunicación</w:t>
            </w:r>
          </w:p>
        </w:tc>
        <w:tc>
          <w:tcPr>
            <w:tcW w:w="2693" w:type="dxa"/>
          </w:tcPr>
          <w:p w:rsidR="009757D0" w:rsidRPr="004B3E89" w:rsidRDefault="00002122" w:rsidP="00C30DF0">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Sr. </w:t>
            </w:r>
            <w:proofErr w:type="spellStart"/>
            <w:r w:rsidR="009757D0" w:rsidRPr="004B3E89">
              <w:rPr>
                <w:rFonts w:asciiTheme="minorHAnsi" w:hAnsiTheme="minorHAnsi"/>
                <w:sz w:val="20"/>
              </w:rPr>
              <w:t>Marcin</w:t>
            </w:r>
            <w:proofErr w:type="spellEnd"/>
            <w:r w:rsidR="009757D0" w:rsidRPr="004B3E89">
              <w:rPr>
                <w:rFonts w:asciiTheme="minorHAnsi" w:hAnsiTheme="minorHAnsi"/>
                <w:sz w:val="20"/>
              </w:rPr>
              <w:t xml:space="preserve"> </w:t>
            </w:r>
            <w:proofErr w:type="spellStart"/>
            <w:r w:rsidR="009757D0" w:rsidRPr="004B3E89">
              <w:rPr>
                <w:rFonts w:asciiTheme="minorHAnsi" w:hAnsiTheme="minorHAnsi"/>
                <w:sz w:val="20"/>
              </w:rPr>
              <w:t>Krasuski</w:t>
            </w:r>
            <w:proofErr w:type="spellEnd"/>
            <w:r w:rsidR="009757D0" w:rsidRPr="004B3E89">
              <w:rPr>
                <w:rFonts w:asciiTheme="minorHAnsi" w:hAnsiTheme="minorHAnsi"/>
                <w:sz w:val="20"/>
              </w:rPr>
              <w:t xml:space="preserve"> (POL)</w:t>
            </w:r>
          </w:p>
        </w:tc>
        <w:tc>
          <w:tcPr>
            <w:tcW w:w="2977" w:type="dxa"/>
          </w:tcPr>
          <w:p w:rsidR="009757D0" w:rsidRPr="004B3E89" w:rsidRDefault="00B15609" w:rsidP="00C30DF0">
            <w:pPr>
              <w:spacing w:before="40" w:after="40"/>
              <w:jc w:val="center"/>
              <w:rPr>
                <w:rFonts w:asciiTheme="minorHAnsi" w:hAnsiTheme="minorHAnsi"/>
                <w:sz w:val="20"/>
              </w:rPr>
            </w:pPr>
            <w:hyperlink r:id="rId28" w:history="1">
              <w:r w:rsidR="009757D0" w:rsidRPr="004B3E89">
                <w:rPr>
                  <w:rStyle w:val="Hyperlink"/>
                  <w:rFonts w:asciiTheme="minorHAnsi" w:hAnsiTheme="minorHAnsi"/>
                  <w:sz w:val="20"/>
                </w:rPr>
                <w:t>marcin.krasuski@mac.gov.pl</w:t>
              </w:r>
            </w:hyperlink>
            <w:r w:rsidR="009757D0" w:rsidRPr="004B3E89">
              <w:rPr>
                <w:rFonts w:asciiTheme="minorHAnsi" w:hAnsiTheme="minorHAnsi"/>
                <w:sz w:val="20"/>
              </w:rPr>
              <w:t xml:space="preserve"> </w:t>
            </w:r>
          </w:p>
        </w:tc>
      </w:tr>
    </w:tbl>
    <w:p w:rsidR="009757D0" w:rsidRPr="004B3E89" w:rsidRDefault="009757D0" w:rsidP="00453C47">
      <w:pPr>
        <w:tabs>
          <w:tab w:val="clear" w:pos="567"/>
          <w:tab w:val="clear" w:pos="1134"/>
          <w:tab w:val="clear" w:pos="1701"/>
          <w:tab w:val="clear" w:pos="2268"/>
          <w:tab w:val="clear" w:pos="2835"/>
        </w:tabs>
        <w:overflowPunct/>
        <w:autoSpaceDE/>
        <w:autoSpaceDN/>
        <w:adjustRightInd/>
        <w:spacing w:before="0"/>
        <w:textAlignment w:val="auto"/>
      </w:pPr>
    </w:p>
    <w:p w:rsidR="00453C47" w:rsidRDefault="00453C47" w:rsidP="00453C47"/>
    <w:p w:rsidR="00535F88" w:rsidRPr="00C30DF0" w:rsidRDefault="00535F88">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C30DF0">
        <w:br w:type="page"/>
      </w:r>
    </w:p>
    <w:p w:rsidR="009757D0" w:rsidRPr="0086487F" w:rsidRDefault="009757D0" w:rsidP="00F02862">
      <w:pPr>
        <w:pStyle w:val="AnnexNo"/>
        <w:keepNext/>
        <w:keepLines/>
        <w:spacing w:before="0"/>
      </w:pPr>
      <w:r w:rsidRPr="0086487F">
        <w:lastRenderedPageBreak/>
        <w:t>ANEXO 2</w:t>
      </w:r>
    </w:p>
    <w:p w:rsidR="009757D0" w:rsidRPr="004B3E89" w:rsidRDefault="009757D0" w:rsidP="00F02862">
      <w:pPr>
        <w:pStyle w:val="Annextitle"/>
        <w:keepNext/>
        <w:keepLines/>
        <w:spacing w:before="40" w:after="40"/>
      </w:pPr>
      <w:r w:rsidRPr="0086487F">
        <w:t>Lista de Administraciones cosignatarias de las Propuestas Comunes Europeas (PCE)</w:t>
      </w:r>
      <w:r w:rsidRPr="004B3E89">
        <w:t xml:space="preserve"> </w:t>
      </w:r>
    </w:p>
    <w:tbl>
      <w:tblPr>
        <w:tblW w:w="9346"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tblGrid>
      <w:tr w:rsidR="009757D0" w:rsidRPr="00535F88" w:rsidTr="00453C47">
        <w:trPr>
          <w:trHeight w:val="20"/>
          <w:tblHeader/>
          <w:jc w:val="center"/>
        </w:trPr>
        <w:tc>
          <w:tcPr>
            <w:tcW w:w="984" w:type="dxa"/>
            <w:tcBorders>
              <w:top w:val="single" w:sz="4" w:space="0" w:color="auto"/>
              <w:left w:val="single" w:sz="8" w:space="0" w:color="auto"/>
              <w:bottom w:val="single" w:sz="8" w:space="0" w:color="auto"/>
              <w:right w:val="nil"/>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PCE Nº</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3</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4</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5</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6</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7</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8</w:t>
            </w:r>
          </w:p>
        </w:tc>
        <w:tc>
          <w:tcPr>
            <w:tcW w:w="465"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9</w:t>
            </w:r>
          </w:p>
        </w:tc>
        <w:tc>
          <w:tcPr>
            <w:tcW w:w="465"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10</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18</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ALB</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AND</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AZE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BEL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BIH</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BLR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BUL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CVA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CYP</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63"/>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CZE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DNK</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E </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EST</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FIN</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GEO</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GRC</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HNG</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HRV</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IRL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ISL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LIE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LTU</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LUX</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LVA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MCO</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MDA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MKD</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MLT</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MNE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NOR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POL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POR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ROU</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Sí </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RUS</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SMR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SRB</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SUI</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SVK</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SVN</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TUR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UKR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noWrap/>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Total</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27</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26</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27</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26</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28</w:t>
            </w:r>
          </w:p>
        </w:tc>
      </w:tr>
    </w:tbl>
    <w:p w:rsidR="00F02862" w:rsidRDefault="00F02862" w:rsidP="0032202E">
      <w:pPr>
        <w:pStyle w:val="Reasons"/>
      </w:pPr>
    </w:p>
    <w:p w:rsidR="00F02862" w:rsidRDefault="00F02862">
      <w:pPr>
        <w:jc w:val="center"/>
      </w:pPr>
      <w:r>
        <w:t>______________</w:t>
      </w:r>
    </w:p>
    <w:p w:rsidR="00453C47" w:rsidRDefault="00453C47" w:rsidP="00F02862">
      <w:pPr>
        <w:spacing w:before="0"/>
        <w:jc w:val="center"/>
      </w:pPr>
    </w:p>
    <w:sectPr w:rsidR="00453C47" w:rsidSect="00A70E95">
      <w:headerReference w:type="even" r:id="rId29"/>
      <w:headerReference w:type="default" r:id="rId30"/>
      <w:footerReference w:type="even" r:id="rId31"/>
      <w:footerReference w:type="default" r:id="rId32"/>
      <w:headerReference w:type="first" r:id="rId33"/>
      <w:footerReference w:type="first" r:id="rId3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09" w:rsidRDefault="00B15609">
      <w:r>
        <w:separator/>
      </w:r>
    </w:p>
  </w:endnote>
  <w:endnote w:type="continuationSeparator" w:id="0">
    <w:p w:rsidR="00B15609" w:rsidRDefault="00B1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F" w:rsidRDefault="00864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GoBack"/>
  <w:p w:rsidR="00453C47" w:rsidRPr="0086487F" w:rsidRDefault="00453C47" w:rsidP="00453C47">
    <w:pPr>
      <w:pStyle w:val="Footer"/>
      <w:rPr>
        <w:color w:val="FFFFFF" w:themeColor="background1"/>
        <w:lang w:val="en-US"/>
      </w:rPr>
    </w:pPr>
    <w:r w:rsidRPr="0086487F">
      <w:rPr>
        <w:noProof w:val="0"/>
        <w:color w:val="FFFFFF" w:themeColor="background1"/>
        <w:sz w:val="24"/>
      </w:rPr>
      <w:fldChar w:fldCharType="begin"/>
    </w:r>
    <w:r w:rsidRPr="0086487F">
      <w:rPr>
        <w:color w:val="FFFFFF" w:themeColor="background1"/>
        <w:lang w:val="en-US"/>
      </w:rPr>
      <w:instrText xml:space="preserve"> FILENAME \p  \* MERGEFORMAT </w:instrText>
    </w:r>
    <w:r w:rsidRPr="0086487F">
      <w:rPr>
        <w:noProof w:val="0"/>
        <w:color w:val="FFFFFF" w:themeColor="background1"/>
        <w:sz w:val="24"/>
      </w:rPr>
      <w:fldChar w:fldCharType="separate"/>
    </w:r>
    <w:r w:rsidR="00C30DF0" w:rsidRPr="0086487F">
      <w:rPr>
        <w:color w:val="FFFFFF" w:themeColor="background1"/>
        <w:lang w:val="en-US"/>
      </w:rPr>
      <w:t>P:\ESP\SG\CONF-SG\PP14\000\080S.docx</w:t>
    </w:r>
    <w:r w:rsidRPr="0086487F">
      <w:rPr>
        <w:color w:val="FFFFFF" w:themeColor="background1"/>
      </w:rPr>
      <w:fldChar w:fldCharType="end"/>
    </w:r>
    <w:r w:rsidRPr="0086487F">
      <w:rPr>
        <w:color w:val="FFFFFF" w:themeColor="background1"/>
        <w:lang w:val="en-US"/>
      </w:rPr>
      <w:t xml:space="preserve"> (370022)</w:t>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SAVEDATE \@ DD.MM.YY </w:instrText>
    </w:r>
    <w:r w:rsidRPr="0086487F">
      <w:rPr>
        <w:color w:val="FFFFFF" w:themeColor="background1"/>
      </w:rPr>
      <w:fldChar w:fldCharType="separate"/>
    </w:r>
    <w:r w:rsidR="0086487F" w:rsidRPr="0086487F">
      <w:rPr>
        <w:color w:val="FFFFFF" w:themeColor="background1"/>
      </w:rPr>
      <w:t>09.10.14</w:t>
    </w:r>
    <w:r w:rsidRPr="0086487F">
      <w:rPr>
        <w:color w:val="FFFFFF" w:themeColor="background1"/>
      </w:rPr>
      <w:fldChar w:fldCharType="end"/>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PRINTDATE \@ DD.MM.YY </w:instrText>
    </w:r>
    <w:r w:rsidRPr="0086487F">
      <w:rPr>
        <w:color w:val="FFFFFF" w:themeColor="background1"/>
      </w:rPr>
      <w:fldChar w:fldCharType="separate"/>
    </w:r>
    <w:r w:rsidR="00C30DF0" w:rsidRPr="0086487F">
      <w:rPr>
        <w:color w:val="FFFFFF" w:themeColor="background1"/>
      </w:rPr>
      <w:t>09.10.14</w:t>
    </w:r>
    <w:r w:rsidRPr="0086487F">
      <w:rPr>
        <w:color w:val="FFFFFF" w:themeColor="background1"/>
      </w:rPr>
      <w:fldChar w:fldCharType="end"/>
    </w:r>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Default="00453C47"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53C47" w:rsidRPr="00255FA1" w:rsidRDefault="00453C47" w:rsidP="004B07DB">
    <w:pPr>
      <w:pStyle w:val="Footer"/>
      <w:jc w:val="center"/>
      <w:rPr>
        <w:lang w:val="en-US"/>
      </w:rPr>
    </w:pPr>
  </w:p>
  <w:p w:rsidR="00453C47" w:rsidRPr="0086487F" w:rsidRDefault="00453C47">
    <w:pPr>
      <w:pStyle w:val="Footer"/>
      <w:rPr>
        <w:color w:val="FFFFFF" w:themeColor="background1"/>
        <w:lang w:val="en-US"/>
      </w:rPr>
    </w:pPr>
    <w:r w:rsidRPr="0086487F">
      <w:rPr>
        <w:noProof w:val="0"/>
        <w:color w:val="FFFFFF" w:themeColor="background1"/>
        <w:sz w:val="24"/>
      </w:rPr>
      <w:fldChar w:fldCharType="begin"/>
    </w:r>
    <w:r w:rsidRPr="0086487F">
      <w:rPr>
        <w:color w:val="FFFFFF" w:themeColor="background1"/>
        <w:lang w:val="en-US"/>
      </w:rPr>
      <w:instrText xml:space="preserve"> FILENAME \p  \* MERGEFORMAT </w:instrText>
    </w:r>
    <w:r w:rsidRPr="0086487F">
      <w:rPr>
        <w:noProof w:val="0"/>
        <w:color w:val="FFFFFF" w:themeColor="background1"/>
        <w:sz w:val="24"/>
      </w:rPr>
      <w:fldChar w:fldCharType="separate"/>
    </w:r>
    <w:r w:rsidR="00C30DF0" w:rsidRPr="0086487F">
      <w:rPr>
        <w:color w:val="FFFFFF" w:themeColor="background1"/>
        <w:lang w:val="en-US"/>
      </w:rPr>
      <w:t>P:\ESP\SG\CONF-SG\PP14\000\080S.docx</w:t>
    </w:r>
    <w:r w:rsidRPr="0086487F">
      <w:rPr>
        <w:color w:val="FFFFFF" w:themeColor="background1"/>
      </w:rPr>
      <w:fldChar w:fldCharType="end"/>
    </w:r>
    <w:r w:rsidRPr="0086487F">
      <w:rPr>
        <w:color w:val="FFFFFF" w:themeColor="background1"/>
        <w:lang w:val="en-US"/>
      </w:rPr>
      <w:t xml:space="preserve"> (370022)</w:t>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SAVEDATE \@ DD.MM.YY </w:instrText>
    </w:r>
    <w:r w:rsidRPr="0086487F">
      <w:rPr>
        <w:color w:val="FFFFFF" w:themeColor="background1"/>
      </w:rPr>
      <w:fldChar w:fldCharType="separate"/>
    </w:r>
    <w:r w:rsidR="0086487F" w:rsidRPr="0086487F">
      <w:rPr>
        <w:color w:val="FFFFFF" w:themeColor="background1"/>
      </w:rPr>
      <w:t>09.10.14</w:t>
    </w:r>
    <w:r w:rsidRPr="0086487F">
      <w:rPr>
        <w:color w:val="FFFFFF" w:themeColor="background1"/>
      </w:rPr>
      <w:fldChar w:fldCharType="end"/>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PRINTDATE \@ DD.MM.YY </w:instrText>
    </w:r>
    <w:r w:rsidRPr="0086487F">
      <w:rPr>
        <w:color w:val="FFFFFF" w:themeColor="background1"/>
      </w:rPr>
      <w:fldChar w:fldCharType="separate"/>
    </w:r>
    <w:r w:rsidR="00C30DF0" w:rsidRPr="0086487F">
      <w:rPr>
        <w:color w:val="FFFFFF" w:themeColor="background1"/>
      </w:rPr>
      <w:t>09.10.14</w:t>
    </w:r>
    <w:r w:rsidRPr="0086487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09" w:rsidRDefault="00B15609">
      <w:r>
        <w:t>____________________</w:t>
      </w:r>
    </w:p>
  </w:footnote>
  <w:footnote w:type="continuationSeparator" w:id="0">
    <w:p w:rsidR="00B15609" w:rsidRDefault="00B1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F" w:rsidRDefault="00864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Default="00453C47" w:rsidP="00605474">
    <w:pPr>
      <w:pStyle w:val="Header"/>
    </w:pPr>
    <w:r>
      <w:fldChar w:fldCharType="begin"/>
    </w:r>
    <w:r>
      <w:instrText xml:space="preserve"> PAGE </w:instrText>
    </w:r>
    <w:r>
      <w:fldChar w:fldCharType="separate"/>
    </w:r>
    <w:r w:rsidR="0086487F">
      <w:rPr>
        <w:noProof/>
      </w:rPr>
      <w:t>2</w:t>
    </w:r>
    <w:r>
      <w:fldChar w:fldCharType="end"/>
    </w:r>
  </w:p>
  <w:p w:rsidR="00453C47" w:rsidRDefault="00453C47" w:rsidP="00F02862">
    <w:pPr>
      <w:pStyle w:val="Header"/>
    </w:pPr>
    <w:r>
      <w:rPr>
        <w:lang w:val="en-US"/>
      </w:rPr>
      <w:t>PP14</w:t>
    </w:r>
    <w:r>
      <w:t>/80-</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F" w:rsidRDefault="008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D0"/>
    <w:rsid w:val="0000188C"/>
    <w:rsid w:val="00002122"/>
    <w:rsid w:val="000863AB"/>
    <w:rsid w:val="000A1523"/>
    <w:rsid w:val="000B1752"/>
    <w:rsid w:val="0010546D"/>
    <w:rsid w:val="001D6EC3"/>
    <w:rsid w:val="001D787B"/>
    <w:rsid w:val="001E3D06"/>
    <w:rsid w:val="00237C17"/>
    <w:rsid w:val="00242376"/>
    <w:rsid w:val="002535DD"/>
    <w:rsid w:val="00255FA1"/>
    <w:rsid w:val="002C6527"/>
    <w:rsid w:val="002E44FC"/>
    <w:rsid w:val="003707E5"/>
    <w:rsid w:val="003E6E73"/>
    <w:rsid w:val="00453C47"/>
    <w:rsid w:val="00484B72"/>
    <w:rsid w:val="004A346E"/>
    <w:rsid w:val="004A63A9"/>
    <w:rsid w:val="004B07DB"/>
    <w:rsid w:val="004B0BCB"/>
    <w:rsid w:val="004C39C6"/>
    <w:rsid w:val="004D23BA"/>
    <w:rsid w:val="004E08E0"/>
    <w:rsid w:val="00507662"/>
    <w:rsid w:val="00523448"/>
    <w:rsid w:val="005359B6"/>
    <w:rsid w:val="00535F88"/>
    <w:rsid w:val="00550FCF"/>
    <w:rsid w:val="00567ED5"/>
    <w:rsid w:val="00586703"/>
    <w:rsid w:val="005D1164"/>
    <w:rsid w:val="005D6488"/>
    <w:rsid w:val="005F6278"/>
    <w:rsid w:val="00601280"/>
    <w:rsid w:val="00605474"/>
    <w:rsid w:val="006455D2"/>
    <w:rsid w:val="006B5512"/>
    <w:rsid w:val="006B6D52"/>
    <w:rsid w:val="006C190D"/>
    <w:rsid w:val="00720686"/>
    <w:rsid w:val="00737EFF"/>
    <w:rsid w:val="00750806"/>
    <w:rsid w:val="007F6EBC"/>
    <w:rsid w:val="0086487F"/>
    <w:rsid w:val="00882773"/>
    <w:rsid w:val="008B4706"/>
    <w:rsid w:val="008B6676"/>
    <w:rsid w:val="008E51C5"/>
    <w:rsid w:val="008F4ABD"/>
    <w:rsid w:val="008F7109"/>
    <w:rsid w:val="009107B0"/>
    <w:rsid w:val="009220DE"/>
    <w:rsid w:val="009757D0"/>
    <w:rsid w:val="0099270D"/>
    <w:rsid w:val="009A1A86"/>
    <w:rsid w:val="009E0C42"/>
    <w:rsid w:val="00A70E95"/>
    <w:rsid w:val="00AA1F73"/>
    <w:rsid w:val="00AA52FF"/>
    <w:rsid w:val="00AD400E"/>
    <w:rsid w:val="00AF0DC5"/>
    <w:rsid w:val="00B15609"/>
    <w:rsid w:val="00B73978"/>
    <w:rsid w:val="00B77C4D"/>
    <w:rsid w:val="00BB13FE"/>
    <w:rsid w:val="00BC7EE2"/>
    <w:rsid w:val="00C30DF0"/>
    <w:rsid w:val="00C42D2D"/>
    <w:rsid w:val="00C61A48"/>
    <w:rsid w:val="00C80F8F"/>
    <w:rsid w:val="00C84355"/>
    <w:rsid w:val="00CD20D9"/>
    <w:rsid w:val="00CD701A"/>
    <w:rsid w:val="00D05AAE"/>
    <w:rsid w:val="00D05E6B"/>
    <w:rsid w:val="00D254A6"/>
    <w:rsid w:val="00D25676"/>
    <w:rsid w:val="00D42B55"/>
    <w:rsid w:val="00D57D70"/>
    <w:rsid w:val="00E05D81"/>
    <w:rsid w:val="00E66FC3"/>
    <w:rsid w:val="00E677DD"/>
    <w:rsid w:val="00E77F17"/>
    <w:rsid w:val="00E921EC"/>
    <w:rsid w:val="00EC395A"/>
    <w:rsid w:val="00F01632"/>
    <w:rsid w:val="00F02862"/>
    <w:rsid w:val="00F43D44"/>
    <w:rsid w:val="00F5603D"/>
    <w:rsid w:val="00F80E6E"/>
    <w:rsid w:val="00FD7A16"/>
    <w:rsid w:val="00FF63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E50E9-78F3-4FF4-81A1-04490342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styleId="FollowedHyperlink">
    <w:name w:val="FollowedHyperlink"/>
    <w:basedOn w:val="DefaultParagraphFont"/>
    <w:rsid w:val="009757D0"/>
    <w:rPr>
      <w:color w:val="800080"/>
      <w:u w:val="single"/>
    </w:rPr>
  </w:style>
  <w:style w:type="paragraph" w:customStyle="1" w:styleId="SpecialFooter">
    <w:name w:val="Special Footer"/>
    <w:basedOn w:val="Footer"/>
    <w:rsid w:val="009757D0"/>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
    <w:name w:val="VolumeTitle"/>
    <w:basedOn w:val="Normal"/>
    <w:next w:val="Normal"/>
    <w:rsid w:val="009757D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9757D0"/>
  </w:style>
  <w:style w:type="paragraph" w:customStyle="1" w:styleId="OP">
    <w:name w:val="OP"/>
    <w:basedOn w:val="Normal"/>
    <w:next w:val="Normal"/>
    <w:qFormat/>
    <w:rsid w:val="009757D0"/>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9757D0"/>
    <w:pPr>
      <w:jc w:val="center"/>
    </w:pPr>
    <w:rPr>
      <w:b/>
      <w:bCs/>
      <w:lang w:val="en-GB"/>
    </w:rPr>
  </w:style>
  <w:style w:type="paragraph" w:customStyle="1" w:styleId="StyleCommitteeAfter0ptLinespacingsingle">
    <w:name w:val="Style Committee + After:  0 pt Line spacing:  single"/>
    <w:basedOn w:val="Committee"/>
    <w:rsid w:val="009757D0"/>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9757D0"/>
    <w:pPr>
      <w:ind w:left="720"/>
      <w:contextualSpacing/>
    </w:pPr>
    <w:rPr>
      <w:lang w:val="en-GB"/>
    </w:rPr>
  </w:style>
  <w:style w:type="paragraph" w:customStyle="1" w:styleId="Norml">
    <w:name w:val="Norml"/>
    <w:basedOn w:val="Reasons"/>
    <w:rsid w:val="009757D0"/>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9757D0"/>
    <w:rPr>
      <w:rFonts w:ascii="Calibri" w:hAnsi="Calibri"/>
      <w:sz w:val="24"/>
      <w:lang w:val="es-ES_tradnl" w:eastAsia="en-US"/>
    </w:rPr>
  </w:style>
  <w:style w:type="paragraph" w:customStyle="1" w:styleId="Norma">
    <w:name w:val="Norma"/>
    <w:basedOn w:val="Proposal"/>
    <w:rsid w:val="009757D0"/>
    <w:pPr>
      <w:tabs>
        <w:tab w:val="clear" w:pos="1871"/>
        <w:tab w:val="clear" w:pos="2268"/>
      </w:tabs>
    </w:pPr>
  </w:style>
  <w:style w:type="character" w:customStyle="1" w:styleId="CallChar">
    <w:name w:val="Call Char"/>
    <w:link w:val="Call"/>
    <w:uiPriority w:val="99"/>
    <w:locked/>
    <w:rsid w:val="009757D0"/>
    <w:rPr>
      <w:rFonts w:ascii="Calibri" w:hAnsi="Calibri"/>
      <w:i/>
      <w:sz w:val="24"/>
      <w:lang w:val="es-ES_tradnl" w:eastAsia="en-US"/>
    </w:rPr>
  </w:style>
  <w:style w:type="character" w:customStyle="1" w:styleId="NormalaftertitleChar">
    <w:name w:val="Normal after title Char"/>
    <w:link w:val="Normalaftertitle"/>
    <w:uiPriority w:val="99"/>
    <w:locked/>
    <w:rsid w:val="009757D0"/>
    <w:rPr>
      <w:rFonts w:ascii="Calibri" w:hAnsi="Calibri"/>
      <w:sz w:val="24"/>
      <w:lang w:val="es-ES_tradnl" w:eastAsia="en-US"/>
    </w:rPr>
  </w:style>
  <w:style w:type="paragraph" w:customStyle="1" w:styleId="MEP">
    <w:name w:val="MEP"/>
    <w:basedOn w:val="Normal"/>
    <w:rsid w:val="009757D0"/>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9757D0"/>
    <w:rPr>
      <w:color w:val="auto"/>
    </w:rPr>
  </w:style>
  <w:style w:type="paragraph" w:customStyle="1" w:styleId="Tablehead0">
    <w:name w:val="Table head"/>
    <w:basedOn w:val="Normal"/>
    <w:uiPriority w:val="99"/>
    <w:rsid w:val="009757D0"/>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uiPriority w:val="99"/>
    <w:rsid w:val="009757D0"/>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ul.Redwin@Culture.gsi.gov.uk" TargetMode="External"/><Relationship Id="rId18" Type="http://schemas.openxmlformats.org/officeDocument/2006/relationships/hyperlink" Target="mailto:alexandre.vallet@anfr.fr" TargetMode="External"/><Relationship Id="rId26" Type="http://schemas.openxmlformats.org/officeDocument/2006/relationships/hyperlink" Target="mailto:Dirk-Olivier.VonderEmden@bakom.admin.ch" TargetMode="External"/><Relationship Id="rId3" Type="http://schemas.openxmlformats.org/officeDocument/2006/relationships/styles" Target="styles.xml"/><Relationship Id="rId21" Type="http://schemas.openxmlformats.org/officeDocument/2006/relationships/hyperlink" Target="mailto:Paul.Redwin@Culture.gsi.gov.u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aul.Redwin@Culture.gsi.gov.uk" TargetMode="External"/><Relationship Id="rId17" Type="http://schemas.openxmlformats.org/officeDocument/2006/relationships/hyperlink" Target="mailto:rainer.wegner@bmwi.bund.de" TargetMode="External"/><Relationship Id="rId25" Type="http://schemas.openxmlformats.org/officeDocument/2006/relationships/hyperlink" Target="mailto:Dirk-Olivier.VonderEmden@bakom.admin.ch"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nders.Jonsson@pts.se" TargetMode="External"/><Relationship Id="rId20" Type="http://schemas.openxmlformats.org/officeDocument/2006/relationships/hyperlink" Target="mailto:vrbovaa@mpo.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erezowski@uke.gov.pl" TargetMode="External"/><Relationship Id="rId24" Type="http://schemas.openxmlformats.org/officeDocument/2006/relationships/hyperlink" Target="mailto:Anders.Jonsson@pts.s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ders.Jonsson@pts.se" TargetMode="External"/><Relationship Id="rId23" Type="http://schemas.openxmlformats.org/officeDocument/2006/relationships/hyperlink" Target="mailto:philip.m.rushton@bt.com" TargetMode="External"/><Relationship Id="rId28" Type="http://schemas.openxmlformats.org/officeDocument/2006/relationships/hyperlink" Target="mailto:marcin.krasuski@mac.gov.pl" TargetMode="External"/><Relationship Id="rId36" Type="http://schemas.openxmlformats.org/officeDocument/2006/relationships/theme" Target="theme/theme1.xml"/><Relationship Id="rId10" Type="http://schemas.openxmlformats.org/officeDocument/2006/relationships/hyperlink" Target="mailto:marcin.krasuski@mac.gov.pl" TargetMode="External"/><Relationship Id="rId19" Type="http://schemas.openxmlformats.org/officeDocument/2006/relationships/hyperlink" Target="mailto:alexandre.vallet@anfr.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pt.org/home" TargetMode="External"/><Relationship Id="rId14" Type="http://schemas.openxmlformats.org/officeDocument/2006/relationships/hyperlink" Target="mailto:Paul.Redwin@Culture.gsi.gov.uk" TargetMode="External"/><Relationship Id="rId22" Type="http://schemas.openxmlformats.org/officeDocument/2006/relationships/hyperlink" Target="mailto:philip.m.rushton@bt.com" TargetMode="External"/><Relationship Id="rId27" Type="http://schemas.openxmlformats.org/officeDocument/2006/relationships/hyperlink" Target="mailto:Philippe.horisberger@bakom.admin.ch"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1D7-9A19-4B13-AE53-D9B22E23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40</TotalTime>
  <Pages>1</Pages>
  <Words>1335</Words>
  <Characters>7612</Characters>
  <Application>Microsoft Office Word</Application>
  <DocSecurity>0</DocSecurity>
  <Lines>63</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8930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Domingo Mejias, Luisa</cp:lastModifiedBy>
  <cp:revision>7</cp:revision>
  <cp:lastPrinted>2014-10-09T07:57:00Z</cp:lastPrinted>
  <dcterms:created xsi:type="dcterms:W3CDTF">2014-10-09T07:23:00Z</dcterms:created>
  <dcterms:modified xsi:type="dcterms:W3CDTF">2014-10-09T13:01:00Z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