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5F2DAA" w:rsidTr="006A046E">
        <w:trPr>
          <w:cantSplit/>
        </w:trPr>
        <w:tc>
          <w:tcPr>
            <w:tcW w:w="6911" w:type="dxa"/>
          </w:tcPr>
          <w:p w:rsidR="00BD1614" w:rsidRPr="005F2DAA" w:rsidRDefault="00BD1614" w:rsidP="000C2C1A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5F2DAA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5F2DAA">
              <w:rPr>
                <w:b/>
                <w:smallCaps/>
                <w:sz w:val="30"/>
                <w:szCs w:val="30"/>
              </w:rPr>
              <w:t xml:space="preserve"> (PP-14)</w:t>
            </w:r>
            <w:r w:rsidRPr="005F2DAA">
              <w:rPr>
                <w:b/>
                <w:smallCaps/>
                <w:sz w:val="36"/>
              </w:rPr>
              <w:br/>
            </w:r>
            <w:r w:rsidRPr="005F2DAA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5F2DAA" w:rsidRDefault="00BD1614" w:rsidP="000C2C1A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5F2DAA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6C845DD" wp14:editId="0C2D0BC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5F2DAA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5F2DAA" w:rsidRDefault="00BD1614" w:rsidP="000C2C1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5F2DAA" w:rsidRDefault="00BD1614" w:rsidP="000C2C1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5F2DAA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5F2DAA" w:rsidRDefault="00BD1614" w:rsidP="000C2C1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5F2DAA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5F2DAA" w:rsidRDefault="00BD1614" w:rsidP="000C2C1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5F2DAA">
              <w:rPr>
                <w:lang w:val="fr-FR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0B6C22" w:rsidRDefault="000B6C22" w:rsidP="000C2C1A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Révision 1 au</w:t>
            </w:r>
          </w:p>
          <w:p w:rsidR="00BD1614" w:rsidRPr="005F2DAA" w:rsidRDefault="00BD1614" w:rsidP="000C2C1A">
            <w:pPr>
              <w:spacing w:before="0"/>
              <w:rPr>
                <w:rFonts w:cstheme="minorHAnsi"/>
                <w:szCs w:val="24"/>
              </w:rPr>
            </w:pPr>
            <w:r w:rsidRPr="005F2DAA">
              <w:rPr>
                <w:rFonts w:cstheme="minorHAnsi"/>
                <w:b/>
                <w:szCs w:val="24"/>
              </w:rPr>
              <w:t>Document 84</w:t>
            </w:r>
            <w:r w:rsidR="005F63BD" w:rsidRPr="005F2DA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5F2DAA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5F2DAA" w:rsidRDefault="000B6C22" w:rsidP="000C2C1A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31</w:t>
            </w:r>
            <w:r w:rsidR="00BD1614" w:rsidRPr="005F2DAA">
              <w:rPr>
                <w:rFonts w:cstheme="minorHAnsi"/>
                <w:b/>
                <w:szCs w:val="24"/>
              </w:rPr>
              <w:t xml:space="preserve"> octobre 2014</w:t>
            </w:r>
          </w:p>
        </w:tc>
      </w:tr>
      <w:tr w:rsidR="00BD1614" w:rsidRPr="005F2DAA" w:rsidTr="006A046E">
        <w:trPr>
          <w:cantSplit/>
        </w:trPr>
        <w:tc>
          <w:tcPr>
            <w:tcW w:w="6911" w:type="dxa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5F2DAA" w:rsidRDefault="00BD1614" w:rsidP="000B6C22">
            <w:pPr>
              <w:spacing w:before="0"/>
              <w:rPr>
                <w:rFonts w:cstheme="minorHAnsi"/>
                <w:b/>
                <w:szCs w:val="24"/>
              </w:rPr>
            </w:pPr>
            <w:r w:rsidRPr="005F2DAA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BD1614" w:rsidP="000C2C1A">
            <w:pPr>
              <w:pStyle w:val="Source"/>
            </w:pPr>
            <w:bookmarkStart w:id="4" w:name="dsource" w:colFirst="0" w:colLast="0"/>
            <w:bookmarkEnd w:id="3"/>
            <w:r w:rsidRPr="005F2DAA">
              <w:t>Ukraine</w:t>
            </w: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774AD2" w:rsidP="000C2C1A">
            <w:pPr>
              <w:pStyle w:val="Title1"/>
            </w:pPr>
            <w:bookmarkStart w:id="5" w:name="dtitle1" w:colFirst="0" w:colLast="0"/>
            <w:bookmarkEnd w:id="4"/>
            <w:r w:rsidRPr="005F2DAA">
              <w:t>Propositions pour les travaux de la Conférence</w:t>
            </w: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BD1614" w:rsidP="000C2C1A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F0014E" w:rsidRPr="005F2DAA" w:rsidRDefault="004C1F33" w:rsidP="000C2C1A">
      <w:pPr>
        <w:pStyle w:val="Proposal"/>
      </w:pPr>
      <w:r w:rsidRPr="005F2DAA">
        <w:t>ADD</w:t>
      </w:r>
      <w:r w:rsidRPr="005F2DAA">
        <w:tab/>
        <w:t>UKR/84/1</w:t>
      </w:r>
    </w:p>
    <w:p w:rsidR="00F0014E" w:rsidRPr="005F2DAA" w:rsidRDefault="004C1F33" w:rsidP="000C2C1A">
      <w:pPr>
        <w:pStyle w:val="ResNo"/>
      </w:pPr>
      <w:r w:rsidRPr="005F2DAA">
        <w:t>Projet de nouvelle Résolution [UKR-1]</w:t>
      </w:r>
    </w:p>
    <w:p w:rsidR="00F0014E" w:rsidRPr="005F2DAA" w:rsidRDefault="00321B39" w:rsidP="00DA531D">
      <w:pPr>
        <w:pStyle w:val="Restitle"/>
      </w:pPr>
      <w:r w:rsidRPr="005F2DAA">
        <w:rPr>
          <w:iCs/>
        </w:rPr>
        <w:t>A</w:t>
      </w:r>
      <w:r w:rsidR="000E4F71" w:rsidRPr="005F2DAA">
        <w:rPr>
          <w:iCs/>
        </w:rPr>
        <w:t>ssistance et</w:t>
      </w:r>
      <w:r w:rsidRPr="005F2DAA">
        <w:rPr>
          <w:iCs/>
        </w:rPr>
        <w:t xml:space="preserve"> appui </w:t>
      </w:r>
      <w:r w:rsidR="008427AE" w:rsidRPr="005F2DAA">
        <w:rPr>
          <w:iCs/>
        </w:rPr>
        <w:t>apportés</w:t>
      </w:r>
      <w:r w:rsidRPr="005F2DAA">
        <w:rPr>
          <w:iCs/>
        </w:rPr>
        <w:t xml:space="preserve"> à l</w:t>
      </w:r>
      <w:r w:rsidR="00F341CA" w:rsidRPr="005F2DAA">
        <w:rPr>
          <w:iCs/>
        </w:rPr>
        <w:t>'</w:t>
      </w:r>
      <w:r w:rsidRPr="005F2DAA">
        <w:rPr>
          <w:iCs/>
        </w:rPr>
        <w:t>Ukraine pour garantir l</w:t>
      </w:r>
      <w:r w:rsidR="00F341CA" w:rsidRPr="005F2DAA">
        <w:rPr>
          <w:iCs/>
        </w:rPr>
        <w:t>'</w:t>
      </w:r>
      <w:r w:rsidRPr="005F2DAA">
        <w:rPr>
          <w:iCs/>
        </w:rPr>
        <w:t>utilisation des ressources</w:t>
      </w:r>
      <w:r w:rsidR="00F341CA" w:rsidRPr="005F2DAA">
        <w:rPr>
          <w:iCs/>
        </w:rPr>
        <w:t xml:space="preserve"> en fréquences et</w:t>
      </w:r>
      <w:r w:rsidRPr="005F2DAA">
        <w:t xml:space="preserve"> </w:t>
      </w:r>
      <w:r w:rsidR="00F341CA" w:rsidRPr="005F2DAA">
        <w:t xml:space="preserve">des ressources </w:t>
      </w:r>
      <w:r w:rsidRPr="005F2DAA">
        <w:t>de numérotage</w:t>
      </w:r>
      <w:r w:rsidR="00F341CA" w:rsidRPr="005F2DAA">
        <w:t xml:space="preserve"> dans les territoires de la </w:t>
      </w:r>
      <w:r w:rsidRPr="005F2DAA">
        <w:t>République autonome de Crimée et la ville de Sébastopol</w:t>
      </w:r>
    </w:p>
    <w:p w:rsidR="002371B0" w:rsidRPr="005F2DAA" w:rsidRDefault="002371B0" w:rsidP="00DA531D">
      <w:pPr>
        <w:pStyle w:val="Normalaftertitle"/>
      </w:pPr>
      <w:r w:rsidRPr="005F2DAA">
        <w:t>La Conférence de plénipotentiaires de l'Union internationale</w:t>
      </w:r>
      <w:r w:rsidR="000C2C1A" w:rsidRPr="005F2DAA">
        <w:t xml:space="preserve"> des télécommunications (Busan, </w:t>
      </w:r>
      <w:r w:rsidRPr="005F2DAA">
        <w:t>2014),</w:t>
      </w:r>
    </w:p>
    <w:p w:rsidR="002371B0" w:rsidRPr="005F2DAA" w:rsidRDefault="002371B0" w:rsidP="007E403E">
      <w:pPr>
        <w:pStyle w:val="Call"/>
      </w:pPr>
      <w:r w:rsidRPr="005F2DAA">
        <w:t>rappelant</w:t>
      </w:r>
    </w:p>
    <w:p w:rsidR="002371B0" w:rsidRPr="005F2DAA" w:rsidRDefault="002371B0" w:rsidP="00F341CA">
      <w:pPr>
        <w:rPr>
          <w:szCs w:val="24"/>
        </w:rPr>
      </w:pPr>
      <w:r w:rsidRPr="005F2DAA">
        <w:rPr>
          <w:i/>
          <w:szCs w:val="24"/>
        </w:rPr>
        <w:t>a)</w:t>
      </w:r>
      <w:r w:rsidRPr="005F2DAA">
        <w:rPr>
          <w:i/>
          <w:szCs w:val="24"/>
        </w:rPr>
        <w:tab/>
      </w:r>
      <w:r w:rsidRPr="005F2DAA">
        <w:rPr>
          <w:szCs w:val="24"/>
        </w:rPr>
        <w:t>les nobles principes, objet et objectifs énoncés dans la Charte des Nations Unies et dans la Déclaration universelle des droits de l'homme;</w:t>
      </w:r>
    </w:p>
    <w:p w:rsidR="002371B0" w:rsidRPr="005F2DAA" w:rsidRDefault="002371B0" w:rsidP="00F341CA">
      <w:pPr>
        <w:rPr>
          <w:szCs w:val="24"/>
        </w:rPr>
      </w:pPr>
      <w:r w:rsidRPr="005F2DAA">
        <w:rPr>
          <w:i/>
          <w:iCs/>
          <w:szCs w:val="24"/>
        </w:rPr>
        <w:t>b)</w:t>
      </w:r>
      <w:r w:rsidRPr="005F2DAA">
        <w:rPr>
          <w:szCs w:val="24"/>
        </w:rPr>
        <w:tab/>
        <w:t>l'objet de l'Union, formulé dans l'article 1 de la Constitution de l'UIT;</w:t>
      </w:r>
    </w:p>
    <w:p w:rsidR="002371B0" w:rsidRPr="005F2DAA" w:rsidRDefault="002371B0" w:rsidP="00F341CA">
      <w:pPr>
        <w:rPr>
          <w:szCs w:val="24"/>
        </w:rPr>
      </w:pPr>
      <w:r w:rsidRPr="005F2DAA">
        <w:rPr>
          <w:i/>
          <w:iCs/>
          <w:szCs w:val="24"/>
        </w:rPr>
        <w:t>c)</w:t>
      </w:r>
      <w:r w:rsidRPr="005F2DAA">
        <w:rPr>
          <w:i/>
          <w:iCs/>
          <w:szCs w:val="24"/>
        </w:rPr>
        <w:tab/>
      </w:r>
      <w:r w:rsidRPr="005F2DAA">
        <w:rPr>
          <w:szCs w:val="24"/>
        </w:rPr>
        <w:t xml:space="preserve">les dispositions de la Résolution 68/262 (2014) de l'Assemblée générale des Nations Unies, </w:t>
      </w:r>
      <w:r w:rsidR="00F341CA" w:rsidRPr="005F2DAA">
        <w:rPr>
          <w:szCs w:val="24"/>
        </w:rPr>
        <w:t>en vertu de</w:t>
      </w:r>
      <w:r w:rsidRPr="005F2DAA">
        <w:rPr>
          <w:szCs w:val="24"/>
        </w:rPr>
        <w:t xml:space="preserve"> laquelle cette dernière "</w:t>
      </w:r>
      <w:r w:rsidR="00F341CA" w:rsidRPr="005F2DAA">
        <w:rPr>
          <w:szCs w:val="24"/>
        </w:rPr>
        <w:t>d</w:t>
      </w:r>
      <w:r w:rsidRPr="005F2DAA">
        <w:rPr>
          <w:szCs w:val="24"/>
        </w:rPr>
        <w:t xml:space="preserve">emande à tous les </w:t>
      </w:r>
      <w:r w:rsidR="00F341CA" w:rsidRPr="005F2DAA">
        <w:rPr>
          <w:szCs w:val="24"/>
        </w:rPr>
        <w:t>E</w:t>
      </w:r>
      <w:r w:rsidRPr="005F2DAA">
        <w:rPr>
          <w:szCs w:val="24"/>
        </w:rPr>
        <w:t>tats, organisations internationales et institutions spécialisées de ne reconnaître aucune modification du statut de la République autonome de Crimée et de la ville de Sébastopol" et "de s</w:t>
      </w:r>
      <w:r w:rsidR="00F341CA" w:rsidRPr="005F2DAA">
        <w:rPr>
          <w:szCs w:val="24"/>
        </w:rPr>
        <w:t>'</w:t>
      </w:r>
      <w:r w:rsidRPr="005F2DAA">
        <w:rPr>
          <w:szCs w:val="24"/>
        </w:rPr>
        <w:t>abstenir de tout acte ou contact susceptible d</w:t>
      </w:r>
      <w:r w:rsidR="00F341CA" w:rsidRPr="005F2DAA">
        <w:rPr>
          <w:szCs w:val="24"/>
        </w:rPr>
        <w:t>'</w:t>
      </w:r>
      <w:r w:rsidRPr="005F2DAA">
        <w:rPr>
          <w:szCs w:val="24"/>
        </w:rPr>
        <w:t>être interprété comme valant reconnaissance d</w:t>
      </w:r>
      <w:r w:rsidR="00F341CA" w:rsidRPr="005F2DAA">
        <w:rPr>
          <w:szCs w:val="24"/>
        </w:rPr>
        <w:t>'</w:t>
      </w:r>
      <w:r w:rsidRPr="005F2DAA">
        <w:rPr>
          <w:szCs w:val="24"/>
        </w:rPr>
        <w:t>une telle modification de statut";</w:t>
      </w:r>
    </w:p>
    <w:p w:rsidR="002371B0" w:rsidRPr="005F2DAA" w:rsidRDefault="002371B0" w:rsidP="00F341CA">
      <w:pPr>
        <w:rPr>
          <w:szCs w:val="24"/>
        </w:rPr>
      </w:pPr>
      <w:r w:rsidRPr="005F2DAA">
        <w:rPr>
          <w:i/>
          <w:iCs/>
          <w:szCs w:val="24"/>
        </w:rPr>
        <w:t>d)</w:t>
      </w:r>
      <w:r w:rsidRPr="005F2DAA">
        <w:rPr>
          <w:i/>
          <w:iCs/>
          <w:szCs w:val="24"/>
        </w:rPr>
        <w:tab/>
      </w:r>
      <w:r w:rsidRPr="005F2DAA">
        <w:rPr>
          <w:szCs w:val="24"/>
        </w:rPr>
        <w:t>le paragraphe 16 de la Déc</w:t>
      </w:r>
      <w:r w:rsidR="009C4E8E" w:rsidRPr="005F2DAA">
        <w:rPr>
          <w:szCs w:val="24"/>
        </w:rPr>
        <w:t>laration de principes de Genève</w:t>
      </w:r>
      <w:r w:rsidRPr="005F2DAA">
        <w:rPr>
          <w:szCs w:val="24"/>
        </w:rPr>
        <w:t xml:space="preserve"> adoptée par le Sommet mondial sur la société de l'information,</w:t>
      </w:r>
    </w:p>
    <w:p w:rsidR="002371B0" w:rsidRPr="005F2DAA" w:rsidRDefault="002371B0" w:rsidP="007E403E">
      <w:pPr>
        <w:pStyle w:val="Call"/>
      </w:pPr>
      <w:r w:rsidRPr="005F2DAA">
        <w:t>consciente</w:t>
      </w:r>
    </w:p>
    <w:p w:rsidR="002371B0" w:rsidRPr="005F2DAA" w:rsidRDefault="002371B0" w:rsidP="00F341CA">
      <w:r w:rsidRPr="005F2DAA">
        <w:t>que chaque Etat Membre de l'UIT devrait respecter les principes fondamentaux énoncés dans le Préambule de la Constitution</w:t>
      </w:r>
      <w:r w:rsidR="00C441E4" w:rsidRPr="005F2DAA">
        <w:t>,</w:t>
      </w:r>
      <w:r w:rsidRPr="005F2DAA">
        <w:t xml:space="preserve"> le Préambule du Règlement des télécommunications internationales et le Préambule du Règlement des radiocommunications,</w:t>
      </w:r>
    </w:p>
    <w:p w:rsidR="002371B0" w:rsidRPr="005F2DAA" w:rsidRDefault="00010139" w:rsidP="007E403E">
      <w:pPr>
        <w:pStyle w:val="Call"/>
      </w:pPr>
      <w:r w:rsidRPr="005F2DAA">
        <w:rPr>
          <w:lang w:eastAsia="en-GB"/>
        </w:rPr>
        <w:lastRenderedPageBreak/>
        <w:t>considérant</w:t>
      </w:r>
    </w:p>
    <w:p w:rsidR="002371B0" w:rsidRPr="005F2DAA" w:rsidRDefault="00010139" w:rsidP="00F341CA">
      <w:r w:rsidRPr="005F2DAA">
        <w:t>que la Constitution et la Convention de l'UIT visent à promouvoir la paix et la sécurité dans le monde pour le développement de la coopération internationale et l'amélioration de l'entente entre les peuples concernés</w:t>
      </w:r>
      <w:r w:rsidR="002371B0" w:rsidRPr="005F2DAA">
        <w:t>,</w:t>
      </w:r>
    </w:p>
    <w:p w:rsidR="002371B0" w:rsidRPr="005F2DAA" w:rsidRDefault="0044518F" w:rsidP="007E403E">
      <w:pPr>
        <w:pStyle w:val="Call"/>
      </w:pPr>
      <w:r w:rsidRPr="005F2DAA">
        <w:t>considérant en outre</w:t>
      </w:r>
    </w:p>
    <w:p w:rsidR="0044518F" w:rsidRPr="005F2DAA" w:rsidRDefault="002371B0" w:rsidP="009C4E8E">
      <w:r w:rsidRPr="005F2DAA">
        <w:rPr>
          <w:i/>
          <w:iCs/>
        </w:rPr>
        <w:t>а)</w:t>
      </w:r>
      <w:r w:rsidRPr="005F2DAA">
        <w:rPr>
          <w:i/>
          <w:iCs/>
        </w:rPr>
        <w:tab/>
      </w:r>
      <w:r w:rsidR="0044518F" w:rsidRPr="005F2DAA">
        <w:t>que les réseaux de télécommunication et les assignations de fréquence de l</w:t>
      </w:r>
      <w:r w:rsidR="00F341CA" w:rsidRPr="005F2DAA">
        <w:t>'</w:t>
      </w:r>
      <w:r w:rsidR="0044518F" w:rsidRPr="005F2DAA">
        <w:t xml:space="preserve">Ukraine </w:t>
      </w:r>
      <w:r w:rsidR="0080311B" w:rsidRPr="005F2DAA">
        <w:t>dans le</w:t>
      </w:r>
      <w:r w:rsidR="00D96926" w:rsidRPr="005F2DAA">
        <w:t>s</w:t>
      </w:r>
      <w:r w:rsidR="0080311B" w:rsidRPr="005F2DAA">
        <w:t xml:space="preserve"> territoire</w:t>
      </w:r>
      <w:r w:rsidR="00D96926" w:rsidRPr="005F2DAA">
        <w:t>s</w:t>
      </w:r>
      <w:r w:rsidR="0080311B" w:rsidRPr="005F2DAA">
        <w:t xml:space="preserve"> temporairement occupé</w:t>
      </w:r>
      <w:r w:rsidR="00D96926" w:rsidRPr="005F2DAA">
        <w:t>s</w:t>
      </w:r>
      <w:r w:rsidR="0080311B" w:rsidRPr="005F2DAA">
        <w:t xml:space="preserve"> de la République autonome de Crimée et la ville de </w:t>
      </w:r>
      <w:r w:rsidR="00627957" w:rsidRPr="005F2DAA">
        <w:t xml:space="preserve">Sébastopol </w:t>
      </w:r>
      <w:r w:rsidR="00E8029E" w:rsidRPr="005F2DAA">
        <w:t xml:space="preserve">sont actuellement utilisés </w:t>
      </w:r>
      <w:r w:rsidR="000B6C22" w:rsidRPr="001238E6">
        <w:t>de manière illégale</w:t>
      </w:r>
      <w:r w:rsidR="000B6C22">
        <w:t xml:space="preserve"> </w:t>
      </w:r>
      <w:r w:rsidR="00E8029E" w:rsidRPr="005F2DAA">
        <w:t xml:space="preserve">par </w:t>
      </w:r>
      <w:r w:rsidR="00227175" w:rsidRPr="005F2DAA">
        <w:t>l</w:t>
      </w:r>
      <w:r w:rsidR="00627957" w:rsidRPr="005F2DAA">
        <w:t xml:space="preserve">es </w:t>
      </w:r>
      <w:r w:rsidR="00F51278" w:rsidRPr="005F2DAA">
        <w:t>opérateurs de télécommunication</w:t>
      </w:r>
      <w:r w:rsidR="00627957" w:rsidRPr="005F2DAA">
        <w:t xml:space="preserve"> et </w:t>
      </w:r>
      <w:r w:rsidR="00227175" w:rsidRPr="005F2DAA">
        <w:t xml:space="preserve">les </w:t>
      </w:r>
      <w:r w:rsidR="00627957" w:rsidRPr="005F2DAA">
        <w:t>organismes de radiodiffusion</w:t>
      </w:r>
      <w:r w:rsidR="00E8029E" w:rsidRPr="005F2DAA">
        <w:t xml:space="preserve"> de la Fédération de Russie</w:t>
      </w:r>
      <w:r w:rsidR="00F341CA" w:rsidRPr="005F2DAA">
        <w:t>;</w:t>
      </w:r>
    </w:p>
    <w:p w:rsidR="00E8029E" w:rsidRDefault="002371B0" w:rsidP="009C4E8E">
      <w:r w:rsidRPr="005F2DAA">
        <w:rPr>
          <w:i/>
        </w:rPr>
        <w:t>b)</w:t>
      </w:r>
      <w:r w:rsidRPr="005F2DAA">
        <w:tab/>
      </w:r>
      <w:r w:rsidR="00F37B0C" w:rsidRPr="005F2DAA">
        <w:t xml:space="preserve">que la communauté internationale a un rôle important à jouer </w:t>
      </w:r>
      <w:r w:rsidR="009C4E8E" w:rsidRPr="005F2DAA">
        <w:t xml:space="preserve">en </w:t>
      </w:r>
      <w:r w:rsidR="00F37B0C" w:rsidRPr="005F2DAA">
        <w:t>aid</w:t>
      </w:r>
      <w:r w:rsidR="009C4E8E" w:rsidRPr="005F2DAA">
        <w:t>ant</w:t>
      </w:r>
      <w:r w:rsidR="00F37B0C" w:rsidRPr="005F2DAA">
        <w:t xml:space="preserve"> l</w:t>
      </w:r>
      <w:r w:rsidR="00F341CA" w:rsidRPr="005F2DAA">
        <w:t>'</w:t>
      </w:r>
      <w:r w:rsidR="00F37B0C" w:rsidRPr="005F2DAA">
        <w:t xml:space="preserve">Ukraine à </w:t>
      </w:r>
      <w:r w:rsidR="003A3480" w:rsidRPr="005F2DAA">
        <w:t>protéger</w:t>
      </w:r>
      <w:r w:rsidR="00474A59" w:rsidRPr="005F2DAA">
        <w:t xml:space="preserve"> ses </w:t>
      </w:r>
      <w:r w:rsidR="009C4E8E" w:rsidRPr="005F2DAA">
        <w:t xml:space="preserve">ressources en </w:t>
      </w:r>
      <w:r w:rsidR="00474A59" w:rsidRPr="005F2DAA">
        <w:t>fréquences et ses ressources de numérotage dans les territoires de la République autonome de Crimée et la ville de Sébastopol,</w:t>
      </w:r>
    </w:p>
    <w:p w:rsidR="000B6C22" w:rsidRDefault="000B6C22" w:rsidP="009C4E8E">
      <w:pPr>
        <w:rPr>
          <w:i/>
          <w:iCs/>
        </w:rPr>
      </w:pPr>
      <w:r>
        <w:tab/>
      </w:r>
      <w:r>
        <w:rPr>
          <w:i/>
          <w:iCs/>
        </w:rPr>
        <w:t>notant</w:t>
      </w:r>
    </w:p>
    <w:p w:rsidR="000B6C22" w:rsidRDefault="000B6C22" w:rsidP="001238E6">
      <w:pPr>
        <w:spacing w:before="240"/>
      </w:pPr>
      <w:r>
        <w:rPr>
          <w:i/>
          <w:iCs/>
        </w:rPr>
        <w:t>a)</w:t>
      </w:r>
      <w:r>
        <w:rPr>
          <w:i/>
          <w:iCs/>
        </w:rPr>
        <w:tab/>
      </w:r>
      <w:r>
        <w:t xml:space="preserve">les numéros 17 et 191 de la Constitution de l'UIT, qui disposent respectivement que l'Union </w:t>
      </w:r>
      <w:r w:rsidR="006123AE">
        <w:t>doit,</w:t>
      </w:r>
      <w:r>
        <w:t xml:space="preserve"> </w:t>
      </w:r>
      <w:r w:rsidR="006123AE" w:rsidRPr="001238E6">
        <w:t xml:space="preserve">plus particulièrement, </w:t>
      </w:r>
      <w:r w:rsidR="001238E6" w:rsidRPr="001238E6">
        <w:t>promouvoir</w:t>
      </w:r>
      <w:r w:rsidR="006123AE" w:rsidRPr="001238E6">
        <w:t xml:space="preserve"> l'adoption de mesures permettant d'assurer la sécurité de la vie humaine par la coopération des services de télécommunication</w:t>
      </w:r>
      <w:r w:rsidR="006123AE">
        <w:t xml:space="preserve"> et que </w:t>
      </w:r>
      <w:r w:rsidR="006123AE" w:rsidRPr="001238E6">
        <w:t>les services de télécommunication doivent accorder la priorité absolue à toutes les télécommunications relatives à la sécurité de la vie humaine</w:t>
      </w:r>
      <w:r w:rsidR="006123AE">
        <w:t>;</w:t>
      </w:r>
    </w:p>
    <w:p w:rsidR="006123AE" w:rsidRPr="006123AE" w:rsidRDefault="006123AE" w:rsidP="001238E6">
      <w:r>
        <w:rPr>
          <w:i/>
          <w:iCs/>
        </w:rPr>
        <w:t>b)</w:t>
      </w:r>
      <w:r>
        <w:rPr>
          <w:i/>
          <w:iCs/>
        </w:rPr>
        <w:tab/>
      </w:r>
      <w:r>
        <w:t xml:space="preserve">que </w:t>
      </w:r>
      <w:r w:rsidRPr="001238E6">
        <w:t>l'Organisation de l'aviation civile internationale a attiré l'attention</w:t>
      </w:r>
      <w:r>
        <w:t xml:space="preserve"> sur </w:t>
      </w:r>
      <w:r w:rsidR="00810F12">
        <w:t xml:space="preserve">le fait </w:t>
      </w:r>
      <w:r w:rsidR="001238E6">
        <w:t>qu'il existe potentiellement des risques graves pour l</w:t>
      </w:r>
      <w:r w:rsidR="00810F12">
        <w:t xml:space="preserve">a </w:t>
      </w:r>
      <w:r>
        <w:t>sécurité des vols civils internationaux</w:t>
      </w:r>
      <w:r w:rsidR="00810F12">
        <w:t xml:space="preserve">, compte tenu de la publication récente par la Fédération de Russie d'une série </w:t>
      </w:r>
      <w:r w:rsidR="00810F12" w:rsidRPr="001238E6">
        <w:t xml:space="preserve">d'avis aux aviateurs (NOTAM) visant à modifier la </w:t>
      </w:r>
      <w:r w:rsidR="006B14BE" w:rsidRPr="001238E6">
        <w:t>r</w:t>
      </w:r>
      <w:r w:rsidR="00810F12" w:rsidRPr="001238E6">
        <w:t>égion d'information de vol Simferopol, qui est p</w:t>
      </w:r>
      <w:r w:rsidR="00810F12">
        <w:t>lacée sous la responsabilité de l'Ukraine,</w:t>
      </w:r>
    </w:p>
    <w:p w:rsidR="002371B0" w:rsidRPr="005F2DAA" w:rsidRDefault="00376E9F" w:rsidP="007E403E">
      <w:pPr>
        <w:pStyle w:val="Call"/>
      </w:pPr>
      <w:r w:rsidRPr="005F2DAA">
        <w:t>affirmant</w:t>
      </w:r>
    </w:p>
    <w:p w:rsidR="000A72F8" w:rsidRPr="005F2DAA" w:rsidRDefault="002371B0" w:rsidP="00044C52">
      <w:r w:rsidRPr="005F2DAA">
        <w:t>а)</w:t>
      </w:r>
      <w:r w:rsidRPr="005F2DAA">
        <w:tab/>
      </w:r>
      <w:r w:rsidR="000A72F8" w:rsidRPr="005F2DAA">
        <w:t xml:space="preserve">que la fourniture de services internationaux de télécommunication </w:t>
      </w:r>
      <w:r w:rsidR="00F83B80" w:rsidRPr="005F2DAA">
        <w:t xml:space="preserve">aux habitants </w:t>
      </w:r>
      <w:r w:rsidR="00DE673A" w:rsidRPr="005F2DAA">
        <w:t xml:space="preserve">de la République autonome de Crimée et de la ville de Sébastopol </w:t>
      </w:r>
      <w:r w:rsidR="003A3480" w:rsidRPr="005F2DAA">
        <w:t>doit</w:t>
      </w:r>
      <w:r w:rsidR="00044C52">
        <w:t xml:space="preserve"> continuer d'</w:t>
      </w:r>
      <w:r w:rsidR="00DE673A" w:rsidRPr="005F2DAA">
        <w:t xml:space="preserve">être </w:t>
      </w:r>
      <w:r w:rsidR="00F83B80" w:rsidRPr="005F2DAA">
        <w:t xml:space="preserve">assurée </w:t>
      </w:r>
      <w:r w:rsidR="00DE673A" w:rsidRPr="005F2DAA">
        <w:t xml:space="preserve">au niveau international </w:t>
      </w:r>
      <w:r w:rsidR="00F83B80" w:rsidRPr="005F2DAA">
        <w:t xml:space="preserve">au moyen de l'indicatif </w:t>
      </w:r>
      <w:r w:rsidR="00DE673A" w:rsidRPr="005F2DAA">
        <w:t>de l</w:t>
      </w:r>
      <w:r w:rsidR="00F341CA" w:rsidRPr="005F2DAA">
        <w:t>'</w:t>
      </w:r>
      <w:r w:rsidR="00501D71" w:rsidRPr="005F2DAA">
        <w:t>Ukraine</w:t>
      </w:r>
      <w:r w:rsidR="00F341CA" w:rsidRPr="005F2DAA">
        <w:t>;</w:t>
      </w:r>
    </w:p>
    <w:p w:rsidR="00DE673A" w:rsidRPr="005F2DAA" w:rsidRDefault="002371B0" w:rsidP="00F83B80">
      <w:r w:rsidRPr="005F2DAA">
        <w:rPr>
          <w:i/>
        </w:rPr>
        <w:t>b)</w:t>
      </w:r>
      <w:r w:rsidRPr="005F2DAA">
        <w:tab/>
      </w:r>
      <w:r w:rsidR="00165BEB" w:rsidRPr="005F2DAA">
        <w:t xml:space="preserve">que </w:t>
      </w:r>
      <w:r w:rsidR="00224DDE" w:rsidRPr="005F2DAA">
        <w:t>toute</w:t>
      </w:r>
      <w:r w:rsidR="00EE7719" w:rsidRPr="005F2DAA">
        <w:t xml:space="preserve"> notification d'une assignation de fréquence à une station </w:t>
      </w:r>
      <w:r w:rsidR="00165BEB" w:rsidRPr="005F2DAA">
        <w:t>située sur le</w:t>
      </w:r>
      <w:r w:rsidR="00D96926" w:rsidRPr="005F2DAA">
        <w:t>s</w:t>
      </w:r>
      <w:r w:rsidR="00165BEB" w:rsidRPr="005F2DAA">
        <w:t xml:space="preserve"> territoire</w:t>
      </w:r>
      <w:r w:rsidR="00D96926" w:rsidRPr="005F2DAA">
        <w:t>s</w:t>
      </w:r>
      <w:r w:rsidR="00165BEB" w:rsidRPr="005F2DAA">
        <w:t xml:space="preserve"> temporairement occupé</w:t>
      </w:r>
      <w:r w:rsidR="00D96926" w:rsidRPr="005F2DAA">
        <w:t>s</w:t>
      </w:r>
      <w:r w:rsidR="00165BEB" w:rsidRPr="005F2DAA">
        <w:t xml:space="preserve"> de la Rép</w:t>
      </w:r>
      <w:r w:rsidR="00F83B80" w:rsidRPr="005F2DAA">
        <w:t>ublique autonome de Crimée et dans</w:t>
      </w:r>
      <w:r w:rsidR="00165BEB" w:rsidRPr="005F2DAA">
        <w:t xml:space="preserve"> la ville de Sébastopol </w:t>
      </w:r>
      <w:r w:rsidR="00EE7719" w:rsidRPr="005F2DAA">
        <w:t>doit être faite par l'</w:t>
      </w:r>
      <w:r w:rsidR="00F83B80" w:rsidRPr="005F2DAA">
        <w:t>A</w:t>
      </w:r>
      <w:r w:rsidR="00EE7719" w:rsidRPr="005F2DAA">
        <w:t xml:space="preserve">dministration </w:t>
      </w:r>
      <w:r w:rsidR="00F83B80" w:rsidRPr="005F2DAA">
        <w:t>u</w:t>
      </w:r>
      <w:r w:rsidR="00165BEB" w:rsidRPr="005F2DAA">
        <w:t>krain</w:t>
      </w:r>
      <w:r w:rsidR="00F83B80" w:rsidRPr="005F2DAA">
        <w:t>i</w:t>
      </w:r>
      <w:r w:rsidR="00165BEB" w:rsidRPr="005F2DAA">
        <w:t>e</w:t>
      </w:r>
      <w:r w:rsidR="00F83B80" w:rsidRPr="005F2DAA">
        <w:t>nne</w:t>
      </w:r>
      <w:r w:rsidR="00165BEB" w:rsidRPr="005F2DAA">
        <w:t xml:space="preserve">, conformément </w:t>
      </w:r>
      <w:r w:rsidR="00BE3419" w:rsidRPr="005F2DAA">
        <w:t>à</w:t>
      </w:r>
      <w:r w:rsidR="00A15C58" w:rsidRPr="005F2DAA">
        <w:t xml:space="preserve"> la Résolution 1 (Rév.CMR-97) de la Conférence mondiale des radiocommunications,</w:t>
      </w:r>
    </w:p>
    <w:p w:rsidR="002371B0" w:rsidRPr="005F2DAA" w:rsidRDefault="00376E9F" w:rsidP="007E403E">
      <w:pPr>
        <w:pStyle w:val="Call"/>
        <w:rPr>
          <w:iCs/>
        </w:rPr>
      </w:pPr>
      <w:r w:rsidRPr="005F2DAA">
        <w:t>reconnaissant</w:t>
      </w:r>
    </w:p>
    <w:p w:rsidR="00AB0FBD" w:rsidRPr="001238E6" w:rsidRDefault="002371B0" w:rsidP="00044C52">
      <w:r w:rsidRPr="001238E6">
        <w:rPr>
          <w:i/>
          <w:iCs/>
        </w:rPr>
        <w:t>а)</w:t>
      </w:r>
      <w:r w:rsidRPr="001238E6">
        <w:tab/>
      </w:r>
      <w:r w:rsidR="00AB0FBD" w:rsidRPr="001238E6">
        <w:t xml:space="preserve">que des systèmes de télécommunication fiables sont indispensables pour promouvoir le développement social et économique des pays, en particulier </w:t>
      </w:r>
      <w:r w:rsidR="007005EC" w:rsidRPr="001238E6">
        <w:t>de</w:t>
      </w:r>
      <w:r w:rsidR="00AB0FBD" w:rsidRPr="001238E6">
        <w:t xml:space="preserve"> ceux qui ont souffert de catastrophes naturelles, de conflits </w:t>
      </w:r>
      <w:r w:rsidR="00044C52" w:rsidRPr="001238E6">
        <w:t>armés</w:t>
      </w:r>
      <w:r w:rsidR="00AB0FBD" w:rsidRPr="001238E6">
        <w:t xml:space="preserve"> ou </w:t>
      </w:r>
      <w:r w:rsidR="00044C52" w:rsidRPr="001238E6">
        <w:t>d'autres situations de violence</w:t>
      </w:r>
      <w:r w:rsidR="00F341CA" w:rsidRPr="001238E6">
        <w:t>;</w:t>
      </w:r>
    </w:p>
    <w:p w:rsidR="007005EC" w:rsidRPr="001238E6" w:rsidRDefault="002371B0" w:rsidP="00044C52">
      <w:r w:rsidRPr="001238E6">
        <w:rPr>
          <w:i/>
          <w:iCs/>
        </w:rPr>
        <w:t>b)</w:t>
      </w:r>
      <w:r w:rsidRPr="001238E6">
        <w:rPr>
          <w:i/>
          <w:iCs/>
        </w:rPr>
        <w:tab/>
      </w:r>
      <w:r w:rsidR="007005EC" w:rsidRPr="001238E6">
        <w:t>que l</w:t>
      </w:r>
      <w:r w:rsidR="00F341CA" w:rsidRPr="001238E6">
        <w:t>'</w:t>
      </w:r>
      <w:r w:rsidR="007005EC" w:rsidRPr="001238E6">
        <w:t>Ukraine</w:t>
      </w:r>
      <w:r w:rsidR="0084268F" w:rsidRPr="001238E6">
        <w:t xml:space="preserve"> </w:t>
      </w:r>
      <w:r w:rsidR="00A15C58" w:rsidRPr="001238E6">
        <w:t>a été privée</w:t>
      </w:r>
      <w:r w:rsidR="0084268F" w:rsidRPr="001238E6">
        <w:t xml:space="preserve"> de moyens de </w:t>
      </w:r>
      <w:r w:rsidR="00E47A00" w:rsidRPr="001238E6">
        <w:t>télécommunication</w:t>
      </w:r>
      <w:r w:rsidR="0084268F" w:rsidRPr="001238E6">
        <w:t xml:space="preserve"> </w:t>
      </w:r>
      <w:r w:rsidR="001C1F08" w:rsidRPr="001238E6">
        <w:t>dans la République autonome de Crimée et la v</w:t>
      </w:r>
      <w:r w:rsidR="00044C52" w:rsidRPr="001238E6">
        <w:t>ille de Sébastopol, en raison du récent conflit armé</w:t>
      </w:r>
      <w:r w:rsidR="00F341CA" w:rsidRPr="001238E6">
        <w:t>;</w:t>
      </w:r>
    </w:p>
    <w:p w:rsidR="001C1F08" w:rsidRPr="001238E6" w:rsidRDefault="002371B0" w:rsidP="00044C52">
      <w:pPr>
        <w:rPr>
          <w:szCs w:val="24"/>
        </w:rPr>
      </w:pPr>
      <w:r w:rsidRPr="001238E6">
        <w:rPr>
          <w:i/>
          <w:iCs/>
          <w:szCs w:val="24"/>
        </w:rPr>
        <w:t>с)</w:t>
      </w:r>
      <w:r w:rsidRPr="001238E6">
        <w:rPr>
          <w:szCs w:val="24"/>
        </w:rPr>
        <w:tab/>
      </w:r>
      <w:r w:rsidR="001C1F08" w:rsidRPr="001238E6">
        <w:rPr>
          <w:szCs w:val="24"/>
        </w:rPr>
        <w:t xml:space="preserve">que le </w:t>
      </w:r>
      <w:r w:rsidR="00044C52" w:rsidRPr="001238E6">
        <w:rPr>
          <w:szCs w:val="24"/>
        </w:rPr>
        <w:t>préjudice</w:t>
      </w:r>
      <w:r w:rsidR="00340A3C" w:rsidRPr="001238E6">
        <w:rPr>
          <w:szCs w:val="24"/>
        </w:rPr>
        <w:t xml:space="preserve"> causé</w:t>
      </w:r>
      <w:r w:rsidR="001C1F08" w:rsidRPr="001238E6">
        <w:rPr>
          <w:szCs w:val="24"/>
        </w:rPr>
        <w:t xml:space="preserve"> aux télécommunications </w:t>
      </w:r>
      <w:r w:rsidR="00DC5D85" w:rsidRPr="001238E6">
        <w:rPr>
          <w:szCs w:val="24"/>
        </w:rPr>
        <w:t>de l</w:t>
      </w:r>
      <w:r w:rsidR="00F341CA" w:rsidRPr="001238E6">
        <w:rPr>
          <w:szCs w:val="24"/>
        </w:rPr>
        <w:t>'</w:t>
      </w:r>
      <w:r w:rsidR="00DC5D85" w:rsidRPr="001238E6">
        <w:rPr>
          <w:szCs w:val="24"/>
        </w:rPr>
        <w:t>Ukraine</w:t>
      </w:r>
      <w:r w:rsidR="00340A3C" w:rsidRPr="001238E6">
        <w:rPr>
          <w:szCs w:val="24"/>
        </w:rPr>
        <w:t xml:space="preserve"> devrai</w:t>
      </w:r>
      <w:r w:rsidR="001C1F08" w:rsidRPr="001238E6">
        <w:rPr>
          <w:szCs w:val="24"/>
        </w:rPr>
        <w:t>t préoccuper l'ensemble de la communauté internationale, en particulier l'UIT, qui est l'institution spécialisée des Nations Unies chargée des télécommunications</w:t>
      </w:r>
      <w:r w:rsidR="00F341CA" w:rsidRPr="001238E6">
        <w:rPr>
          <w:szCs w:val="24"/>
        </w:rPr>
        <w:t>;</w:t>
      </w:r>
    </w:p>
    <w:p w:rsidR="00DC5D85" w:rsidRPr="005F2DAA" w:rsidRDefault="002371B0" w:rsidP="00340A3C">
      <w:r w:rsidRPr="005F2DAA">
        <w:rPr>
          <w:i/>
          <w:iCs/>
        </w:rPr>
        <w:lastRenderedPageBreak/>
        <w:t>d)</w:t>
      </w:r>
      <w:r w:rsidRPr="005F2DAA">
        <w:tab/>
      </w:r>
      <w:r w:rsidR="00DC5D85" w:rsidRPr="005F2DAA">
        <w:t>le droit plein et entier de l</w:t>
      </w:r>
      <w:r w:rsidR="00F341CA" w:rsidRPr="005F2DAA">
        <w:t>'</w:t>
      </w:r>
      <w:r w:rsidR="00DC5D85" w:rsidRPr="005F2DAA">
        <w:t>Ukraine d'ob</w:t>
      </w:r>
      <w:r w:rsidR="00340A3C">
        <w:t xml:space="preserve">tenir une compensation pour </w:t>
      </w:r>
      <w:r w:rsidR="00340A3C" w:rsidRPr="00985CB4">
        <w:t>le préjudice causé</w:t>
      </w:r>
      <w:r w:rsidR="00DC5D85" w:rsidRPr="005F2DAA">
        <w:t xml:space="preserve"> à son réseau de télécommunication</w:t>
      </w:r>
      <w:r w:rsidR="00F341CA" w:rsidRPr="005F2DAA">
        <w:t>;</w:t>
      </w:r>
    </w:p>
    <w:p w:rsidR="00DC5D85" w:rsidRPr="005F2DAA" w:rsidRDefault="002371B0" w:rsidP="00D96926">
      <w:r w:rsidRPr="005F2DAA">
        <w:rPr>
          <w:i/>
          <w:iCs/>
        </w:rPr>
        <w:t>e)</w:t>
      </w:r>
      <w:r w:rsidRPr="005F2DAA">
        <w:tab/>
      </w:r>
      <w:r w:rsidR="004034D4" w:rsidRPr="005F2DAA">
        <w:t>que</w:t>
      </w:r>
      <w:r w:rsidR="00D96926" w:rsidRPr="005F2DAA">
        <w:t>, dans les circonstances actuelles,</w:t>
      </w:r>
      <w:r w:rsidR="004034D4" w:rsidRPr="005F2DAA">
        <w:t xml:space="preserve"> </w:t>
      </w:r>
      <w:r w:rsidR="00D96926" w:rsidRPr="005F2DAA">
        <w:t xml:space="preserve">dans </w:t>
      </w:r>
      <w:r w:rsidR="004034D4" w:rsidRPr="005F2DAA">
        <w:t xml:space="preserve">les territoires de la République autonome de Crimée et la ville de Sébastopol, </w:t>
      </w:r>
      <w:r w:rsidR="00B80A83" w:rsidRPr="005F2DAA">
        <w:t>l</w:t>
      </w:r>
      <w:r w:rsidR="00F341CA" w:rsidRPr="005F2DAA">
        <w:t>'</w:t>
      </w:r>
      <w:r w:rsidR="00B80A83" w:rsidRPr="005F2DAA">
        <w:t>Ukraine n</w:t>
      </w:r>
      <w:r w:rsidR="00F341CA" w:rsidRPr="005F2DAA">
        <w:t>'</w:t>
      </w:r>
      <w:r w:rsidR="00B80A83" w:rsidRPr="005F2DAA">
        <w:t xml:space="preserve">aura pas la possibilité </w:t>
      </w:r>
      <w:r w:rsidR="00131AB9" w:rsidRPr="005F2DAA">
        <w:t>de mener à bien le passage de la radiodiffusion télévisuelle analogique à la radiodiffusion télévisuelle numérique</w:t>
      </w:r>
      <w:r w:rsidR="00BA3B62" w:rsidRPr="005F2DAA">
        <w:t xml:space="preserve"> conformément à l'Accord régional relatif à la planification du service de radiodiffusion numérique de Terre dans la Région 1 (parties de la Région 1 situées à l'ouest du méridien 170° E e</w:t>
      </w:r>
      <w:r w:rsidR="00D96926" w:rsidRPr="005F2DAA">
        <w:t>t au nord du parallèle 40° S, à </w:t>
      </w:r>
      <w:r w:rsidR="00BA3B62" w:rsidRPr="005F2DAA">
        <w:t>l'exception du territoire de la Mongolie) et en République islamique d'Iran, dans les bandes d</w:t>
      </w:r>
      <w:r w:rsidR="003A4693">
        <w:t>e fréquences 174-230 MHz et 470-</w:t>
      </w:r>
      <w:r w:rsidR="00BA3B62" w:rsidRPr="005F2DAA">
        <w:t>862 MHz (Genève, 2006)</w:t>
      </w:r>
      <w:r w:rsidR="003B7C68" w:rsidRPr="005F2DAA">
        <w:t>,</w:t>
      </w:r>
      <w:r w:rsidR="00131AB9" w:rsidRPr="005F2DAA">
        <w:t xml:space="preserve"> </w:t>
      </w:r>
    </w:p>
    <w:p w:rsidR="002371B0" w:rsidRPr="005F2DAA" w:rsidRDefault="000A72F8" w:rsidP="007E403E">
      <w:pPr>
        <w:pStyle w:val="Call"/>
        <w:rPr>
          <w:i w:val="0"/>
        </w:rPr>
      </w:pPr>
      <w:r w:rsidRPr="005F2DAA">
        <w:t>décide</w:t>
      </w:r>
    </w:p>
    <w:p w:rsidR="009F700B" w:rsidRPr="005F2DAA" w:rsidRDefault="002371B0" w:rsidP="001238E6">
      <w:r w:rsidRPr="005F2DAA">
        <w:t>1</w:t>
      </w:r>
      <w:r w:rsidRPr="005F2DAA">
        <w:tab/>
      </w:r>
      <w:r w:rsidR="00340A3C" w:rsidRPr="001238E6">
        <w:t>que</w:t>
      </w:r>
      <w:r w:rsidR="00F77269" w:rsidRPr="001238E6">
        <w:t xml:space="preserve"> le Secrétaire général,</w:t>
      </w:r>
      <w:r w:rsidR="00104B6F" w:rsidRPr="001238E6">
        <w:t xml:space="preserve"> le </w:t>
      </w:r>
      <w:r w:rsidR="00D96926" w:rsidRPr="001238E6">
        <w:t>d</w:t>
      </w:r>
      <w:r w:rsidR="00104B6F" w:rsidRPr="001238E6">
        <w:t xml:space="preserve">irecteur du Bureau </w:t>
      </w:r>
      <w:r w:rsidR="00F77269" w:rsidRPr="001238E6">
        <w:t xml:space="preserve">des radiocommunications et le </w:t>
      </w:r>
      <w:r w:rsidR="007067EB" w:rsidRPr="001238E6">
        <w:t>d</w:t>
      </w:r>
      <w:r w:rsidR="00F77269" w:rsidRPr="001238E6">
        <w:t xml:space="preserve">irecteur du Bureau de la normalisation </w:t>
      </w:r>
      <w:r w:rsidR="00104B6F" w:rsidRPr="001238E6">
        <w:t>des télécommunicat</w:t>
      </w:r>
      <w:r w:rsidR="009F700B" w:rsidRPr="001238E6">
        <w:t>ions</w:t>
      </w:r>
      <w:r w:rsidR="00340A3C" w:rsidRPr="001238E6">
        <w:t xml:space="preserve"> </w:t>
      </w:r>
      <w:r w:rsidR="001238E6">
        <w:t>doivent prendre des mesures spéciales</w:t>
      </w:r>
      <w:r w:rsidR="00104B6F" w:rsidRPr="001238E6">
        <w:t xml:space="preserve"> afin</w:t>
      </w:r>
      <w:r w:rsidR="00104B6F" w:rsidRPr="005F2DAA">
        <w:t xml:space="preserve"> d'apporter une assistance et un appui appropriés </w:t>
      </w:r>
      <w:r w:rsidR="009F700B" w:rsidRPr="005F2DAA">
        <w:t>à l</w:t>
      </w:r>
      <w:r w:rsidR="00F341CA" w:rsidRPr="005F2DAA">
        <w:t>'</w:t>
      </w:r>
      <w:r w:rsidR="009F700B" w:rsidRPr="005F2DAA">
        <w:t>Ukraine pour garantir l</w:t>
      </w:r>
      <w:r w:rsidR="00F341CA" w:rsidRPr="005F2DAA">
        <w:t>'</w:t>
      </w:r>
      <w:r w:rsidR="009F700B" w:rsidRPr="005F2DAA">
        <w:t xml:space="preserve">utilisation des </w:t>
      </w:r>
      <w:r w:rsidR="007067EB" w:rsidRPr="005F2DAA">
        <w:t xml:space="preserve">ressources en </w:t>
      </w:r>
      <w:r w:rsidR="009F700B" w:rsidRPr="005F2DAA">
        <w:t>fréquences et des ressources de numérotage dans les territoires de la République autonome de Crimée et la ville de Sébastopol</w:t>
      </w:r>
      <w:r w:rsidR="00F341CA" w:rsidRPr="005F2DAA">
        <w:t>;</w:t>
      </w:r>
    </w:p>
    <w:p w:rsidR="006E4577" w:rsidRPr="005F2DAA" w:rsidRDefault="002371B0" w:rsidP="00340A3C">
      <w:r w:rsidRPr="005F2DAA">
        <w:t>2</w:t>
      </w:r>
      <w:r w:rsidRPr="005F2DAA">
        <w:tab/>
      </w:r>
      <w:r w:rsidR="007067EB" w:rsidRPr="005F2DAA">
        <w:t>que les c</w:t>
      </w:r>
      <w:r w:rsidR="00950B5F" w:rsidRPr="005F2DAA">
        <w:t>onférences mondiales et régionales des radiocommunications</w:t>
      </w:r>
      <w:r w:rsidR="00727CD1" w:rsidRPr="005F2DAA">
        <w:t xml:space="preserve"> et le Bureau des radiocommunications </w:t>
      </w:r>
      <w:r w:rsidR="003A3480" w:rsidRPr="005F2DAA">
        <w:t>doivent</w:t>
      </w:r>
      <w:r w:rsidR="00727CD1" w:rsidRPr="005F2DAA">
        <w:t xml:space="preserve"> dûment </w:t>
      </w:r>
      <w:r w:rsidR="007067EB" w:rsidRPr="005F2DAA">
        <w:t xml:space="preserve">tenir </w:t>
      </w:r>
      <w:r w:rsidR="00727CD1" w:rsidRPr="005F2DAA">
        <w:t xml:space="preserve">compte </w:t>
      </w:r>
      <w:r w:rsidR="009626B9" w:rsidRPr="005F2DAA">
        <w:t xml:space="preserve">des </w:t>
      </w:r>
      <w:r w:rsidR="007067EB" w:rsidRPr="005F2DAA">
        <w:t>besoins</w:t>
      </w:r>
      <w:r w:rsidR="009626B9" w:rsidRPr="005F2DAA">
        <w:t xml:space="preserve"> de l</w:t>
      </w:r>
      <w:r w:rsidR="00F341CA" w:rsidRPr="005F2DAA">
        <w:t>'</w:t>
      </w:r>
      <w:r w:rsidR="009626B9" w:rsidRPr="005F2DAA">
        <w:t>Ukraine</w:t>
      </w:r>
      <w:r w:rsidR="008C5B1E" w:rsidRPr="005F2DAA">
        <w:t xml:space="preserve"> et les protéger</w:t>
      </w:r>
      <w:r w:rsidR="009626B9" w:rsidRPr="005F2DAA">
        <w:t xml:space="preserve"> pour tout</w:t>
      </w:r>
      <w:r w:rsidR="007067EB" w:rsidRPr="005F2DAA">
        <w:t xml:space="preserve"> ce qui a trait </w:t>
      </w:r>
      <w:r w:rsidR="009626B9" w:rsidRPr="005F2DAA">
        <w:t>à l</w:t>
      </w:r>
      <w:r w:rsidR="00F341CA" w:rsidRPr="005F2DAA">
        <w:t>'</w:t>
      </w:r>
      <w:r w:rsidR="00214780" w:rsidRPr="005F2DAA">
        <w:t>utilisation du spectre des fréquences</w:t>
      </w:r>
      <w:r w:rsidR="007067EB" w:rsidRPr="005F2DAA">
        <w:t xml:space="preserve"> radioélectriques</w:t>
      </w:r>
      <w:r w:rsidR="00214780" w:rsidRPr="005F2DAA">
        <w:t xml:space="preserve"> dans les territoires de la République autonome de Crimée et la ville de Sébastopol</w:t>
      </w:r>
      <w:r w:rsidR="00340A3C">
        <w:t>,</w:t>
      </w:r>
    </w:p>
    <w:p w:rsidR="002371B0" w:rsidRPr="005F2DAA" w:rsidRDefault="00865CF9" w:rsidP="007E403E">
      <w:pPr>
        <w:pStyle w:val="Call"/>
        <w:rPr>
          <w:i w:val="0"/>
        </w:rPr>
      </w:pPr>
      <w:r w:rsidRPr="005F2DAA">
        <w:t>engage les Etats Membres</w:t>
      </w:r>
    </w:p>
    <w:p w:rsidR="00865CF9" w:rsidRPr="005F2DAA" w:rsidRDefault="00865CF9" w:rsidP="00F341CA">
      <w:r w:rsidRPr="005F2DAA">
        <w:t>1</w:t>
      </w:r>
      <w:r w:rsidRPr="005F2DAA">
        <w:tab/>
        <w:t xml:space="preserve">à offrir toute l'assistance et tout l'appui possibles au </w:t>
      </w:r>
      <w:r w:rsidR="00873AE2" w:rsidRPr="005F2DAA">
        <w:t>G</w:t>
      </w:r>
      <w:r w:rsidRPr="005F2DAA">
        <w:t>ouvernement ukrainien, soit de manière bilatérale, soit dans le cadre de l'action spéciale de l'Union visée ci-dessus et, en tout état de cause, en coordination avec cette action</w:t>
      </w:r>
      <w:r w:rsidR="00F341CA" w:rsidRPr="005F2DAA">
        <w:t>;</w:t>
      </w:r>
    </w:p>
    <w:p w:rsidR="00D0171E" w:rsidRPr="001238E6" w:rsidRDefault="002371B0" w:rsidP="001238E6">
      <w:pPr>
        <w:rPr>
          <w:rFonts w:cs="Calibri"/>
        </w:rPr>
      </w:pPr>
      <w:r w:rsidRPr="005F2DAA">
        <w:rPr>
          <w:rFonts w:cs="Calibri"/>
        </w:rPr>
        <w:t>2</w:t>
      </w:r>
      <w:r w:rsidRPr="005F2DAA">
        <w:rPr>
          <w:rFonts w:cs="Calibri"/>
        </w:rPr>
        <w:tab/>
      </w:r>
      <w:r w:rsidR="00D0171E" w:rsidRPr="005F2DAA">
        <w:rPr>
          <w:rFonts w:cs="Calibri"/>
        </w:rPr>
        <w:t xml:space="preserve">à exiger que tous les opérateurs de </w:t>
      </w:r>
      <w:r w:rsidR="00A21B46" w:rsidRPr="005F2DAA">
        <w:rPr>
          <w:rFonts w:cs="Calibri"/>
        </w:rPr>
        <w:t>télécommunication</w:t>
      </w:r>
      <w:r w:rsidR="00D0171E" w:rsidRPr="005F2DAA">
        <w:rPr>
          <w:rFonts w:cs="Calibri"/>
        </w:rPr>
        <w:t xml:space="preserve"> de leurs pays continuent </w:t>
      </w:r>
      <w:r w:rsidR="00C977A4" w:rsidRPr="005F2DAA">
        <w:rPr>
          <w:rFonts w:cs="Calibri"/>
        </w:rPr>
        <w:t>d</w:t>
      </w:r>
      <w:r w:rsidR="00F341CA" w:rsidRPr="005F2DAA">
        <w:rPr>
          <w:rFonts w:cs="Calibri"/>
        </w:rPr>
        <w:t>'</w:t>
      </w:r>
      <w:r w:rsidR="00C977A4" w:rsidRPr="005F2DAA">
        <w:rPr>
          <w:rFonts w:cs="Calibri"/>
        </w:rPr>
        <w:t xml:space="preserve">acheminer le trafic </w:t>
      </w:r>
      <w:r w:rsidR="007E43AD" w:rsidRPr="005F2DAA">
        <w:rPr>
          <w:rFonts w:cs="Calibri"/>
        </w:rPr>
        <w:t>à destination de</w:t>
      </w:r>
      <w:r w:rsidR="00C977A4" w:rsidRPr="005F2DAA">
        <w:rPr>
          <w:rFonts w:cs="Calibri"/>
        </w:rPr>
        <w:t xml:space="preserve"> </w:t>
      </w:r>
      <w:r w:rsidR="00C977A4" w:rsidRPr="005F2DAA">
        <w:t xml:space="preserve">la République autonome de Crimée et </w:t>
      </w:r>
      <w:r w:rsidR="007E43AD" w:rsidRPr="005F2DAA">
        <w:t>de</w:t>
      </w:r>
      <w:r w:rsidR="00C977A4" w:rsidRPr="005F2DAA">
        <w:t xml:space="preserve"> la ville de Sébastopol</w:t>
      </w:r>
      <w:r w:rsidR="00340A3C" w:rsidRPr="001238E6">
        <w:rPr>
          <w:rFonts w:cs="Calibri"/>
        </w:rPr>
        <w:t>, conform</w:t>
      </w:r>
      <w:r w:rsidR="001238E6">
        <w:rPr>
          <w:rFonts w:cs="Calibri"/>
        </w:rPr>
        <w:t xml:space="preserve">ément aux Recommandations </w:t>
      </w:r>
      <w:r w:rsidR="00340A3C" w:rsidRPr="001238E6">
        <w:rPr>
          <w:rFonts w:cs="Calibri"/>
        </w:rPr>
        <w:t xml:space="preserve">pertinentes </w:t>
      </w:r>
      <w:r w:rsidR="001238E6">
        <w:rPr>
          <w:rFonts w:cs="Calibri"/>
        </w:rPr>
        <w:t>de l'UIT</w:t>
      </w:r>
      <w:r w:rsidR="001238E6">
        <w:rPr>
          <w:rFonts w:cs="Calibri"/>
        </w:rPr>
        <w:noBreakHyphen/>
        <w:t xml:space="preserve">T </w:t>
      </w:r>
      <w:r w:rsidR="00340A3C" w:rsidRPr="001238E6">
        <w:rPr>
          <w:rFonts w:cs="Calibri"/>
        </w:rPr>
        <w:t xml:space="preserve">et aux </w:t>
      </w:r>
      <w:r w:rsidR="001238E6">
        <w:rPr>
          <w:rFonts w:cs="Calibri"/>
        </w:rPr>
        <w:t>ressources de numérotage attribuées en vertu de ces Recommandations</w:t>
      </w:r>
      <w:r w:rsidR="007E43AD" w:rsidRPr="001238E6">
        <w:rPr>
          <w:rFonts w:cs="Calibri"/>
        </w:rPr>
        <w:t>,</w:t>
      </w:r>
    </w:p>
    <w:p w:rsidR="002371B0" w:rsidRPr="005F2DAA" w:rsidRDefault="009527BF" w:rsidP="007E403E">
      <w:pPr>
        <w:pStyle w:val="Call"/>
        <w:rPr>
          <w:i w:val="0"/>
          <w:lang w:bidi="ar-EG"/>
        </w:rPr>
      </w:pPr>
      <w:r w:rsidRPr="005F2DAA">
        <w:rPr>
          <w:lang w:bidi="ar-EG"/>
        </w:rPr>
        <w:t xml:space="preserve">charge le </w:t>
      </w:r>
      <w:r w:rsidRPr="005F2DAA">
        <w:t>Secrétaire</w:t>
      </w:r>
      <w:r w:rsidRPr="005F2DAA">
        <w:rPr>
          <w:lang w:bidi="ar-EG"/>
        </w:rPr>
        <w:t xml:space="preserve"> général</w:t>
      </w:r>
    </w:p>
    <w:p w:rsidR="002371B0" w:rsidRPr="005F2DAA" w:rsidRDefault="00C27C14" w:rsidP="00F341CA">
      <w:r w:rsidRPr="005F2DAA">
        <w:t>de faire rapport au Conseil et à la prochaine Conférence de plénipotentiaires au sujet de la mise en œuvre de la présente Résolution</w:t>
      </w:r>
      <w:r w:rsidR="002371B0" w:rsidRPr="005F2DAA">
        <w:t>,</w:t>
      </w:r>
    </w:p>
    <w:p w:rsidR="002371B0" w:rsidRPr="005F2DAA" w:rsidRDefault="00C27C14" w:rsidP="007E403E">
      <w:pPr>
        <w:pStyle w:val="Call"/>
      </w:pPr>
      <w:r w:rsidRPr="005F2DAA">
        <w:t>demande au Président de la Conférence de plénipotentiaires</w:t>
      </w:r>
    </w:p>
    <w:p w:rsidR="006E6631" w:rsidRPr="005F2DAA" w:rsidRDefault="006E6631" w:rsidP="00F341CA">
      <w:r w:rsidRPr="005F2DAA">
        <w:t>de porter immédiatement la présente Résolution à l'attention du Secrétaire général de l'Organisation des Nations Unies.</w:t>
      </w:r>
      <w:bookmarkStart w:id="7" w:name="_GoBack"/>
      <w:bookmarkEnd w:id="7"/>
    </w:p>
    <w:p w:rsidR="00F341CA" w:rsidRPr="005F2DAA" w:rsidRDefault="00F341CA" w:rsidP="00871D12">
      <w:pPr>
        <w:pStyle w:val="Reasons"/>
        <w:jc w:val="center"/>
      </w:pPr>
    </w:p>
    <w:p w:rsidR="00F341CA" w:rsidRPr="005F2DAA" w:rsidRDefault="00F341CA" w:rsidP="00871D12">
      <w:pPr>
        <w:pStyle w:val="Reasons"/>
        <w:jc w:val="center"/>
      </w:pPr>
      <w:r w:rsidRPr="005F2DAA">
        <w:t>______________</w:t>
      </w:r>
    </w:p>
    <w:sectPr w:rsidR="00F341CA" w:rsidRPr="005F2DAA" w:rsidSect="003A0B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82" w:rsidRDefault="00D14882">
      <w:r>
        <w:separator/>
      </w:r>
    </w:p>
  </w:endnote>
  <w:endnote w:type="continuationSeparator" w:id="0">
    <w:p w:rsidR="00D14882" w:rsidRDefault="00D1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CB4" w:rsidRDefault="00985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0E4F71" w:rsidRDefault="00F465F4" w:rsidP="00874F9B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0E4F71">
      <w:rPr>
        <w:lang w:val="en-US"/>
      </w:rPr>
      <w:instrText xml:space="preserve"> FILENAME \p \* MERGEFORMAT </w:instrText>
    </w:r>
    <w:r>
      <w:fldChar w:fldCharType="separate"/>
    </w:r>
    <w:r w:rsidR="00874F9B">
      <w:rPr>
        <w:lang w:val="en-US"/>
      </w:rPr>
      <w:t>P:\FRA\SG\CONF-SG\PP14\000\084REV1F.docx</w:t>
    </w:r>
    <w:r>
      <w:fldChar w:fldCharType="end"/>
    </w:r>
    <w:r w:rsidR="00412761" w:rsidRPr="006D5C80">
      <w:rPr>
        <w:lang w:val="en-US"/>
      </w:rPr>
      <w:t xml:space="preserve"> (</w:t>
    </w:r>
    <w:r w:rsidR="00874F9B">
      <w:rPr>
        <w:lang w:val="en-US"/>
      </w:rPr>
      <w:t>371899</w:t>
    </w:r>
    <w:r w:rsidR="00412761" w:rsidRPr="006D5C80">
      <w:rPr>
        <w:lang w:val="en-US"/>
      </w:rPr>
      <w:t>)</w:t>
    </w:r>
    <w:r w:rsidR="000C467B" w:rsidRPr="000E4F71">
      <w:rPr>
        <w:lang w:val="en-US"/>
      </w:rPr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871D12">
      <w:t>31.10.14</w:t>
    </w:r>
    <w:r w:rsidR="00575DC7">
      <w:fldChar w:fldCharType="end"/>
    </w:r>
    <w:r w:rsidR="000C467B" w:rsidRPr="000E4F71">
      <w:rPr>
        <w:lang w:val="en-US"/>
      </w:rPr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874F9B">
      <w:t>00.00.00</w:t>
    </w:r>
    <w:r w:rsidR="00575DC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Pr="00C441E4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C441E4">
      <w:rPr>
        <w:sz w:val="20"/>
        <w:szCs w:val="20"/>
      </w:rPr>
      <w:t xml:space="preserve"> </w:t>
    </w:r>
    <w:r w:rsidRPr="00C441E4">
      <w:rPr>
        <w:rStyle w:val="Hyperlink"/>
        <w:sz w:val="22"/>
        <w:szCs w:val="22"/>
      </w:rPr>
      <w:t>www.itu.int/plenipotentiary/</w:t>
    </w:r>
    <w:r w:rsidRPr="00C441E4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Pr="00C441E4" w:rsidRDefault="000C467B">
    <w:pPr>
      <w:pStyle w:val="FirstFooter"/>
      <w:jc w:val="center"/>
      <w:rPr>
        <w:lang w:val="en-US"/>
      </w:rPr>
    </w:pPr>
  </w:p>
  <w:p w:rsidR="000C467B" w:rsidRPr="000E4F71" w:rsidRDefault="00412761" w:rsidP="006D5C80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0E4F71">
      <w:rPr>
        <w:lang w:val="en-US"/>
      </w:rPr>
      <w:instrText xml:space="preserve"> FILENAME \p \* MERGEFORMAT </w:instrText>
    </w:r>
    <w:r>
      <w:fldChar w:fldCharType="separate"/>
    </w:r>
    <w:r w:rsidR="00985CB4">
      <w:rPr>
        <w:lang w:val="en-US"/>
      </w:rPr>
      <w:t>P:\FRA\SG\CONF-SG\PP14\000\084REV1F.docx</w:t>
    </w:r>
    <w:r>
      <w:fldChar w:fldCharType="end"/>
    </w:r>
    <w:r w:rsidRPr="00412761">
      <w:rPr>
        <w:lang w:val="en-US"/>
      </w:rPr>
      <w:t xml:space="preserve"> (</w:t>
    </w:r>
    <w:r w:rsidR="006D5C80">
      <w:rPr>
        <w:lang w:val="en-US"/>
      </w:rPr>
      <w:t>371899</w:t>
    </w:r>
    <w:r w:rsidRPr="00412761">
      <w:rPr>
        <w:lang w:val="en-US"/>
      </w:rPr>
      <w:t>)</w:t>
    </w:r>
    <w:r w:rsidRPr="000E4F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1D12">
      <w:t>31.10.14</w:t>
    </w:r>
    <w:r>
      <w:fldChar w:fldCharType="end"/>
    </w:r>
    <w:r w:rsidRPr="000E4F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5CB4"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82" w:rsidRDefault="00D14882">
      <w:r>
        <w:t>____________________</w:t>
      </w:r>
    </w:p>
  </w:footnote>
  <w:footnote w:type="continuationSeparator" w:id="0">
    <w:p w:rsidR="00D14882" w:rsidRDefault="00D1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CB4" w:rsidRDefault="00985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71D12">
      <w:rPr>
        <w:noProof/>
      </w:rPr>
      <w:t>3</w:t>
    </w:r>
    <w:r>
      <w:fldChar w:fldCharType="end"/>
    </w:r>
  </w:p>
  <w:p w:rsidR="00BD1614" w:rsidRDefault="00BD1614" w:rsidP="00BD1614">
    <w:pPr>
      <w:pStyle w:val="Header"/>
    </w:pPr>
    <w:r>
      <w:t>PP14/84</w:t>
    </w:r>
    <w:r w:rsidR="00340A3C">
      <w:t>(Rév.1)</w:t>
    </w:r>
    <w:r>
      <w:t>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CB4" w:rsidRDefault="00985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BAD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EA3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0F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02C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186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8C9E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0C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660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CAC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67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17080F"/>
    <w:multiLevelType w:val="hybridMultilevel"/>
    <w:tmpl w:val="15247D3E"/>
    <w:lvl w:ilvl="0" w:tplc="5B6C9EE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07264"/>
    <w:multiLevelType w:val="hybridMultilevel"/>
    <w:tmpl w:val="EDC40952"/>
    <w:lvl w:ilvl="0" w:tplc="F25A1444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10139"/>
    <w:rsid w:val="00044C52"/>
    <w:rsid w:val="00060D74"/>
    <w:rsid w:val="00072D5C"/>
    <w:rsid w:val="0007324A"/>
    <w:rsid w:val="0008398C"/>
    <w:rsid w:val="00084308"/>
    <w:rsid w:val="000A1DF4"/>
    <w:rsid w:val="000A72F8"/>
    <w:rsid w:val="000B14B6"/>
    <w:rsid w:val="000B6C22"/>
    <w:rsid w:val="000C2C1A"/>
    <w:rsid w:val="000C467B"/>
    <w:rsid w:val="000D15FB"/>
    <w:rsid w:val="000E4F71"/>
    <w:rsid w:val="000F58F7"/>
    <w:rsid w:val="00104B6F"/>
    <w:rsid w:val="001051E4"/>
    <w:rsid w:val="001238E6"/>
    <w:rsid w:val="00131AB9"/>
    <w:rsid w:val="001354EA"/>
    <w:rsid w:val="00136FCE"/>
    <w:rsid w:val="00153BA4"/>
    <w:rsid w:val="00165BEB"/>
    <w:rsid w:val="001941AD"/>
    <w:rsid w:val="001A0682"/>
    <w:rsid w:val="001B4D8D"/>
    <w:rsid w:val="001C1F08"/>
    <w:rsid w:val="001D31B2"/>
    <w:rsid w:val="001E1B9B"/>
    <w:rsid w:val="001F6233"/>
    <w:rsid w:val="00204AF6"/>
    <w:rsid w:val="00212F3D"/>
    <w:rsid w:val="00214780"/>
    <w:rsid w:val="00224DDE"/>
    <w:rsid w:val="00227175"/>
    <w:rsid w:val="002355CD"/>
    <w:rsid w:val="002371B0"/>
    <w:rsid w:val="00270B2F"/>
    <w:rsid w:val="002A0E1B"/>
    <w:rsid w:val="002C0CCB"/>
    <w:rsid w:val="002C1059"/>
    <w:rsid w:val="002C2F9C"/>
    <w:rsid w:val="002C4C39"/>
    <w:rsid w:val="00321B39"/>
    <w:rsid w:val="00322DEA"/>
    <w:rsid w:val="00340A3C"/>
    <w:rsid w:val="00360061"/>
    <w:rsid w:val="00376E9F"/>
    <w:rsid w:val="003A0B7D"/>
    <w:rsid w:val="003A3480"/>
    <w:rsid w:val="003A45C2"/>
    <w:rsid w:val="003A4693"/>
    <w:rsid w:val="003B7C68"/>
    <w:rsid w:val="003C4BE2"/>
    <w:rsid w:val="003D147D"/>
    <w:rsid w:val="003D637A"/>
    <w:rsid w:val="004034D4"/>
    <w:rsid w:val="00412761"/>
    <w:rsid w:val="0041456D"/>
    <w:rsid w:val="004146C5"/>
    <w:rsid w:val="00430015"/>
    <w:rsid w:val="00443850"/>
    <w:rsid w:val="0044518F"/>
    <w:rsid w:val="004643EA"/>
    <w:rsid w:val="004678D0"/>
    <w:rsid w:val="00474A59"/>
    <w:rsid w:val="00482954"/>
    <w:rsid w:val="004857AF"/>
    <w:rsid w:val="004951C0"/>
    <w:rsid w:val="004C1F33"/>
    <w:rsid w:val="004F2276"/>
    <w:rsid w:val="00501D71"/>
    <w:rsid w:val="00524001"/>
    <w:rsid w:val="00530496"/>
    <w:rsid w:val="00564B63"/>
    <w:rsid w:val="00575DC7"/>
    <w:rsid w:val="005836C2"/>
    <w:rsid w:val="005A4EFD"/>
    <w:rsid w:val="005A5ABE"/>
    <w:rsid w:val="005A6B23"/>
    <w:rsid w:val="005C2ECC"/>
    <w:rsid w:val="005C6744"/>
    <w:rsid w:val="005D67D2"/>
    <w:rsid w:val="005E419E"/>
    <w:rsid w:val="005F2DAA"/>
    <w:rsid w:val="005F63BD"/>
    <w:rsid w:val="00611CF1"/>
    <w:rsid w:val="006123AE"/>
    <w:rsid w:val="006201D9"/>
    <w:rsid w:val="006277DB"/>
    <w:rsid w:val="00627957"/>
    <w:rsid w:val="00635B7B"/>
    <w:rsid w:val="00655B98"/>
    <w:rsid w:val="006710E6"/>
    <w:rsid w:val="00686973"/>
    <w:rsid w:val="006A6342"/>
    <w:rsid w:val="006B14BE"/>
    <w:rsid w:val="006B6C9C"/>
    <w:rsid w:val="006C7AE3"/>
    <w:rsid w:val="006D55E8"/>
    <w:rsid w:val="006D56A3"/>
    <w:rsid w:val="006D5C80"/>
    <w:rsid w:val="006E1921"/>
    <w:rsid w:val="006E4577"/>
    <w:rsid w:val="006E6631"/>
    <w:rsid w:val="006F36F9"/>
    <w:rsid w:val="007005EC"/>
    <w:rsid w:val="0070576B"/>
    <w:rsid w:val="007067EB"/>
    <w:rsid w:val="00713335"/>
    <w:rsid w:val="00727C2F"/>
    <w:rsid w:val="00727CD1"/>
    <w:rsid w:val="00735F13"/>
    <w:rsid w:val="007717F2"/>
    <w:rsid w:val="00772E3B"/>
    <w:rsid w:val="00774AD2"/>
    <w:rsid w:val="0078134C"/>
    <w:rsid w:val="007824CE"/>
    <w:rsid w:val="007A5830"/>
    <w:rsid w:val="007B0519"/>
    <w:rsid w:val="007E403E"/>
    <w:rsid w:val="007E43AD"/>
    <w:rsid w:val="00801256"/>
    <w:rsid w:val="0080311B"/>
    <w:rsid w:val="00810F12"/>
    <w:rsid w:val="008354F7"/>
    <w:rsid w:val="0084268F"/>
    <w:rsid w:val="008427AE"/>
    <w:rsid w:val="00865CF9"/>
    <w:rsid w:val="008703CB"/>
    <w:rsid w:val="00870908"/>
    <w:rsid w:val="00871D12"/>
    <w:rsid w:val="00873AE2"/>
    <w:rsid w:val="00874F9B"/>
    <w:rsid w:val="008B2DFA"/>
    <w:rsid w:val="008B61AF"/>
    <w:rsid w:val="008C2BEE"/>
    <w:rsid w:val="008C33C2"/>
    <w:rsid w:val="008C5B1E"/>
    <w:rsid w:val="008C6137"/>
    <w:rsid w:val="008E2DB4"/>
    <w:rsid w:val="00901DD5"/>
    <w:rsid w:val="0090450D"/>
    <w:rsid w:val="0090735B"/>
    <w:rsid w:val="00912D5E"/>
    <w:rsid w:val="00934340"/>
    <w:rsid w:val="00950B5F"/>
    <w:rsid w:val="009527BF"/>
    <w:rsid w:val="00956DC7"/>
    <w:rsid w:val="009626B9"/>
    <w:rsid w:val="00966CD3"/>
    <w:rsid w:val="009757B1"/>
    <w:rsid w:val="00985CB4"/>
    <w:rsid w:val="00987A20"/>
    <w:rsid w:val="009A0E15"/>
    <w:rsid w:val="009C4E8E"/>
    <w:rsid w:val="009D4037"/>
    <w:rsid w:val="009F0592"/>
    <w:rsid w:val="009F700B"/>
    <w:rsid w:val="00A15C58"/>
    <w:rsid w:val="00A20E72"/>
    <w:rsid w:val="00A21B46"/>
    <w:rsid w:val="00A246DC"/>
    <w:rsid w:val="00A34338"/>
    <w:rsid w:val="00A47BAF"/>
    <w:rsid w:val="00A542D3"/>
    <w:rsid w:val="00A5784F"/>
    <w:rsid w:val="00A8436E"/>
    <w:rsid w:val="00A95B66"/>
    <w:rsid w:val="00AB0FBD"/>
    <w:rsid w:val="00AE0667"/>
    <w:rsid w:val="00B41E0A"/>
    <w:rsid w:val="00B56DE0"/>
    <w:rsid w:val="00B71F12"/>
    <w:rsid w:val="00B80A83"/>
    <w:rsid w:val="00B96B1E"/>
    <w:rsid w:val="00BA3B62"/>
    <w:rsid w:val="00BA3FEE"/>
    <w:rsid w:val="00BB2A6F"/>
    <w:rsid w:val="00BD1614"/>
    <w:rsid w:val="00BD5DA6"/>
    <w:rsid w:val="00BE3419"/>
    <w:rsid w:val="00BF3017"/>
    <w:rsid w:val="00BF7D25"/>
    <w:rsid w:val="00C010C0"/>
    <w:rsid w:val="00C20866"/>
    <w:rsid w:val="00C27C14"/>
    <w:rsid w:val="00C40CB5"/>
    <w:rsid w:val="00C441E4"/>
    <w:rsid w:val="00C54CE6"/>
    <w:rsid w:val="00C575E2"/>
    <w:rsid w:val="00C7368B"/>
    <w:rsid w:val="00C92746"/>
    <w:rsid w:val="00C977A4"/>
    <w:rsid w:val="00CA7991"/>
    <w:rsid w:val="00CC4DC5"/>
    <w:rsid w:val="00CE1A7C"/>
    <w:rsid w:val="00D0171E"/>
    <w:rsid w:val="00D0464B"/>
    <w:rsid w:val="00D12C74"/>
    <w:rsid w:val="00D14882"/>
    <w:rsid w:val="00D2263F"/>
    <w:rsid w:val="00D53506"/>
    <w:rsid w:val="00D56483"/>
    <w:rsid w:val="00D5658F"/>
    <w:rsid w:val="00D56AD6"/>
    <w:rsid w:val="00D70019"/>
    <w:rsid w:val="00D74B58"/>
    <w:rsid w:val="00D82ABE"/>
    <w:rsid w:val="00D96926"/>
    <w:rsid w:val="00DA4ABA"/>
    <w:rsid w:val="00DA531D"/>
    <w:rsid w:val="00DA685B"/>
    <w:rsid w:val="00DA742B"/>
    <w:rsid w:val="00DC5D85"/>
    <w:rsid w:val="00DE673A"/>
    <w:rsid w:val="00DF25C1"/>
    <w:rsid w:val="00DF48F7"/>
    <w:rsid w:val="00DF4964"/>
    <w:rsid w:val="00DF4D73"/>
    <w:rsid w:val="00DF79B0"/>
    <w:rsid w:val="00E1047D"/>
    <w:rsid w:val="00E443FA"/>
    <w:rsid w:val="00E47A00"/>
    <w:rsid w:val="00E54FCE"/>
    <w:rsid w:val="00E60DA1"/>
    <w:rsid w:val="00E8029E"/>
    <w:rsid w:val="00E92D39"/>
    <w:rsid w:val="00E93D35"/>
    <w:rsid w:val="00EA45DB"/>
    <w:rsid w:val="00EB229E"/>
    <w:rsid w:val="00EC4552"/>
    <w:rsid w:val="00ED2CD9"/>
    <w:rsid w:val="00EE7719"/>
    <w:rsid w:val="00F0014E"/>
    <w:rsid w:val="00F06180"/>
    <w:rsid w:val="00F07DA7"/>
    <w:rsid w:val="00F231C9"/>
    <w:rsid w:val="00F341CA"/>
    <w:rsid w:val="00F37B0C"/>
    <w:rsid w:val="00F410E4"/>
    <w:rsid w:val="00F465F4"/>
    <w:rsid w:val="00F51278"/>
    <w:rsid w:val="00F564C1"/>
    <w:rsid w:val="00F574CE"/>
    <w:rsid w:val="00F77269"/>
    <w:rsid w:val="00F77FA2"/>
    <w:rsid w:val="00F8357A"/>
    <w:rsid w:val="00F83B80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4857AF"/>
    <w:rPr>
      <w:rFonts w:ascii="Calibri" w:hAnsi="Calibri"/>
      <w:i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83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ac3b18-f283-4a10-b23e-30a14761d2cd">Documents Proposals Manager (DPM)</DPM_x0020_Author>
    <DPM_x0020_File_x0020_name xmlns="57ac3b18-f283-4a10-b23e-30a14761d2cd">S14-PP-C-0084!!MSW-F</DPM_x0020_File_x0020_name>
    <DPM_x0020_Version xmlns="57ac3b18-f283-4a10-b23e-30a14761d2cd">DPM_v5.7.1.21_prod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ac3b18-f283-4a10-b23e-30a14761d2cd" targetNamespace="http://schemas.microsoft.com/office/2006/metadata/properties" ma:root="true" ma:fieldsID="d41af5c836d734370eb92e7ee5f83852" ns2:_="" ns3:_="">
    <xsd:import namespace="996b2e75-67fd-4955-a3b0-5ab9934cb50b"/>
    <xsd:import namespace="57ac3b18-f283-4a10-b23e-30a14761d2c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3b18-f283-4a10-b23e-30a14761d2c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7ac3b18-f283-4a10-b23e-30a14761d2c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ac3b18-f283-4a10-b23e-30a14761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93AC1-EC77-4C8A-A207-732C8BD5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S14-PP-C-0084!!MSW-F</vt:lpstr>
    </vt:vector>
  </TitlesOfParts>
  <Manager/>
  <Company/>
  <LinksUpToDate>false</LinksUpToDate>
  <CharactersWithSpaces>7044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S14-PP-C-0084!!MSW-F</dc:title>
  <dc:subject>Plenipotentiary Conference (PP-14)</dc:subject>
  <dc:creator/>
  <cp:keywords>DPM_v5.7.1.21_prod</cp:keywords>
  <dc:description/>
  <cp:lastModifiedBy/>
  <cp:revision>1</cp:revision>
  <dcterms:created xsi:type="dcterms:W3CDTF">2014-10-31T05:34:00Z</dcterms:created>
  <dcterms:modified xsi:type="dcterms:W3CDTF">2014-10-31T06:01:00Z</dcterms:modified>
  <cp:category>Conference document</cp:category>
</cp:coreProperties>
</file>