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1C8CDA37" wp14:editId="629C1F7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4" w:name="dnum" w:colFirst="1" w:colLast="1"/>
            <w:bookmarkStart w:id="5" w:name="dmeeting" w:colFirst="0" w:colLast="0"/>
            <w:bookmarkEnd w:id="3"/>
            <w:r>
              <w:t>PLENARY MEETING</w:t>
            </w:r>
          </w:p>
        </w:tc>
        <w:tc>
          <w:tcPr>
            <w:tcW w:w="3402" w:type="dxa"/>
            <w:shd w:val="clear" w:color="auto" w:fill="auto"/>
          </w:tcPr>
          <w:p w:rsidR="009D6BF4" w:rsidRDefault="009D6BF4" w:rsidP="003740BC">
            <w:pPr>
              <w:tabs>
                <w:tab w:val="left" w:pos="851"/>
              </w:tabs>
              <w:spacing w:before="0"/>
              <w:rPr>
                <w:rFonts w:cstheme="minorHAnsi"/>
                <w:b/>
                <w:szCs w:val="24"/>
              </w:rPr>
            </w:pPr>
            <w:r>
              <w:rPr>
                <w:rFonts w:cstheme="minorHAnsi"/>
                <w:b/>
                <w:szCs w:val="24"/>
              </w:rPr>
              <w:t xml:space="preserve">Revision </w:t>
            </w:r>
            <w:r w:rsidR="00CE22DE">
              <w:rPr>
                <w:rFonts w:cstheme="minorHAnsi"/>
                <w:b/>
                <w:szCs w:val="24"/>
              </w:rPr>
              <w:t>2</w:t>
            </w:r>
            <w:r>
              <w:rPr>
                <w:rFonts w:cstheme="minorHAnsi"/>
                <w:b/>
                <w:szCs w:val="24"/>
              </w:rPr>
              <w:t xml:space="preserve"> to</w:t>
            </w:r>
          </w:p>
          <w:p w:rsidR="001A16ED" w:rsidRPr="00F44B1A" w:rsidRDefault="001A16ED" w:rsidP="003740BC">
            <w:pPr>
              <w:tabs>
                <w:tab w:val="left" w:pos="851"/>
              </w:tabs>
              <w:spacing w:before="0"/>
              <w:rPr>
                <w:rFonts w:cstheme="minorHAnsi"/>
                <w:b/>
                <w:szCs w:val="24"/>
              </w:rPr>
            </w:pPr>
            <w:r>
              <w:rPr>
                <w:rFonts w:cstheme="minorHAnsi"/>
                <w:b/>
                <w:szCs w:val="24"/>
              </w:rPr>
              <w:t>Document 84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shd w:val="clear" w:color="auto" w:fill="auto"/>
          </w:tcPr>
          <w:p w:rsidR="001A16ED" w:rsidRPr="00D96B4B" w:rsidRDefault="00CE22DE" w:rsidP="00CE22DE">
            <w:pPr>
              <w:spacing w:before="0"/>
              <w:rPr>
                <w:rFonts w:cstheme="minorHAnsi"/>
                <w:szCs w:val="24"/>
              </w:rPr>
            </w:pPr>
            <w:r>
              <w:rPr>
                <w:rFonts w:cstheme="minorHAnsi"/>
                <w:b/>
                <w:szCs w:val="24"/>
              </w:rPr>
              <w:t>05</w:t>
            </w:r>
            <w:r w:rsidR="009D6BF4" w:rsidRPr="00D96B4B">
              <w:rPr>
                <w:rFonts w:cstheme="minorHAnsi"/>
                <w:b/>
                <w:szCs w:val="24"/>
              </w:rPr>
              <w:t xml:space="preserve"> </w:t>
            </w:r>
            <w:r>
              <w:rPr>
                <w:rFonts w:cstheme="minorHAnsi"/>
                <w:b/>
                <w:szCs w:val="24"/>
              </w:rPr>
              <w:t>November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D96B4B" w:rsidRDefault="001A16ED" w:rsidP="00FF0959">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Ukraine</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8"/>
    <w:bookmarkEnd w:id="9"/>
    <w:p w:rsidR="00C91950" w:rsidRDefault="00AF17A8">
      <w:pPr>
        <w:pStyle w:val="Proposal"/>
      </w:pPr>
      <w:r>
        <w:t>ADD</w:t>
      </w:r>
      <w:r>
        <w:tab/>
        <w:t>UKR/84/1</w:t>
      </w:r>
    </w:p>
    <w:p w:rsidR="00C91950" w:rsidRDefault="00AF17A8">
      <w:pPr>
        <w:pStyle w:val="ResNo"/>
      </w:pPr>
      <w:r>
        <w:t>Draft New Resolution [UKR-1]</w:t>
      </w:r>
    </w:p>
    <w:p w:rsidR="00C91950" w:rsidRDefault="00AF17A8" w:rsidP="00AF17A8">
      <w:pPr>
        <w:pStyle w:val="Restitle"/>
      </w:pPr>
      <w:r w:rsidRPr="00463CCD">
        <w:rPr>
          <w:sz w:val="26"/>
          <w:szCs w:val="26"/>
        </w:rPr>
        <w:t>Assistance and support to Ukraine for guaranteeing the use of fre</w:t>
      </w:r>
      <w:r>
        <w:rPr>
          <w:sz w:val="26"/>
          <w:szCs w:val="26"/>
        </w:rPr>
        <w:t>quency and numbering </w:t>
      </w:r>
      <w:r w:rsidRPr="00463CCD">
        <w:rPr>
          <w:sz w:val="26"/>
          <w:szCs w:val="26"/>
        </w:rPr>
        <w:t>resources in the territories of the Autono</w:t>
      </w:r>
      <w:r>
        <w:rPr>
          <w:sz w:val="26"/>
          <w:szCs w:val="26"/>
        </w:rPr>
        <w:t>mous Republic of Crimea and the </w:t>
      </w:r>
      <w:r w:rsidRPr="00463CCD">
        <w:rPr>
          <w:sz w:val="26"/>
          <w:szCs w:val="26"/>
        </w:rPr>
        <w:t>city of Sevastopol</w:t>
      </w:r>
    </w:p>
    <w:p w:rsidR="00AF17A8" w:rsidRPr="0051332A" w:rsidRDefault="00AF17A8" w:rsidP="00AF17A8">
      <w:pPr>
        <w:spacing w:before="240"/>
        <w:jc w:val="both"/>
        <w:rPr>
          <w:szCs w:val="24"/>
        </w:rPr>
      </w:pPr>
      <w:r w:rsidRPr="00463CCD">
        <w:rPr>
          <w:szCs w:val="24"/>
        </w:rPr>
        <w:t>The Plenipotentiary Conference of the International Telecommunication Union (Busan, 201</w:t>
      </w:r>
      <w:r>
        <w:rPr>
          <w:szCs w:val="24"/>
        </w:rPr>
        <w:t>4</w:t>
      </w:r>
      <w:r w:rsidRPr="00463CCD">
        <w:rPr>
          <w:szCs w:val="24"/>
        </w:rPr>
        <w:t>),</w:t>
      </w:r>
    </w:p>
    <w:p w:rsidR="00AF17A8" w:rsidRPr="0051332A" w:rsidRDefault="00AF17A8" w:rsidP="00AF17A8">
      <w:pPr>
        <w:pStyle w:val="Call"/>
      </w:pPr>
      <w:r w:rsidRPr="00463CCD">
        <w:t>recalling</w:t>
      </w:r>
    </w:p>
    <w:p w:rsidR="00AF17A8" w:rsidRPr="00DA2B42" w:rsidRDefault="00AF17A8" w:rsidP="00AF17A8">
      <w:pPr>
        <w:jc w:val="both"/>
        <w:rPr>
          <w:szCs w:val="24"/>
        </w:rPr>
      </w:pPr>
      <w:r w:rsidRPr="00DD4376">
        <w:rPr>
          <w:i/>
          <w:szCs w:val="24"/>
        </w:rPr>
        <w:t>a)</w:t>
      </w:r>
      <w:r w:rsidRPr="00DD4376">
        <w:rPr>
          <w:i/>
          <w:szCs w:val="24"/>
        </w:rPr>
        <w:tab/>
      </w:r>
      <w:r w:rsidRPr="00DD4376">
        <w:rPr>
          <w:szCs w:val="24"/>
        </w:rPr>
        <w:t>the noble principles, purpose and objectives enshrined in the Charter of the United Nations and in the Universal Declaration of Human Rights</w:t>
      </w:r>
      <w:r w:rsidRPr="00DA2B42">
        <w:rPr>
          <w:szCs w:val="24"/>
        </w:rPr>
        <w:t>;</w:t>
      </w:r>
    </w:p>
    <w:p w:rsidR="00AF17A8" w:rsidRPr="00DA2B42" w:rsidRDefault="00AF17A8" w:rsidP="00AF17A8">
      <w:pPr>
        <w:jc w:val="both"/>
        <w:rPr>
          <w:szCs w:val="24"/>
        </w:rPr>
      </w:pPr>
      <w:r w:rsidRPr="00DA2B42">
        <w:rPr>
          <w:i/>
          <w:iCs/>
          <w:szCs w:val="24"/>
        </w:rPr>
        <w:t>b)</w:t>
      </w:r>
      <w:r w:rsidRPr="00DA2B42">
        <w:rPr>
          <w:szCs w:val="24"/>
        </w:rPr>
        <w:tab/>
      </w:r>
      <w:r w:rsidRPr="00DD4376">
        <w:rPr>
          <w:szCs w:val="24"/>
        </w:rPr>
        <w:t>the purposes of the Union as enshrined in Article 1 of the ITU Constitution</w:t>
      </w:r>
      <w:r w:rsidRPr="00463CCD">
        <w:rPr>
          <w:szCs w:val="24"/>
        </w:rPr>
        <w:t>;</w:t>
      </w:r>
    </w:p>
    <w:p w:rsidR="00AF17A8" w:rsidRPr="00463CCD" w:rsidRDefault="00AF17A8" w:rsidP="00AF17A8">
      <w:pPr>
        <w:jc w:val="both"/>
        <w:rPr>
          <w:szCs w:val="24"/>
        </w:rPr>
      </w:pPr>
      <w:r w:rsidRPr="00463CCD">
        <w:rPr>
          <w:i/>
          <w:iCs/>
          <w:szCs w:val="24"/>
        </w:rPr>
        <w:t>c</w:t>
      </w:r>
      <w:r w:rsidRPr="0051332A">
        <w:rPr>
          <w:i/>
          <w:iCs/>
          <w:szCs w:val="24"/>
        </w:rPr>
        <w:t>)</w:t>
      </w:r>
      <w:r w:rsidRPr="0051332A">
        <w:rPr>
          <w:i/>
          <w:iCs/>
          <w:szCs w:val="24"/>
        </w:rPr>
        <w:tab/>
      </w:r>
      <w:r w:rsidRPr="00DD4376">
        <w:rPr>
          <w:szCs w:val="24"/>
        </w:rPr>
        <w:t xml:space="preserve">the terms of Resolution </w:t>
      </w:r>
      <w:r w:rsidRPr="00463CCD">
        <w:rPr>
          <w:szCs w:val="24"/>
        </w:rPr>
        <w:t>68</w:t>
      </w:r>
      <w:r w:rsidRPr="00DA2B42">
        <w:rPr>
          <w:szCs w:val="24"/>
        </w:rPr>
        <w:t>/</w:t>
      </w:r>
      <w:r w:rsidRPr="00463CCD">
        <w:rPr>
          <w:szCs w:val="24"/>
        </w:rPr>
        <w:t>262</w:t>
      </w:r>
      <w:r w:rsidRPr="00DA2B42">
        <w:rPr>
          <w:szCs w:val="24"/>
        </w:rPr>
        <w:t xml:space="preserve"> (</w:t>
      </w:r>
      <w:r w:rsidRPr="00463CCD">
        <w:rPr>
          <w:szCs w:val="24"/>
        </w:rPr>
        <w:t>2014</w:t>
      </w:r>
      <w:r w:rsidRPr="00DA2B42">
        <w:rPr>
          <w:szCs w:val="24"/>
        </w:rPr>
        <w:t xml:space="preserve">) </w:t>
      </w:r>
      <w:r w:rsidRPr="00DD4376">
        <w:rPr>
          <w:szCs w:val="24"/>
        </w:rPr>
        <w:t xml:space="preserve">of the United Nations General Assembly, which </w:t>
      </w:r>
      <w:r w:rsidRPr="00463CCD">
        <w:rPr>
          <w:szCs w:val="24"/>
        </w:rPr>
        <w:t>“Calls upon all States, international organizations and specialized agencies not to recognize any alteration of the status of the Autonomous Republic of Crimea and the city of Sevastopol” and “to refrain from any action or dealing that might be interpreted as recognizing any such altered status”;</w:t>
      </w:r>
    </w:p>
    <w:p w:rsidR="00AF17A8" w:rsidRDefault="00AF17A8" w:rsidP="00AF17A8">
      <w:pPr>
        <w:jc w:val="both"/>
        <w:rPr>
          <w:szCs w:val="24"/>
        </w:rPr>
      </w:pPr>
      <w:r w:rsidRPr="00DA2B42">
        <w:rPr>
          <w:i/>
          <w:iCs/>
          <w:szCs w:val="24"/>
        </w:rPr>
        <w:t>d)</w:t>
      </w:r>
      <w:r w:rsidRPr="00DA2B42">
        <w:rPr>
          <w:i/>
          <w:iCs/>
          <w:szCs w:val="24"/>
        </w:rPr>
        <w:tab/>
      </w:r>
      <w:r w:rsidRPr="00DD4376">
        <w:rPr>
          <w:szCs w:val="24"/>
        </w:rPr>
        <w:t>§ 16 of the Geneva Declaration of Principles adopted by the World Summit on the Information Society</w:t>
      </w:r>
      <w:r w:rsidRPr="00DA2B42">
        <w:rPr>
          <w:szCs w:val="24"/>
        </w:rPr>
        <w:t>,</w:t>
      </w:r>
    </w:p>
    <w:p w:rsidR="00AF17A8" w:rsidRPr="00DA2B42" w:rsidRDefault="00AF17A8" w:rsidP="00AF17A8">
      <w:pPr>
        <w:pStyle w:val="Call"/>
      </w:pPr>
      <w:r w:rsidRPr="00463CCD">
        <w:t>mindful</w:t>
      </w:r>
    </w:p>
    <w:p w:rsidR="00AF17A8" w:rsidRPr="00463CCD" w:rsidRDefault="00AF17A8" w:rsidP="00AF17A8">
      <w:pPr>
        <w:jc w:val="both"/>
        <w:rPr>
          <w:szCs w:val="24"/>
        </w:rPr>
      </w:pPr>
      <w:r w:rsidRPr="00463CCD">
        <w:rPr>
          <w:szCs w:val="24"/>
        </w:rPr>
        <w:t>that every Member State of ITU should respect the fundamental principles set forth in the Preamble to the Constitution, the Preamble to the International Telecommunication Regulations and the Preamble to the Radio Regulations,</w:t>
      </w:r>
    </w:p>
    <w:p w:rsidR="00AF17A8" w:rsidRPr="00DA2B42" w:rsidRDefault="00AF17A8" w:rsidP="00AF17A8">
      <w:pPr>
        <w:pStyle w:val="Call"/>
      </w:pPr>
      <w:r w:rsidRPr="00DD4376">
        <w:rPr>
          <w:lang w:eastAsia="en-GB"/>
        </w:rPr>
        <w:lastRenderedPageBreak/>
        <w:t>considering</w:t>
      </w:r>
    </w:p>
    <w:p w:rsidR="00AF17A8" w:rsidRPr="00463CCD" w:rsidRDefault="00AF17A8" w:rsidP="00AF17A8">
      <w:pPr>
        <w:jc w:val="both"/>
        <w:rPr>
          <w:szCs w:val="24"/>
        </w:rPr>
      </w:pPr>
      <w:r w:rsidRPr="00463CCD">
        <w:rPr>
          <w:szCs w:val="24"/>
        </w:rPr>
        <w:t>that the ITU Constitution and Convention are designed to strengthen peace and security in the world for the development of international cooperation and better understanding among the peoples concerned,</w:t>
      </w:r>
    </w:p>
    <w:p w:rsidR="00AF17A8" w:rsidRPr="00DA2B42" w:rsidRDefault="00AF17A8" w:rsidP="00AF17A8">
      <w:pPr>
        <w:pStyle w:val="Call"/>
      </w:pPr>
      <w:r w:rsidRPr="00463CCD">
        <w:t>considering further</w:t>
      </w:r>
    </w:p>
    <w:p w:rsidR="00AF17A8" w:rsidRPr="00463CCD" w:rsidRDefault="00AF17A8" w:rsidP="00AF17A8">
      <w:pPr>
        <w:jc w:val="both"/>
        <w:rPr>
          <w:szCs w:val="24"/>
        </w:rPr>
      </w:pPr>
      <w:r w:rsidRPr="00DA2B42">
        <w:rPr>
          <w:i/>
          <w:iCs/>
          <w:szCs w:val="24"/>
        </w:rPr>
        <w:t>а)</w:t>
      </w:r>
      <w:r w:rsidRPr="00DA2B42">
        <w:rPr>
          <w:i/>
          <w:iCs/>
          <w:szCs w:val="24"/>
        </w:rPr>
        <w:tab/>
      </w:r>
      <w:r w:rsidRPr="00463CCD">
        <w:rPr>
          <w:iCs/>
          <w:szCs w:val="24"/>
        </w:rPr>
        <w:t>that the telecommunication networks and frequency assignments of Ukraine in the temporary occupied territories of the Autonomous Republic of Crimea and the city of Sevastopol at present are</w:t>
      </w:r>
      <w:r w:rsidR="000860E6">
        <w:rPr>
          <w:iCs/>
          <w:szCs w:val="24"/>
        </w:rPr>
        <w:t xml:space="preserve"> illegally</w:t>
      </w:r>
      <w:r w:rsidRPr="00463CCD">
        <w:rPr>
          <w:iCs/>
          <w:szCs w:val="24"/>
        </w:rPr>
        <w:t xml:space="preserve"> used by the telecommunication operators and broadcasting organizations of the Russian Federation</w:t>
      </w:r>
      <w:r w:rsidRPr="00463CCD">
        <w:rPr>
          <w:szCs w:val="24"/>
        </w:rPr>
        <w:t>;</w:t>
      </w:r>
    </w:p>
    <w:p w:rsidR="00AF17A8" w:rsidRDefault="00AF17A8" w:rsidP="00AF17A8">
      <w:pPr>
        <w:jc w:val="both"/>
        <w:rPr>
          <w:szCs w:val="24"/>
        </w:rPr>
      </w:pPr>
      <w:r w:rsidRPr="00DA2B42">
        <w:rPr>
          <w:i/>
          <w:szCs w:val="24"/>
        </w:rPr>
        <w:t>b)</w:t>
      </w:r>
      <w:r w:rsidRPr="00DA2B42">
        <w:rPr>
          <w:szCs w:val="24"/>
        </w:rPr>
        <w:tab/>
      </w:r>
      <w:r w:rsidRPr="00463CCD">
        <w:rPr>
          <w:szCs w:val="24"/>
        </w:rPr>
        <w:t>that the international community has an important role in assisting Ukraine to safeguard its frequency and numbering resources in the territories of the Autonomous Republic of Crimea and the city of Sevastopol,</w:t>
      </w:r>
    </w:p>
    <w:p w:rsidR="00533FCD" w:rsidRPr="00DA2B42" w:rsidRDefault="00533FCD" w:rsidP="00533FCD">
      <w:pPr>
        <w:pStyle w:val="Call"/>
      </w:pPr>
      <w:r>
        <w:rPr>
          <w:lang w:eastAsia="en-GB"/>
        </w:rPr>
        <w:t>noting</w:t>
      </w:r>
    </w:p>
    <w:p w:rsidR="00533FCD" w:rsidRDefault="00533FCD" w:rsidP="00AF17A8">
      <w:pPr>
        <w:jc w:val="both"/>
        <w:rPr>
          <w:szCs w:val="24"/>
        </w:rPr>
      </w:pPr>
      <w:r w:rsidRPr="00533FCD">
        <w:rPr>
          <w:i/>
          <w:szCs w:val="24"/>
        </w:rPr>
        <w:t>a)</w:t>
      </w:r>
      <w:r w:rsidRPr="00533FCD">
        <w:rPr>
          <w:i/>
          <w:szCs w:val="24"/>
        </w:rPr>
        <w:tab/>
      </w:r>
      <w:r w:rsidRPr="00533FCD">
        <w:rPr>
          <w:szCs w:val="24"/>
        </w:rPr>
        <w:t xml:space="preserve">the provisions of Nos. </w:t>
      </w:r>
      <w:r>
        <w:rPr>
          <w:szCs w:val="24"/>
        </w:rPr>
        <w:t>1</w:t>
      </w:r>
      <w:r w:rsidRPr="00533FCD">
        <w:rPr>
          <w:szCs w:val="24"/>
        </w:rPr>
        <w:t xml:space="preserve">7 and 191 of the </w:t>
      </w:r>
      <w:r>
        <w:rPr>
          <w:szCs w:val="24"/>
        </w:rPr>
        <w:t xml:space="preserve">ITU </w:t>
      </w:r>
      <w:r w:rsidRPr="00533FCD">
        <w:rPr>
          <w:szCs w:val="24"/>
        </w:rPr>
        <w:t>Constitution which state, respectively, that the Union shall in particular promote the adoption of measures for ensuring the safety of life through the cooperation of telecommunication services; and that international telecommunication services must give absolute priority to all telecommunications concerning safety of life;</w:t>
      </w:r>
    </w:p>
    <w:p w:rsidR="00533FCD" w:rsidRPr="00463CCD" w:rsidRDefault="00533FCD" w:rsidP="007D66E7">
      <w:pPr>
        <w:jc w:val="both"/>
        <w:rPr>
          <w:szCs w:val="24"/>
        </w:rPr>
      </w:pPr>
      <w:r>
        <w:rPr>
          <w:szCs w:val="24"/>
        </w:rPr>
        <w:t>b)</w:t>
      </w:r>
      <w:r>
        <w:rPr>
          <w:szCs w:val="24"/>
        </w:rPr>
        <w:tab/>
      </w:r>
      <w:r w:rsidR="007D66E7">
        <w:rPr>
          <w:szCs w:val="24"/>
        </w:rPr>
        <w:t xml:space="preserve">that </w:t>
      </w:r>
      <w:r>
        <w:rPr>
          <w:szCs w:val="24"/>
        </w:rPr>
        <w:t xml:space="preserve">the </w:t>
      </w:r>
      <w:r w:rsidRPr="00533FCD">
        <w:rPr>
          <w:szCs w:val="24"/>
        </w:rPr>
        <w:t>International Civil Aviation Organization</w:t>
      </w:r>
      <w:r>
        <w:rPr>
          <w:szCs w:val="24"/>
        </w:rPr>
        <w:t xml:space="preserve"> </w:t>
      </w:r>
      <w:r w:rsidR="007D66E7" w:rsidRPr="007D66E7">
        <w:rPr>
          <w:szCs w:val="24"/>
        </w:rPr>
        <w:t>draw attention to the possible existence of</w:t>
      </w:r>
      <w:r w:rsidR="007D66E7">
        <w:rPr>
          <w:szCs w:val="24"/>
        </w:rPr>
        <w:t xml:space="preserve"> </w:t>
      </w:r>
      <w:r w:rsidR="007D66E7" w:rsidRPr="007D66E7">
        <w:rPr>
          <w:szCs w:val="24"/>
        </w:rPr>
        <w:t>serious risks to the safety of international civil flights</w:t>
      </w:r>
      <w:r w:rsidR="007D66E7">
        <w:rPr>
          <w:szCs w:val="24"/>
        </w:rPr>
        <w:t>,</w:t>
      </w:r>
      <w:r w:rsidR="007D66E7" w:rsidRPr="007D66E7">
        <w:rPr>
          <w:szCs w:val="24"/>
        </w:rPr>
        <w:t xml:space="preserve"> </w:t>
      </w:r>
      <w:r w:rsidR="007D66E7">
        <w:rPr>
          <w:szCs w:val="24"/>
        </w:rPr>
        <w:t>t</w:t>
      </w:r>
      <w:r w:rsidR="007D66E7" w:rsidRPr="007D66E7">
        <w:rPr>
          <w:szCs w:val="24"/>
        </w:rPr>
        <w:t>aking into consideration the recent publication by the Russian Federation of a series of notices</w:t>
      </w:r>
      <w:r w:rsidR="007D66E7">
        <w:rPr>
          <w:szCs w:val="24"/>
        </w:rPr>
        <w:t xml:space="preserve"> </w:t>
      </w:r>
      <w:r w:rsidR="007D66E7" w:rsidRPr="007D66E7">
        <w:rPr>
          <w:szCs w:val="24"/>
        </w:rPr>
        <w:t xml:space="preserve">to airmen (NOTAMs) modifying the Simferopol </w:t>
      </w:r>
      <w:r w:rsidR="007D66E7" w:rsidRPr="00533FCD">
        <w:rPr>
          <w:szCs w:val="24"/>
        </w:rPr>
        <w:t>flight information region</w:t>
      </w:r>
      <w:r w:rsidR="007D66E7" w:rsidRPr="007D66E7">
        <w:t xml:space="preserve"> </w:t>
      </w:r>
      <w:r w:rsidR="007D66E7" w:rsidRPr="007D66E7">
        <w:rPr>
          <w:szCs w:val="24"/>
        </w:rPr>
        <w:t>which is under the responsibility of Ukraine</w:t>
      </w:r>
      <w:r w:rsidR="007D66E7">
        <w:rPr>
          <w:szCs w:val="24"/>
        </w:rPr>
        <w:t>,</w:t>
      </w:r>
    </w:p>
    <w:p w:rsidR="00AF17A8" w:rsidRPr="00463CCD" w:rsidRDefault="00AF17A8" w:rsidP="00AF17A8">
      <w:pPr>
        <w:pStyle w:val="Call"/>
      </w:pPr>
      <w:r w:rsidRPr="00463CCD">
        <w:t>affirming</w:t>
      </w:r>
    </w:p>
    <w:p w:rsidR="00AF17A8" w:rsidRPr="00463CCD" w:rsidRDefault="00AF17A8" w:rsidP="00AF17A8">
      <w:pPr>
        <w:jc w:val="both"/>
        <w:rPr>
          <w:szCs w:val="24"/>
        </w:rPr>
      </w:pPr>
      <w:r w:rsidRPr="00463CCD">
        <w:rPr>
          <w:szCs w:val="24"/>
        </w:rPr>
        <w:t>а)</w:t>
      </w:r>
      <w:r w:rsidRPr="00463CCD">
        <w:rPr>
          <w:szCs w:val="24"/>
        </w:rPr>
        <w:tab/>
        <w:t xml:space="preserve">that </w:t>
      </w:r>
      <w:r w:rsidR="006B59E8">
        <w:rPr>
          <w:szCs w:val="24"/>
        </w:rPr>
        <w:t xml:space="preserve">the </w:t>
      </w:r>
      <w:r w:rsidRPr="00463CCD">
        <w:rPr>
          <w:szCs w:val="24"/>
        </w:rPr>
        <w:t>provision of international telecommunication service</w:t>
      </w:r>
      <w:r w:rsidR="00AA614F">
        <w:rPr>
          <w:szCs w:val="24"/>
        </w:rPr>
        <w:t>s</w:t>
      </w:r>
      <w:r w:rsidRPr="00463CCD">
        <w:rPr>
          <w:szCs w:val="24"/>
        </w:rPr>
        <w:t xml:space="preserve"> to the public of the Autonomous Republic of Crimea and the city of Sevastopol shall </w:t>
      </w:r>
      <w:r w:rsidR="006B59E8">
        <w:rPr>
          <w:szCs w:val="24"/>
        </w:rPr>
        <w:t>continue to be av</w:t>
      </w:r>
      <w:r w:rsidR="000860E6">
        <w:rPr>
          <w:szCs w:val="24"/>
        </w:rPr>
        <w:t>ai</w:t>
      </w:r>
      <w:r w:rsidR="006B59E8">
        <w:rPr>
          <w:szCs w:val="24"/>
        </w:rPr>
        <w:t>l</w:t>
      </w:r>
      <w:r w:rsidR="000860E6">
        <w:rPr>
          <w:szCs w:val="24"/>
        </w:rPr>
        <w:t>a</w:t>
      </w:r>
      <w:r w:rsidR="006B59E8">
        <w:rPr>
          <w:szCs w:val="24"/>
        </w:rPr>
        <w:t xml:space="preserve">ble </w:t>
      </w:r>
      <w:r w:rsidRPr="00463CCD">
        <w:rPr>
          <w:szCs w:val="24"/>
        </w:rPr>
        <w:t>on an international level by using the code of Ukraine;</w:t>
      </w:r>
    </w:p>
    <w:p w:rsidR="00AF17A8" w:rsidRPr="00463CCD" w:rsidRDefault="00AF17A8" w:rsidP="00AF17A8">
      <w:pPr>
        <w:jc w:val="both"/>
        <w:rPr>
          <w:szCs w:val="24"/>
        </w:rPr>
      </w:pPr>
      <w:r w:rsidRPr="00DA2B42">
        <w:rPr>
          <w:i/>
          <w:szCs w:val="24"/>
        </w:rPr>
        <w:t>b)</w:t>
      </w:r>
      <w:r w:rsidRPr="00DA2B42">
        <w:rPr>
          <w:szCs w:val="24"/>
        </w:rPr>
        <w:tab/>
      </w:r>
      <w:r w:rsidRPr="00463CCD">
        <w:rPr>
          <w:szCs w:val="24"/>
        </w:rPr>
        <w:t>that any notification of a frequency assignment to a station in the temporary occupied territories of the Autonomous Republic of Crimea and the city of Sevastopol shall be made by the Administration of Ukraine in accordance with Resolution 1 (Rev. WRC-97),</w:t>
      </w:r>
    </w:p>
    <w:p w:rsidR="00AF17A8" w:rsidRPr="00463CCD" w:rsidRDefault="00AF17A8" w:rsidP="00AF17A8">
      <w:pPr>
        <w:pStyle w:val="Call"/>
        <w:rPr>
          <w:iCs/>
        </w:rPr>
      </w:pPr>
      <w:r w:rsidRPr="00DD4376">
        <w:t>recognizing</w:t>
      </w:r>
    </w:p>
    <w:p w:rsidR="00AF17A8" w:rsidRPr="00463CCD" w:rsidRDefault="00AF17A8" w:rsidP="00AF17A8">
      <w:pPr>
        <w:jc w:val="both"/>
        <w:rPr>
          <w:szCs w:val="24"/>
        </w:rPr>
      </w:pPr>
      <w:r w:rsidRPr="00DA2B42">
        <w:rPr>
          <w:i/>
          <w:iCs/>
          <w:szCs w:val="24"/>
        </w:rPr>
        <w:t>а)</w:t>
      </w:r>
      <w:r w:rsidRPr="00DA2B42">
        <w:rPr>
          <w:szCs w:val="24"/>
        </w:rPr>
        <w:tab/>
      </w:r>
      <w:r w:rsidRPr="00463CCD">
        <w:rPr>
          <w:szCs w:val="24"/>
        </w:rPr>
        <w:t>that reliable telecommunication systems are indispensable for promoting the socio-economic development of countries, in particular those having suffered from natural disasters,</w:t>
      </w:r>
      <w:r w:rsidR="000860E6">
        <w:rPr>
          <w:szCs w:val="24"/>
        </w:rPr>
        <w:t xml:space="preserve"> armed conflicts or other situations of violence</w:t>
      </w:r>
      <w:r w:rsidRPr="00DA2B42">
        <w:rPr>
          <w:szCs w:val="24"/>
        </w:rPr>
        <w:t>;</w:t>
      </w:r>
    </w:p>
    <w:p w:rsidR="00AF17A8" w:rsidRPr="00DA2B42" w:rsidRDefault="00AF17A8" w:rsidP="00AF17A8">
      <w:pPr>
        <w:jc w:val="both"/>
        <w:rPr>
          <w:szCs w:val="24"/>
        </w:rPr>
      </w:pPr>
      <w:r w:rsidRPr="00DA2B42">
        <w:rPr>
          <w:i/>
          <w:iCs/>
          <w:szCs w:val="24"/>
        </w:rPr>
        <w:t>b)</w:t>
      </w:r>
      <w:r w:rsidRPr="00DA2B42">
        <w:rPr>
          <w:i/>
          <w:iCs/>
          <w:szCs w:val="24"/>
        </w:rPr>
        <w:tab/>
      </w:r>
      <w:proofErr w:type="gramStart"/>
      <w:r w:rsidRPr="00463CCD">
        <w:rPr>
          <w:iCs/>
          <w:szCs w:val="24"/>
        </w:rPr>
        <w:t>that</w:t>
      </w:r>
      <w:proofErr w:type="gramEnd"/>
      <w:r w:rsidRPr="00463CCD">
        <w:rPr>
          <w:iCs/>
          <w:szCs w:val="24"/>
        </w:rPr>
        <w:t xml:space="preserve"> Ukraine </w:t>
      </w:r>
      <w:r w:rsidR="005D2F52">
        <w:rPr>
          <w:iCs/>
          <w:szCs w:val="24"/>
        </w:rPr>
        <w:t xml:space="preserve">has been </w:t>
      </w:r>
      <w:r w:rsidRPr="00463CCD">
        <w:rPr>
          <w:iCs/>
          <w:szCs w:val="24"/>
        </w:rPr>
        <w:t xml:space="preserve">deprived of telecommunication facilities in </w:t>
      </w:r>
      <w:r w:rsidRPr="00463CCD">
        <w:rPr>
          <w:szCs w:val="24"/>
        </w:rPr>
        <w:t>the Autonomous Republic of Crimea and the city of Sevastopol</w:t>
      </w:r>
      <w:r w:rsidRPr="00463CCD">
        <w:rPr>
          <w:iCs/>
          <w:szCs w:val="24"/>
        </w:rPr>
        <w:t xml:space="preserve"> resulting from </w:t>
      </w:r>
      <w:r w:rsidR="000860E6">
        <w:rPr>
          <w:iCs/>
          <w:szCs w:val="24"/>
        </w:rPr>
        <w:t>recent armed conflict</w:t>
      </w:r>
      <w:r w:rsidRPr="00DA2B42">
        <w:rPr>
          <w:szCs w:val="24"/>
        </w:rPr>
        <w:t>;</w:t>
      </w:r>
    </w:p>
    <w:p w:rsidR="00AF17A8" w:rsidRPr="00463CCD" w:rsidRDefault="00AF17A8" w:rsidP="00AF17A8">
      <w:pPr>
        <w:jc w:val="both"/>
        <w:rPr>
          <w:szCs w:val="24"/>
        </w:rPr>
      </w:pPr>
      <w:r w:rsidRPr="00463CCD">
        <w:rPr>
          <w:i/>
          <w:iCs/>
          <w:szCs w:val="24"/>
        </w:rPr>
        <w:t>с)</w:t>
      </w:r>
      <w:r w:rsidRPr="00463CCD">
        <w:rPr>
          <w:szCs w:val="24"/>
        </w:rPr>
        <w:tab/>
      </w:r>
      <w:proofErr w:type="gramStart"/>
      <w:r w:rsidRPr="00463CCD">
        <w:rPr>
          <w:szCs w:val="24"/>
        </w:rPr>
        <w:t>that</w:t>
      </w:r>
      <w:proofErr w:type="gramEnd"/>
      <w:r w:rsidRPr="00463CCD">
        <w:rPr>
          <w:szCs w:val="24"/>
        </w:rPr>
        <w:t xml:space="preserve"> the </w:t>
      </w:r>
      <w:r w:rsidR="005D2F52">
        <w:rPr>
          <w:szCs w:val="24"/>
        </w:rPr>
        <w:t>damage</w:t>
      </w:r>
      <w:r w:rsidR="005D2F52" w:rsidRPr="0096041E" w:rsidDel="0096041E">
        <w:rPr>
          <w:szCs w:val="24"/>
        </w:rPr>
        <w:t xml:space="preserve"> </w:t>
      </w:r>
      <w:r w:rsidRPr="00463CCD">
        <w:rPr>
          <w:szCs w:val="24"/>
        </w:rPr>
        <w:t>caused to Ukraine's telecommunications should be a matter of concern for the entire international community, particularly ITU, as the United Nations specialized agency for telecommunications;</w:t>
      </w:r>
    </w:p>
    <w:p w:rsidR="00AF17A8" w:rsidRPr="00463CCD" w:rsidRDefault="005D2F52" w:rsidP="00AF17A8">
      <w:pPr>
        <w:jc w:val="both"/>
        <w:rPr>
          <w:szCs w:val="24"/>
        </w:rPr>
      </w:pPr>
      <w:r>
        <w:rPr>
          <w:i/>
          <w:iCs/>
          <w:szCs w:val="24"/>
        </w:rPr>
        <w:t>d</w:t>
      </w:r>
      <w:r w:rsidR="00AF17A8" w:rsidRPr="0051332A">
        <w:rPr>
          <w:i/>
          <w:iCs/>
          <w:szCs w:val="24"/>
        </w:rPr>
        <w:t>)</w:t>
      </w:r>
      <w:r w:rsidR="00AF17A8" w:rsidRPr="00463CCD">
        <w:rPr>
          <w:szCs w:val="24"/>
        </w:rPr>
        <w:tab/>
        <w:t xml:space="preserve">that in the </w:t>
      </w:r>
      <w:r w:rsidR="00AF17A8" w:rsidRPr="00463CCD">
        <w:rPr>
          <w:iCs/>
          <w:szCs w:val="24"/>
        </w:rPr>
        <w:t>territories of the Autonomous Republic of Crimea and the city of Sevastopol</w:t>
      </w:r>
      <w:r w:rsidR="00AF17A8">
        <w:rPr>
          <w:szCs w:val="24"/>
        </w:rPr>
        <w:t>, under </w:t>
      </w:r>
      <w:r w:rsidR="00AF17A8" w:rsidRPr="00463CCD">
        <w:rPr>
          <w:szCs w:val="24"/>
        </w:rPr>
        <w:t xml:space="preserve">the present conditions, Ukraine will not have a possibility to ensure the completion of transition from analogue to digital television broadcasting in accordance with the Regional Agreement relating to the planning of the digital terrestrial broadcasting service in Region 1 (parts </w:t>
      </w:r>
      <w:r w:rsidR="00AF17A8" w:rsidRPr="00463CCD">
        <w:rPr>
          <w:szCs w:val="24"/>
        </w:rPr>
        <w:lastRenderedPageBreak/>
        <w:t>of Region 1 situated to the west of meridian 170° E and to the north of parallel 40° S, except the territory of Mongolia) and in the Islamic Republic of Iran, in the frequency bands 174-230 MHz and 470-862 MHz (Geneva, 2006),</w:t>
      </w:r>
    </w:p>
    <w:p w:rsidR="00AF17A8" w:rsidRPr="0051332A" w:rsidRDefault="00AF17A8" w:rsidP="00AF17A8">
      <w:pPr>
        <w:pStyle w:val="Call"/>
      </w:pPr>
      <w:r w:rsidRPr="00463CCD">
        <w:t>resolves</w:t>
      </w:r>
    </w:p>
    <w:p w:rsidR="00AF17A8" w:rsidRPr="00463CCD" w:rsidRDefault="00AF17A8" w:rsidP="00AF17A8">
      <w:pPr>
        <w:keepLines/>
        <w:jc w:val="both"/>
        <w:rPr>
          <w:szCs w:val="24"/>
        </w:rPr>
      </w:pPr>
      <w:r w:rsidRPr="00463CCD">
        <w:rPr>
          <w:iCs/>
          <w:szCs w:val="24"/>
        </w:rPr>
        <w:t>1</w:t>
      </w:r>
      <w:r w:rsidRPr="00DA2B42">
        <w:rPr>
          <w:iCs/>
          <w:szCs w:val="24"/>
        </w:rPr>
        <w:tab/>
      </w:r>
      <w:r w:rsidR="00AA614F">
        <w:rPr>
          <w:iCs/>
          <w:szCs w:val="24"/>
        </w:rPr>
        <w:t xml:space="preserve">that </w:t>
      </w:r>
      <w:r w:rsidR="00491BF8">
        <w:rPr>
          <w:szCs w:val="24"/>
        </w:rPr>
        <w:t>the</w:t>
      </w:r>
      <w:r w:rsidRPr="00DD4376">
        <w:rPr>
          <w:szCs w:val="24"/>
        </w:rPr>
        <w:t xml:space="preserve"> Secretary-General</w:t>
      </w:r>
      <w:r w:rsidRPr="00463CCD">
        <w:rPr>
          <w:szCs w:val="24"/>
        </w:rPr>
        <w:t xml:space="preserve">, the Director of the </w:t>
      </w:r>
      <w:r w:rsidRPr="00DD4376">
        <w:rPr>
          <w:szCs w:val="24"/>
        </w:rPr>
        <w:t>Radiocommunication</w:t>
      </w:r>
      <w:r w:rsidRPr="00463CCD">
        <w:rPr>
          <w:szCs w:val="24"/>
        </w:rPr>
        <w:t xml:space="preserve"> </w:t>
      </w:r>
      <w:r w:rsidRPr="00DD4376">
        <w:rPr>
          <w:szCs w:val="24"/>
        </w:rPr>
        <w:t>Bureau</w:t>
      </w:r>
      <w:r w:rsidRPr="00463CCD">
        <w:rPr>
          <w:szCs w:val="24"/>
        </w:rPr>
        <w:t xml:space="preserve"> </w:t>
      </w:r>
      <w:r w:rsidRPr="00DD4376">
        <w:rPr>
          <w:szCs w:val="24"/>
        </w:rPr>
        <w:t xml:space="preserve">and the Director of the Telecommunication Standardization Bureau </w:t>
      </w:r>
      <w:r w:rsidR="005D2F52">
        <w:rPr>
          <w:szCs w:val="24"/>
        </w:rPr>
        <w:t xml:space="preserve">shall respect Ukraine’s sovereign rights and </w:t>
      </w:r>
      <w:r w:rsidRPr="00DD4376">
        <w:rPr>
          <w:szCs w:val="24"/>
        </w:rPr>
        <w:t>should provide appropriate</w:t>
      </w:r>
      <w:r w:rsidRPr="00463CCD">
        <w:rPr>
          <w:szCs w:val="24"/>
        </w:rPr>
        <w:t xml:space="preserve"> </w:t>
      </w:r>
      <w:r w:rsidRPr="00DD4376">
        <w:rPr>
          <w:szCs w:val="24"/>
        </w:rPr>
        <w:t xml:space="preserve">assistance and support to </w:t>
      </w:r>
      <w:r w:rsidRPr="00463CCD">
        <w:rPr>
          <w:szCs w:val="24"/>
        </w:rPr>
        <w:t>Ukraine</w:t>
      </w:r>
      <w:r w:rsidRPr="00DD4376">
        <w:rPr>
          <w:szCs w:val="24"/>
        </w:rPr>
        <w:t xml:space="preserve"> </w:t>
      </w:r>
      <w:r w:rsidR="005D2F52">
        <w:rPr>
          <w:szCs w:val="24"/>
        </w:rPr>
        <w:t>regarding</w:t>
      </w:r>
      <w:r w:rsidRPr="00463CCD">
        <w:rPr>
          <w:szCs w:val="24"/>
        </w:rPr>
        <w:t xml:space="preserve"> the use of frequency and numbering resources in the territories of the Autonomous Republic of Cr</w:t>
      </w:r>
      <w:r w:rsidR="004D7959">
        <w:rPr>
          <w:szCs w:val="24"/>
        </w:rPr>
        <w:t>imea and the city of Sevastopol;</w:t>
      </w:r>
    </w:p>
    <w:p w:rsidR="00AF17A8" w:rsidRPr="00463CCD" w:rsidRDefault="00AF17A8" w:rsidP="004D7959">
      <w:pPr>
        <w:jc w:val="both"/>
        <w:rPr>
          <w:szCs w:val="24"/>
        </w:rPr>
      </w:pPr>
      <w:r w:rsidRPr="00463CCD">
        <w:rPr>
          <w:iCs/>
          <w:szCs w:val="24"/>
        </w:rPr>
        <w:t>2</w:t>
      </w:r>
      <w:r w:rsidRPr="00DA2B42">
        <w:rPr>
          <w:iCs/>
          <w:szCs w:val="24"/>
        </w:rPr>
        <w:tab/>
      </w:r>
      <w:r w:rsidRPr="00463CCD">
        <w:rPr>
          <w:iCs/>
          <w:szCs w:val="24"/>
        </w:rPr>
        <w:t xml:space="preserve">that </w:t>
      </w:r>
      <w:r w:rsidRPr="00463CCD">
        <w:rPr>
          <w:szCs w:val="24"/>
        </w:rPr>
        <w:t xml:space="preserve">the </w:t>
      </w:r>
      <w:r w:rsidRPr="00DD4376">
        <w:rPr>
          <w:szCs w:val="24"/>
        </w:rPr>
        <w:t>Radiocommunication</w:t>
      </w:r>
      <w:r w:rsidRPr="00463CCD">
        <w:rPr>
          <w:szCs w:val="24"/>
        </w:rPr>
        <w:t xml:space="preserve"> </w:t>
      </w:r>
      <w:r w:rsidRPr="00DD4376">
        <w:rPr>
          <w:szCs w:val="24"/>
        </w:rPr>
        <w:t>Bureau</w:t>
      </w:r>
      <w:r w:rsidRPr="00463CCD">
        <w:rPr>
          <w:szCs w:val="24"/>
        </w:rPr>
        <w:t xml:space="preserve"> shall take due account of and safeguard the </w:t>
      </w:r>
      <w:r w:rsidR="005D2F52">
        <w:rPr>
          <w:szCs w:val="24"/>
        </w:rPr>
        <w:t>rights</w:t>
      </w:r>
      <w:r w:rsidRPr="00463CCD">
        <w:rPr>
          <w:szCs w:val="24"/>
        </w:rPr>
        <w:t xml:space="preserve"> of Ukraine in all matters relating to the</w:t>
      </w:r>
      <w:r w:rsidR="005D2F52">
        <w:rPr>
          <w:szCs w:val="24"/>
        </w:rPr>
        <w:t xml:space="preserve"> application of the Radio Regulations </w:t>
      </w:r>
      <w:r w:rsidRPr="00463CCD">
        <w:rPr>
          <w:szCs w:val="24"/>
        </w:rPr>
        <w:t>in the territories of the Autonomous Republic of Crimea and the city of Sevastopol</w:t>
      </w:r>
      <w:r w:rsidR="004D7959">
        <w:rPr>
          <w:szCs w:val="24"/>
        </w:rPr>
        <w:t>,</w:t>
      </w:r>
    </w:p>
    <w:p w:rsidR="00AF17A8" w:rsidRPr="00DA2B42" w:rsidRDefault="00AF17A8" w:rsidP="00AF17A8">
      <w:pPr>
        <w:pStyle w:val="Call"/>
      </w:pPr>
      <w:r w:rsidRPr="00463CCD">
        <w:t>calls upon Member States</w:t>
      </w:r>
    </w:p>
    <w:p w:rsidR="00AF17A8" w:rsidRPr="00DA2B42" w:rsidRDefault="00AF17A8" w:rsidP="00AF17A8">
      <w:pPr>
        <w:jc w:val="both"/>
        <w:rPr>
          <w:szCs w:val="24"/>
        </w:rPr>
      </w:pPr>
      <w:proofErr w:type="gramStart"/>
      <w:r w:rsidRPr="00463CCD">
        <w:rPr>
          <w:iCs/>
          <w:szCs w:val="24"/>
        </w:rPr>
        <w:t>to</w:t>
      </w:r>
      <w:proofErr w:type="gramEnd"/>
      <w:r w:rsidRPr="00463CCD">
        <w:rPr>
          <w:iCs/>
          <w:szCs w:val="24"/>
        </w:rPr>
        <w:t xml:space="preserve"> ensure all possible assistance and support to the Government of Ukraine, either bilaterally or through, and, in any case, in coordination with, the </w:t>
      </w:r>
      <w:r w:rsidR="005D2F52">
        <w:rPr>
          <w:iCs/>
          <w:szCs w:val="24"/>
        </w:rPr>
        <w:t xml:space="preserve">assistance </w:t>
      </w:r>
      <w:r w:rsidRPr="00463CCD">
        <w:rPr>
          <w:iCs/>
          <w:szCs w:val="24"/>
        </w:rPr>
        <w:t xml:space="preserve"> of the Union referred to above</w:t>
      </w:r>
      <w:r w:rsidRPr="00DA2B42">
        <w:rPr>
          <w:szCs w:val="24"/>
        </w:rPr>
        <w:t>;</w:t>
      </w:r>
    </w:p>
    <w:p w:rsidR="00AF17A8" w:rsidRPr="00DA2B42" w:rsidRDefault="00AF17A8" w:rsidP="00AF17A8">
      <w:pPr>
        <w:pStyle w:val="Call"/>
        <w:rPr>
          <w:lang w:bidi="ar-EG"/>
        </w:rPr>
      </w:pPr>
      <w:proofErr w:type="gramStart"/>
      <w:r w:rsidRPr="00463CCD">
        <w:rPr>
          <w:lang w:bidi="ar-EG"/>
        </w:rPr>
        <w:t>instructs</w:t>
      </w:r>
      <w:proofErr w:type="gramEnd"/>
      <w:r w:rsidRPr="00463CCD">
        <w:rPr>
          <w:lang w:bidi="ar-EG"/>
        </w:rPr>
        <w:t xml:space="preserve"> the Secretary-General</w:t>
      </w:r>
    </w:p>
    <w:p w:rsidR="00AF17A8" w:rsidRPr="00463CCD" w:rsidRDefault="00AF17A8" w:rsidP="00AF17A8">
      <w:pPr>
        <w:jc w:val="both"/>
        <w:rPr>
          <w:szCs w:val="24"/>
        </w:rPr>
      </w:pPr>
      <w:r w:rsidRPr="00463CCD">
        <w:rPr>
          <w:szCs w:val="24"/>
        </w:rPr>
        <w:t>to report to the Council and to the next plenipotentiary conference on the implementation of this resolution</w:t>
      </w:r>
      <w:r w:rsidRPr="00DA2B42">
        <w:rPr>
          <w:szCs w:val="24"/>
        </w:rPr>
        <w:t>,</w:t>
      </w:r>
    </w:p>
    <w:p w:rsidR="00AF17A8" w:rsidRPr="00463CCD" w:rsidRDefault="00AF17A8" w:rsidP="00AF17A8">
      <w:pPr>
        <w:pStyle w:val="Call"/>
      </w:pPr>
      <w:r w:rsidRPr="00463CCD">
        <w:t xml:space="preserve">requests the Chairman of the Plenipotentiary Conference </w:t>
      </w:r>
    </w:p>
    <w:p w:rsidR="00AF17A8" w:rsidRPr="00463CCD" w:rsidRDefault="00AF17A8" w:rsidP="00AF17A8">
      <w:pPr>
        <w:jc w:val="both"/>
        <w:rPr>
          <w:szCs w:val="24"/>
        </w:rPr>
      </w:pPr>
      <w:r w:rsidRPr="00463CCD">
        <w:rPr>
          <w:szCs w:val="24"/>
        </w:rPr>
        <w:t>to bring this Resolution immediately to the attention of the Secretary-General of the United Nations.</w:t>
      </w:r>
    </w:p>
    <w:p w:rsidR="00C91950" w:rsidRDefault="00C91950">
      <w:pPr>
        <w:pStyle w:val="Reasons"/>
      </w:pPr>
    </w:p>
    <w:p w:rsidR="00AF17A8" w:rsidRPr="00AF17A8" w:rsidRDefault="00AF17A8" w:rsidP="00AF17A8">
      <w:pPr>
        <w:pStyle w:val="Reasons"/>
        <w:jc w:val="center"/>
        <w:rPr>
          <w:u w:val="single"/>
        </w:rPr>
      </w:pPr>
      <w:r>
        <w:rPr>
          <w:u w:val="single"/>
        </w:rPr>
        <w:t>                                    </w:t>
      </w:r>
    </w:p>
    <w:sectPr w:rsidR="00AF17A8" w:rsidRPr="00AF17A8"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A7" w:rsidRDefault="008F4BA7">
      <w:r>
        <w:separator/>
      </w:r>
    </w:p>
  </w:endnote>
  <w:endnote w:type="continuationSeparator" w:id="0">
    <w:p w:rsidR="008F4BA7" w:rsidRDefault="008F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A7" w:rsidRDefault="008F4BA7">
      <w:r>
        <w:t>____________________</w:t>
      </w:r>
    </w:p>
  </w:footnote>
  <w:footnote w:type="continuationSeparator" w:id="0">
    <w:p w:rsidR="008F4BA7" w:rsidRDefault="008F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956AAE">
      <w:rPr>
        <w:noProof/>
      </w:rPr>
      <w:t>3</w:t>
    </w:r>
    <w:r>
      <w:fldChar w:fldCharType="end"/>
    </w:r>
  </w:p>
  <w:p w:rsidR="00CE1B90" w:rsidRDefault="00CE1B90" w:rsidP="00CE1B90">
    <w:pPr>
      <w:pStyle w:val="Header"/>
    </w:pPr>
    <w:r>
      <w:t>PP14/84</w:t>
    </w:r>
    <w:r w:rsidR="005E3BE7">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748262"/>
    <w:lvl w:ilvl="0">
      <w:start w:val="1"/>
      <w:numFmt w:val="decimal"/>
      <w:lvlText w:val="%1."/>
      <w:lvlJc w:val="left"/>
      <w:pPr>
        <w:tabs>
          <w:tab w:val="num" w:pos="1492"/>
        </w:tabs>
        <w:ind w:left="1492" w:hanging="360"/>
      </w:pPr>
    </w:lvl>
  </w:abstractNum>
  <w:abstractNum w:abstractNumId="1">
    <w:nsid w:val="FFFFFF7D"/>
    <w:multiLevelType w:val="singleLevel"/>
    <w:tmpl w:val="D5A48816"/>
    <w:lvl w:ilvl="0">
      <w:start w:val="1"/>
      <w:numFmt w:val="decimal"/>
      <w:lvlText w:val="%1."/>
      <w:lvlJc w:val="left"/>
      <w:pPr>
        <w:tabs>
          <w:tab w:val="num" w:pos="1209"/>
        </w:tabs>
        <w:ind w:left="1209" w:hanging="360"/>
      </w:pPr>
    </w:lvl>
  </w:abstractNum>
  <w:abstractNum w:abstractNumId="2">
    <w:nsid w:val="FFFFFF7E"/>
    <w:multiLevelType w:val="singleLevel"/>
    <w:tmpl w:val="F65E2918"/>
    <w:lvl w:ilvl="0">
      <w:start w:val="1"/>
      <w:numFmt w:val="decimal"/>
      <w:lvlText w:val="%1."/>
      <w:lvlJc w:val="left"/>
      <w:pPr>
        <w:tabs>
          <w:tab w:val="num" w:pos="926"/>
        </w:tabs>
        <w:ind w:left="926" w:hanging="360"/>
      </w:pPr>
    </w:lvl>
  </w:abstractNum>
  <w:abstractNum w:abstractNumId="3">
    <w:nsid w:val="FFFFFF7F"/>
    <w:multiLevelType w:val="singleLevel"/>
    <w:tmpl w:val="E49234C0"/>
    <w:lvl w:ilvl="0">
      <w:start w:val="1"/>
      <w:numFmt w:val="decimal"/>
      <w:lvlText w:val="%1."/>
      <w:lvlJc w:val="left"/>
      <w:pPr>
        <w:tabs>
          <w:tab w:val="num" w:pos="643"/>
        </w:tabs>
        <w:ind w:left="643" w:hanging="360"/>
      </w:pPr>
    </w:lvl>
  </w:abstractNum>
  <w:abstractNum w:abstractNumId="4">
    <w:nsid w:val="FFFFFF80"/>
    <w:multiLevelType w:val="singleLevel"/>
    <w:tmpl w:val="FE047C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FAB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403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9E3F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606764"/>
    <w:lvl w:ilvl="0">
      <w:start w:val="1"/>
      <w:numFmt w:val="decimal"/>
      <w:lvlText w:val="%1."/>
      <w:lvlJc w:val="left"/>
      <w:pPr>
        <w:tabs>
          <w:tab w:val="num" w:pos="360"/>
        </w:tabs>
        <w:ind w:left="360" w:hanging="360"/>
      </w:pPr>
    </w:lvl>
  </w:abstractNum>
  <w:abstractNum w:abstractNumId="9">
    <w:nsid w:val="FFFFFF89"/>
    <w:multiLevelType w:val="singleLevel"/>
    <w:tmpl w:val="9948E5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860E6"/>
    <w:rsid w:val="00094B4F"/>
    <w:rsid w:val="000A1015"/>
    <w:rsid w:val="000B03F9"/>
    <w:rsid w:val="000B0A77"/>
    <w:rsid w:val="000B0D6C"/>
    <w:rsid w:val="000B5BB9"/>
    <w:rsid w:val="000B7152"/>
    <w:rsid w:val="000C4701"/>
    <w:rsid w:val="000E4C7A"/>
    <w:rsid w:val="000E5E15"/>
    <w:rsid w:val="000F5A9A"/>
    <w:rsid w:val="000F73D1"/>
    <w:rsid w:val="001001C5"/>
    <w:rsid w:val="00101872"/>
    <w:rsid w:val="00105EFE"/>
    <w:rsid w:val="00106777"/>
    <w:rsid w:val="0011489E"/>
    <w:rsid w:val="00114BA3"/>
    <w:rsid w:val="00115DEC"/>
    <w:rsid w:val="00123F09"/>
    <w:rsid w:val="00136175"/>
    <w:rsid w:val="00140FF0"/>
    <w:rsid w:val="00142F28"/>
    <w:rsid w:val="00146057"/>
    <w:rsid w:val="0016633C"/>
    <w:rsid w:val="00171990"/>
    <w:rsid w:val="00195008"/>
    <w:rsid w:val="00195B70"/>
    <w:rsid w:val="001A0EEB"/>
    <w:rsid w:val="001A16ED"/>
    <w:rsid w:val="001B18AB"/>
    <w:rsid w:val="001B70D1"/>
    <w:rsid w:val="001C3804"/>
    <w:rsid w:val="001D3322"/>
    <w:rsid w:val="001E01A5"/>
    <w:rsid w:val="001E18AB"/>
    <w:rsid w:val="001E1C8F"/>
    <w:rsid w:val="002115E0"/>
    <w:rsid w:val="0021319F"/>
    <w:rsid w:val="00215F12"/>
    <w:rsid w:val="00232B31"/>
    <w:rsid w:val="00235A3B"/>
    <w:rsid w:val="002409B2"/>
    <w:rsid w:val="00243BE4"/>
    <w:rsid w:val="00257188"/>
    <w:rsid w:val="002578B4"/>
    <w:rsid w:val="00267D12"/>
    <w:rsid w:val="00281792"/>
    <w:rsid w:val="0028799E"/>
    <w:rsid w:val="002962A8"/>
    <w:rsid w:val="002A3EB1"/>
    <w:rsid w:val="002A56C0"/>
    <w:rsid w:val="002E7017"/>
    <w:rsid w:val="002E77F4"/>
    <w:rsid w:val="002F36B9"/>
    <w:rsid w:val="002F5FA2"/>
    <w:rsid w:val="003126B0"/>
    <w:rsid w:val="00314127"/>
    <w:rsid w:val="00314C12"/>
    <w:rsid w:val="003261C3"/>
    <w:rsid w:val="003453DA"/>
    <w:rsid w:val="00357754"/>
    <w:rsid w:val="003578E4"/>
    <w:rsid w:val="00361097"/>
    <w:rsid w:val="00362494"/>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2533"/>
    <w:rsid w:val="00426AC1"/>
    <w:rsid w:val="004321DC"/>
    <w:rsid w:val="00435AA4"/>
    <w:rsid w:val="00435EA8"/>
    <w:rsid w:val="004360BB"/>
    <w:rsid w:val="0045533C"/>
    <w:rsid w:val="004606DA"/>
    <w:rsid w:val="00463092"/>
    <w:rsid w:val="004676C0"/>
    <w:rsid w:val="00474BF8"/>
    <w:rsid w:val="00474E00"/>
    <w:rsid w:val="004835DB"/>
    <w:rsid w:val="00491BF8"/>
    <w:rsid w:val="00491D2D"/>
    <w:rsid w:val="00494797"/>
    <w:rsid w:val="004B0C10"/>
    <w:rsid w:val="004C19D7"/>
    <w:rsid w:val="004C297B"/>
    <w:rsid w:val="004C73C9"/>
    <w:rsid w:val="004D7959"/>
    <w:rsid w:val="004E01FA"/>
    <w:rsid w:val="004E6764"/>
    <w:rsid w:val="004F041D"/>
    <w:rsid w:val="004F1C55"/>
    <w:rsid w:val="00504FE5"/>
    <w:rsid w:val="00507348"/>
    <w:rsid w:val="00522C97"/>
    <w:rsid w:val="00533FCD"/>
    <w:rsid w:val="005356FD"/>
    <w:rsid w:val="0054688A"/>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D2F52"/>
    <w:rsid w:val="005E1CC3"/>
    <w:rsid w:val="005E3BE7"/>
    <w:rsid w:val="005E6963"/>
    <w:rsid w:val="005F05C8"/>
    <w:rsid w:val="00604079"/>
    <w:rsid w:val="00617BE4"/>
    <w:rsid w:val="00620233"/>
    <w:rsid w:val="006404B0"/>
    <w:rsid w:val="0066499C"/>
    <w:rsid w:val="0067209A"/>
    <w:rsid w:val="00676E68"/>
    <w:rsid w:val="006943B7"/>
    <w:rsid w:val="006A7108"/>
    <w:rsid w:val="006B2035"/>
    <w:rsid w:val="006B40DA"/>
    <w:rsid w:val="006B59E8"/>
    <w:rsid w:val="006B79DE"/>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D66E7"/>
    <w:rsid w:val="007E00D2"/>
    <w:rsid w:val="007E2AD4"/>
    <w:rsid w:val="007E3469"/>
    <w:rsid w:val="007E7B63"/>
    <w:rsid w:val="007F60B6"/>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489D"/>
    <w:rsid w:val="00895CE3"/>
    <w:rsid w:val="0089603F"/>
    <w:rsid w:val="00897970"/>
    <w:rsid w:val="008B5A71"/>
    <w:rsid w:val="008D3BE2"/>
    <w:rsid w:val="008D4D98"/>
    <w:rsid w:val="008E2A7B"/>
    <w:rsid w:val="008E6E9B"/>
    <w:rsid w:val="008F2C56"/>
    <w:rsid w:val="008F3C99"/>
    <w:rsid w:val="008F4BA7"/>
    <w:rsid w:val="00900D5B"/>
    <w:rsid w:val="009236FE"/>
    <w:rsid w:val="00940E00"/>
    <w:rsid w:val="00945D4B"/>
    <w:rsid w:val="00950E0F"/>
    <w:rsid w:val="00956AAE"/>
    <w:rsid w:val="0096041E"/>
    <w:rsid w:val="0096150D"/>
    <w:rsid w:val="009630FA"/>
    <w:rsid w:val="00967103"/>
    <w:rsid w:val="00967670"/>
    <w:rsid w:val="00970996"/>
    <w:rsid w:val="009800CC"/>
    <w:rsid w:val="009A078E"/>
    <w:rsid w:val="009A2B30"/>
    <w:rsid w:val="009A4211"/>
    <w:rsid w:val="009A47A2"/>
    <w:rsid w:val="009D6BF4"/>
    <w:rsid w:val="009E425E"/>
    <w:rsid w:val="009E4322"/>
    <w:rsid w:val="009F4384"/>
    <w:rsid w:val="009F442D"/>
    <w:rsid w:val="009F50DA"/>
    <w:rsid w:val="00A06D56"/>
    <w:rsid w:val="00A314A2"/>
    <w:rsid w:val="00A3510E"/>
    <w:rsid w:val="00A516BB"/>
    <w:rsid w:val="00A619C5"/>
    <w:rsid w:val="00A77BF2"/>
    <w:rsid w:val="00A808E1"/>
    <w:rsid w:val="00A8262F"/>
    <w:rsid w:val="00A84B32"/>
    <w:rsid w:val="00A84B3A"/>
    <w:rsid w:val="00A93B71"/>
    <w:rsid w:val="00AA614F"/>
    <w:rsid w:val="00AB0B32"/>
    <w:rsid w:val="00AB2D04"/>
    <w:rsid w:val="00AB5C39"/>
    <w:rsid w:val="00AB75A9"/>
    <w:rsid w:val="00AD1C5C"/>
    <w:rsid w:val="00AD566F"/>
    <w:rsid w:val="00AD68A7"/>
    <w:rsid w:val="00AF17A8"/>
    <w:rsid w:val="00B156F9"/>
    <w:rsid w:val="00B1733E"/>
    <w:rsid w:val="00B25A86"/>
    <w:rsid w:val="00B304B9"/>
    <w:rsid w:val="00B55E1A"/>
    <w:rsid w:val="00B564E7"/>
    <w:rsid w:val="00B57988"/>
    <w:rsid w:val="00B62032"/>
    <w:rsid w:val="00B63DA4"/>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7CEC"/>
    <w:rsid w:val="00C34851"/>
    <w:rsid w:val="00C42A5B"/>
    <w:rsid w:val="00C56038"/>
    <w:rsid w:val="00C6729F"/>
    <w:rsid w:val="00C72664"/>
    <w:rsid w:val="00C86F24"/>
    <w:rsid w:val="00C91950"/>
    <w:rsid w:val="00CA38C9"/>
    <w:rsid w:val="00CB4984"/>
    <w:rsid w:val="00CB5DD7"/>
    <w:rsid w:val="00CB7795"/>
    <w:rsid w:val="00CB77D5"/>
    <w:rsid w:val="00CC14F0"/>
    <w:rsid w:val="00CE1B90"/>
    <w:rsid w:val="00CE22DE"/>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093B"/>
    <w:rsid w:val="00E30CE2"/>
    <w:rsid w:val="00E31D1C"/>
    <w:rsid w:val="00E32981"/>
    <w:rsid w:val="00E3536D"/>
    <w:rsid w:val="00E44456"/>
    <w:rsid w:val="00E553B9"/>
    <w:rsid w:val="00E56E57"/>
    <w:rsid w:val="00E6599B"/>
    <w:rsid w:val="00E726DE"/>
    <w:rsid w:val="00E844D5"/>
    <w:rsid w:val="00E86536"/>
    <w:rsid w:val="00E871C2"/>
    <w:rsid w:val="00EA1BAA"/>
    <w:rsid w:val="00ED401C"/>
    <w:rsid w:val="00ED4E67"/>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16E"/>
    <w:rsid w:val="00F55DA5"/>
    <w:rsid w:val="00F95ABE"/>
    <w:rsid w:val="00F96540"/>
    <w:rsid w:val="00F9756D"/>
    <w:rsid w:val="00FB5F12"/>
    <w:rsid w:val="00FD417F"/>
    <w:rsid w:val="00FD7255"/>
    <w:rsid w:val="00FD7B1D"/>
    <w:rsid w:val="00FE1E22"/>
    <w:rsid w:val="00FF04D6"/>
    <w:rsid w:val="00FF0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Strong">
    <w:name w:val="Strong"/>
    <w:uiPriority w:val="22"/>
    <w:qFormat/>
    <w:rsid w:val="00AF17A8"/>
    <w:rPr>
      <w:b/>
      <w:bCs/>
    </w:rPr>
  </w:style>
  <w:style w:type="character" w:customStyle="1" w:styleId="apple-converted-space">
    <w:name w:val="apple-converted-space"/>
    <w:rsid w:val="00AF17A8"/>
  </w:style>
  <w:style w:type="paragraph" w:styleId="ListParagraph">
    <w:name w:val="List Paragraph"/>
    <w:basedOn w:val="Normal"/>
    <w:uiPriority w:val="34"/>
    <w:qFormat/>
    <w:rsid w:val="0053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93bae1-d83b-4e1e-938b-b09afc13682c">Documents Proposals Manager (DPM)</DPM_x0020_Author>
    <DPM_x0020_File_x0020_name xmlns="3693bae1-d83b-4e1e-938b-b09afc13682c">S14-PP-C-0084!!MSW-E</DPM_x0020_File_x0020_name>
    <DPM_x0020_Version xmlns="3693bae1-d83b-4e1e-938b-b09afc13682c">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93bae1-d83b-4e1e-938b-b09afc13682c" targetNamespace="http://schemas.microsoft.com/office/2006/metadata/properties" ma:root="true" ma:fieldsID="d41af5c836d734370eb92e7ee5f83852" ns2:_="" ns3:_="">
    <xsd:import namespace="996b2e75-67fd-4955-a3b0-5ab9934cb50b"/>
    <xsd:import namespace="3693bae1-d83b-4e1e-938b-b09afc1368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93bae1-d83b-4e1e-938b-b09afc1368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693bae1-d83b-4e1e-938b-b09afc13682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93bae1-d83b-4e1e-938b-b09afc136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42D33-BC58-432C-8D83-48A825F3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5048</Characters>
  <Application>Microsoft Office Word</Application>
  <DocSecurity>0</DocSecurity>
  <Lines>42</Lines>
  <Paragraphs>11</Paragraphs>
  <ScaleCrop>false</ScaleCrop>
  <HeadingPairs>
    <vt:vector size="6" baseType="variant">
      <vt:variant>
        <vt:lpstr>Title</vt:lpstr>
      </vt:variant>
      <vt:variant>
        <vt:i4>1</vt:i4>
      </vt:variant>
      <vt:variant>
        <vt:lpstr>Название</vt:lpstr>
      </vt:variant>
      <vt:variant>
        <vt:i4>1</vt:i4>
      </vt:variant>
      <vt:variant>
        <vt:lpstr>Tytuł</vt:lpstr>
      </vt:variant>
      <vt:variant>
        <vt:i4>1</vt:i4>
      </vt:variant>
    </vt:vector>
  </HeadingPairs>
  <TitlesOfParts>
    <vt:vector size="3" baseType="lpstr">
      <vt:lpstr>S14-PP-C-0084!!MSW-E</vt:lpstr>
      <vt:lpstr>S14-PP-C-0084!!MSW-E</vt:lpstr>
      <vt:lpstr>S14-PP-C-0084!!MSW-E</vt:lpstr>
    </vt:vector>
  </TitlesOfParts>
  <LinksUpToDate>false</LinksUpToDate>
  <CharactersWithSpaces>5914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S14-PP-C-0084!!MSW-E</dc:title>
  <dc:subject>Plenipotentiary Conference (PP-14)</dc:subject>
  <dc:creator/>
  <cp:keywords>DPM_v5.7.1.21_prod</cp:keywords>
  <cp:lastModifiedBy/>
  <cp:revision>1</cp:revision>
  <dcterms:created xsi:type="dcterms:W3CDTF">2014-11-05T09:22:00Z</dcterms:created>
  <dcterms:modified xsi:type="dcterms:W3CDTF">2014-11-05T09:22:00Z</dcterms:modified>
  <cp:category>Conference document</cp:category>
</cp:coreProperties>
</file>