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9753F" w:rsidTr="00682B62">
        <w:trPr>
          <w:cantSplit/>
        </w:trPr>
        <w:tc>
          <w:tcPr>
            <w:tcW w:w="6911" w:type="dxa"/>
          </w:tcPr>
          <w:p w:rsidR="00255FA1" w:rsidRPr="00C9753F" w:rsidRDefault="00255FA1" w:rsidP="00491A2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9753F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C9753F">
              <w:rPr>
                <w:rStyle w:val="PageNumber"/>
                <w:rFonts w:cs="Times"/>
                <w:sz w:val="26"/>
                <w:szCs w:val="26"/>
              </w:rPr>
              <w:br/>
            </w:r>
            <w:r w:rsidRPr="00C9753F">
              <w:rPr>
                <w:rStyle w:val="PageNumber"/>
                <w:b/>
                <w:bCs/>
                <w:szCs w:val="24"/>
              </w:rPr>
              <w:t>Bus</w:t>
            </w:r>
            <w:r w:rsidR="00B501AB" w:rsidRPr="00C9753F">
              <w:rPr>
                <w:rStyle w:val="PageNumber"/>
                <w:b/>
                <w:bCs/>
                <w:szCs w:val="24"/>
              </w:rPr>
              <w:t>á</w:t>
            </w:r>
            <w:r w:rsidRPr="00C9753F">
              <w:rPr>
                <w:rStyle w:val="PageNumber"/>
                <w:b/>
                <w:bCs/>
                <w:szCs w:val="24"/>
              </w:rPr>
              <w:t xml:space="preserve">n, </w:t>
            </w:r>
            <w:r w:rsidRPr="00C9753F">
              <w:rPr>
                <w:rStyle w:val="PageNumber"/>
                <w:b/>
                <w:szCs w:val="24"/>
              </w:rPr>
              <w:t xml:space="preserve">20 de octubre </w:t>
            </w:r>
            <w:r w:rsidR="00491A25" w:rsidRPr="00C9753F">
              <w:rPr>
                <w:rStyle w:val="PageNumber"/>
                <w:b/>
                <w:szCs w:val="24"/>
              </w:rPr>
              <w:t>–</w:t>
            </w:r>
            <w:r w:rsidRPr="00C9753F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C9753F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9753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9E2913C" wp14:editId="13EA8384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9753F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C9753F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C9753F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C9753F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9753F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C9753F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C9753F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C9753F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C9753F">
              <w:rPr>
                <w:lang w:val="es-ES_tradnl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255FA1" w:rsidRPr="00C9753F" w:rsidRDefault="00894071" w:rsidP="00336750">
            <w:pPr>
              <w:spacing w:before="0"/>
              <w:rPr>
                <w:rFonts w:cstheme="minorHAnsi"/>
                <w:szCs w:val="24"/>
              </w:rPr>
            </w:pPr>
            <w:r w:rsidRPr="00C9753F">
              <w:rPr>
                <w:rFonts w:cstheme="minorHAnsi"/>
                <w:b/>
                <w:szCs w:val="24"/>
              </w:rPr>
              <w:t xml:space="preserve">Revisión </w:t>
            </w:r>
            <w:r w:rsidR="007119F8" w:rsidRPr="00C9753F">
              <w:rPr>
                <w:rFonts w:cstheme="minorHAnsi"/>
                <w:b/>
                <w:szCs w:val="24"/>
              </w:rPr>
              <w:t>2</w:t>
            </w:r>
            <w:r w:rsidRPr="00C9753F">
              <w:rPr>
                <w:rFonts w:cstheme="minorHAnsi"/>
                <w:b/>
                <w:szCs w:val="24"/>
              </w:rPr>
              <w:t xml:space="preserve"> </w:t>
            </w:r>
            <w:r w:rsidR="00336750">
              <w:rPr>
                <w:rFonts w:cstheme="minorHAnsi"/>
                <w:b/>
                <w:szCs w:val="24"/>
              </w:rPr>
              <w:t>a</w:t>
            </w:r>
            <w:r w:rsidRPr="00C9753F">
              <w:rPr>
                <w:rFonts w:cstheme="minorHAnsi"/>
                <w:b/>
                <w:szCs w:val="24"/>
              </w:rPr>
              <w:t>l</w:t>
            </w:r>
            <w:r w:rsidR="009F009E">
              <w:rPr>
                <w:rFonts w:cstheme="minorHAnsi"/>
                <w:b/>
                <w:szCs w:val="24"/>
              </w:rPr>
              <w:br/>
            </w:r>
            <w:r w:rsidR="00CB235F" w:rsidRPr="00C9753F">
              <w:rPr>
                <w:rFonts w:cstheme="minorHAnsi"/>
                <w:b/>
                <w:szCs w:val="24"/>
              </w:rPr>
              <w:t xml:space="preserve">Documento </w:t>
            </w:r>
            <w:r w:rsidR="00255FA1" w:rsidRPr="00C9753F">
              <w:rPr>
                <w:rFonts w:cstheme="minorHAnsi"/>
                <w:b/>
                <w:szCs w:val="24"/>
              </w:rPr>
              <w:t>84</w:t>
            </w:r>
            <w:r w:rsidR="00262FF4" w:rsidRPr="00C9753F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C9753F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C9753F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55FA1" w:rsidRPr="00C9753F" w:rsidRDefault="007119F8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9753F">
              <w:rPr>
                <w:rFonts w:cstheme="minorHAnsi"/>
                <w:b/>
                <w:szCs w:val="24"/>
              </w:rPr>
              <w:t>5 de noviembre</w:t>
            </w:r>
            <w:r w:rsidR="00255FA1" w:rsidRPr="00C9753F">
              <w:rPr>
                <w:rFonts w:cstheme="minorHAnsi"/>
                <w:b/>
                <w:szCs w:val="24"/>
              </w:rPr>
              <w:t xml:space="preserve"> de 2014</w:t>
            </w:r>
          </w:p>
        </w:tc>
      </w:tr>
      <w:tr w:rsidR="00255FA1" w:rsidRPr="00C9753F" w:rsidTr="00682B62">
        <w:trPr>
          <w:cantSplit/>
        </w:trPr>
        <w:tc>
          <w:tcPr>
            <w:tcW w:w="6911" w:type="dxa"/>
          </w:tcPr>
          <w:p w:rsidR="00255FA1" w:rsidRPr="00C9753F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C9753F" w:rsidRDefault="00255FA1" w:rsidP="00894071">
            <w:pPr>
              <w:spacing w:before="0"/>
              <w:rPr>
                <w:rFonts w:cstheme="minorHAnsi"/>
                <w:b/>
                <w:szCs w:val="24"/>
              </w:rPr>
            </w:pPr>
            <w:r w:rsidRPr="00C9753F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C9753F" w:rsidTr="00682B62">
        <w:trPr>
          <w:cantSplit/>
        </w:trPr>
        <w:tc>
          <w:tcPr>
            <w:tcW w:w="10031" w:type="dxa"/>
            <w:gridSpan w:val="2"/>
          </w:tcPr>
          <w:p w:rsidR="00255FA1" w:rsidRPr="00C9753F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C9753F" w:rsidTr="00682B62">
        <w:trPr>
          <w:cantSplit/>
        </w:trPr>
        <w:tc>
          <w:tcPr>
            <w:tcW w:w="10031" w:type="dxa"/>
            <w:gridSpan w:val="2"/>
          </w:tcPr>
          <w:p w:rsidR="00255FA1" w:rsidRPr="00C9753F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C9753F">
              <w:t>Ucrania</w:t>
            </w:r>
          </w:p>
        </w:tc>
      </w:tr>
      <w:tr w:rsidR="00255FA1" w:rsidRPr="00C9753F" w:rsidTr="00682B62">
        <w:trPr>
          <w:cantSplit/>
        </w:trPr>
        <w:tc>
          <w:tcPr>
            <w:tcW w:w="10031" w:type="dxa"/>
            <w:gridSpan w:val="2"/>
          </w:tcPr>
          <w:p w:rsidR="00255FA1" w:rsidRPr="00C9753F" w:rsidRDefault="00A11CE1" w:rsidP="00682B62">
            <w:pPr>
              <w:pStyle w:val="Title1"/>
            </w:pPr>
            <w:bookmarkStart w:id="5" w:name="dtitle1" w:colFirst="0" w:colLast="0"/>
            <w:bookmarkEnd w:id="4"/>
            <w:r w:rsidRPr="00C9753F">
              <w:t>PROPUESTAS PARA LOS TRABAJOS DE LA CONFERENCIA</w:t>
            </w:r>
          </w:p>
        </w:tc>
      </w:tr>
      <w:tr w:rsidR="00255FA1" w:rsidRPr="00C9753F" w:rsidTr="00682B62">
        <w:trPr>
          <w:cantSplit/>
        </w:trPr>
        <w:tc>
          <w:tcPr>
            <w:tcW w:w="10031" w:type="dxa"/>
            <w:gridSpan w:val="2"/>
          </w:tcPr>
          <w:p w:rsidR="00255FA1" w:rsidRPr="00C9753F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931A02" w:rsidRPr="00C9753F" w:rsidRDefault="005B651B">
      <w:pPr>
        <w:pStyle w:val="Proposal"/>
        <w:rPr>
          <w:lang w:val="es-ES_tradnl"/>
        </w:rPr>
      </w:pPr>
      <w:r w:rsidRPr="00C9753F">
        <w:rPr>
          <w:lang w:val="es-ES_tradnl"/>
        </w:rPr>
        <w:t>ADD</w:t>
      </w:r>
      <w:r w:rsidRPr="00C9753F">
        <w:rPr>
          <w:lang w:val="es-ES_tradnl"/>
        </w:rPr>
        <w:tab/>
        <w:t>UKR/84/1</w:t>
      </w:r>
    </w:p>
    <w:p w:rsidR="00931A02" w:rsidRPr="00C9753F" w:rsidRDefault="005B651B">
      <w:pPr>
        <w:pStyle w:val="ResNo"/>
      </w:pPr>
      <w:r w:rsidRPr="00C9753F">
        <w:t>Proyecto de nueva Resolución [UKR-1]</w:t>
      </w:r>
    </w:p>
    <w:p w:rsidR="00A11CE1" w:rsidRPr="00C9753F" w:rsidRDefault="00A11CE1" w:rsidP="003520FA">
      <w:pPr>
        <w:pStyle w:val="Restitle"/>
        <w:rPr>
          <w:sz w:val="26"/>
          <w:szCs w:val="26"/>
        </w:rPr>
      </w:pPr>
      <w:r w:rsidRPr="00C9753F">
        <w:rPr>
          <w:sz w:val="26"/>
          <w:szCs w:val="26"/>
        </w:rPr>
        <w:t>A</w:t>
      </w:r>
      <w:r w:rsidR="003520FA" w:rsidRPr="00C9753F">
        <w:rPr>
          <w:sz w:val="26"/>
          <w:szCs w:val="26"/>
        </w:rPr>
        <w:t>sistenci</w:t>
      </w:r>
      <w:r w:rsidRPr="00C9753F">
        <w:rPr>
          <w:sz w:val="26"/>
          <w:szCs w:val="26"/>
        </w:rPr>
        <w:t xml:space="preserve">a y apoyo a Ucrania para garantizar la utilización de los recursos de </w:t>
      </w:r>
      <w:r w:rsidR="003520FA" w:rsidRPr="00C9753F">
        <w:rPr>
          <w:sz w:val="26"/>
          <w:szCs w:val="26"/>
        </w:rPr>
        <w:br/>
      </w:r>
      <w:r w:rsidRPr="00C9753F">
        <w:rPr>
          <w:sz w:val="26"/>
          <w:szCs w:val="26"/>
        </w:rPr>
        <w:t>frecuencia</w:t>
      </w:r>
      <w:r w:rsidR="003520FA" w:rsidRPr="00C9753F">
        <w:rPr>
          <w:sz w:val="26"/>
          <w:szCs w:val="26"/>
        </w:rPr>
        <w:t>s</w:t>
      </w:r>
      <w:r w:rsidRPr="00C9753F">
        <w:rPr>
          <w:sz w:val="26"/>
          <w:szCs w:val="26"/>
        </w:rPr>
        <w:t xml:space="preserve"> y numeración en los territorios de la República Autónoma </w:t>
      </w:r>
      <w:r w:rsidR="003520FA" w:rsidRPr="00C9753F">
        <w:rPr>
          <w:sz w:val="26"/>
          <w:szCs w:val="26"/>
        </w:rPr>
        <w:br/>
      </w:r>
      <w:r w:rsidRPr="00C9753F">
        <w:rPr>
          <w:sz w:val="26"/>
          <w:szCs w:val="26"/>
        </w:rPr>
        <w:t>de Crimea y la ciudad de Sebastopol</w:t>
      </w:r>
    </w:p>
    <w:p w:rsidR="00A11CE1" w:rsidRPr="00C9753F" w:rsidRDefault="00A11CE1" w:rsidP="00A11CE1">
      <w:r w:rsidRPr="00C9753F">
        <w:t>La Conferencia de Plenipotenciarios de la Unión Internacional de Telecomunicaciones (Busán, 2014),</w:t>
      </w:r>
    </w:p>
    <w:p w:rsidR="00A11CE1" w:rsidRPr="00C9753F" w:rsidRDefault="00A11CE1" w:rsidP="00A11CE1">
      <w:pPr>
        <w:pStyle w:val="Call"/>
      </w:pPr>
      <w:r w:rsidRPr="00C9753F">
        <w:t>recordando</w:t>
      </w:r>
    </w:p>
    <w:p w:rsidR="00A11CE1" w:rsidRPr="00C9753F" w:rsidRDefault="00A11CE1" w:rsidP="00A11CE1">
      <w:r w:rsidRPr="00C9753F">
        <w:rPr>
          <w:i/>
        </w:rPr>
        <w:t>a)</w:t>
      </w:r>
      <w:r w:rsidRPr="00C9753F">
        <w:rPr>
          <w:i/>
        </w:rPr>
        <w:tab/>
      </w:r>
      <w:r w:rsidRPr="00C9753F">
        <w:t>los nobles principios, fines y objetivos consignados en la Carta de las Naciones Unidas y en la Declaración Universal de Derechos Humanos;</w:t>
      </w:r>
    </w:p>
    <w:p w:rsidR="00A11CE1" w:rsidRPr="00C9753F" w:rsidRDefault="00A11CE1" w:rsidP="00A11CE1">
      <w:r w:rsidRPr="00C9753F">
        <w:rPr>
          <w:i/>
          <w:iCs/>
        </w:rPr>
        <w:t>b)</w:t>
      </w:r>
      <w:r w:rsidRPr="00C9753F">
        <w:tab/>
        <w:t>el objeto de la Unión enunciado en el Artículo 1 de la Constitución de la UIT;</w:t>
      </w:r>
    </w:p>
    <w:p w:rsidR="00A11CE1" w:rsidRPr="00C9753F" w:rsidRDefault="00A11CE1" w:rsidP="006D0756">
      <w:r w:rsidRPr="00C9753F">
        <w:rPr>
          <w:i/>
          <w:iCs/>
        </w:rPr>
        <w:t>c)</w:t>
      </w:r>
      <w:r w:rsidRPr="00C9753F">
        <w:rPr>
          <w:i/>
          <w:iCs/>
        </w:rPr>
        <w:tab/>
      </w:r>
      <w:r w:rsidRPr="00C9753F">
        <w:t xml:space="preserve">lo dispuesto en la Resolución 68/262 (2014) de la Asamblea General de las Naciones Unidas, que </w:t>
      </w:r>
      <w:r w:rsidR="006D0756" w:rsidRPr="00C9753F">
        <w:t>"</w:t>
      </w:r>
      <w:r w:rsidRPr="00C9753F">
        <w:t>exhorta a todos los Estados, organizaciones internacionales y organismos especializados a que no reconozcan ninguna modificación del estatuto de la República Autónoma de Crimea y la ciudad de Sebastopol</w:t>
      </w:r>
      <w:r w:rsidR="006D0756" w:rsidRPr="00C9753F">
        <w:t>"</w:t>
      </w:r>
      <w:r w:rsidRPr="00C9753F">
        <w:t xml:space="preserve"> y </w:t>
      </w:r>
      <w:r w:rsidR="006D0756" w:rsidRPr="00C9753F">
        <w:t>"</w:t>
      </w:r>
      <w:r w:rsidRPr="00C9753F">
        <w:t>a que se abstengan de todo acto u operación que pudiera interpretarse como un reconocimiento de ese estatuto modificado</w:t>
      </w:r>
      <w:r w:rsidR="006D0756" w:rsidRPr="00C9753F">
        <w:t>"</w:t>
      </w:r>
      <w:r w:rsidRPr="00C9753F">
        <w:t>;</w:t>
      </w:r>
    </w:p>
    <w:p w:rsidR="00A11CE1" w:rsidRPr="00C9753F" w:rsidRDefault="00A11CE1" w:rsidP="00A11CE1">
      <w:r w:rsidRPr="00C9753F">
        <w:rPr>
          <w:i/>
          <w:iCs/>
        </w:rPr>
        <w:t>d)</w:t>
      </w:r>
      <w:r w:rsidRPr="00C9753F">
        <w:rPr>
          <w:i/>
          <w:iCs/>
        </w:rPr>
        <w:tab/>
      </w:r>
      <w:r w:rsidRPr="00C9753F">
        <w:t>el punto 16 de la Declaración de Principios de Ginebra, adoptada en la Cumbre Mundial sobre la Sociedad de la Información,</w:t>
      </w:r>
    </w:p>
    <w:p w:rsidR="00A11CE1" w:rsidRPr="00C9753F" w:rsidRDefault="00A11CE1" w:rsidP="00A11CE1">
      <w:pPr>
        <w:pStyle w:val="Call"/>
      </w:pPr>
      <w:r w:rsidRPr="00C9753F">
        <w:t>consciente</w:t>
      </w:r>
    </w:p>
    <w:p w:rsidR="00A11CE1" w:rsidRPr="00C9753F" w:rsidRDefault="00A11CE1" w:rsidP="00A11CE1">
      <w:r w:rsidRPr="00C9753F">
        <w:t>de que todos los Estados Miembros de la UIT deben respetar los principios fundamentales establecidos en el Preámbulo de la Constitución, el Preámbulo del Reglamento de las Telecomunicaciones Internacionales y el Preámbulo del Reglamento de Radiocomunicaciones,</w:t>
      </w:r>
    </w:p>
    <w:p w:rsidR="00A11CE1" w:rsidRPr="00C9753F" w:rsidRDefault="00A11CE1" w:rsidP="00A11CE1">
      <w:pPr>
        <w:pStyle w:val="Call"/>
      </w:pPr>
      <w:r w:rsidRPr="00C9753F">
        <w:lastRenderedPageBreak/>
        <w:t>considerando</w:t>
      </w:r>
    </w:p>
    <w:p w:rsidR="00A11CE1" w:rsidRPr="00C9753F" w:rsidRDefault="00A11CE1" w:rsidP="00A11CE1">
      <w:r w:rsidRPr="00C9753F">
        <w:t>que la Constitución y el Convenio de la UIT se han concebido para fortalecer la paz y la seguridad en el mundo a fin de desarrollar la cooperación internacional y de lograr un mejor entendimiento entre los pueblos interesados,</w:t>
      </w:r>
    </w:p>
    <w:p w:rsidR="00A11CE1" w:rsidRPr="00C9753F" w:rsidRDefault="00A11CE1" w:rsidP="00A11CE1">
      <w:pPr>
        <w:pStyle w:val="Call"/>
      </w:pPr>
      <w:r w:rsidRPr="00C9753F">
        <w:t>considerando además</w:t>
      </w:r>
    </w:p>
    <w:p w:rsidR="00A11CE1" w:rsidRPr="00C9753F" w:rsidRDefault="00A11CE1" w:rsidP="003520FA">
      <w:r w:rsidRPr="00C9753F">
        <w:rPr>
          <w:i/>
          <w:iCs/>
        </w:rPr>
        <w:t>а)</w:t>
      </w:r>
      <w:r w:rsidRPr="00C9753F">
        <w:rPr>
          <w:i/>
          <w:iCs/>
        </w:rPr>
        <w:tab/>
      </w:r>
      <w:r w:rsidRPr="00C9753F">
        <w:t xml:space="preserve">que las redes de telecomunicaciones y las asignaciones de frecuencias de Ucrania en los territorios temporalmente ocupados </w:t>
      </w:r>
      <w:r w:rsidR="003520FA" w:rsidRPr="00C9753F">
        <w:t>de</w:t>
      </w:r>
      <w:r w:rsidRPr="00C9753F">
        <w:t xml:space="preserve"> la República Autónoma de Crimea y la ciudad de Sebastopol son utilizados actualmente </w:t>
      </w:r>
      <w:r w:rsidR="00894071" w:rsidRPr="00C9753F">
        <w:t xml:space="preserve">de manera ilícita </w:t>
      </w:r>
      <w:r w:rsidRPr="00C9753F">
        <w:t>por los operadores de telecomunicaciones y las organizaciones de radiodifusión de la Federación de Rusia;</w:t>
      </w:r>
    </w:p>
    <w:p w:rsidR="00A11CE1" w:rsidRPr="00C9753F" w:rsidRDefault="00A11CE1" w:rsidP="005B651B">
      <w:r w:rsidRPr="00C9753F">
        <w:rPr>
          <w:i/>
        </w:rPr>
        <w:t>b)</w:t>
      </w:r>
      <w:r w:rsidRPr="00C9753F">
        <w:tab/>
        <w:t xml:space="preserve">que la comunidad internacional </w:t>
      </w:r>
      <w:r w:rsidR="00852B7B" w:rsidRPr="00C9753F">
        <w:t>tiene</w:t>
      </w:r>
      <w:r w:rsidRPr="00C9753F">
        <w:t xml:space="preserve"> un </w:t>
      </w:r>
      <w:r w:rsidR="00852B7B" w:rsidRPr="00C9753F">
        <w:t xml:space="preserve">importante </w:t>
      </w:r>
      <w:r w:rsidRPr="00C9753F">
        <w:t xml:space="preserve">papel </w:t>
      </w:r>
      <w:r w:rsidR="00852B7B" w:rsidRPr="00C9753F">
        <w:t>que desempeña</w:t>
      </w:r>
      <w:r w:rsidR="005B651B" w:rsidRPr="00C9753F">
        <w:t>r</w:t>
      </w:r>
      <w:r w:rsidRPr="00C9753F">
        <w:t xml:space="preserve"> en la asistencia a Ucrania para proteger sus recursos de frecuencia</w:t>
      </w:r>
      <w:r w:rsidR="005B651B" w:rsidRPr="00C9753F">
        <w:t>s</w:t>
      </w:r>
      <w:r w:rsidRPr="00C9753F">
        <w:t xml:space="preserve"> y numeración en los territorios de la República Autónoma de Crimea y la ciudad de Sebastopol,</w:t>
      </w:r>
    </w:p>
    <w:p w:rsidR="00894071" w:rsidRPr="00C9753F" w:rsidRDefault="00894071" w:rsidP="00611767">
      <w:pPr>
        <w:pStyle w:val="Call"/>
      </w:pPr>
      <w:r w:rsidRPr="00C9753F">
        <w:t>observando</w:t>
      </w:r>
    </w:p>
    <w:p w:rsidR="00894071" w:rsidRPr="00C9753F" w:rsidRDefault="00894071" w:rsidP="00CB235F">
      <w:r w:rsidRPr="00C9753F">
        <w:rPr>
          <w:i/>
          <w:iCs/>
        </w:rPr>
        <w:t>a)</w:t>
      </w:r>
      <w:r w:rsidRPr="00C9753F">
        <w:tab/>
        <w:t>las disposiciones de los números 17 y 191 de la Constitución de la UIT, en las que se estipula respectivamente que la Unión promoverá la adopción de medidas destinadas a garantizar la seguridad de la vida humana mediante la cooperación de los servicios de telecomunicación y que los servicios internacionales de telecomunicación deberán dar prioridad absoluta a todas las telecomunicaciones relativas a la seguridad de la vida humana;</w:t>
      </w:r>
    </w:p>
    <w:p w:rsidR="00894071" w:rsidRPr="00C9753F" w:rsidRDefault="00894071" w:rsidP="00CB235F">
      <w:r w:rsidRPr="00C9753F">
        <w:rPr>
          <w:i/>
          <w:iCs/>
        </w:rPr>
        <w:t>b)</w:t>
      </w:r>
      <w:r w:rsidRPr="00C9753F">
        <w:tab/>
        <w:t xml:space="preserve">que la Organización de la Aviación Civil </w:t>
      </w:r>
      <w:r w:rsidR="00BB7F5E" w:rsidRPr="00C9753F">
        <w:t>Internacional hizo notar</w:t>
      </w:r>
      <w:r w:rsidRPr="00C9753F">
        <w:t xml:space="preserve"> la posible existencia de </w:t>
      </w:r>
      <w:r w:rsidR="00BB7F5E" w:rsidRPr="00C9753F">
        <w:t>graves riesgos para la seguridad de los vuelos civiles internacionales, habida cuenta de la publicación reciente de la Federación de Rusia de una serie de avisos a los aviadores (NOTAM) por los que se modifica la región de información de vuelo de Simféropol, cuya res</w:t>
      </w:r>
      <w:r w:rsidR="00336750">
        <w:t>ponsabilidad incumbe a Ucrania,</w:t>
      </w:r>
      <w:bookmarkStart w:id="7" w:name="_GoBack"/>
      <w:bookmarkEnd w:id="7"/>
    </w:p>
    <w:p w:rsidR="00A11CE1" w:rsidRPr="00C9753F" w:rsidRDefault="00A11CE1" w:rsidP="00A11CE1">
      <w:pPr>
        <w:pStyle w:val="Call"/>
      </w:pPr>
      <w:r w:rsidRPr="00C9753F">
        <w:t>afirmando</w:t>
      </w:r>
    </w:p>
    <w:p w:rsidR="00A11CE1" w:rsidRPr="00C9753F" w:rsidRDefault="00A11CE1" w:rsidP="00BB7F5E">
      <w:r w:rsidRPr="00C9753F">
        <w:t>а)</w:t>
      </w:r>
      <w:r w:rsidRPr="00C9753F">
        <w:tab/>
        <w:t xml:space="preserve">que la prestación de un servicio internacional de telecomunicaciones a los ciudadanos de la República Autónoma de Crimea y la ciudad de Sebastopol </w:t>
      </w:r>
      <w:r w:rsidR="00BB7F5E" w:rsidRPr="00C9753F">
        <w:t>seguirán disponibles</w:t>
      </w:r>
      <w:r w:rsidRPr="00C9753F">
        <w:t xml:space="preserve"> a nivel internacional </w:t>
      </w:r>
      <w:r w:rsidR="00852B7B" w:rsidRPr="00C9753F">
        <w:t>utilizando</w:t>
      </w:r>
      <w:r w:rsidRPr="00C9753F">
        <w:t xml:space="preserve"> el código de Ucrania;</w:t>
      </w:r>
    </w:p>
    <w:p w:rsidR="00A11CE1" w:rsidRPr="00C9753F" w:rsidRDefault="00A11CE1" w:rsidP="00A11CE1">
      <w:pPr>
        <w:jc w:val="both"/>
        <w:rPr>
          <w:szCs w:val="24"/>
        </w:rPr>
      </w:pPr>
      <w:r w:rsidRPr="00C9753F">
        <w:rPr>
          <w:i/>
          <w:szCs w:val="24"/>
        </w:rPr>
        <w:t>b)</w:t>
      </w:r>
      <w:r w:rsidRPr="00C9753F">
        <w:rPr>
          <w:szCs w:val="24"/>
        </w:rPr>
        <w:tab/>
        <w:t>que toda notificación de una asignación de frecuencia a una estación en los territorios temporalmente ocupados de la República Autónoma de Crimea y la ciudad de Sebastopol debe ser hecha por la Administración de Ucrania, conforme a la Resolución 1 (Rev. CMR-97),</w:t>
      </w:r>
    </w:p>
    <w:p w:rsidR="00A11CE1" w:rsidRPr="00C9753F" w:rsidRDefault="00A11CE1" w:rsidP="00A11CE1">
      <w:pPr>
        <w:pStyle w:val="Call"/>
        <w:rPr>
          <w:iCs/>
        </w:rPr>
      </w:pPr>
      <w:r w:rsidRPr="00C9753F">
        <w:t>reconociendo</w:t>
      </w:r>
    </w:p>
    <w:p w:rsidR="00A11CE1" w:rsidRPr="00C9753F" w:rsidRDefault="00A11CE1" w:rsidP="00BB7F5E">
      <w:r w:rsidRPr="00C9753F">
        <w:rPr>
          <w:i/>
          <w:iCs/>
        </w:rPr>
        <w:t>а)</w:t>
      </w:r>
      <w:r w:rsidRPr="00C9753F">
        <w:tab/>
        <w:t xml:space="preserve">que los sistemas de telecomunicaciones fiables son indispensables para promover el desarrollo socioeconómico de los países, en particular de aquellos que han sufrido catástrofes naturales, conflictos </w:t>
      </w:r>
      <w:r w:rsidR="00BB7F5E" w:rsidRPr="00C9753F">
        <w:t>armados</w:t>
      </w:r>
      <w:r w:rsidRPr="00C9753F">
        <w:t xml:space="preserve"> </w:t>
      </w:r>
      <w:r w:rsidR="00BB7F5E" w:rsidRPr="00C9753F">
        <w:t>u otros actos de violencia</w:t>
      </w:r>
      <w:r w:rsidRPr="00C9753F">
        <w:t>;</w:t>
      </w:r>
    </w:p>
    <w:p w:rsidR="00A11CE1" w:rsidRPr="00C9753F" w:rsidRDefault="00A11CE1" w:rsidP="007119F8">
      <w:r w:rsidRPr="00C9753F">
        <w:rPr>
          <w:i/>
          <w:iCs/>
        </w:rPr>
        <w:t>b)</w:t>
      </w:r>
      <w:r w:rsidRPr="00C9753F">
        <w:rPr>
          <w:i/>
          <w:iCs/>
        </w:rPr>
        <w:tab/>
      </w:r>
      <w:r w:rsidRPr="00C9753F">
        <w:t xml:space="preserve">que Ucrania </w:t>
      </w:r>
      <w:r w:rsidR="007119F8" w:rsidRPr="00C9753F">
        <w:t xml:space="preserve">ha sido </w:t>
      </w:r>
      <w:r w:rsidRPr="00C9753F">
        <w:t>privada de instalaciones de telecomunicaciones en la República Autónoma de Crimea y l</w:t>
      </w:r>
      <w:r w:rsidR="00BB7F5E" w:rsidRPr="00C9753F">
        <w:t>a ciudad de Sebastopol a raíz del reciente conflicto armado</w:t>
      </w:r>
      <w:r w:rsidRPr="00C9753F">
        <w:t>;</w:t>
      </w:r>
    </w:p>
    <w:p w:rsidR="00A11CE1" w:rsidRPr="00C9753F" w:rsidRDefault="00A11CE1" w:rsidP="007119F8">
      <w:r w:rsidRPr="00C9753F">
        <w:rPr>
          <w:i/>
          <w:iCs/>
        </w:rPr>
        <w:t>с)</w:t>
      </w:r>
      <w:r w:rsidRPr="00C9753F">
        <w:tab/>
        <w:t xml:space="preserve">que los </w:t>
      </w:r>
      <w:r w:rsidR="007119F8" w:rsidRPr="00C9753F">
        <w:t xml:space="preserve">daños </w:t>
      </w:r>
      <w:r w:rsidRPr="00C9753F">
        <w:t>causados a las telecomunicaciones de</w:t>
      </w:r>
      <w:r w:rsidR="00852B7B" w:rsidRPr="00C9753F">
        <w:t xml:space="preserve"> Ucrania</w:t>
      </w:r>
      <w:r w:rsidRPr="00C9753F">
        <w:t xml:space="preserve"> deberían preocupar a toda la comunidad internacional y, en particular, a la UIT, que es el organismo especializado de las Naciones Unidas para las telecomunicaciones;</w:t>
      </w:r>
    </w:p>
    <w:p w:rsidR="00A11CE1" w:rsidRPr="00C9753F" w:rsidRDefault="007119F8" w:rsidP="00A11CE1">
      <w:r w:rsidRPr="00C9753F">
        <w:rPr>
          <w:i/>
          <w:iCs/>
        </w:rPr>
        <w:t>d</w:t>
      </w:r>
      <w:r w:rsidR="00A11CE1" w:rsidRPr="00C9753F">
        <w:rPr>
          <w:i/>
          <w:iCs/>
        </w:rPr>
        <w:t>)</w:t>
      </w:r>
      <w:r w:rsidR="00A11CE1" w:rsidRPr="00C9753F">
        <w:tab/>
        <w:t xml:space="preserve">que en los territorios de la República Autónoma de Crimea y la ciudad de Sebastopol, en la situación actual, Ucrania no podrá garantizar una completa transición de la radiodifusión analógica </w:t>
      </w:r>
      <w:r w:rsidR="00A11CE1" w:rsidRPr="00C9753F">
        <w:lastRenderedPageBreak/>
        <w:t>a la digital, conforme al Acuerdo Regional relativo al Acuerdo regional relativo a la planificación del servicio de radiodifusión digital terrenal en la Región 1 (partes de la Región 1 situadas al oeste del meridiano 170º E y al norte del paralelo 40º S, exceptuado el territorio de Mongolia) y en la República Islámica del Irán, e</w:t>
      </w:r>
      <w:r w:rsidR="005B651B" w:rsidRPr="00C9753F">
        <w:t>n las bandas de frecuencias 174-230 MHz y 470-862 MHz (Ginebra, </w:t>
      </w:r>
      <w:r w:rsidR="00A11CE1" w:rsidRPr="00C9753F">
        <w:t>2006)</w:t>
      </w:r>
      <w:r w:rsidR="00852B7B" w:rsidRPr="00C9753F">
        <w:t>,</w:t>
      </w:r>
    </w:p>
    <w:p w:rsidR="00A11CE1" w:rsidRPr="00C9753F" w:rsidRDefault="00A11CE1" w:rsidP="00A11CE1">
      <w:pPr>
        <w:pStyle w:val="Call"/>
      </w:pPr>
      <w:r w:rsidRPr="00C9753F">
        <w:t>resuelve</w:t>
      </w:r>
    </w:p>
    <w:p w:rsidR="00A11CE1" w:rsidRPr="00C9753F" w:rsidRDefault="00A11CE1" w:rsidP="007119F8">
      <w:r w:rsidRPr="00C9753F">
        <w:rPr>
          <w:iCs/>
        </w:rPr>
        <w:t>1</w:t>
      </w:r>
      <w:r w:rsidRPr="00C9753F">
        <w:tab/>
        <w:t>que el Secretario General, el Director de la Oficina de Radiocomunicaciones y el Director de la Oficina de Normalización de las Telecomunicaciones</w:t>
      </w:r>
      <w:r w:rsidR="007119F8" w:rsidRPr="00C9753F">
        <w:t xml:space="preserve"> respeten los derechos soberanos de Ucrania y presten</w:t>
      </w:r>
      <w:r w:rsidRPr="00C9753F">
        <w:t xml:space="preserve"> la a</w:t>
      </w:r>
      <w:r w:rsidR="00852B7B" w:rsidRPr="00C9753F">
        <w:t>sistenci</w:t>
      </w:r>
      <w:r w:rsidRPr="00C9753F">
        <w:t xml:space="preserve">a y el apoyo adecuados a Ucrania </w:t>
      </w:r>
      <w:r w:rsidR="007119F8" w:rsidRPr="00C9753F">
        <w:t>con respecto a</w:t>
      </w:r>
      <w:r w:rsidRPr="00C9753F">
        <w:t xml:space="preserve"> la utilización de los recursos de frecuencia</w:t>
      </w:r>
      <w:r w:rsidR="005B651B" w:rsidRPr="00C9753F">
        <w:t>s</w:t>
      </w:r>
      <w:r w:rsidRPr="00C9753F">
        <w:t xml:space="preserve"> y numeración en los territorios de la República Autónoma de Crimea y la ciudad de Sebastopol;</w:t>
      </w:r>
    </w:p>
    <w:p w:rsidR="00A11CE1" w:rsidRPr="00C9753F" w:rsidRDefault="00A11CE1" w:rsidP="007119F8">
      <w:r w:rsidRPr="00C9753F">
        <w:rPr>
          <w:iCs/>
        </w:rPr>
        <w:t>2</w:t>
      </w:r>
      <w:r w:rsidRPr="00C9753F">
        <w:rPr>
          <w:iCs/>
        </w:rPr>
        <w:tab/>
        <w:t>q</w:t>
      </w:r>
      <w:r w:rsidR="00852B7B" w:rsidRPr="00C9753F">
        <w:t xml:space="preserve">ue </w:t>
      </w:r>
      <w:r w:rsidRPr="00C9753F">
        <w:t xml:space="preserve">la Oficina de Radiocomunicaciones tenga debidamente en cuenta y proteja </w:t>
      </w:r>
      <w:r w:rsidR="007119F8" w:rsidRPr="00C9753F">
        <w:t>los derechos</w:t>
      </w:r>
      <w:r w:rsidRPr="00C9753F">
        <w:t xml:space="preserve"> de Ucrania en todos los aspectos relacionados con la </w:t>
      </w:r>
      <w:r w:rsidR="007119F8" w:rsidRPr="00C9753F">
        <w:t>aplicación del Reglamento de Radiocomunicaciones</w:t>
      </w:r>
      <w:r w:rsidRPr="00C9753F">
        <w:t xml:space="preserve"> en los territorios de la República Autónoma de Crimea y la ciudad de Sebastopol</w:t>
      </w:r>
      <w:r w:rsidR="00BB7F5E" w:rsidRPr="00C9753F">
        <w:t>,</w:t>
      </w:r>
    </w:p>
    <w:p w:rsidR="00A11CE1" w:rsidRPr="00C9753F" w:rsidRDefault="00A11CE1" w:rsidP="00A11CE1">
      <w:pPr>
        <w:pStyle w:val="Call"/>
      </w:pPr>
      <w:r w:rsidRPr="00C9753F">
        <w:t>pide a los Estados Miembros</w:t>
      </w:r>
    </w:p>
    <w:p w:rsidR="00A11CE1" w:rsidRPr="00C9753F" w:rsidRDefault="00A11CE1" w:rsidP="00110E55">
      <w:r w:rsidRPr="00C9753F">
        <w:t xml:space="preserve">que garanticen toda la asistencia y el apoyo posibles al Gobierno de Ucrania, ya sea bilateralmente o </w:t>
      </w:r>
      <w:r w:rsidR="0087491B" w:rsidRPr="00C9753F">
        <w:t>con</w:t>
      </w:r>
      <w:r w:rsidR="00110E55" w:rsidRPr="00C9753F">
        <w:t xml:space="preserve"> ayuda</w:t>
      </w:r>
      <w:r w:rsidRPr="00C9753F">
        <w:t xml:space="preserve"> de la Unión y, en todo caso, en coordinación con ella,</w:t>
      </w:r>
    </w:p>
    <w:p w:rsidR="00A11CE1" w:rsidRPr="00C9753F" w:rsidRDefault="00A11CE1" w:rsidP="00A11CE1">
      <w:pPr>
        <w:pStyle w:val="Call"/>
        <w:rPr>
          <w:lang w:bidi="ar-EG"/>
        </w:rPr>
      </w:pPr>
      <w:r w:rsidRPr="00C9753F">
        <w:rPr>
          <w:lang w:bidi="ar-EG"/>
        </w:rPr>
        <w:t>encarga al Secretario General</w:t>
      </w:r>
    </w:p>
    <w:p w:rsidR="00A11CE1" w:rsidRPr="00C9753F" w:rsidRDefault="00A11CE1" w:rsidP="00A11CE1">
      <w:r w:rsidRPr="00C9753F">
        <w:t>que informe al Consejo y a la próxima Conferencia de Plenipotenciarios sobre la aplicación de la presente Resolución,</w:t>
      </w:r>
    </w:p>
    <w:p w:rsidR="00A11CE1" w:rsidRPr="00C9753F" w:rsidRDefault="00A11CE1" w:rsidP="00A11CE1">
      <w:pPr>
        <w:pStyle w:val="Call"/>
      </w:pPr>
      <w:r w:rsidRPr="00C9753F">
        <w:t>solicita al Presidente de la Conferencia de Plenipotenciarios</w:t>
      </w:r>
    </w:p>
    <w:p w:rsidR="00A11CE1" w:rsidRPr="00C9753F" w:rsidRDefault="00A11CE1" w:rsidP="00A11CE1">
      <w:r w:rsidRPr="00C9753F">
        <w:t>que presente esta Resolución</w:t>
      </w:r>
      <w:r w:rsidR="00BB25B0" w:rsidRPr="00C9753F">
        <w:t xml:space="preserve"> </w:t>
      </w:r>
      <w:r w:rsidRPr="00C9753F">
        <w:t>inmediatamente a la atención del Sec</w:t>
      </w:r>
      <w:r w:rsidR="00110E55" w:rsidRPr="00C9753F">
        <w:t>retario General de las Naciones </w:t>
      </w:r>
      <w:r w:rsidRPr="00C9753F">
        <w:t>Unidas.</w:t>
      </w:r>
    </w:p>
    <w:p w:rsidR="00F923FB" w:rsidRPr="00C9753F" w:rsidRDefault="00F923FB" w:rsidP="0032202E">
      <w:pPr>
        <w:pStyle w:val="Reasons"/>
      </w:pPr>
    </w:p>
    <w:p w:rsidR="00931A02" w:rsidRPr="00C9753F" w:rsidRDefault="00F923FB" w:rsidP="00B3473F">
      <w:pPr>
        <w:jc w:val="center"/>
      </w:pPr>
      <w:r w:rsidRPr="00C9753F">
        <w:t>______________</w:t>
      </w:r>
    </w:p>
    <w:sectPr w:rsidR="00931A02" w:rsidRPr="00C9753F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41" w:rsidRDefault="00A84341">
      <w:r>
        <w:separator/>
      </w:r>
    </w:p>
  </w:endnote>
  <w:endnote w:type="continuationSeparator" w:id="0">
    <w:p w:rsidR="00A84341" w:rsidRDefault="00A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55" w:rsidRDefault="009F009E">
    <w:pPr>
      <w:pStyle w:val="Footer"/>
    </w:pPr>
    <w:fldSimple w:instr=" FILENAME \p  \* MERGEFORMAT ">
      <w:r w:rsidR="00110E55">
        <w:t>P:\ESP\SG\CONF-SG\PP14\000\084REV2S.docx</w:t>
      </w:r>
    </w:fldSimple>
    <w:r w:rsidR="00110E55">
      <w:t xml:space="preserve"> (372443)</w:t>
    </w:r>
    <w:r w:rsidR="00110E55">
      <w:tab/>
    </w:r>
    <w:r w:rsidR="00110E55">
      <w:fldChar w:fldCharType="begin"/>
    </w:r>
    <w:r w:rsidR="00110E55">
      <w:instrText xml:space="preserve"> SAVEDATE \@ DD.MM.YY </w:instrText>
    </w:r>
    <w:r w:rsidR="00110E55">
      <w:fldChar w:fldCharType="separate"/>
    </w:r>
    <w:r w:rsidR="00336750">
      <w:t>05.11.14</w:t>
    </w:r>
    <w:r w:rsidR="00110E55">
      <w:fldChar w:fldCharType="end"/>
    </w:r>
    <w:r w:rsidR="00110E55">
      <w:tab/>
    </w:r>
    <w:r w:rsidR="00110E55">
      <w:fldChar w:fldCharType="begin"/>
    </w:r>
    <w:r w:rsidR="00110E55">
      <w:instrText xml:space="preserve"> PRINTDATE \@ DD.MM.YY </w:instrText>
    </w:r>
    <w:r w:rsidR="00110E55">
      <w:fldChar w:fldCharType="separate"/>
    </w:r>
    <w:r w:rsidR="00110E55">
      <w:t>00.00.00</w:t>
    </w:r>
    <w:r w:rsidR="00110E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36750" w:rsidRDefault="00336750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p w:rsidR="00336750" w:rsidRPr="00336750" w:rsidRDefault="00336750" w:rsidP="00336750">
    <w:pPr>
      <w:pStyle w:val="Footer"/>
      <w:rPr>
        <w:rFonts w:hint="eastAsia"/>
        <w:lang w:val="en-GB"/>
      </w:rPr>
    </w:pPr>
    <w:r>
      <w:fldChar w:fldCharType="begin"/>
    </w:r>
    <w:r w:rsidRPr="00336750">
      <w:rPr>
        <w:lang w:val="en-GB"/>
      </w:rPr>
      <w:instrText xml:space="preserve"> FILENAME \p  \* MERGEFORMAT </w:instrText>
    </w:r>
    <w:r>
      <w:fldChar w:fldCharType="separate"/>
    </w:r>
    <w:r w:rsidRPr="00336750">
      <w:rPr>
        <w:lang w:val="en-GB"/>
      </w:rPr>
      <w:t>P:\ESP\SG\CONF-SG\PP14\000\084REV2S.docx</w:t>
    </w:r>
    <w:r>
      <w:fldChar w:fldCharType="end"/>
    </w:r>
    <w:r w:rsidRPr="00336750">
      <w:rPr>
        <w:lang w:val="en-GB"/>
      </w:rPr>
      <w:t xml:space="preserve"> (372443)</w:t>
    </w:r>
    <w:r w:rsidRPr="0033675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05.11.14</w:t>
    </w:r>
    <w:r>
      <w:fldChar w:fldCharType="end"/>
    </w:r>
    <w:r w:rsidRPr="0033675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41" w:rsidRDefault="00A84341">
      <w:r>
        <w:t>____________________</w:t>
      </w:r>
    </w:p>
  </w:footnote>
  <w:footnote w:type="continuationSeparator" w:id="0">
    <w:p w:rsidR="00A84341" w:rsidRDefault="00A8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6750">
      <w:rPr>
        <w:noProof/>
      </w:rPr>
      <w:t>3</w:t>
    </w:r>
    <w:r>
      <w:fldChar w:fldCharType="end"/>
    </w:r>
  </w:p>
  <w:p w:rsidR="00255FA1" w:rsidRDefault="00255FA1" w:rsidP="00110E55">
    <w:pPr>
      <w:pStyle w:val="Header"/>
    </w:pPr>
    <w:r>
      <w:rPr>
        <w:lang w:val="en-US"/>
      </w:rPr>
      <w:t>PP14</w:t>
    </w:r>
    <w:r>
      <w:t>/84</w:t>
    </w:r>
    <w:r w:rsidR="00CF77CF">
      <w:t>(Rev.</w:t>
    </w:r>
    <w:r w:rsidR="00110E55">
      <w:t>2</w:t>
    </w:r>
    <w:r w:rsidR="00CF77CF">
      <w:t>)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0D5BC3"/>
    <w:rsid w:val="0010546D"/>
    <w:rsid w:val="00110E55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1813"/>
    <w:rsid w:val="00262FF4"/>
    <w:rsid w:val="002977BC"/>
    <w:rsid w:val="002C6527"/>
    <w:rsid w:val="002E44FC"/>
    <w:rsid w:val="00336750"/>
    <w:rsid w:val="003520FA"/>
    <w:rsid w:val="003707E5"/>
    <w:rsid w:val="00391611"/>
    <w:rsid w:val="003D0027"/>
    <w:rsid w:val="003D3877"/>
    <w:rsid w:val="003E6E73"/>
    <w:rsid w:val="00424242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3AE7"/>
    <w:rsid w:val="005359B6"/>
    <w:rsid w:val="005470E8"/>
    <w:rsid w:val="00550FCF"/>
    <w:rsid w:val="00556958"/>
    <w:rsid w:val="00567ED5"/>
    <w:rsid w:val="005B651B"/>
    <w:rsid w:val="005D1164"/>
    <w:rsid w:val="005D6488"/>
    <w:rsid w:val="005F6278"/>
    <w:rsid w:val="00601280"/>
    <w:rsid w:val="00611767"/>
    <w:rsid w:val="00641DBD"/>
    <w:rsid w:val="006455D2"/>
    <w:rsid w:val="006537F3"/>
    <w:rsid w:val="006B5512"/>
    <w:rsid w:val="006C190D"/>
    <w:rsid w:val="006D0756"/>
    <w:rsid w:val="007119F8"/>
    <w:rsid w:val="00720686"/>
    <w:rsid w:val="00737EFF"/>
    <w:rsid w:val="00750806"/>
    <w:rsid w:val="00750B6B"/>
    <w:rsid w:val="007F6EBC"/>
    <w:rsid w:val="008119B8"/>
    <w:rsid w:val="0084501C"/>
    <w:rsid w:val="0084791E"/>
    <w:rsid w:val="00852B7B"/>
    <w:rsid w:val="0087491B"/>
    <w:rsid w:val="00882773"/>
    <w:rsid w:val="00894071"/>
    <w:rsid w:val="008B4706"/>
    <w:rsid w:val="008B6676"/>
    <w:rsid w:val="008E51C5"/>
    <w:rsid w:val="008F7109"/>
    <w:rsid w:val="009107B0"/>
    <w:rsid w:val="009220DE"/>
    <w:rsid w:val="00930E84"/>
    <w:rsid w:val="00931A02"/>
    <w:rsid w:val="0099270D"/>
    <w:rsid w:val="0099551E"/>
    <w:rsid w:val="009A1A86"/>
    <w:rsid w:val="009E0C42"/>
    <w:rsid w:val="009F009E"/>
    <w:rsid w:val="00A0411E"/>
    <w:rsid w:val="00A11CE1"/>
    <w:rsid w:val="00A70E95"/>
    <w:rsid w:val="00A84341"/>
    <w:rsid w:val="00AA1F73"/>
    <w:rsid w:val="00AB34CA"/>
    <w:rsid w:val="00AD400E"/>
    <w:rsid w:val="00AF0DC5"/>
    <w:rsid w:val="00B3473F"/>
    <w:rsid w:val="00B501AB"/>
    <w:rsid w:val="00B73978"/>
    <w:rsid w:val="00B77C4D"/>
    <w:rsid w:val="00B819B8"/>
    <w:rsid w:val="00BB13FE"/>
    <w:rsid w:val="00BB25B0"/>
    <w:rsid w:val="00BB7F5E"/>
    <w:rsid w:val="00BC1940"/>
    <w:rsid w:val="00BC7EE2"/>
    <w:rsid w:val="00BF5475"/>
    <w:rsid w:val="00C42D2D"/>
    <w:rsid w:val="00C459FC"/>
    <w:rsid w:val="00C61A48"/>
    <w:rsid w:val="00C80F8F"/>
    <w:rsid w:val="00C84355"/>
    <w:rsid w:val="00C9753F"/>
    <w:rsid w:val="00CA3051"/>
    <w:rsid w:val="00CB235F"/>
    <w:rsid w:val="00CD20D9"/>
    <w:rsid w:val="00CD701A"/>
    <w:rsid w:val="00CF77CF"/>
    <w:rsid w:val="00D05AAE"/>
    <w:rsid w:val="00D05E6B"/>
    <w:rsid w:val="00D23A79"/>
    <w:rsid w:val="00D254A6"/>
    <w:rsid w:val="00D42B55"/>
    <w:rsid w:val="00D57D70"/>
    <w:rsid w:val="00D82DE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D44"/>
    <w:rsid w:val="00F80E6E"/>
    <w:rsid w:val="00F822D7"/>
    <w:rsid w:val="00F923FB"/>
    <w:rsid w:val="00FA1B04"/>
    <w:rsid w:val="00FC450E"/>
    <w:rsid w:val="00FD7A16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89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1d7e4a-b5b8-4332-898f-01028aa66cad" targetNamespace="http://schemas.microsoft.com/office/2006/metadata/properties" ma:root="true" ma:fieldsID="d41af5c836d734370eb92e7ee5f83852" ns2:_="" ns3:_="">
    <xsd:import namespace="996b2e75-67fd-4955-a3b0-5ab9934cb50b"/>
    <xsd:import namespace="ef1d7e4a-b5b8-4332-898f-01028aa66c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d7e4a-b5b8-4332-898f-01028aa66c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1d7e4a-b5b8-4332-898f-01028aa66cad">Documents Proposals Manager (DPM)</DPM_x0020_Author>
    <DPM_x0020_File_x0020_name xmlns="ef1d7e4a-b5b8-4332-898f-01028aa66cad">S14-PP-C-0084!!MSW-S</DPM_x0020_File_x0020_name>
    <DPM_x0020_Version xmlns="ef1d7e4a-b5b8-4332-898f-01028aa66cad">DPM_v5.7.1.25_prod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1d7e4a-b5b8-4332-898f-01028aa66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ef1d7e4a-b5b8-4332-898f-01028aa66cad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D1DFE4-E029-476B-B15B-205F917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S14-PP-C-0084!!MSW-S</vt:lpstr>
    </vt:vector>
  </TitlesOfParts>
  <Manager/>
  <Company/>
  <LinksUpToDate>false</LinksUpToDate>
  <CharactersWithSpaces>6268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S14-PP-C-0084!!MSW-S</dc:title>
  <dc:subject>Plenipotentiary Conference (PP-14)</dc:subject>
  <dc:creator/>
  <cp:keywords>DPM_v5.7.1.25_prod</cp:keywords>
  <dc:description/>
  <cp:lastModifiedBy/>
  <cp:revision>1</cp:revision>
  <dcterms:created xsi:type="dcterms:W3CDTF">2014-11-05T08:32:00Z</dcterms:created>
  <dcterms:modified xsi:type="dcterms:W3CDTF">2014-11-05T08:54:00Z</dcterms:modified>
  <cp:category>Conference document</cp:category>
</cp:coreProperties>
</file>