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17641DD2" w14:textId="77777777" w:rsidTr="006A046E">
        <w:trPr>
          <w:cantSplit/>
        </w:trPr>
        <w:tc>
          <w:tcPr>
            <w:tcW w:w="6911" w:type="dxa"/>
          </w:tcPr>
          <w:p w14:paraId="301DF67E" w14:textId="77777777" w:rsidR="00BD1614" w:rsidRPr="00960D89" w:rsidRDefault="00BD1614" w:rsidP="007552B5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14:paraId="0885FDBE" w14:textId="77777777" w:rsidR="00BD1614" w:rsidRPr="008C10D9" w:rsidRDefault="00BD1614" w:rsidP="007552B5">
            <w:pPr>
              <w:spacing w:before="0"/>
              <w:rPr>
                <w:rFonts w:cstheme="minorHAnsi"/>
                <w:lang w:val="en-US"/>
              </w:rPr>
            </w:pPr>
            <w:bookmarkStart w:id="3" w:name="ditulogo"/>
            <w:bookmarkEnd w:id="3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AEE4354" wp14:editId="4199A497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14:paraId="22846D9C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6D8B2D0" w14:textId="77777777" w:rsidR="00BD1614" w:rsidRPr="008C10D9" w:rsidRDefault="00BD1614" w:rsidP="007552B5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250D83C" w14:textId="77777777" w:rsidR="00BD1614" w:rsidRPr="000F58F7" w:rsidRDefault="00BD1614" w:rsidP="007552B5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14:paraId="3DD6DCC8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6DBE3B" w14:textId="77777777" w:rsidR="00BD1614" w:rsidRPr="008C10D9" w:rsidRDefault="00BD1614" w:rsidP="007552B5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627BEFE" w14:textId="77777777" w:rsidR="00BD1614" w:rsidRPr="008C10D9" w:rsidRDefault="00BD1614" w:rsidP="007552B5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67F4BFED" w14:textId="77777777" w:rsidTr="006A046E">
        <w:trPr>
          <w:cantSplit/>
        </w:trPr>
        <w:tc>
          <w:tcPr>
            <w:tcW w:w="6911" w:type="dxa"/>
            <w:shd w:val="clear" w:color="auto" w:fill="auto"/>
          </w:tcPr>
          <w:p w14:paraId="76E0BB92" w14:textId="77777777" w:rsidR="00BD1614" w:rsidRPr="008C10D9" w:rsidRDefault="00BD1614" w:rsidP="007552B5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2688C4DB" w14:textId="77777777" w:rsidR="00BD1614" w:rsidRPr="008C10D9" w:rsidRDefault="00BD1614" w:rsidP="007552B5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87</w:t>
            </w:r>
            <w:r w:rsidR="005F63BD" w:rsidRPr="00F44B1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A6F8F" w14:paraId="2C5BB36F" w14:textId="77777777" w:rsidTr="006A046E">
        <w:trPr>
          <w:cantSplit/>
        </w:trPr>
        <w:tc>
          <w:tcPr>
            <w:tcW w:w="6911" w:type="dxa"/>
            <w:shd w:val="clear" w:color="auto" w:fill="auto"/>
          </w:tcPr>
          <w:p w14:paraId="3373D40B" w14:textId="77777777" w:rsidR="00BD1614" w:rsidRPr="00D0464B" w:rsidRDefault="00BD1614" w:rsidP="007552B5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D9A87E1" w14:textId="77777777" w:rsidR="00BD1614" w:rsidRPr="008C10D9" w:rsidRDefault="00BD1614" w:rsidP="007552B5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7 octobre 2014</w:t>
            </w:r>
          </w:p>
        </w:tc>
      </w:tr>
      <w:tr w:rsidR="00BD1614" w:rsidRPr="002A6F8F" w14:paraId="32327856" w14:textId="77777777" w:rsidTr="006A046E">
        <w:trPr>
          <w:cantSplit/>
        </w:trPr>
        <w:tc>
          <w:tcPr>
            <w:tcW w:w="6911" w:type="dxa"/>
          </w:tcPr>
          <w:p w14:paraId="54FF63FE" w14:textId="77777777" w:rsidR="00BD1614" w:rsidRPr="008C10D9" w:rsidRDefault="00BD1614" w:rsidP="007552B5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64ABE9BA" w14:textId="77777777" w:rsidR="00BD1614" w:rsidRPr="008C10D9" w:rsidRDefault="00BD1614" w:rsidP="007552B5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espagnol</w:t>
            </w:r>
          </w:p>
        </w:tc>
      </w:tr>
      <w:tr w:rsidR="00BD1614" w:rsidRPr="002A6F8F" w14:paraId="7796507B" w14:textId="77777777" w:rsidTr="006A046E">
        <w:trPr>
          <w:cantSplit/>
        </w:trPr>
        <w:tc>
          <w:tcPr>
            <w:tcW w:w="10031" w:type="dxa"/>
            <w:gridSpan w:val="2"/>
          </w:tcPr>
          <w:p w14:paraId="553F4712" w14:textId="77777777" w:rsidR="00BD1614" w:rsidRPr="008C10D9" w:rsidRDefault="00BD1614" w:rsidP="007552B5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14:paraId="2E72B73F" w14:textId="77777777" w:rsidTr="006A046E">
        <w:trPr>
          <w:cantSplit/>
        </w:trPr>
        <w:tc>
          <w:tcPr>
            <w:tcW w:w="10031" w:type="dxa"/>
            <w:gridSpan w:val="2"/>
          </w:tcPr>
          <w:p w14:paraId="5C9A81CF" w14:textId="77777777" w:rsidR="00BD1614" w:rsidRPr="002A6F8F" w:rsidRDefault="00BD1614" w:rsidP="007552B5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4"/>
            <w:r w:rsidRPr="002A6F8F">
              <w:rPr>
                <w:lang w:val="en-US"/>
              </w:rPr>
              <w:t>Colombie (République de)</w:t>
            </w:r>
          </w:p>
        </w:tc>
      </w:tr>
      <w:tr w:rsidR="00BD1614" w:rsidRPr="002A6F8F" w14:paraId="6E9919B8" w14:textId="77777777" w:rsidTr="006A046E">
        <w:trPr>
          <w:cantSplit/>
        </w:trPr>
        <w:tc>
          <w:tcPr>
            <w:tcW w:w="10031" w:type="dxa"/>
            <w:gridSpan w:val="2"/>
          </w:tcPr>
          <w:p w14:paraId="01ECA596" w14:textId="77777777" w:rsidR="00BD1614" w:rsidRPr="007932CB" w:rsidRDefault="00BD1614" w:rsidP="007552B5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7932CB">
              <w:rPr>
                <w:lang w:val="fr-CH"/>
              </w:rPr>
              <w:t>PROPOSITIONS POUR LES TRAVAUX DE LA CONFÉRENCE</w:t>
            </w:r>
          </w:p>
        </w:tc>
      </w:tr>
      <w:tr w:rsidR="00BD1614" w14:paraId="7E88F8A7" w14:textId="77777777" w:rsidTr="006A046E">
        <w:trPr>
          <w:cantSplit/>
        </w:trPr>
        <w:tc>
          <w:tcPr>
            <w:tcW w:w="10031" w:type="dxa"/>
            <w:gridSpan w:val="2"/>
          </w:tcPr>
          <w:p w14:paraId="625C006B" w14:textId="77777777" w:rsidR="00BD1614" w:rsidRDefault="00BD1614" w:rsidP="007552B5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67B80FE2" w14:textId="77777777" w:rsidR="008A2172" w:rsidRDefault="00333B0F" w:rsidP="007552B5">
      <w:pPr>
        <w:pStyle w:val="Proposal"/>
      </w:pPr>
      <w:r>
        <w:t>ADD</w:t>
      </w:r>
      <w:r>
        <w:tab/>
        <w:t>CLM/87/1</w:t>
      </w:r>
    </w:p>
    <w:p w14:paraId="1B463CA0" w14:textId="46933FD2" w:rsidR="008A2172" w:rsidRDefault="00E07193" w:rsidP="00691168">
      <w:pPr>
        <w:pStyle w:val="ResNo"/>
      </w:pPr>
      <w:r>
        <w:t>Projet de nouvelle R</w:t>
      </w:r>
      <w:r w:rsidR="00691168">
        <w:t>é</w:t>
      </w:r>
      <w:r w:rsidR="00333B0F">
        <w:t>solution [CLM-1]</w:t>
      </w:r>
    </w:p>
    <w:p w14:paraId="709092B3" w14:textId="347FDEEE" w:rsidR="008A2172" w:rsidRDefault="00BE425D" w:rsidP="007552B5">
      <w:pPr>
        <w:pStyle w:val="Restitle"/>
      </w:pPr>
      <w:r>
        <w:t>P</w:t>
      </w:r>
      <w:r w:rsidRPr="00BE425D">
        <w:t>rorogation du délai prévu pour la mise en service du système à satellites</w:t>
      </w:r>
      <w:r>
        <w:t xml:space="preserve"> colombien "SATCOL", aux positions 70,9° O, 38° O et 131° O</w:t>
      </w:r>
    </w:p>
    <w:p w14:paraId="7558CF4A" w14:textId="6D27A81F" w:rsidR="00BE425D" w:rsidRDefault="00BE425D" w:rsidP="007552B5">
      <w:pPr>
        <w:pStyle w:val="Normalaftertitle"/>
      </w:pPr>
      <w:r>
        <w:t>La Conférence de plénipotentiaires de l'Union internationale des télécommunications (Busan,</w:t>
      </w:r>
      <w:r w:rsidR="007552B5">
        <w:t> </w:t>
      </w:r>
      <w:r>
        <w:t xml:space="preserve">2014), </w:t>
      </w:r>
    </w:p>
    <w:p w14:paraId="6B154A3C" w14:textId="70368859" w:rsidR="00BE425D" w:rsidRDefault="00BE425D" w:rsidP="007552B5">
      <w:pPr>
        <w:pStyle w:val="Call"/>
      </w:pPr>
      <w:r w:rsidRPr="00BE425D">
        <w:t>c</w:t>
      </w:r>
      <w:r>
        <w:t>onsidérant</w:t>
      </w:r>
    </w:p>
    <w:p w14:paraId="2ACDBF7B" w14:textId="30628E8C" w:rsidR="00BE425D" w:rsidRDefault="00BE425D" w:rsidP="00691168">
      <w:r>
        <w:rPr>
          <w:i/>
          <w:iCs/>
        </w:rPr>
        <w:t>a)</w:t>
      </w:r>
      <w:r>
        <w:rPr>
          <w:i/>
          <w:iCs/>
        </w:rPr>
        <w:tab/>
      </w:r>
      <w:r w:rsidR="00632881">
        <w:t>que le</w:t>
      </w:r>
      <w:r>
        <w:t xml:space="preserve"> numéro 196 de l'</w:t>
      </w:r>
      <w:r w:rsidR="00691168">
        <w:t>a</w:t>
      </w:r>
      <w:r>
        <w:t>rticle 44 de la Constitution de l'Union internationale des télécommunications de l'UIT</w:t>
      </w:r>
      <w:r w:rsidR="00632881">
        <w:t xml:space="preserve"> dispose de ce qui suit</w:t>
      </w:r>
      <w:r w:rsidR="00D334D9">
        <w:t>:</w:t>
      </w:r>
    </w:p>
    <w:p w14:paraId="3237A9E0" w14:textId="4B828A86" w:rsidR="00BE425D" w:rsidRPr="00BE425D" w:rsidRDefault="007552B5" w:rsidP="007552B5">
      <w:pPr>
        <w:pStyle w:val="enumlev1"/>
      </w:pPr>
      <w:r>
        <w:tab/>
      </w:r>
      <w:r w:rsidR="00BE425D">
        <w:t>"Lors de l'utilisation de bandes de fréquences pour les services de radiocommunication, les Etats Membres doivent tenir compte du fait que les fréquences radioélectriques et les orbites associées, y compris l'orbite des satellites géostationnaires, sont des ressources naturelles limitées qui doivent être utilisées de manière rationnelle, efficace et économique, conformément aux dispositions du Règlement des radiocommunications, afin de pe</w:t>
      </w:r>
      <w:r w:rsidR="00E07193">
        <w:t xml:space="preserve">rmettre un accès équitable des </w:t>
      </w:r>
      <w:r w:rsidR="00BE425D">
        <w:t>différents pays, ou groupes de pays à ces orbites et à ces fréquences, compte tenu des besoins spéciaux des pays en développement et de la situation géographique de certains pays."</w:t>
      </w:r>
      <w:r w:rsidR="00D334D9">
        <w:t>;</w:t>
      </w:r>
    </w:p>
    <w:p w14:paraId="1C7CC833" w14:textId="2BF09FEB" w:rsidR="00BE425D" w:rsidRDefault="00BE425D" w:rsidP="00691168">
      <w:r>
        <w:rPr>
          <w:i/>
          <w:iCs/>
        </w:rPr>
        <w:t>b)</w:t>
      </w:r>
      <w:r>
        <w:rPr>
          <w:i/>
          <w:iCs/>
        </w:rPr>
        <w:tab/>
      </w:r>
      <w:r w:rsidR="00E07193">
        <w:t>que dans l</w:t>
      </w:r>
      <w:r>
        <w:t>a Résolution 80 (</w:t>
      </w:r>
      <w:r w:rsidR="00215C6F">
        <w:t xml:space="preserve">Rév.CMR-07) </w:t>
      </w:r>
      <w:r w:rsidR="00215C6F" w:rsidRPr="00215C6F">
        <w:t>relative à la procédure de diligence due dans l'application des principes énoncés dans la Constitution de l'UIT</w:t>
      </w:r>
      <w:r w:rsidR="00215C6F">
        <w:t xml:space="preserve">, </w:t>
      </w:r>
      <w:r w:rsidR="0036758B">
        <w:t xml:space="preserve">il a été jugé </w:t>
      </w:r>
      <w:r w:rsidR="00215C6F">
        <w:t xml:space="preserve">nécessaire </w:t>
      </w:r>
      <w:r w:rsidR="00215C6F" w:rsidRPr="00215C6F">
        <w:t>d'examiner et de revoir des projets de recommandation et de disposition possibles établissant un lien entre les procédures officielles de notification, de coordination et d'enregistrement et les principes énoncés à l'</w:t>
      </w:r>
      <w:r w:rsidR="00691168">
        <w:t>a</w:t>
      </w:r>
      <w:r w:rsidR="00215C6F" w:rsidRPr="00215C6F">
        <w:t xml:space="preserve">rticle 44 de la Constitution </w:t>
      </w:r>
      <w:r w:rsidR="0036758B">
        <w:t xml:space="preserve">de l'UIT </w:t>
      </w:r>
      <w:r w:rsidR="00215C6F" w:rsidRPr="00215C6F">
        <w:t>et au numéro 0.3 du Préambule du Règlement des radiocommunications</w:t>
      </w:r>
      <w:r w:rsidR="000D7D1A">
        <w:t>, concern</w:t>
      </w:r>
      <w:r w:rsidR="00D334D9">
        <w:t>ant</w:t>
      </w:r>
      <w:r w:rsidR="000D7D1A">
        <w:t xml:space="preserve"> l'utilisation </w:t>
      </w:r>
      <w:r w:rsidR="000D7D1A" w:rsidRPr="000D7D1A">
        <w:t>ration</w:t>
      </w:r>
      <w:r w:rsidR="000D7D1A">
        <w:t xml:space="preserve">nelle, efficace et économique des fréquences radioélectriques et des orbites associées, y compris l'orbite des satellites </w:t>
      </w:r>
      <w:r w:rsidR="000D7D1A">
        <w:lastRenderedPageBreak/>
        <w:t>géostationnaires, conformément aux dispositions du Règlement des radiocommunications, compte tenu des besoins spéciaux des pays en développement et de la situation géographique de certains pays;</w:t>
      </w:r>
    </w:p>
    <w:p w14:paraId="7A190D7D" w14:textId="6A0D1D62" w:rsidR="00525833" w:rsidRDefault="00D334D9" w:rsidP="007552B5">
      <w:r>
        <w:rPr>
          <w:i/>
          <w:iCs/>
        </w:rPr>
        <w:t>c</w:t>
      </w:r>
      <w:r w:rsidR="00525833">
        <w:rPr>
          <w:i/>
          <w:iCs/>
        </w:rPr>
        <w:t>)</w:t>
      </w:r>
      <w:r w:rsidR="00525833">
        <w:rPr>
          <w:i/>
          <w:iCs/>
        </w:rPr>
        <w:tab/>
      </w:r>
      <w:r w:rsidR="00525833">
        <w:t>que l'</w:t>
      </w:r>
      <w:r w:rsidR="00691168">
        <w:t>A</w:t>
      </w:r>
      <w:r w:rsidR="00525833">
        <w:t xml:space="preserve">dministration de la Colombie </w:t>
      </w:r>
      <w:r w:rsidR="00525833" w:rsidRPr="00525833">
        <w:t xml:space="preserve">s'emploie constamment, depuis plus de deux décennies, à mettre en place </w:t>
      </w:r>
      <w:r w:rsidR="00525833">
        <w:t xml:space="preserve">un </w:t>
      </w:r>
      <w:r w:rsidR="00525833" w:rsidRPr="00525833">
        <w:t>système à satellites, comme outil au service du développement économique et social</w:t>
      </w:r>
      <w:r w:rsidR="00525833">
        <w:t>;</w:t>
      </w:r>
    </w:p>
    <w:p w14:paraId="2E2760C2" w14:textId="2214D49C" w:rsidR="00525833" w:rsidRDefault="00D334D9" w:rsidP="003C6CE7">
      <w:r>
        <w:rPr>
          <w:i/>
          <w:iCs/>
        </w:rPr>
        <w:t>d</w:t>
      </w:r>
      <w:r w:rsidR="00525833">
        <w:rPr>
          <w:i/>
          <w:iCs/>
        </w:rPr>
        <w:t>)</w:t>
      </w:r>
      <w:r w:rsidR="00525833">
        <w:rPr>
          <w:i/>
          <w:iCs/>
        </w:rPr>
        <w:tab/>
      </w:r>
      <w:r w:rsidR="00525833" w:rsidRPr="00525833">
        <w:t xml:space="preserve">que, conformément à la réglementation internationale, </w:t>
      </w:r>
      <w:r w:rsidR="00DC0954">
        <w:t>l'</w:t>
      </w:r>
      <w:r w:rsidR="00691168">
        <w:t>A</w:t>
      </w:r>
      <w:r w:rsidR="00525833">
        <w:t>dministration de la Colombie</w:t>
      </w:r>
      <w:r w:rsidR="00525833" w:rsidRPr="00525833">
        <w:t xml:space="preserve"> s'est conformée à toutes les procédures </w:t>
      </w:r>
      <w:r w:rsidR="003C6CE7">
        <w:t>en vue de</w:t>
      </w:r>
      <w:r w:rsidR="00525833" w:rsidRPr="00525833">
        <w:t xml:space="preserve"> l'exploitation de ses ressources orbites-spectre </w:t>
      </w:r>
      <w:r w:rsidR="00DC0954">
        <w:t>aux</w:t>
      </w:r>
      <w:r w:rsidR="00525833" w:rsidRPr="00525833">
        <w:t xml:space="preserve"> position</w:t>
      </w:r>
      <w:r w:rsidR="00DC0954">
        <w:t>s</w:t>
      </w:r>
      <w:r w:rsidR="00525833" w:rsidRPr="00525833">
        <w:t xml:space="preserve"> orbitale</w:t>
      </w:r>
      <w:r w:rsidR="00DC0954">
        <w:t>s 70,9</w:t>
      </w:r>
      <w:r w:rsidR="00525833" w:rsidRPr="00525833">
        <w:t>° O</w:t>
      </w:r>
      <w:r w:rsidR="00DC0954">
        <w:t xml:space="preserve">, 38° O et 131° O, </w:t>
      </w:r>
      <w:r>
        <w:t>dont</w:t>
      </w:r>
      <w:r w:rsidR="00DC0954">
        <w:t xml:space="preserve"> les caractéristiques </w:t>
      </w:r>
      <w:r>
        <w:t xml:space="preserve">sont les </w:t>
      </w:r>
      <w:r w:rsidR="00DC0954">
        <w:t>suivantes:</w:t>
      </w:r>
    </w:p>
    <w:p w14:paraId="0519BEE2" w14:textId="77777777" w:rsidR="007552B5" w:rsidRDefault="007552B5" w:rsidP="007552B5"/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1987"/>
        <w:gridCol w:w="1841"/>
        <w:gridCol w:w="1984"/>
      </w:tblGrid>
      <w:tr w:rsidR="00DC0954" w:rsidRPr="00DC0954" w14:paraId="4CA2A2E2" w14:textId="77777777" w:rsidTr="005876B0">
        <w:tc>
          <w:tcPr>
            <w:tcW w:w="2126" w:type="dxa"/>
          </w:tcPr>
          <w:p w14:paraId="37B7BF21" w14:textId="77777777" w:rsidR="00DC0954" w:rsidRPr="00DC0954" w:rsidRDefault="00DC0954" w:rsidP="007552B5">
            <w:pPr>
              <w:rPr>
                <w:lang w:val="fr-CH"/>
              </w:rPr>
            </w:pPr>
          </w:p>
        </w:tc>
        <w:tc>
          <w:tcPr>
            <w:tcW w:w="1987" w:type="dxa"/>
          </w:tcPr>
          <w:p w14:paraId="1F2C27DC" w14:textId="77777777" w:rsidR="00DC0954" w:rsidRPr="00DC0954" w:rsidRDefault="00DC0954" w:rsidP="007552B5">
            <w:pPr>
              <w:rPr>
                <w:b/>
                <w:lang w:val="es-CO"/>
              </w:rPr>
            </w:pPr>
            <w:r w:rsidRPr="00DC0954">
              <w:rPr>
                <w:b/>
                <w:lang w:val="es-CO"/>
              </w:rPr>
              <w:t>SATCOL 1B (</w:t>
            </w:r>
            <w:r>
              <w:rPr>
                <w:b/>
                <w:lang w:val="es-CO"/>
              </w:rPr>
              <w:t>SFS</w:t>
            </w:r>
            <w:r w:rsidRPr="00DC0954">
              <w:rPr>
                <w:b/>
                <w:lang w:val="es-CO"/>
              </w:rPr>
              <w:t>)</w:t>
            </w:r>
          </w:p>
        </w:tc>
        <w:tc>
          <w:tcPr>
            <w:tcW w:w="1841" w:type="dxa"/>
          </w:tcPr>
          <w:p w14:paraId="7C01F8B6" w14:textId="77777777" w:rsidR="00DC0954" w:rsidRPr="00DC0954" w:rsidRDefault="00DC0954" w:rsidP="007552B5">
            <w:pPr>
              <w:rPr>
                <w:b/>
                <w:lang w:val="es-CO"/>
              </w:rPr>
            </w:pPr>
            <w:r w:rsidRPr="00DC0954">
              <w:rPr>
                <w:b/>
                <w:lang w:val="es-CO"/>
              </w:rPr>
              <w:t>SATCOL 1P (</w:t>
            </w:r>
            <w:r>
              <w:rPr>
                <w:b/>
                <w:lang w:val="es-CO"/>
              </w:rPr>
              <w:t>SFS</w:t>
            </w:r>
            <w:r w:rsidRPr="00DC0954">
              <w:rPr>
                <w:b/>
                <w:lang w:val="es-CO"/>
              </w:rPr>
              <w:t>)</w:t>
            </w:r>
          </w:p>
        </w:tc>
        <w:tc>
          <w:tcPr>
            <w:tcW w:w="1984" w:type="dxa"/>
          </w:tcPr>
          <w:p w14:paraId="72AF5D7E" w14:textId="77777777" w:rsidR="00DC0954" w:rsidRPr="00DC0954" w:rsidRDefault="00DC0954" w:rsidP="007552B5">
            <w:pPr>
              <w:rPr>
                <w:b/>
                <w:lang w:val="es-CO"/>
              </w:rPr>
            </w:pPr>
            <w:r w:rsidRPr="00DC0954">
              <w:rPr>
                <w:b/>
                <w:lang w:val="es-CO"/>
              </w:rPr>
              <w:t>SATCOL 1Q (</w:t>
            </w:r>
            <w:r>
              <w:rPr>
                <w:b/>
                <w:lang w:val="es-CO"/>
              </w:rPr>
              <w:t>SFS</w:t>
            </w:r>
            <w:r w:rsidRPr="00DC0954">
              <w:rPr>
                <w:b/>
                <w:lang w:val="es-CO"/>
              </w:rPr>
              <w:t>)</w:t>
            </w:r>
          </w:p>
        </w:tc>
      </w:tr>
      <w:tr w:rsidR="00DC0954" w:rsidRPr="00DC0954" w14:paraId="70EC73EC" w14:textId="77777777" w:rsidTr="005876B0">
        <w:tc>
          <w:tcPr>
            <w:tcW w:w="2126" w:type="dxa"/>
          </w:tcPr>
          <w:p w14:paraId="164F988A" w14:textId="77777777" w:rsidR="00DC0954" w:rsidRPr="00DC0954" w:rsidRDefault="00DC0954" w:rsidP="007552B5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>Positio</w:t>
            </w:r>
            <w:r w:rsidRPr="00DC0954">
              <w:rPr>
                <w:b/>
                <w:lang w:val="es-CO"/>
              </w:rPr>
              <w:t>n orbital</w:t>
            </w:r>
            <w:r>
              <w:rPr>
                <w:b/>
                <w:lang w:val="es-CO"/>
              </w:rPr>
              <w:t>e</w:t>
            </w:r>
          </w:p>
        </w:tc>
        <w:tc>
          <w:tcPr>
            <w:tcW w:w="1987" w:type="dxa"/>
          </w:tcPr>
          <w:p w14:paraId="069B90D9" w14:textId="77777777" w:rsidR="00DC0954" w:rsidRPr="00DC0954" w:rsidRDefault="00DC0954" w:rsidP="007552B5">
            <w:pPr>
              <w:rPr>
                <w:lang w:val="es-CO"/>
              </w:rPr>
            </w:pPr>
            <w:r>
              <w:rPr>
                <w:lang w:val="es-CO"/>
              </w:rPr>
              <w:t>70,</w:t>
            </w:r>
            <w:r w:rsidRPr="00DC0954">
              <w:rPr>
                <w:lang w:val="es-CO"/>
              </w:rPr>
              <w:t>9° O</w:t>
            </w:r>
          </w:p>
        </w:tc>
        <w:tc>
          <w:tcPr>
            <w:tcW w:w="1841" w:type="dxa"/>
          </w:tcPr>
          <w:p w14:paraId="1910767A" w14:textId="77777777" w:rsidR="00DC0954" w:rsidRPr="00DC0954" w:rsidRDefault="00DC0954" w:rsidP="007552B5">
            <w:pPr>
              <w:rPr>
                <w:lang w:val="es-CO"/>
              </w:rPr>
            </w:pPr>
            <w:r w:rsidRPr="00DC0954">
              <w:rPr>
                <w:lang w:val="es-CO"/>
              </w:rPr>
              <w:t>38° O</w:t>
            </w:r>
          </w:p>
        </w:tc>
        <w:tc>
          <w:tcPr>
            <w:tcW w:w="1984" w:type="dxa"/>
          </w:tcPr>
          <w:p w14:paraId="279DEF27" w14:textId="77777777" w:rsidR="00DC0954" w:rsidRPr="00DC0954" w:rsidRDefault="00DC0954" w:rsidP="007552B5">
            <w:pPr>
              <w:rPr>
                <w:lang w:val="es-CO"/>
              </w:rPr>
            </w:pPr>
            <w:r w:rsidRPr="00DC0954">
              <w:rPr>
                <w:lang w:val="es-CO"/>
              </w:rPr>
              <w:t>131° O</w:t>
            </w:r>
          </w:p>
        </w:tc>
      </w:tr>
      <w:tr w:rsidR="00DC0954" w:rsidRPr="00DC0954" w14:paraId="0EE19999" w14:textId="77777777" w:rsidTr="005876B0">
        <w:tc>
          <w:tcPr>
            <w:tcW w:w="2126" w:type="dxa"/>
          </w:tcPr>
          <w:p w14:paraId="3A280CE3" w14:textId="77777777" w:rsidR="00DC0954" w:rsidRPr="00DC0954" w:rsidRDefault="00DC0954" w:rsidP="007552B5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>Couverture</w:t>
            </w:r>
          </w:p>
        </w:tc>
        <w:tc>
          <w:tcPr>
            <w:tcW w:w="1987" w:type="dxa"/>
          </w:tcPr>
          <w:p w14:paraId="2D832686" w14:textId="77777777" w:rsidR="00DC0954" w:rsidRPr="00DC0954" w:rsidRDefault="00DC0954" w:rsidP="007552B5">
            <w:pPr>
              <w:rPr>
                <w:lang w:val="es-CO"/>
              </w:rPr>
            </w:pPr>
            <w:r w:rsidRPr="00DC0954">
              <w:rPr>
                <w:lang w:val="es-CO"/>
              </w:rPr>
              <w:t>CLM</w:t>
            </w:r>
          </w:p>
        </w:tc>
        <w:tc>
          <w:tcPr>
            <w:tcW w:w="1841" w:type="dxa"/>
          </w:tcPr>
          <w:p w14:paraId="1B69B627" w14:textId="77777777" w:rsidR="00DC0954" w:rsidRPr="00DC0954" w:rsidRDefault="00DC0954" w:rsidP="007552B5">
            <w:pPr>
              <w:rPr>
                <w:lang w:val="es-CO"/>
              </w:rPr>
            </w:pPr>
            <w:r>
              <w:rPr>
                <w:lang w:val="es-CO"/>
              </w:rPr>
              <w:t>Régio</w:t>
            </w:r>
            <w:r w:rsidRPr="00DC0954">
              <w:rPr>
                <w:lang w:val="es-CO"/>
              </w:rPr>
              <w:t>n 2</w:t>
            </w:r>
          </w:p>
        </w:tc>
        <w:tc>
          <w:tcPr>
            <w:tcW w:w="1984" w:type="dxa"/>
          </w:tcPr>
          <w:p w14:paraId="417DB6FB" w14:textId="77777777" w:rsidR="00DC0954" w:rsidRPr="00DC0954" w:rsidRDefault="00DC0954" w:rsidP="007552B5">
            <w:pPr>
              <w:rPr>
                <w:lang w:val="es-CO"/>
              </w:rPr>
            </w:pPr>
            <w:r>
              <w:rPr>
                <w:lang w:val="es-CO"/>
              </w:rPr>
              <w:t>Régio</w:t>
            </w:r>
            <w:r w:rsidRPr="00DC0954">
              <w:rPr>
                <w:lang w:val="es-CO"/>
              </w:rPr>
              <w:t>n 2</w:t>
            </w:r>
          </w:p>
        </w:tc>
      </w:tr>
      <w:tr w:rsidR="00DC0954" w:rsidRPr="00DC0954" w14:paraId="3AA218A2" w14:textId="77777777" w:rsidTr="005876B0">
        <w:tc>
          <w:tcPr>
            <w:tcW w:w="2126" w:type="dxa"/>
          </w:tcPr>
          <w:p w14:paraId="7FCE30F6" w14:textId="77777777" w:rsidR="00DC0954" w:rsidRPr="004E56B6" w:rsidRDefault="00DC0954" w:rsidP="007552B5">
            <w:pPr>
              <w:rPr>
                <w:b/>
              </w:rPr>
            </w:pPr>
            <w:r w:rsidRPr="00DC0954">
              <w:rPr>
                <w:b/>
                <w:lang w:val="es-CO"/>
              </w:rPr>
              <w:t>Band</w:t>
            </w:r>
            <w:r>
              <w:rPr>
                <w:b/>
                <w:lang w:val="es-CO"/>
              </w:rPr>
              <w:t>es</w:t>
            </w:r>
          </w:p>
        </w:tc>
        <w:tc>
          <w:tcPr>
            <w:tcW w:w="1987" w:type="dxa"/>
          </w:tcPr>
          <w:p w14:paraId="243937EB" w14:textId="77777777" w:rsidR="00DC0954" w:rsidRPr="00DC0954" w:rsidRDefault="00DC0954" w:rsidP="007552B5">
            <w:pPr>
              <w:rPr>
                <w:lang w:val="es-CO"/>
              </w:rPr>
            </w:pPr>
            <w:r w:rsidRPr="004E56B6">
              <w:t>Ka</w:t>
            </w:r>
            <w:r w:rsidRPr="00DC0954">
              <w:rPr>
                <w:lang w:val="es-CO"/>
              </w:rPr>
              <w:t xml:space="preserve"> (1/2)</w:t>
            </w:r>
          </w:p>
        </w:tc>
        <w:tc>
          <w:tcPr>
            <w:tcW w:w="1841" w:type="dxa"/>
          </w:tcPr>
          <w:p w14:paraId="4222F13C" w14:textId="77777777" w:rsidR="00DC0954" w:rsidRPr="00DC0954" w:rsidRDefault="00DC0954" w:rsidP="007552B5">
            <w:pPr>
              <w:rPr>
                <w:lang w:val="en-US"/>
              </w:rPr>
            </w:pPr>
            <w:r w:rsidRPr="00DC0954">
              <w:rPr>
                <w:lang w:val="en-US"/>
              </w:rPr>
              <w:t>C, X, Ku, Ka</w:t>
            </w:r>
          </w:p>
        </w:tc>
        <w:tc>
          <w:tcPr>
            <w:tcW w:w="1984" w:type="dxa"/>
          </w:tcPr>
          <w:p w14:paraId="518D73D8" w14:textId="77777777" w:rsidR="00DC0954" w:rsidRPr="00DC0954" w:rsidRDefault="00DC0954" w:rsidP="007552B5">
            <w:pPr>
              <w:rPr>
                <w:lang w:val="en-US"/>
              </w:rPr>
            </w:pPr>
            <w:r w:rsidRPr="00DC0954">
              <w:rPr>
                <w:lang w:val="en-US"/>
              </w:rPr>
              <w:t>C, X, Ku, Ka</w:t>
            </w:r>
          </w:p>
        </w:tc>
      </w:tr>
      <w:tr w:rsidR="00DC0954" w:rsidRPr="00DC0954" w14:paraId="38D01569" w14:textId="77777777" w:rsidTr="005876B0">
        <w:tc>
          <w:tcPr>
            <w:tcW w:w="2126" w:type="dxa"/>
          </w:tcPr>
          <w:p w14:paraId="7797DFA8" w14:textId="77777777" w:rsidR="00DC0954" w:rsidRPr="00DC0954" w:rsidRDefault="00DC0954" w:rsidP="007552B5">
            <w:pPr>
              <w:rPr>
                <w:b/>
                <w:lang w:val="en-US"/>
              </w:rPr>
            </w:pPr>
            <w:r>
              <w:rPr>
                <w:b/>
                <w:lang w:val="es-CO"/>
              </w:rPr>
              <w:t>Date</w:t>
            </w:r>
            <w:r w:rsidRPr="00DC0954">
              <w:rPr>
                <w:b/>
                <w:lang w:val="en-US"/>
              </w:rPr>
              <w:t xml:space="preserve"> API</w:t>
            </w:r>
          </w:p>
        </w:tc>
        <w:tc>
          <w:tcPr>
            <w:tcW w:w="1987" w:type="dxa"/>
          </w:tcPr>
          <w:p w14:paraId="186C23F3" w14:textId="77777777" w:rsidR="00DC0954" w:rsidRPr="00DC0954" w:rsidRDefault="00DC0954" w:rsidP="007552B5">
            <w:pPr>
              <w:rPr>
                <w:lang w:val="es-CO"/>
              </w:rPr>
            </w:pPr>
            <w:r w:rsidRPr="00DC0954">
              <w:rPr>
                <w:lang w:val="es-CO"/>
              </w:rPr>
              <w:t>21/12/2007</w:t>
            </w:r>
          </w:p>
        </w:tc>
        <w:tc>
          <w:tcPr>
            <w:tcW w:w="1841" w:type="dxa"/>
          </w:tcPr>
          <w:p w14:paraId="07ABD4C2" w14:textId="77777777" w:rsidR="00DC0954" w:rsidRPr="00DC0954" w:rsidRDefault="00DC0954" w:rsidP="007552B5">
            <w:pPr>
              <w:rPr>
                <w:lang w:val="es-CO"/>
              </w:rPr>
            </w:pPr>
            <w:r w:rsidRPr="00DC0954">
              <w:rPr>
                <w:lang w:val="en-US"/>
              </w:rPr>
              <w:t xml:space="preserve">06/02/2009 </w:t>
            </w:r>
          </w:p>
        </w:tc>
        <w:tc>
          <w:tcPr>
            <w:tcW w:w="1984" w:type="dxa"/>
          </w:tcPr>
          <w:p w14:paraId="660DC1C8" w14:textId="77777777" w:rsidR="00DC0954" w:rsidRPr="00DC0954" w:rsidRDefault="00DC0954" w:rsidP="007552B5">
            <w:pPr>
              <w:rPr>
                <w:lang w:val="es-CO"/>
              </w:rPr>
            </w:pPr>
            <w:r w:rsidRPr="00DC0954">
              <w:rPr>
                <w:lang w:val="en-US"/>
              </w:rPr>
              <w:t>06/02/2009</w:t>
            </w:r>
          </w:p>
        </w:tc>
      </w:tr>
      <w:tr w:rsidR="00DC0954" w:rsidRPr="00DC0954" w14:paraId="4B30303D" w14:textId="77777777" w:rsidTr="005876B0">
        <w:tc>
          <w:tcPr>
            <w:tcW w:w="2126" w:type="dxa"/>
          </w:tcPr>
          <w:p w14:paraId="21D22B5F" w14:textId="77777777" w:rsidR="00DC0954" w:rsidRPr="00DC0954" w:rsidRDefault="00DC0954" w:rsidP="007552B5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>Date</w:t>
            </w:r>
            <w:r w:rsidRPr="00DC0954">
              <w:rPr>
                <w:b/>
                <w:lang w:val="es-CO"/>
              </w:rPr>
              <w:t xml:space="preserve"> CR</w:t>
            </w:r>
          </w:p>
        </w:tc>
        <w:tc>
          <w:tcPr>
            <w:tcW w:w="1987" w:type="dxa"/>
          </w:tcPr>
          <w:p w14:paraId="16D6A744" w14:textId="77777777" w:rsidR="00DC0954" w:rsidRPr="00DC0954" w:rsidRDefault="00DC0954" w:rsidP="007552B5">
            <w:pPr>
              <w:rPr>
                <w:lang w:val="es-CO"/>
              </w:rPr>
            </w:pPr>
            <w:r w:rsidRPr="00DC0954">
              <w:rPr>
                <w:lang w:val="es-CO"/>
              </w:rPr>
              <w:t>30/09/2010</w:t>
            </w:r>
          </w:p>
        </w:tc>
        <w:tc>
          <w:tcPr>
            <w:tcW w:w="1841" w:type="dxa"/>
          </w:tcPr>
          <w:p w14:paraId="43DBA7AE" w14:textId="77777777" w:rsidR="00DC0954" w:rsidRPr="00DC0954" w:rsidRDefault="00DC0954" w:rsidP="007552B5">
            <w:pPr>
              <w:rPr>
                <w:lang w:val="es-CO"/>
              </w:rPr>
            </w:pPr>
            <w:r w:rsidRPr="00DC0954">
              <w:rPr>
                <w:lang w:val="en-US"/>
              </w:rPr>
              <w:t>24/12/2010</w:t>
            </w:r>
          </w:p>
        </w:tc>
        <w:tc>
          <w:tcPr>
            <w:tcW w:w="1984" w:type="dxa"/>
          </w:tcPr>
          <w:p w14:paraId="5CBC9F17" w14:textId="77777777" w:rsidR="00DC0954" w:rsidRPr="00DC0954" w:rsidRDefault="00DC0954" w:rsidP="007552B5">
            <w:pPr>
              <w:rPr>
                <w:lang w:val="es-CO"/>
              </w:rPr>
            </w:pPr>
            <w:r w:rsidRPr="00DC0954">
              <w:rPr>
                <w:lang w:val="es-CO"/>
              </w:rPr>
              <w:t>02/02/2011</w:t>
            </w:r>
          </w:p>
        </w:tc>
      </w:tr>
      <w:tr w:rsidR="00DC0954" w:rsidRPr="00DC0954" w14:paraId="0228000A" w14:textId="77777777" w:rsidTr="005876B0">
        <w:tc>
          <w:tcPr>
            <w:tcW w:w="2126" w:type="dxa"/>
          </w:tcPr>
          <w:p w14:paraId="12B769CE" w14:textId="27247B6B" w:rsidR="00DC0954" w:rsidRPr="00DC0954" w:rsidRDefault="00DC0954" w:rsidP="007552B5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>Date d'expiration</w:t>
            </w:r>
            <w:r w:rsidR="00CB5D21">
              <w:rPr>
                <w:b/>
                <w:lang w:val="es-CO"/>
              </w:rPr>
              <w:t xml:space="preserve"> du</w:t>
            </w:r>
            <w:r w:rsidR="00CB5D21" w:rsidRPr="004E56B6">
              <w:rPr>
                <w:b/>
              </w:rPr>
              <w:t xml:space="preserve"> délai</w:t>
            </w:r>
          </w:p>
        </w:tc>
        <w:tc>
          <w:tcPr>
            <w:tcW w:w="1987" w:type="dxa"/>
          </w:tcPr>
          <w:p w14:paraId="2162CEEB" w14:textId="77777777" w:rsidR="00DC0954" w:rsidRPr="00DC0954" w:rsidRDefault="00DC0954" w:rsidP="007552B5">
            <w:pPr>
              <w:rPr>
                <w:lang w:val="es-CO"/>
              </w:rPr>
            </w:pPr>
            <w:r w:rsidRPr="00DC0954">
              <w:rPr>
                <w:lang w:val="es-CO"/>
              </w:rPr>
              <w:t>21/12/2014</w:t>
            </w:r>
          </w:p>
        </w:tc>
        <w:tc>
          <w:tcPr>
            <w:tcW w:w="1841" w:type="dxa"/>
          </w:tcPr>
          <w:p w14:paraId="66A8C0FF" w14:textId="77777777" w:rsidR="00DC0954" w:rsidRPr="00DC0954" w:rsidRDefault="00DC0954" w:rsidP="007552B5">
            <w:pPr>
              <w:rPr>
                <w:lang w:val="en-US"/>
              </w:rPr>
            </w:pPr>
            <w:r w:rsidRPr="00DC0954">
              <w:rPr>
                <w:lang w:val="en-US"/>
              </w:rPr>
              <w:t>05/02/2016</w:t>
            </w:r>
          </w:p>
        </w:tc>
        <w:tc>
          <w:tcPr>
            <w:tcW w:w="1984" w:type="dxa"/>
          </w:tcPr>
          <w:p w14:paraId="7300D63E" w14:textId="77777777" w:rsidR="00DC0954" w:rsidRPr="00DC0954" w:rsidRDefault="00DC0954" w:rsidP="007552B5">
            <w:pPr>
              <w:rPr>
                <w:lang w:val="es-CO"/>
              </w:rPr>
            </w:pPr>
            <w:r w:rsidRPr="00DC0954">
              <w:rPr>
                <w:lang w:val="en-US"/>
              </w:rPr>
              <w:t>05/02/2016</w:t>
            </w:r>
          </w:p>
        </w:tc>
      </w:tr>
    </w:tbl>
    <w:p w14:paraId="42959D78" w14:textId="2493727B" w:rsidR="008A2172" w:rsidRDefault="00DC0954" w:rsidP="00691168">
      <w:pPr>
        <w:pStyle w:val="Normalaftertitle"/>
      </w:pPr>
      <w:r>
        <w:rPr>
          <w:i/>
          <w:iCs/>
        </w:rPr>
        <w:t>e)</w:t>
      </w:r>
      <w:r>
        <w:rPr>
          <w:i/>
          <w:iCs/>
        </w:rPr>
        <w:tab/>
      </w:r>
      <w:r>
        <w:t>que l'</w:t>
      </w:r>
      <w:r w:rsidR="00691168">
        <w:t>A</w:t>
      </w:r>
      <w:r>
        <w:t>dministration de la Colombie a lancé une procédure d'appel d'offres pour acquérir un satellite en 2010 et que cette procédure n'a pas donné de résultat;</w:t>
      </w:r>
    </w:p>
    <w:p w14:paraId="00C6E09C" w14:textId="3ABDB49F" w:rsidR="00DC0954" w:rsidRDefault="00DC0954" w:rsidP="003C6CE7">
      <w:r>
        <w:rPr>
          <w:i/>
          <w:iCs/>
        </w:rPr>
        <w:t>f)</w:t>
      </w:r>
      <w:r>
        <w:rPr>
          <w:i/>
          <w:iCs/>
        </w:rPr>
        <w:tab/>
      </w:r>
      <w:r>
        <w:t>que pour répondre aux besoins de connectivité du pays, l'</w:t>
      </w:r>
      <w:r w:rsidR="00691168">
        <w:t>A</w:t>
      </w:r>
      <w:r>
        <w:t xml:space="preserve">dministration de la Colombie </w:t>
      </w:r>
      <w:r w:rsidR="00581440">
        <w:t xml:space="preserve">a </w:t>
      </w:r>
      <w:r w:rsidR="00632881">
        <w:t>déployé</w:t>
      </w:r>
      <w:r w:rsidR="00581440">
        <w:t xml:space="preserve"> un réseau national de fibre</w:t>
      </w:r>
      <w:r w:rsidR="003C6CE7">
        <w:t>s</w:t>
      </w:r>
      <w:r w:rsidR="00581440">
        <w:t xml:space="preserve"> optique</w:t>
      </w:r>
      <w:r w:rsidR="003C6CE7">
        <w:t>s</w:t>
      </w:r>
      <w:r w:rsidR="00581440">
        <w:t xml:space="preserve"> </w:t>
      </w:r>
      <w:r w:rsidR="003C6CE7">
        <w:t xml:space="preserve">permettant à </w:t>
      </w:r>
      <w:r w:rsidR="00581440">
        <w:t xml:space="preserve">96% des municipalités du pays </w:t>
      </w:r>
      <w:r w:rsidR="003C6CE7">
        <w:t xml:space="preserve">d'avoir accès </w:t>
      </w:r>
      <w:r w:rsidR="00581440">
        <w:t>au large bande;</w:t>
      </w:r>
    </w:p>
    <w:p w14:paraId="68A3763E" w14:textId="725F27BD" w:rsidR="00581440" w:rsidRDefault="00581440" w:rsidP="007552B5">
      <w:r>
        <w:rPr>
          <w:i/>
          <w:iCs/>
        </w:rPr>
        <w:t>g)</w:t>
      </w:r>
      <w:r>
        <w:rPr>
          <w:i/>
          <w:iCs/>
        </w:rPr>
        <w:tab/>
      </w:r>
      <w:r>
        <w:t>que malgré le déploiement du réseau national de fibre</w:t>
      </w:r>
      <w:r w:rsidR="003C6CE7">
        <w:t>s</w:t>
      </w:r>
      <w:r>
        <w:t xml:space="preserve"> optique</w:t>
      </w:r>
      <w:r w:rsidR="003C6CE7">
        <w:t>s</w:t>
      </w:r>
      <w:r>
        <w:t xml:space="preserve">, certaines zones du territoire colombien ne </w:t>
      </w:r>
      <w:r w:rsidR="00632881">
        <w:t>disposent pas de connectivité</w:t>
      </w:r>
      <w:r>
        <w:t xml:space="preserve"> et n'ont pas accès à l'Internet du fait de leur </w:t>
      </w:r>
      <w:r w:rsidR="00CB5D21">
        <w:t>situation géographique</w:t>
      </w:r>
      <w:r>
        <w:t xml:space="preserve"> et que la seule solution d'accès pour ces zones est le système à satellites,</w:t>
      </w:r>
    </w:p>
    <w:p w14:paraId="61FC23DB" w14:textId="41185320" w:rsidR="00581440" w:rsidRDefault="00581440" w:rsidP="007552B5">
      <w:pPr>
        <w:pStyle w:val="Call"/>
      </w:pPr>
      <w:r>
        <w:t>décide</w:t>
      </w:r>
    </w:p>
    <w:p w14:paraId="20F86D1D" w14:textId="483C23DB" w:rsidR="00581440" w:rsidRDefault="00581440" w:rsidP="00504638">
      <w:r>
        <w:t>1</w:t>
      </w:r>
      <w:r>
        <w:tab/>
        <w:t xml:space="preserve">de proroger le délai prévu pour la mise en œuvre du système à satellites Satcol aux positions orbitales </w:t>
      </w:r>
      <w:r w:rsidRPr="00581440">
        <w:t>70</w:t>
      </w:r>
      <w:r>
        <w:t>,9° O</w:t>
      </w:r>
      <w:r w:rsidRPr="00581440">
        <w:t xml:space="preserve">, 38° O </w:t>
      </w:r>
      <w:r>
        <w:t xml:space="preserve">et </w:t>
      </w:r>
      <w:r w:rsidRPr="00581440">
        <w:t>131° O</w:t>
      </w:r>
      <w:r>
        <w:t xml:space="preserve">, jusqu'à ce que la Conférence mondiale des radiocommunications de 2015 prenne les dispositions </w:t>
      </w:r>
      <w:r w:rsidR="00EB4115">
        <w:t xml:space="preserve">appropriées </w:t>
      </w:r>
      <w:r w:rsidR="00504638">
        <w:t>en lien avec</w:t>
      </w:r>
      <w:r w:rsidR="00EB4115">
        <w:t xml:space="preserve"> le </w:t>
      </w:r>
      <w:r>
        <w:t>droit de l'</w:t>
      </w:r>
      <w:r w:rsidR="00691168">
        <w:t>A</w:t>
      </w:r>
      <w:r>
        <w:t xml:space="preserve">dministration colombienne </w:t>
      </w:r>
      <w:r w:rsidR="00EB4115" w:rsidRPr="00EB4115">
        <w:t>d'accéder dans des conditions équitables à l'orbite des satellites géostationnaires</w:t>
      </w:r>
      <w:r>
        <w:t>;</w:t>
      </w:r>
    </w:p>
    <w:p w14:paraId="757EC23B" w14:textId="07ECCCB6" w:rsidR="00EB4115" w:rsidRDefault="00EB4115" w:rsidP="007552B5">
      <w:r>
        <w:t>2</w:t>
      </w:r>
      <w:r>
        <w:tab/>
      </w:r>
      <w:r w:rsidRPr="00EB4115">
        <w:t>de communiquer la présente décision de la Conférence de plénipotentiaires</w:t>
      </w:r>
      <w:r>
        <w:t xml:space="preserve"> de 2014</w:t>
      </w:r>
      <w:r w:rsidRPr="00EB4115">
        <w:t xml:space="preserve"> au Comité du Règlement des radiocommunications, afin </w:t>
      </w:r>
      <w:r>
        <w:t xml:space="preserve">que </w:t>
      </w:r>
      <w:r w:rsidRPr="00EB4115">
        <w:t xml:space="preserve">les </w:t>
      </w:r>
      <w:r>
        <w:t xml:space="preserve">dispositions </w:t>
      </w:r>
      <w:r w:rsidRPr="00EB4115">
        <w:t>prévues dans le Règlement des radiocommunications ne soient pas appliquées jusqu'à la date in</w:t>
      </w:r>
      <w:r>
        <w:t>diquée au point 1 ci-</w:t>
      </w:r>
      <w:r w:rsidRPr="00EB4115">
        <w:t>dessus.</w:t>
      </w:r>
    </w:p>
    <w:p w14:paraId="0ABF616D" w14:textId="77777777" w:rsidR="007552B5" w:rsidRDefault="007552B5" w:rsidP="0032202E">
      <w:pPr>
        <w:pStyle w:val="Reasons"/>
      </w:pPr>
    </w:p>
    <w:p w14:paraId="6B09531C" w14:textId="77777777" w:rsidR="007552B5" w:rsidRDefault="007552B5">
      <w:pPr>
        <w:jc w:val="center"/>
      </w:pPr>
      <w:r>
        <w:t>______________</w:t>
      </w:r>
    </w:p>
    <w:p w14:paraId="5D39BAC8" w14:textId="77777777" w:rsidR="007552B5" w:rsidRPr="00581440" w:rsidRDefault="007552B5" w:rsidP="007552B5"/>
    <w:sectPr w:rsidR="007552B5" w:rsidRPr="00581440" w:rsidSect="003A0B7D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E4E9B" w14:textId="77777777" w:rsidR="00333B0F" w:rsidRDefault="00333B0F">
      <w:r>
        <w:separator/>
      </w:r>
    </w:p>
  </w:endnote>
  <w:endnote w:type="continuationSeparator" w:id="0">
    <w:p w14:paraId="43E4C318" w14:textId="77777777" w:rsidR="00333B0F" w:rsidRDefault="0033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84E3C" w14:textId="77BB6ABF" w:rsidR="000C467B" w:rsidRPr="007552B5" w:rsidRDefault="007552B5" w:rsidP="007552B5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de-CH"/>
      </w:rPr>
    </w:pPr>
    <w:r>
      <w:fldChar w:fldCharType="begin"/>
    </w:r>
    <w:r w:rsidRPr="007552B5">
      <w:rPr>
        <w:lang w:val="de-CH"/>
      </w:rPr>
      <w:instrText xml:space="preserve"> FILENAME \p \* MERGEFORMAT </w:instrText>
    </w:r>
    <w:r>
      <w:fldChar w:fldCharType="separate"/>
    </w:r>
    <w:r w:rsidR="004E56B6">
      <w:rPr>
        <w:lang w:val="de-CH"/>
      </w:rPr>
      <w:t>P:\FRA\SG\CONF-SG\PP14\000\087F.docx</w:t>
    </w:r>
    <w:r>
      <w:fldChar w:fldCharType="end"/>
    </w:r>
    <w:r w:rsidRPr="007552B5">
      <w:rPr>
        <w:lang w:val="de-CH"/>
      </w:rPr>
      <w:t xml:space="preserve"> (370203)</w:t>
    </w:r>
    <w:r w:rsidRPr="007552B5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1168">
      <w:t>10.10.14</w:t>
    </w:r>
    <w:r>
      <w:fldChar w:fldCharType="end"/>
    </w:r>
    <w:r w:rsidRPr="007552B5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56B6"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83975" w14:textId="77777777" w:rsidR="000D15FB" w:rsidRPr="007552B5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de-CH"/>
      </w:rPr>
    </w:pPr>
    <w:r>
      <w:rPr>
        <w:rFonts w:ascii="Symbol" w:hAnsi="Symbol"/>
        <w:sz w:val="22"/>
        <w:szCs w:val="20"/>
        <w:lang w:val="en-GB"/>
      </w:rPr>
      <w:t></w:t>
    </w:r>
    <w:r w:rsidRPr="007552B5">
      <w:rPr>
        <w:sz w:val="20"/>
        <w:szCs w:val="20"/>
        <w:lang w:val="de-CH"/>
      </w:rPr>
      <w:t xml:space="preserve"> </w:t>
    </w:r>
    <w:r w:rsidRPr="007552B5">
      <w:rPr>
        <w:rStyle w:val="Hyperlink"/>
        <w:sz w:val="22"/>
        <w:szCs w:val="22"/>
        <w:lang w:val="de-CH"/>
      </w:rPr>
      <w:t>www.itu.int/plenipotentiary/</w:t>
    </w:r>
    <w:r w:rsidRPr="007552B5">
      <w:rPr>
        <w:sz w:val="20"/>
        <w:szCs w:val="20"/>
        <w:lang w:val="de-CH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801024A" w14:textId="77777777" w:rsidR="000C467B" w:rsidRPr="007552B5" w:rsidRDefault="000C467B">
    <w:pPr>
      <w:pStyle w:val="FirstFooter"/>
      <w:jc w:val="center"/>
      <w:rPr>
        <w:lang w:val="de-CH"/>
      </w:rPr>
    </w:pPr>
  </w:p>
  <w:p w14:paraId="69C1A0FB" w14:textId="177A52AA" w:rsidR="000C467B" w:rsidRPr="007552B5" w:rsidRDefault="004951C0" w:rsidP="00D2263F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de-CH"/>
      </w:rPr>
    </w:pPr>
    <w:r>
      <w:fldChar w:fldCharType="begin"/>
    </w:r>
    <w:r w:rsidRPr="007552B5">
      <w:rPr>
        <w:lang w:val="de-CH"/>
      </w:rPr>
      <w:instrText xml:space="preserve"> FILENAME \p \* MERGEFORMAT </w:instrText>
    </w:r>
    <w:r>
      <w:fldChar w:fldCharType="separate"/>
    </w:r>
    <w:r w:rsidR="004E56B6">
      <w:rPr>
        <w:lang w:val="de-CH"/>
      </w:rPr>
      <w:t>P:\FRA\SG\CONF-SG\PP14\000\087F.docx</w:t>
    </w:r>
    <w:r>
      <w:fldChar w:fldCharType="end"/>
    </w:r>
    <w:r w:rsidR="007552B5" w:rsidRPr="007552B5">
      <w:rPr>
        <w:lang w:val="de-CH"/>
      </w:rPr>
      <w:t xml:space="preserve"> (370203)</w:t>
    </w:r>
    <w:r w:rsidR="000C467B" w:rsidRPr="007552B5">
      <w:rPr>
        <w:lang w:val="de-CH"/>
      </w:rPr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691168">
      <w:t>10.10.14</w:t>
    </w:r>
    <w:r w:rsidR="00575DC7">
      <w:fldChar w:fldCharType="end"/>
    </w:r>
    <w:r w:rsidR="000C467B" w:rsidRPr="007552B5">
      <w:rPr>
        <w:lang w:val="de-CH"/>
      </w:rPr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 w:rsidR="004E56B6">
      <w:t>00.00.00</w:t>
    </w:r>
    <w:r w:rsidR="00575DC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3F6CA" w14:textId="77777777" w:rsidR="00333B0F" w:rsidRDefault="00333B0F">
      <w:r>
        <w:t>____________________</w:t>
      </w:r>
    </w:p>
  </w:footnote>
  <w:footnote w:type="continuationSeparator" w:id="0">
    <w:p w14:paraId="7A482F57" w14:textId="77777777" w:rsidR="00333B0F" w:rsidRDefault="0033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8F99C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91168">
      <w:rPr>
        <w:noProof/>
      </w:rPr>
      <w:t>2</w:t>
    </w:r>
    <w:r>
      <w:fldChar w:fldCharType="end"/>
    </w:r>
  </w:p>
  <w:p w14:paraId="09FCB1EA" w14:textId="77777777" w:rsidR="00BD1614" w:rsidRDefault="00BD1614" w:rsidP="00BD1614">
    <w:pPr>
      <w:pStyle w:val="Header"/>
    </w:pPr>
    <w:r>
      <w:t>PP14/87-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D6EA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E0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BAB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A266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4C2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48A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9AC0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345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0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04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67B"/>
    <w:rsid w:val="000D15FB"/>
    <w:rsid w:val="000D7D1A"/>
    <w:rsid w:val="000F58F7"/>
    <w:rsid w:val="001051E4"/>
    <w:rsid w:val="001354EA"/>
    <w:rsid w:val="00136FCE"/>
    <w:rsid w:val="00153BA4"/>
    <w:rsid w:val="001941AD"/>
    <w:rsid w:val="001A0682"/>
    <w:rsid w:val="001B4D8D"/>
    <w:rsid w:val="001D31B2"/>
    <w:rsid w:val="001E1B9B"/>
    <w:rsid w:val="001E25EB"/>
    <w:rsid w:val="001F6233"/>
    <w:rsid w:val="00215C6F"/>
    <w:rsid w:val="002355CD"/>
    <w:rsid w:val="00270B2F"/>
    <w:rsid w:val="002A0E1B"/>
    <w:rsid w:val="002C1059"/>
    <w:rsid w:val="002C2F9C"/>
    <w:rsid w:val="00322DEA"/>
    <w:rsid w:val="00333B0F"/>
    <w:rsid w:val="0036758B"/>
    <w:rsid w:val="003A0B7D"/>
    <w:rsid w:val="003A45C2"/>
    <w:rsid w:val="003C4BE2"/>
    <w:rsid w:val="003C6CE7"/>
    <w:rsid w:val="003D147D"/>
    <w:rsid w:val="003D637A"/>
    <w:rsid w:val="00430015"/>
    <w:rsid w:val="004678D0"/>
    <w:rsid w:val="00482954"/>
    <w:rsid w:val="004951C0"/>
    <w:rsid w:val="004E56B6"/>
    <w:rsid w:val="00504638"/>
    <w:rsid w:val="00524001"/>
    <w:rsid w:val="00525833"/>
    <w:rsid w:val="00564B63"/>
    <w:rsid w:val="00575DC7"/>
    <w:rsid w:val="00581440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2881"/>
    <w:rsid w:val="00635B7B"/>
    <w:rsid w:val="00655B98"/>
    <w:rsid w:val="006710E6"/>
    <w:rsid w:val="00686973"/>
    <w:rsid w:val="00691168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552B5"/>
    <w:rsid w:val="007717F2"/>
    <w:rsid w:val="00772E3B"/>
    <w:rsid w:val="0078134C"/>
    <w:rsid w:val="007932CB"/>
    <w:rsid w:val="007A5830"/>
    <w:rsid w:val="00801256"/>
    <w:rsid w:val="008703CB"/>
    <w:rsid w:val="008A2172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D5DA6"/>
    <w:rsid w:val="00BE425D"/>
    <w:rsid w:val="00BF7D25"/>
    <w:rsid w:val="00C010C0"/>
    <w:rsid w:val="00C40CB5"/>
    <w:rsid w:val="00C54CE6"/>
    <w:rsid w:val="00C575E2"/>
    <w:rsid w:val="00C7368B"/>
    <w:rsid w:val="00C92746"/>
    <w:rsid w:val="00CB5D21"/>
    <w:rsid w:val="00CC4DC5"/>
    <w:rsid w:val="00CE1A7C"/>
    <w:rsid w:val="00D0464B"/>
    <w:rsid w:val="00D12C74"/>
    <w:rsid w:val="00D2263F"/>
    <w:rsid w:val="00D334D9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C0954"/>
    <w:rsid w:val="00DF25C1"/>
    <w:rsid w:val="00DF48F7"/>
    <w:rsid w:val="00DF4964"/>
    <w:rsid w:val="00DF4D73"/>
    <w:rsid w:val="00DF79B0"/>
    <w:rsid w:val="00E07193"/>
    <w:rsid w:val="00E1047D"/>
    <w:rsid w:val="00E443FA"/>
    <w:rsid w:val="00E54FCE"/>
    <w:rsid w:val="00E60DA1"/>
    <w:rsid w:val="00E93D35"/>
    <w:rsid w:val="00EA45DB"/>
    <w:rsid w:val="00EB4115"/>
    <w:rsid w:val="00ED2CD9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A339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styleId="CommentReference">
    <w:name w:val="annotation reference"/>
    <w:basedOn w:val="DefaultParagraphFont"/>
    <w:semiHidden/>
    <w:unhideWhenUsed/>
    <w:rsid w:val="00BE42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425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425D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4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425D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BE425D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BE425D"/>
    <w:pPr>
      <w:ind w:left="720"/>
      <w:contextualSpacing/>
    </w:pPr>
  </w:style>
  <w:style w:type="table" w:styleId="TableGrid">
    <w:name w:val="Table Grid"/>
    <w:basedOn w:val="TableNormal"/>
    <w:rsid w:val="00DC0954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1583c6-aab3-4600-8c39-ed0b99d0d5d0" targetNamespace="http://schemas.microsoft.com/office/2006/metadata/properties" ma:root="true" ma:fieldsID="d41af5c836d734370eb92e7ee5f83852" ns2:_="" ns3:_="">
    <xsd:import namespace="996b2e75-67fd-4955-a3b0-5ab9934cb50b"/>
    <xsd:import namespace="931583c6-aab3-4600-8c39-ed0b99d0d5d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83c6-aab3-4600-8c39-ed0b99d0d5d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1583c6-aab3-4600-8c39-ed0b99d0d5d0">Documents Proposals Manager (DPM)</DPM_x0020_Author>
    <DPM_x0020_File_x0020_name xmlns="931583c6-aab3-4600-8c39-ed0b99d0d5d0">S14-PP-C-0087!!MSW-F</DPM_x0020_File_x0020_name>
    <DPM_x0020_Version xmlns="931583c6-aab3-4600-8c39-ed0b99d0d5d0">DPM_v5.7.1.23_prod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1583c6-aab3-4600-8c39-ed0b99d0d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996b2e75-67fd-4955-a3b0-5ab9934cb50b"/>
    <ds:schemaRef ds:uri="931583c6-aab3-4600-8c39-ed0b99d0d5d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S14-PP-C-0087!!MSW-F</vt:lpstr>
    </vt:vector>
  </TitlesOfParts>
  <Manager/>
  <Company/>
  <LinksUpToDate>false</LinksUpToDate>
  <CharactersWithSpaces>4308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S14-PP-C-0087!!MSW-F</dc:title>
  <dc:subject>Plenipotentiary Conference (PP-14)</dc:subject>
  <dc:creator/>
  <cp:keywords>DPM_v5.7.1.23_prod</cp:keywords>
  <dc:description/>
  <cp:lastModifiedBy/>
  <cp:revision>1</cp:revision>
  <dcterms:created xsi:type="dcterms:W3CDTF">2014-10-09T15:02:00Z</dcterms:created>
  <dcterms:modified xsi:type="dcterms:W3CDTF">2014-10-10T08:19:00Z</dcterms:modified>
  <cp:category>Conference document</cp:category>
</cp:coreProperties>
</file>