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E3048" w:rsidRPr="00E36A72">
        <w:trPr>
          <w:cantSplit/>
        </w:trPr>
        <w:tc>
          <w:tcPr>
            <w:tcW w:w="6911" w:type="dxa"/>
          </w:tcPr>
          <w:p w:rsidR="005E3048" w:rsidRPr="00E36A72" w:rsidRDefault="00313948" w:rsidP="009F6AE6">
            <w:pPr>
              <w:spacing w:before="360" w:after="48" w:line="240" w:lineRule="atLeast"/>
              <w:rPr>
                <w:position w:val="6"/>
              </w:rPr>
            </w:pPr>
            <w:r>
              <w:rPr>
                <w:rFonts w:asciiTheme="minorHAnsi" w:hAnsiTheme="minorHAnsi" w:cs="Times"/>
                <w:b/>
                <w:position w:val="6"/>
                <w:sz w:val="30"/>
                <w:szCs w:val="30"/>
                <w:lang w:val="en-US"/>
              </w:rPr>
              <w:t>Plenipotentiary Conference (PP-14)</w:t>
            </w:r>
            <w:r w:rsidRPr="009467C3">
              <w:rPr>
                <w:rFonts w:asciiTheme="minorHAnsi" w:hAnsiTheme="minorHAnsi" w:cs="Times"/>
                <w:b/>
                <w:position w:val="6"/>
                <w:sz w:val="30"/>
                <w:szCs w:val="30"/>
                <w:lang w:val="en-US"/>
              </w:rPr>
              <w:br/>
            </w:r>
            <w:r>
              <w:rPr>
                <w:rFonts w:asciiTheme="minorHAnsi" w:hAnsiTheme="minorHAnsi"/>
                <w:b/>
                <w:bCs/>
                <w:position w:val="6"/>
                <w:szCs w:val="24"/>
                <w:lang w:val="en-US"/>
              </w:rPr>
              <w:t>Busan</w:t>
            </w:r>
            <w:r w:rsidRPr="009F7FF6">
              <w:rPr>
                <w:rFonts w:asciiTheme="minorHAnsi" w:hAnsiTheme="minorHAnsi"/>
                <w:b/>
                <w:bCs/>
                <w:position w:val="6"/>
                <w:szCs w:val="24"/>
                <w:lang w:val="en-US"/>
              </w:rPr>
              <w:t xml:space="preserve">, </w:t>
            </w:r>
            <w:r>
              <w:rPr>
                <w:rFonts w:asciiTheme="minorHAnsi" w:hAnsiTheme="minorHAnsi"/>
                <w:b/>
                <w:bCs/>
                <w:position w:val="6"/>
                <w:szCs w:val="24"/>
                <w:lang w:val="en-US"/>
              </w:rPr>
              <w:t>20 October-7 November 2014</w:t>
            </w:r>
          </w:p>
        </w:tc>
        <w:tc>
          <w:tcPr>
            <w:tcW w:w="3120" w:type="dxa"/>
          </w:tcPr>
          <w:p w:rsidR="005E3048" w:rsidRPr="00E36A72" w:rsidRDefault="00C6720F" w:rsidP="0000194A">
            <w:pPr>
              <w:spacing w:before="0" w:line="240" w:lineRule="atLeast"/>
            </w:pPr>
            <w:bookmarkStart w:id="0" w:name="ditulogo"/>
            <w:bookmarkEnd w:id="0"/>
            <w:r>
              <w:rPr>
                <w:noProof/>
                <w:lang w:val="en-US" w:eastAsia="zh-CN"/>
              </w:rPr>
              <w:drawing>
                <wp:inline distT="0" distB="0" distL="0" distR="0" wp14:anchorId="723C4670" wp14:editId="0D6734DF">
                  <wp:extent cx="17049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742950"/>
                          </a:xfrm>
                          <a:prstGeom prst="rect">
                            <a:avLst/>
                          </a:prstGeom>
                          <a:noFill/>
                          <a:ln>
                            <a:noFill/>
                          </a:ln>
                        </pic:spPr>
                      </pic:pic>
                    </a:graphicData>
                  </a:graphic>
                </wp:inline>
              </w:drawing>
            </w:r>
          </w:p>
        </w:tc>
      </w:tr>
      <w:tr w:rsidR="005E3048" w:rsidRPr="00E36A72">
        <w:trPr>
          <w:cantSplit/>
        </w:trPr>
        <w:tc>
          <w:tcPr>
            <w:tcW w:w="6911" w:type="dxa"/>
            <w:tcBorders>
              <w:bottom w:val="single" w:sz="12" w:space="0" w:color="auto"/>
            </w:tcBorders>
          </w:tcPr>
          <w:p w:rsidR="005E3048" w:rsidRPr="00E36A72" w:rsidRDefault="005E3048">
            <w:pPr>
              <w:spacing w:before="0" w:after="48" w:line="240" w:lineRule="atLeast"/>
              <w:rPr>
                <w:b/>
                <w:smallCaps/>
                <w:szCs w:val="24"/>
              </w:rPr>
            </w:pPr>
          </w:p>
        </w:tc>
        <w:tc>
          <w:tcPr>
            <w:tcW w:w="3120" w:type="dxa"/>
            <w:tcBorders>
              <w:bottom w:val="single" w:sz="12" w:space="0" w:color="auto"/>
            </w:tcBorders>
          </w:tcPr>
          <w:p w:rsidR="005E3048" w:rsidRPr="00E36A72" w:rsidRDefault="005E3048">
            <w:pPr>
              <w:spacing w:before="0" w:line="240" w:lineRule="atLeast"/>
              <w:rPr>
                <w:szCs w:val="24"/>
              </w:rPr>
            </w:pPr>
          </w:p>
        </w:tc>
      </w:tr>
      <w:tr w:rsidR="005E3048" w:rsidRPr="00E36A72">
        <w:trPr>
          <w:cantSplit/>
        </w:trPr>
        <w:tc>
          <w:tcPr>
            <w:tcW w:w="6911" w:type="dxa"/>
            <w:tcBorders>
              <w:top w:val="single" w:sz="12" w:space="0" w:color="auto"/>
            </w:tcBorders>
          </w:tcPr>
          <w:p w:rsidR="005E3048" w:rsidRPr="00E36A72" w:rsidRDefault="005E3048">
            <w:pPr>
              <w:spacing w:before="0" w:after="48" w:line="240" w:lineRule="atLeast"/>
              <w:rPr>
                <w:b/>
                <w:smallCaps/>
                <w:szCs w:val="24"/>
              </w:rPr>
            </w:pPr>
          </w:p>
        </w:tc>
        <w:tc>
          <w:tcPr>
            <w:tcW w:w="3120" w:type="dxa"/>
            <w:tcBorders>
              <w:top w:val="single" w:sz="12" w:space="0" w:color="auto"/>
            </w:tcBorders>
          </w:tcPr>
          <w:p w:rsidR="005E3048" w:rsidRPr="00E36A72" w:rsidRDefault="005E3048">
            <w:pPr>
              <w:spacing w:before="0" w:line="240" w:lineRule="atLeast"/>
              <w:rPr>
                <w:szCs w:val="24"/>
              </w:rPr>
            </w:pPr>
          </w:p>
        </w:tc>
      </w:tr>
      <w:tr w:rsidR="005E3048" w:rsidRPr="00E36A72">
        <w:trPr>
          <w:cantSplit/>
          <w:trHeight w:val="23"/>
        </w:trPr>
        <w:tc>
          <w:tcPr>
            <w:tcW w:w="6911" w:type="dxa"/>
            <w:vMerge w:val="restart"/>
          </w:tcPr>
          <w:p w:rsidR="009620CE" w:rsidRPr="00E36A72" w:rsidRDefault="00313948" w:rsidP="009F6AE6">
            <w:pPr>
              <w:tabs>
                <w:tab w:val="left" w:pos="851"/>
              </w:tabs>
              <w:spacing w:before="0" w:line="240" w:lineRule="atLeast"/>
              <w:rPr>
                <w:rFonts w:cs="Calibri"/>
                <w:b/>
              </w:rPr>
            </w:pPr>
            <w:bookmarkStart w:id="1" w:name="dmeeting" w:colFirst="0" w:colLast="0"/>
            <w:bookmarkStart w:id="2" w:name="dnum" w:colFirst="1" w:colLast="1"/>
            <w:r>
              <w:rPr>
                <w:rFonts w:cs="Calibri"/>
                <w:b/>
              </w:rPr>
              <w:t>PLENARY MEETING</w:t>
            </w:r>
          </w:p>
        </w:tc>
        <w:tc>
          <w:tcPr>
            <w:tcW w:w="3120" w:type="dxa"/>
          </w:tcPr>
          <w:p w:rsidR="005E3048" w:rsidRPr="00E36A72" w:rsidRDefault="005E3048" w:rsidP="00313948">
            <w:pPr>
              <w:tabs>
                <w:tab w:val="left" w:pos="851"/>
              </w:tabs>
              <w:spacing w:before="0" w:line="240" w:lineRule="atLeast"/>
              <w:rPr>
                <w:rFonts w:cs="Calibri"/>
                <w:b/>
              </w:rPr>
            </w:pPr>
            <w:r w:rsidRPr="00E36A72">
              <w:rPr>
                <w:rFonts w:cs="Calibri"/>
                <w:b/>
              </w:rPr>
              <w:t xml:space="preserve">Document </w:t>
            </w:r>
            <w:r w:rsidR="00313948">
              <w:rPr>
                <w:rFonts w:cs="Calibri"/>
                <w:b/>
              </w:rPr>
              <w:t>91</w:t>
            </w:r>
            <w:r w:rsidR="004D6997" w:rsidRPr="00E36A72">
              <w:rPr>
                <w:rFonts w:cs="Calibri"/>
                <w:b/>
              </w:rPr>
              <w:t>-</w:t>
            </w:r>
            <w:r w:rsidR="006130C8" w:rsidRPr="00E36A72">
              <w:rPr>
                <w:rFonts w:cs="Calibri"/>
                <w:b/>
              </w:rPr>
              <w:t>E</w:t>
            </w:r>
          </w:p>
        </w:tc>
      </w:tr>
      <w:tr w:rsidR="005E3048" w:rsidRPr="00E36A72">
        <w:trPr>
          <w:cantSplit/>
          <w:trHeight w:val="23"/>
        </w:trPr>
        <w:tc>
          <w:tcPr>
            <w:tcW w:w="6911" w:type="dxa"/>
            <w:vMerge/>
          </w:tcPr>
          <w:p w:rsidR="005E3048" w:rsidRPr="00E36A72" w:rsidRDefault="005E3048">
            <w:pPr>
              <w:tabs>
                <w:tab w:val="left" w:pos="851"/>
              </w:tabs>
              <w:spacing w:line="240" w:lineRule="atLeast"/>
              <w:rPr>
                <w:b/>
              </w:rPr>
            </w:pPr>
            <w:bookmarkStart w:id="3" w:name="ddate" w:colFirst="1" w:colLast="1"/>
            <w:bookmarkEnd w:id="1"/>
            <w:bookmarkEnd w:id="2"/>
          </w:p>
        </w:tc>
        <w:tc>
          <w:tcPr>
            <w:tcW w:w="3120" w:type="dxa"/>
          </w:tcPr>
          <w:p w:rsidR="005E3048" w:rsidRPr="00E36A72" w:rsidRDefault="00313948" w:rsidP="00313948">
            <w:pPr>
              <w:tabs>
                <w:tab w:val="left" w:pos="993"/>
              </w:tabs>
              <w:spacing w:before="0"/>
              <w:rPr>
                <w:rFonts w:cs="Calibri"/>
                <w:b/>
              </w:rPr>
            </w:pPr>
            <w:r>
              <w:rPr>
                <w:rFonts w:cs="Calibri"/>
                <w:b/>
              </w:rPr>
              <w:t xml:space="preserve">20 October </w:t>
            </w:r>
            <w:r w:rsidR="007E6DC7" w:rsidRPr="00E36A72">
              <w:rPr>
                <w:rFonts w:cs="Calibri"/>
                <w:b/>
              </w:rPr>
              <w:t>201</w:t>
            </w:r>
            <w:r w:rsidR="0038621D" w:rsidRPr="00E36A72">
              <w:rPr>
                <w:rFonts w:cs="Calibri"/>
                <w:b/>
              </w:rPr>
              <w:t>4</w:t>
            </w:r>
          </w:p>
        </w:tc>
      </w:tr>
      <w:tr w:rsidR="005E3048" w:rsidRPr="00E36A72">
        <w:trPr>
          <w:cantSplit/>
          <w:trHeight w:val="23"/>
        </w:trPr>
        <w:tc>
          <w:tcPr>
            <w:tcW w:w="6911" w:type="dxa"/>
            <w:vMerge/>
          </w:tcPr>
          <w:p w:rsidR="005E3048" w:rsidRPr="00E36A72" w:rsidRDefault="005E3048">
            <w:pPr>
              <w:tabs>
                <w:tab w:val="left" w:pos="851"/>
              </w:tabs>
              <w:spacing w:line="240" w:lineRule="atLeast"/>
              <w:rPr>
                <w:b/>
              </w:rPr>
            </w:pPr>
            <w:bookmarkStart w:id="4" w:name="dorlang" w:colFirst="1" w:colLast="1"/>
            <w:bookmarkEnd w:id="3"/>
          </w:p>
        </w:tc>
        <w:tc>
          <w:tcPr>
            <w:tcW w:w="3120" w:type="dxa"/>
          </w:tcPr>
          <w:p w:rsidR="005E3048" w:rsidRPr="00E36A72" w:rsidRDefault="005E3048" w:rsidP="0000194A">
            <w:pPr>
              <w:tabs>
                <w:tab w:val="left" w:pos="993"/>
              </w:tabs>
              <w:spacing w:before="0"/>
              <w:rPr>
                <w:rFonts w:cs="Calibri"/>
                <w:b/>
              </w:rPr>
            </w:pPr>
            <w:r w:rsidRPr="00E36A72">
              <w:rPr>
                <w:rFonts w:cs="Calibri"/>
                <w:b/>
              </w:rPr>
              <w:t>Original: English</w:t>
            </w:r>
          </w:p>
        </w:tc>
      </w:tr>
      <w:tr w:rsidR="005E3048" w:rsidRPr="00E36A72">
        <w:trPr>
          <w:cantSplit/>
        </w:trPr>
        <w:tc>
          <w:tcPr>
            <w:tcW w:w="10031" w:type="dxa"/>
            <w:gridSpan w:val="2"/>
          </w:tcPr>
          <w:p w:rsidR="005E3048" w:rsidRPr="00E36A72" w:rsidRDefault="009F6AE6" w:rsidP="00313948">
            <w:pPr>
              <w:pStyle w:val="Source"/>
              <w:framePr w:hSpace="0" w:wrap="auto" w:hAnchor="text" w:yAlign="inline"/>
            </w:pPr>
            <w:bookmarkStart w:id="5" w:name="dsource" w:colFirst="0" w:colLast="0"/>
            <w:bookmarkEnd w:id="4"/>
            <w:r w:rsidRPr="00E36A72">
              <w:rPr>
                <w:lang w:val="en-US"/>
              </w:rPr>
              <w:t>Report</w:t>
            </w:r>
            <w:r w:rsidR="005E3048" w:rsidRPr="00E36A72">
              <w:rPr>
                <w:lang w:val="en-US"/>
              </w:rPr>
              <w:t xml:space="preserve"> by the </w:t>
            </w:r>
            <w:r w:rsidR="00313948">
              <w:rPr>
                <w:lang w:val="en-US"/>
              </w:rPr>
              <w:t>Council</w:t>
            </w:r>
          </w:p>
        </w:tc>
      </w:tr>
      <w:tr w:rsidR="005E3048" w:rsidRPr="00E36A72">
        <w:trPr>
          <w:cantSplit/>
        </w:trPr>
        <w:tc>
          <w:tcPr>
            <w:tcW w:w="10031" w:type="dxa"/>
            <w:gridSpan w:val="2"/>
          </w:tcPr>
          <w:p w:rsidR="005E3048" w:rsidRPr="00E36A72" w:rsidRDefault="009F6AE6" w:rsidP="009F6AE6">
            <w:pPr>
              <w:pStyle w:val="Title1"/>
              <w:framePr w:hSpace="0" w:wrap="auto" w:hAnchor="text" w:yAlign="inline"/>
            </w:pPr>
            <w:bookmarkStart w:id="6" w:name="dtitle1" w:colFirst="0" w:colLast="0"/>
            <w:bookmarkEnd w:id="5"/>
            <w:r w:rsidRPr="00E36A72">
              <w:t>advantages and disadvantages of utilizing revenue generated from international numbering resources for the purpose of balancing revenue and expenses</w:t>
            </w:r>
          </w:p>
        </w:tc>
      </w:tr>
      <w:bookmarkEnd w:id="6"/>
    </w:tbl>
    <w:p w:rsidR="009F6AE6" w:rsidRDefault="009F6AE6" w:rsidP="006237F0">
      <w:pPr>
        <w:spacing w:before="360"/>
      </w:pPr>
    </w:p>
    <w:tbl>
      <w:tblPr>
        <w:tblW w:w="921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E3048" w:rsidRPr="00E36A72" w:rsidTr="009F6AE6">
        <w:trPr>
          <w:trHeight w:val="2878"/>
        </w:trPr>
        <w:tc>
          <w:tcPr>
            <w:tcW w:w="9214" w:type="dxa"/>
            <w:tcBorders>
              <w:top w:val="single" w:sz="12" w:space="0" w:color="auto"/>
              <w:left w:val="single" w:sz="12" w:space="0" w:color="auto"/>
              <w:bottom w:val="single" w:sz="12" w:space="0" w:color="auto"/>
              <w:right w:val="single" w:sz="12" w:space="0" w:color="auto"/>
            </w:tcBorders>
          </w:tcPr>
          <w:p w:rsidR="0038632E" w:rsidRPr="00E36A72" w:rsidRDefault="005E3048" w:rsidP="00202BB4">
            <w:pPr>
              <w:pStyle w:val="Headingb"/>
              <w:spacing w:before="120" w:after="120"/>
              <w:jc w:val="both"/>
              <w:rPr>
                <w:szCs w:val="24"/>
              </w:rPr>
            </w:pPr>
            <w:r w:rsidRPr="00E36A72">
              <w:rPr>
                <w:szCs w:val="24"/>
              </w:rPr>
              <w:t>Summary</w:t>
            </w:r>
          </w:p>
          <w:p w:rsidR="00D30980" w:rsidRDefault="009F6AE6">
            <w:pPr>
              <w:spacing w:after="120"/>
              <w:jc w:val="both"/>
            </w:pPr>
            <w:r w:rsidRPr="00E36A72">
              <w:t xml:space="preserve">The draft financial plan noted by Council 2014 (see Document C14/92, Annex F, Table 1) calls for an increase in INR revenues of CHF 1’750’000 per year. </w:t>
            </w:r>
            <w:r w:rsidRPr="00E36A72">
              <w:rPr>
                <w:rFonts w:cs="Calibri"/>
                <w:szCs w:val="24"/>
              </w:rPr>
              <w:t>Council 2014</w:t>
            </w:r>
            <w:r w:rsidRPr="00E36A72">
              <w:t xml:space="preserve"> requested that the </w:t>
            </w:r>
            <w:bookmarkStart w:id="7" w:name="_GoBack"/>
            <w:bookmarkEnd w:id="7"/>
            <w:r w:rsidRPr="00E36A72">
              <w:t xml:space="preserve">Director of TSB forward a report to the final </w:t>
            </w:r>
            <w:r w:rsidR="00313948">
              <w:t>meeting</w:t>
            </w:r>
            <w:r w:rsidR="00313948" w:rsidRPr="00E36A72">
              <w:t xml:space="preserve"> </w:t>
            </w:r>
            <w:r w:rsidRPr="00E36A72">
              <w:t>of the Council on 18 October 2014 on the advantages and disadvantages of utilizing revenue generated from international numbering resources for the purpose of balancing revenue and expenses.</w:t>
            </w:r>
          </w:p>
          <w:p w:rsidR="00313948" w:rsidRPr="00E36A72" w:rsidRDefault="00313948" w:rsidP="003E1552">
            <w:pPr>
              <w:spacing w:after="120"/>
              <w:jc w:val="both"/>
              <w:rPr>
                <w:szCs w:val="24"/>
              </w:rPr>
            </w:pPr>
            <w:r>
              <w:t>At its final meeting, the Council decided to forward this report to the Plenipotentiary Conference, together with a summary of discussions which can be found in Annex.</w:t>
            </w:r>
          </w:p>
          <w:p w:rsidR="005E3048" w:rsidRPr="00E36A72" w:rsidRDefault="005E3048" w:rsidP="00202BB4">
            <w:pPr>
              <w:pStyle w:val="Headingb"/>
              <w:spacing w:before="120" w:after="120"/>
              <w:jc w:val="both"/>
              <w:rPr>
                <w:szCs w:val="24"/>
              </w:rPr>
            </w:pPr>
            <w:r w:rsidRPr="00E36A72">
              <w:rPr>
                <w:szCs w:val="24"/>
              </w:rPr>
              <w:t>Action required</w:t>
            </w:r>
          </w:p>
          <w:p w:rsidR="00CC3130" w:rsidRPr="00E36A72" w:rsidRDefault="009F6AE6">
            <w:pPr>
              <w:spacing w:after="120"/>
              <w:jc w:val="both"/>
              <w:rPr>
                <w:szCs w:val="24"/>
                <w:lang w:eastAsia="pl-PL"/>
              </w:rPr>
            </w:pPr>
            <w:r w:rsidRPr="00E36A72">
              <w:rPr>
                <w:lang w:val="en-US"/>
              </w:rPr>
              <w:t xml:space="preserve">The </w:t>
            </w:r>
            <w:r w:rsidR="00313948">
              <w:rPr>
                <w:lang w:val="en-US"/>
              </w:rPr>
              <w:t xml:space="preserve">Plenipotentiary Conference </w:t>
            </w:r>
            <w:r w:rsidRPr="00E36A72">
              <w:rPr>
                <w:lang w:val="en-US"/>
              </w:rPr>
              <w:t xml:space="preserve">is invited to </w:t>
            </w:r>
            <w:r w:rsidRPr="00E36A72">
              <w:rPr>
                <w:b/>
                <w:bCs/>
                <w:lang w:val="en-US"/>
              </w:rPr>
              <w:t>discuss</w:t>
            </w:r>
            <w:r w:rsidRPr="00E36A72">
              <w:rPr>
                <w:b/>
                <w:lang w:val="en-US"/>
              </w:rPr>
              <w:t xml:space="preserve"> </w:t>
            </w:r>
            <w:r w:rsidRPr="00E36A72">
              <w:rPr>
                <w:lang w:val="en-US"/>
              </w:rPr>
              <w:t xml:space="preserve">the document and to </w:t>
            </w:r>
            <w:r w:rsidRPr="00E36A72">
              <w:rPr>
                <w:b/>
                <w:bCs/>
                <w:lang w:val="en-US"/>
              </w:rPr>
              <w:t>take actions</w:t>
            </w:r>
            <w:r w:rsidRPr="00E36A72">
              <w:rPr>
                <w:lang w:val="en-US"/>
              </w:rPr>
              <w:t xml:space="preserve"> as appropriate.</w:t>
            </w:r>
          </w:p>
          <w:p w:rsidR="00202BB4" w:rsidRPr="00E36A72" w:rsidRDefault="00202BB4" w:rsidP="00202BB4">
            <w:pPr>
              <w:spacing w:after="120"/>
              <w:jc w:val="center"/>
              <w:rPr>
                <w:szCs w:val="24"/>
                <w:lang w:eastAsia="pl-PL"/>
              </w:rPr>
            </w:pPr>
            <w:r w:rsidRPr="00E36A72">
              <w:rPr>
                <w:sz w:val="22"/>
              </w:rPr>
              <w:t>____________</w:t>
            </w:r>
          </w:p>
          <w:p w:rsidR="00EC26E9" w:rsidRPr="00E36A72" w:rsidRDefault="00CC3130" w:rsidP="00202BB4">
            <w:pPr>
              <w:pStyle w:val="Headingb"/>
              <w:spacing w:before="120" w:after="120"/>
              <w:ind w:left="0" w:firstLine="0"/>
              <w:jc w:val="both"/>
              <w:rPr>
                <w:szCs w:val="24"/>
              </w:rPr>
            </w:pPr>
            <w:r w:rsidRPr="00E36A72">
              <w:rPr>
                <w:szCs w:val="24"/>
              </w:rPr>
              <w:t>Re</w:t>
            </w:r>
            <w:r w:rsidR="005E3048" w:rsidRPr="00E36A72">
              <w:rPr>
                <w:szCs w:val="24"/>
              </w:rPr>
              <w:t>ferences</w:t>
            </w:r>
          </w:p>
          <w:p w:rsidR="009F6AE6" w:rsidRPr="00E36A72" w:rsidRDefault="00CA0698" w:rsidP="009F6AE6">
            <w:pPr>
              <w:overflowPunct/>
              <w:autoSpaceDE/>
              <w:autoSpaceDN/>
              <w:adjustRightInd/>
              <w:spacing w:before="0"/>
              <w:textAlignment w:val="auto"/>
              <w:rPr>
                <w:rFonts w:ascii="Times New Roman" w:hAnsi="Times New Roman"/>
              </w:rPr>
            </w:pPr>
            <w:hyperlink r:id="rId19" w:anchor="res91" w:history="1">
              <w:r w:rsidR="009F6AE6" w:rsidRPr="00E36A72">
                <w:rPr>
                  <w:rStyle w:val="Hyperlink"/>
                </w:rPr>
                <w:t>Resolution 91 (Rev. Guadalajara, 2010)</w:t>
              </w:r>
            </w:hyperlink>
            <w:r w:rsidR="009F6AE6" w:rsidRPr="00E36A72">
              <w:t xml:space="preserve">; </w:t>
            </w:r>
            <w:hyperlink r:id="rId20" w:anchor="res158" w:history="1">
              <w:r w:rsidR="009F6AE6" w:rsidRPr="00E36A72">
                <w:rPr>
                  <w:rStyle w:val="Hyperlink"/>
                </w:rPr>
                <w:t>Resolution 158 (Rev. Guadalajara, 2010)</w:t>
              </w:r>
            </w:hyperlink>
            <w:r w:rsidR="009F6AE6" w:rsidRPr="00E36A72">
              <w:t>; Draft Financial Plan for 2016-2019;</w:t>
            </w:r>
          </w:p>
          <w:p w:rsidR="00CC3130" w:rsidRPr="00E36A72" w:rsidRDefault="00CA0698" w:rsidP="009F6AE6">
            <w:pPr>
              <w:spacing w:after="120"/>
              <w:jc w:val="both"/>
              <w:rPr>
                <w:szCs w:val="24"/>
              </w:rPr>
            </w:pPr>
            <w:hyperlink r:id="rId21" w:history="1">
              <w:r w:rsidR="009F6AE6" w:rsidRPr="00E36A72">
                <w:rPr>
                  <w:rStyle w:val="Hyperlink"/>
                  <w:rFonts w:cs="Calibri"/>
                  <w:szCs w:val="24"/>
                  <w:lang w:val="en-US"/>
                </w:rPr>
                <w:t>Document C14/INF/24</w:t>
              </w:r>
            </w:hyperlink>
            <w:r w:rsidR="009F6AE6" w:rsidRPr="00E36A72">
              <w:rPr>
                <w:rFonts w:cs="Calibri"/>
                <w:szCs w:val="24"/>
                <w:lang w:val="en-US"/>
              </w:rPr>
              <w:t xml:space="preserve"> – Supplementary information on </w:t>
            </w:r>
            <w:r w:rsidR="009F6AE6" w:rsidRPr="00E36A72">
              <w:t>the advantages and disadvantages of utilizing revenue generated from international numbering resources for the purpose of balancing revenue and expenses</w:t>
            </w:r>
          </w:p>
        </w:tc>
      </w:tr>
    </w:tbl>
    <w:p w:rsidR="009F6AE6" w:rsidRDefault="009F6AE6" w:rsidP="006237F0">
      <w:pPr>
        <w:tabs>
          <w:tab w:val="left" w:pos="426"/>
          <w:tab w:val="left" w:pos="1418"/>
        </w:tabs>
        <w:spacing w:before="600"/>
      </w:pPr>
      <w:bookmarkStart w:id="8" w:name="dstart"/>
      <w:bookmarkStart w:id="9" w:name="dbreak"/>
      <w:bookmarkEnd w:id="8"/>
      <w:bookmarkEnd w:id="9"/>
      <w:r>
        <w:rPr>
          <w:b/>
          <w:bCs/>
          <w:lang w:val="en-US"/>
        </w:rPr>
        <w:t xml:space="preserve">Note: </w:t>
      </w:r>
      <w:r>
        <w:rPr>
          <w:lang w:val="en-US"/>
        </w:rPr>
        <w:t xml:space="preserve">in accordance with the decision of Council and the Terms of Reference of the Expert Group created in accordance with Council’s decision, </w:t>
      </w:r>
      <w:r>
        <w:t>this Report takes account of the discussions in the Expert Group which held its final meeting on 22 August 2014.</w:t>
      </w:r>
    </w:p>
    <w:p w:rsidR="009F6AE6" w:rsidRDefault="009F6AE6" w:rsidP="009F6AE6">
      <w:pPr>
        <w:tabs>
          <w:tab w:val="left" w:pos="426"/>
          <w:tab w:val="left" w:pos="1418"/>
        </w:tabs>
      </w:pPr>
      <w:r>
        <w:t xml:space="preserve">Additional information on the work of the Expert Group, and additional information on the items addressed in this document, can be found in </w:t>
      </w:r>
      <w:hyperlink r:id="rId22" w:history="1">
        <w:r w:rsidRPr="009F6AE6">
          <w:rPr>
            <w:rStyle w:val="Hyperlink"/>
            <w:rFonts w:cs="Calibri"/>
            <w:szCs w:val="24"/>
            <w:lang w:val="en-US"/>
          </w:rPr>
          <w:t>Document C14/INF/24</w:t>
        </w:r>
      </w:hyperlink>
      <w:r>
        <w:t>.</w:t>
      </w:r>
    </w:p>
    <w:p w:rsidR="009F6AE6" w:rsidRDefault="009F6AE6" w:rsidP="009F6AE6">
      <w:pPr>
        <w:keepNext/>
        <w:overflowPunct/>
        <w:autoSpaceDE/>
        <w:autoSpaceDN/>
        <w:adjustRightInd/>
        <w:snapToGrid w:val="0"/>
        <w:textAlignment w:val="auto"/>
        <w:rPr>
          <w:b/>
          <w:sz w:val="28"/>
          <w:szCs w:val="24"/>
        </w:rPr>
      </w:pPr>
    </w:p>
    <w:p w:rsidR="009F6AE6" w:rsidRDefault="009F6AE6" w:rsidP="006237F0">
      <w:pPr>
        <w:tabs>
          <w:tab w:val="clear" w:pos="567"/>
          <w:tab w:val="clear" w:pos="1134"/>
          <w:tab w:val="clear" w:pos="1701"/>
          <w:tab w:val="clear" w:pos="2268"/>
          <w:tab w:val="clear" w:pos="2835"/>
        </w:tabs>
        <w:overflowPunct/>
        <w:autoSpaceDE/>
        <w:autoSpaceDN/>
        <w:adjustRightInd/>
        <w:spacing w:before="0"/>
        <w:textAlignment w:val="auto"/>
        <w:rPr>
          <w:rFonts w:cs="Calibri"/>
          <w:b/>
          <w:sz w:val="28"/>
          <w:szCs w:val="28"/>
        </w:rPr>
      </w:pPr>
      <w:r>
        <w:rPr>
          <w:b/>
          <w:sz w:val="28"/>
          <w:szCs w:val="24"/>
        </w:rPr>
        <w:t>1</w:t>
      </w:r>
      <w:r>
        <w:rPr>
          <w:b/>
          <w:sz w:val="28"/>
          <w:szCs w:val="24"/>
        </w:rPr>
        <w:tab/>
        <w:t>INRs allocated and assigned by ITU</w:t>
      </w:r>
    </w:p>
    <w:p w:rsidR="009F6AE6" w:rsidRDefault="009F6AE6" w:rsidP="006237F0">
      <w:pPr>
        <w:pStyle w:val="NormalWeb"/>
        <w:snapToGrid w:val="0"/>
        <w:spacing w:before="120" w:beforeAutospacing="0" w:after="120" w:afterAutospacing="0"/>
        <w:rPr>
          <w:rFonts w:ascii="Calibri" w:hAnsi="Calibri"/>
        </w:rPr>
      </w:pPr>
      <w:r>
        <w:rPr>
          <w:rFonts w:ascii="Calibri" w:hAnsi="Calibri"/>
        </w:rPr>
        <w:t>1.1</w:t>
      </w:r>
      <w:r>
        <w:rPr>
          <w:rFonts w:ascii="Calibri" w:hAnsi="Calibri"/>
        </w:rPr>
        <w:tab/>
        <w:t xml:space="preserve">International Numbering Resources (INRs) refers to numbers, codes, and identifiers specified in ITU-T Recommendations. These numbers, codes and identifiers are indispensable to the operation of telecommunication networks and services. Most INRs are allocated free of charge. Some yield a small one-time cost recovery fee (maximum CHF 200) and a limited number now require ITU Sector Membership or an Associate membership in the relevant ITU-T Study Group. Annual cost for the administration of INRs is CHF 895’000/year and direct income is about CHF 200’000/year, meaning that costs exceed direct income from INRs by about CHF 700’000/year. The remainder of the cost is therefore covered by the general budget. </w:t>
      </w:r>
    </w:p>
    <w:p w:rsidR="009F6AE6" w:rsidRDefault="009F6AE6" w:rsidP="006237F0">
      <w:pPr>
        <w:snapToGrid w:val="0"/>
        <w:spacing w:after="120"/>
      </w:pPr>
      <w:r>
        <w:t>1.2</w:t>
      </w:r>
      <w:r>
        <w:tab/>
        <w:t>The number of assignments by TSB per year is very low for most INRs, and the total number of assignments by TSB is also rather low. This is due to the fact that the TSB mostly assigns codes to Member States, which then assign to operators, who then assign to users.  Typically ITU only assigns one (or a few) codes per country. So after the establishment of the initial list of codes, most of the TSB administration activities related to these INRs are not assignment but publishing notifications (in particular national numbering plans, and International Signalling Point Codes (ISPC) and Mobile Network Code (MNC) assignments), changing country name, update of contact info, providing guidance and responding to queries. This ongoing administrative maintenance activity is essential to the operation of international telecommunications, and is thus of great commercial value.</w:t>
      </w:r>
      <w:r>
        <w:rPr>
          <w:rFonts w:hint="eastAsia"/>
          <w:lang w:eastAsia="zh-CN"/>
        </w:rPr>
        <w:t xml:space="preserve"> </w:t>
      </w:r>
      <w:r>
        <w:t xml:space="preserve">It does not appear practical therefore to obtain significant additional revenue by levying charges on direct assignments made by TSB. Revenue could be generated either by: (1) levying annual charges for certain INRs, at least to cover maintenance costs on assigned resources; (2) by levying annual charges on E.164 numbers; (3) by requiring that INR assignees be ITU members. </w:t>
      </w:r>
    </w:p>
    <w:p w:rsidR="006F7C79" w:rsidRDefault="009F6AE6" w:rsidP="006237F0">
      <w:pPr>
        <w:pStyle w:val="NormalWeb"/>
        <w:tabs>
          <w:tab w:val="left" w:pos="567"/>
        </w:tabs>
        <w:snapToGrid w:val="0"/>
        <w:spacing w:before="120" w:beforeAutospacing="0" w:after="120" w:afterAutospacing="0"/>
        <w:rPr>
          <w:rFonts w:ascii="Calibri" w:hAnsi="Calibri"/>
        </w:rPr>
      </w:pPr>
      <w:r>
        <w:rPr>
          <w:rFonts w:ascii="Calibri" w:hAnsi="Calibri"/>
        </w:rPr>
        <w:t>1.3</w:t>
      </w:r>
      <w:r>
        <w:rPr>
          <w:rFonts w:ascii="Calibri" w:hAnsi="Calibri"/>
        </w:rPr>
        <w:tab/>
        <w:t xml:space="preserve">Some of the INR ranges that the ITU assigns directly can be assigned only to Recognized Operating Agencies (ROAs) (see Table A.1 of the Annex to C14/INF/24). But many Member States no longer use the concept of ROAs. In some Member States operating agencies are authorized under generic type-licenses or equivalent regulations. Section 5 of C14/INF/24 presents proposals for taking this into account. </w:t>
      </w:r>
      <w:r w:rsidR="006F7C79">
        <w:rPr>
          <w:rFonts w:ascii="Calibri" w:hAnsi="Calibri"/>
        </w:rPr>
        <w:t>These proposals could be considered by the relevant ITU-T Study Groups together with other possible changes to the allocation criteria and new innovative services that could be offered by TSB.</w:t>
      </w:r>
    </w:p>
    <w:p w:rsidR="009F6AE6" w:rsidRDefault="009F6AE6" w:rsidP="006237F0">
      <w:pPr>
        <w:keepNext/>
        <w:spacing w:before="360"/>
        <w:rPr>
          <w:b/>
          <w:sz w:val="28"/>
          <w:szCs w:val="28"/>
        </w:rPr>
      </w:pPr>
      <w:r>
        <w:rPr>
          <w:b/>
          <w:sz w:val="28"/>
          <w:szCs w:val="28"/>
        </w:rPr>
        <w:t>2</w:t>
      </w:r>
      <w:r>
        <w:rPr>
          <w:b/>
          <w:sz w:val="28"/>
          <w:szCs w:val="28"/>
        </w:rPr>
        <w:tab/>
        <w:t>Annual Fee for Certain INRs</w:t>
      </w:r>
    </w:p>
    <w:p w:rsidR="009F6AE6" w:rsidRDefault="009F6AE6" w:rsidP="006237F0">
      <w:pPr>
        <w:spacing w:after="120"/>
      </w:pPr>
      <w:r>
        <w:t>2.1</w:t>
      </w:r>
      <w:r>
        <w:tab/>
        <w:t>A new annual fee of CHF 20 for each assigned Universal International Freephone Number (UIFN) would result in an increase in revenues of about CHF 735’000 per year (assuming that no significant number of UIFNs will be returned after the annual fee is imposed). This would therefore provide full cost recovery for INR activities. This annual fee is modest compared to the CHF 200 registration/application cost and the commercial value of the resource.</w:t>
      </w:r>
    </w:p>
    <w:p w:rsidR="009F6AE6" w:rsidRDefault="009F6AE6" w:rsidP="00C263C9">
      <w:pPr>
        <w:spacing w:after="120"/>
      </w:pPr>
      <w:r>
        <w:t>2.2</w:t>
      </w:r>
      <w:r>
        <w:tab/>
        <w:t xml:space="preserve">The target of CHF 1’750’000/year in INR revenue foreseen in the draft Financial Plan would require a further increase of CHF 1’050’000 per year. This could be achieved by a new annual maintenance fee of CHF 100 for each assigned/registered/notified Issuer Identification Number (IIN), MNC, ISPC, and </w:t>
      </w:r>
      <w:r w:rsidR="00C263C9">
        <w:t>ITU</w:t>
      </w:r>
      <w:r w:rsidR="00C263C9">
        <w:t xml:space="preserve"> </w:t>
      </w:r>
      <w:r>
        <w:t>Carrier Code (ICC). Each operator typically only has one of each of these INRs, so the annual maintenance fee would be very modest.</w:t>
      </w:r>
    </w:p>
    <w:p w:rsidR="009F6AE6" w:rsidRDefault="009F6AE6" w:rsidP="006237F0">
      <w:pPr>
        <w:spacing w:after="120"/>
      </w:pPr>
      <w:r>
        <w:lastRenderedPageBreak/>
        <w:t>2.3</w:t>
      </w:r>
      <w:r>
        <w:tab/>
        <w:t xml:space="preserve">These annual fees would be paid by operators directly to ITU. The creation of these new fees could be decided by </w:t>
      </w:r>
      <w:r w:rsidR="007153C8">
        <w:t xml:space="preserve">the </w:t>
      </w:r>
      <w:r>
        <w:t xml:space="preserve">Council, following which the relevant ITU-T Recommendations would need to be revised to reflect </w:t>
      </w:r>
      <w:r w:rsidR="007153C8">
        <w:t xml:space="preserve">the </w:t>
      </w:r>
      <w:r>
        <w:t xml:space="preserve">Council’s decision. </w:t>
      </w:r>
    </w:p>
    <w:p w:rsidR="009F6AE6" w:rsidRDefault="009F6AE6" w:rsidP="006237F0">
      <w:pPr>
        <w:spacing w:after="120"/>
        <w:rPr>
          <w:lang w:eastAsia="zh-CN"/>
        </w:rPr>
      </w:pPr>
      <w:r>
        <w:t>2.4</w:t>
      </w:r>
      <w:r>
        <w:tab/>
        <w:t>During discussions in the Expert Group, it was suggested that any new fees should be lower for ITU members that for non-members. If this approach is adopted, then a slightly more complex fee structure could be envisaged. Based on statistics that approximately 80% of UIFN are currently assigned to ITU members, while only approximately 20% of IIN, MNC, ISPC, and ICC are assigned to ITU members, an annual fee for UIFN of CHF 17/year for members, and CHF 35/year for non-members; and for the other resources CHF 50/year for members and CHF 113/year for non-members, would result in the same revenue.</w:t>
      </w:r>
      <w:r>
        <w:rPr>
          <w:rFonts w:hint="eastAsia"/>
          <w:lang w:eastAsia="zh-CN"/>
        </w:rPr>
        <w:t xml:space="preserve"> </w:t>
      </w:r>
    </w:p>
    <w:p w:rsidR="009F6AE6" w:rsidRDefault="009F6AE6" w:rsidP="006237F0">
      <w:pPr>
        <w:keepNext/>
        <w:spacing w:before="360"/>
        <w:rPr>
          <w:b/>
          <w:bCs/>
          <w:sz w:val="28"/>
        </w:rPr>
      </w:pPr>
      <w:r>
        <w:rPr>
          <w:b/>
          <w:bCs/>
          <w:sz w:val="28"/>
          <w:lang w:eastAsia="zh-CN"/>
        </w:rPr>
        <w:t>3</w:t>
      </w:r>
      <w:r>
        <w:rPr>
          <w:b/>
          <w:bCs/>
          <w:sz w:val="28"/>
          <w:lang w:eastAsia="zh-CN"/>
        </w:rPr>
        <w:tab/>
        <w:t>Annual fee for E.164 numbers</w:t>
      </w:r>
    </w:p>
    <w:p w:rsidR="009F6AE6" w:rsidRDefault="009F6AE6" w:rsidP="006237F0">
      <w:pPr>
        <w:spacing w:after="120"/>
      </w:pPr>
      <w:r>
        <w:t>There are some 6 billion E.164 numbers in use. If an annual fee of US</w:t>
      </w:r>
      <w:r w:rsidR="007153C8">
        <w:t>D</w:t>
      </w:r>
      <w:r>
        <w:t xml:space="preserve"> 0.01 were levied per number, the total revenue would be some </w:t>
      </w:r>
      <w:r w:rsidR="007153C8">
        <w:t>USD</w:t>
      </w:r>
      <w:r>
        <w:t xml:space="preserve"> 60 million/year. </w:t>
      </w:r>
      <w:r w:rsidR="009F5A21">
        <w:t xml:space="preserve"> Annual fees for E.164 resources assigned directly by the ITU would be paid by operators directly to ITU whilst for those assigned indirectly national administrations would need to be requested to levy the fees and pass on in part to ITU. The level of the fee would appear to be sufficiently low as not to result in many numbers being returned or in other negative effects.</w:t>
      </w:r>
    </w:p>
    <w:p w:rsidR="009F6AE6" w:rsidRDefault="009F6AE6" w:rsidP="006237F0">
      <w:pPr>
        <w:keepNext/>
        <w:spacing w:before="360"/>
        <w:rPr>
          <w:b/>
          <w:bCs/>
          <w:sz w:val="28"/>
        </w:rPr>
      </w:pPr>
      <w:r>
        <w:rPr>
          <w:b/>
          <w:bCs/>
          <w:sz w:val="28"/>
          <w:lang w:eastAsia="zh-CN"/>
        </w:rPr>
        <w:t>4</w:t>
      </w:r>
      <w:r>
        <w:rPr>
          <w:b/>
          <w:bCs/>
          <w:sz w:val="28"/>
          <w:lang w:eastAsia="zh-CN"/>
        </w:rPr>
        <w:tab/>
        <w:t>Requiring INR assignees to become ITU members</w:t>
      </w:r>
    </w:p>
    <w:p w:rsidR="009F6AE6" w:rsidRDefault="009F6AE6" w:rsidP="006237F0">
      <w:pPr>
        <w:spacing w:after="120"/>
        <w:rPr>
          <w:lang w:eastAsia="zh-CN"/>
        </w:rPr>
      </w:pPr>
      <w:r>
        <w:t>This would require that all assignees of INRs (which include E.164 numbers, MNCs and ISPCs) be members of ITU-T. Some 1,716 M</w:t>
      </w:r>
      <w:r w:rsidR="003A5B30">
        <w:t xml:space="preserve">NCs have been notified to ITU. </w:t>
      </w:r>
      <w:r>
        <w:t xml:space="preserve">Some operators have more than one MNC, so there are an estimated 1000 assignees. If all became ITU-T Sector Members, ITU’s revenue would increase by some CHF 30 million per year, or CHF 10 million per year if they became Associates.  </w:t>
      </w:r>
      <w:r w:rsidR="009F5A21">
        <w:t>The annual costs in question would appear to be reasonable in comparison with annual membership fees for other organizations.</w:t>
      </w:r>
    </w:p>
    <w:p w:rsidR="009F6AE6" w:rsidRDefault="009F6AE6" w:rsidP="006237F0">
      <w:pPr>
        <w:keepNext/>
        <w:overflowPunct/>
        <w:autoSpaceDE/>
        <w:autoSpaceDN/>
        <w:adjustRightInd/>
        <w:snapToGrid w:val="0"/>
        <w:spacing w:before="360"/>
        <w:textAlignment w:val="auto"/>
        <w:rPr>
          <w:rFonts w:cs="Calibri"/>
          <w:b/>
          <w:bCs/>
          <w:sz w:val="28"/>
          <w:szCs w:val="28"/>
        </w:rPr>
      </w:pPr>
      <w:r>
        <w:rPr>
          <w:b/>
          <w:bCs/>
          <w:sz w:val="28"/>
        </w:rPr>
        <w:t>5</w:t>
      </w:r>
      <w:r>
        <w:rPr>
          <w:b/>
          <w:bCs/>
          <w:sz w:val="28"/>
        </w:rPr>
        <w:tab/>
        <w:t xml:space="preserve">Advantages and disadvantages of utilising revenue from INRs </w:t>
      </w:r>
    </w:p>
    <w:p w:rsidR="009F6AE6" w:rsidRDefault="009F6AE6" w:rsidP="006237F0">
      <w:pPr>
        <w:spacing w:after="120"/>
        <w:rPr>
          <w:lang w:eastAsia="zh-CN"/>
        </w:rPr>
      </w:pPr>
      <w:r>
        <w:t>5.1</w:t>
      </w:r>
      <w:r>
        <w:tab/>
        <w:t xml:space="preserve">An advantage of generating revenue from INRs would be to </w:t>
      </w:r>
      <w:r>
        <w:rPr>
          <w:lang w:eastAsia="zh-CN"/>
        </w:rPr>
        <w:t xml:space="preserve">improve the diversity of </w:t>
      </w:r>
      <w:r w:rsidR="007153C8">
        <w:rPr>
          <w:lang w:eastAsia="zh-CN"/>
        </w:rPr>
        <w:t>ITU</w:t>
      </w:r>
      <w:r>
        <w:rPr>
          <w:lang w:eastAsia="zh-CN"/>
        </w:rPr>
        <w:t xml:space="preserve"> income, and afford greater financial stability to the Uni</w:t>
      </w:r>
      <w:r w:rsidR="003A5B30">
        <w:rPr>
          <w:lang w:eastAsia="zh-CN"/>
        </w:rPr>
        <w:t>on, as called for in Resolution </w:t>
      </w:r>
      <w:r>
        <w:rPr>
          <w:lang w:eastAsia="zh-CN"/>
        </w:rPr>
        <w:t xml:space="preserve">158. In addition, it would provide TSB the means to further enhance and modernize INR services, increase the resource available to address </w:t>
      </w:r>
      <w:r>
        <w:t>increasingly complex requests for shared E.164 and E.212 resources,</w:t>
      </w:r>
      <w:r>
        <w:rPr>
          <w:lang w:eastAsia="zh-CN"/>
        </w:rPr>
        <w:t xml:space="preserve"> </w:t>
      </w:r>
      <w:r>
        <w:t xml:space="preserve">and provide further support to bridging the standardization gap and other activities. </w:t>
      </w:r>
    </w:p>
    <w:p w:rsidR="009F6AE6" w:rsidRDefault="009F6AE6" w:rsidP="006237F0">
      <w:pPr>
        <w:spacing w:after="120"/>
      </w:pPr>
      <w:r>
        <w:t>5.2</w:t>
      </w:r>
      <w:r>
        <w:tab/>
        <w:t>During discussions in the Expert Group, diverging views were expressed as to whether or not requiring that assignees be members would be an advantage or a disadvantage. One view is that it is not appropriate to force operators to become members, in particular because some countries do not charge for INRs. On the other hand many comparable entities only assign resources to members. An advantage of assignees being members is that they would then be well aware of changes in assignment policies and be able to influence them. Additionally, membership would provide a direct relationship between TSB and assignees, which would facilitate dialogue and support to ITU-T efforts in improving the service, including handling and/or mitigating misuse cases.</w:t>
      </w:r>
    </w:p>
    <w:p w:rsidR="009F6AE6" w:rsidRDefault="009F6AE6" w:rsidP="006237F0">
      <w:pPr>
        <w:spacing w:after="120"/>
        <w:rPr>
          <w:lang w:eastAsia="zh-CN"/>
        </w:rPr>
      </w:pPr>
      <w:r>
        <w:lastRenderedPageBreak/>
        <w:t>5.3</w:t>
      </w:r>
      <w:r>
        <w:tab/>
        <w:t>A fee structure that differentiates members from non-members has the disadvantage that it is harder to implement and administer, but the advantage is that it could increase the number of members.</w:t>
      </w:r>
      <w:r>
        <w:rPr>
          <w:rFonts w:hint="eastAsia"/>
          <w:lang w:eastAsia="zh-CN"/>
        </w:rPr>
        <w:t xml:space="preserve"> </w:t>
      </w:r>
    </w:p>
    <w:p w:rsidR="009F6AE6" w:rsidRDefault="009F6AE6" w:rsidP="006237F0">
      <w:pPr>
        <w:spacing w:after="120"/>
        <w:rPr>
          <w:lang w:eastAsia="zh-CN"/>
        </w:rPr>
      </w:pPr>
      <w:r>
        <w:t>5.4</w:t>
      </w:r>
      <w:r>
        <w:tab/>
        <w:t>In discussions in the Expert Group, it was stated that no new fees should be imposed by ITU on INRs that are allocated at the national level, because this would be a form of “double billing”. However, a contrary view is that assignees should contribute financially to the management of INRs, not just at the national level, but also at the international level.  Comparable organizations do have schemes resulting in payments by assignees to both a central and a decentralized assignment authority, either directly, or indirectly in the sense that the decentralized authority pays fees to the central authority.</w:t>
      </w:r>
      <w:r>
        <w:rPr>
          <w:rFonts w:hint="eastAsia"/>
          <w:lang w:eastAsia="zh-CN"/>
        </w:rPr>
        <w:t xml:space="preserve"> </w:t>
      </w:r>
    </w:p>
    <w:p w:rsidR="009F6AE6" w:rsidRDefault="009F6AE6" w:rsidP="006237F0">
      <w:pPr>
        <w:spacing w:after="120"/>
      </w:pPr>
      <w:r>
        <w:t>5.5</w:t>
      </w:r>
      <w:r>
        <w:tab/>
        <w:t xml:space="preserve">A further advantage is that the revenue from INRs would avoid having to reduce the ITU budget by some CHF 7 million for the financial period 2016-2019, resulting in some difficult decisions on where to cut, or other additional revenues would have to be found. </w:t>
      </w:r>
    </w:p>
    <w:p w:rsidR="009F6AE6" w:rsidRDefault="009F6AE6" w:rsidP="006237F0">
      <w:pPr>
        <w:spacing w:after="120"/>
        <w:rPr>
          <w:lang w:eastAsia="zh-CN"/>
        </w:rPr>
      </w:pPr>
      <w:r>
        <w:t>5.6</w:t>
      </w:r>
      <w:r>
        <w:tab/>
        <w:t>A consequence of raising revenue from INRs might be that assignees return resources that they currently hold, thus resulting in less revenue than initially foreseen. However the return of such resources would indicate that they were not being used efficiently, and so their return would be an advantage</w:t>
      </w:r>
      <w:r w:rsidR="009F5A21">
        <w:t xml:space="preserve"> for those that are a scarce resource. The modalities for the collection of the fees need to be determined, as well as what actions would be taken in case of non-payment.</w:t>
      </w:r>
      <w:r>
        <w:rPr>
          <w:rFonts w:hint="eastAsia"/>
          <w:lang w:eastAsia="zh-CN"/>
        </w:rPr>
        <w:t xml:space="preserve"> </w:t>
      </w:r>
    </w:p>
    <w:p w:rsidR="009F6AE6" w:rsidRDefault="009F6AE6" w:rsidP="006237F0">
      <w:pPr>
        <w:spacing w:after="120"/>
        <w:rPr>
          <w:lang w:eastAsia="zh-CN"/>
        </w:rPr>
      </w:pPr>
      <w:r>
        <w:rPr>
          <w:lang w:eastAsia="zh-CN"/>
        </w:rPr>
        <w:t>5.7</w:t>
      </w:r>
      <w:r>
        <w:rPr>
          <w:lang w:eastAsia="zh-CN"/>
        </w:rPr>
        <w:tab/>
        <w:t>With respect to costs and benefits, it is estimated that the cost to ITU of implementing the proposed charges would not be significant. The additional revenue would</w:t>
      </w:r>
      <w:r>
        <w:t xml:space="preserve"> create a new source of income for ITU, a source that is market-oriented in the sense that the revenue comes from industry stakeholders who generate profits (sometimes significant profits) by using these INR resources.  </w:t>
      </w:r>
      <w:r>
        <w:rPr>
          <w:lang w:eastAsia="zh-CN"/>
        </w:rPr>
        <w:t>As discussed in the Expert Group</w:t>
      </w:r>
      <w:r>
        <w:t>,</w:t>
      </w:r>
      <w:r>
        <w:rPr>
          <w:lang w:eastAsia="zh-CN"/>
        </w:rPr>
        <w:t xml:space="preserve"> the cost to industry would appear to be relatively minor</w:t>
      </w:r>
      <w:r>
        <w:t xml:space="preserve"> compared to the value of INRs and the revenue derived from services that rely on INRs</w:t>
      </w:r>
      <w:r>
        <w:rPr>
          <w:lang w:eastAsia="zh-CN"/>
        </w:rPr>
        <w:t>.</w:t>
      </w:r>
      <w:r w:rsidR="009F5A21" w:rsidRPr="009F5A21">
        <w:rPr>
          <w:lang w:eastAsia="zh-CN"/>
        </w:rPr>
        <w:t xml:space="preserve"> </w:t>
      </w:r>
      <w:r w:rsidR="009F5A21">
        <w:rPr>
          <w:lang w:eastAsia="zh-CN"/>
        </w:rPr>
        <w:t>The increased revenue could be used to improve the support offered to membership and the possible creation of innovative new services.</w:t>
      </w:r>
    </w:p>
    <w:p w:rsidR="009F6AE6" w:rsidRDefault="009F6AE6" w:rsidP="006237F0">
      <w:pPr>
        <w:keepNext/>
        <w:overflowPunct/>
        <w:autoSpaceDE/>
        <w:autoSpaceDN/>
        <w:adjustRightInd/>
        <w:snapToGrid w:val="0"/>
        <w:spacing w:before="360"/>
        <w:textAlignment w:val="auto"/>
        <w:rPr>
          <w:rFonts w:cs="Calibri"/>
          <w:b/>
          <w:sz w:val="28"/>
          <w:szCs w:val="28"/>
        </w:rPr>
      </w:pPr>
      <w:r>
        <w:rPr>
          <w:b/>
          <w:sz w:val="28"/>
          <w:szCs w:val="24"/>
        </w:rPr>
        <w:t>6</w:t>
      </w:r>
      <w:r>
        <w:rPr>
          <w:b/>
          <w:sz w:val="28"/>
          <w:szCs w:val="24"/>
        </w:rPr>
        <w:tab/>
        <w:t>Practices of comparable organizations considered by the Expert Group</w:t>
      </w:r>
    </w:p>
    <w:p w:rsidR="009F6AE6" w:rsidRDefault="009F6AE6" w:rsidP="006237F0">
      <w:pPr>
        <w:tabs>
          <w:tab w:val="left" w:pos="1418"/>
        </w:tabs>
        <w:spacing w:after="120"/>
        <w:rPr>
          <w:lang w:val="en-US"/>
        </w:rPr>
      </w:pPr>
      <w:r>
        <w:rPr>
          <w:lang w:val="en-US"/>
        </w:rPr>
        <w:t>6.1</w:t>
      </w:r>
      <w:r>
        <w:rPr>
          <w:lang w:val="en-US"/>
        </w:rPr>
        <w:tab/>
        <w:t>Many comparable organizations charge annual maintenance fees, in addition to a one-time application or registration fee, and in many cases the fees are related to the number of assigned resources (either directly proportional, or on a decreasing per-unit basis) or they are related to the turnover of the assignee (the entity that obtains the resources). In several cases where the assignment scheme is hierarchical, a lower-level organization that assigns the resource to an end-user pays a fee to a higher-level organization that performs a global coordination function.</w:t>
      </w:r>
    </w:p>
    <w:p w:rsidR="009F6AE6" w:rsidRDefault="009F6AE6" w:rsidP="006237F0">
      <w:pPr>
        <w:tabs>
          <w:tab w:val="left" w:pos="1418"/>
        </w:tabs>
        <w:spacing w:after="120"/>
      </w:pPr>
      <w:r>
        <w:t>6.2</w:t>
      </w:r>
      <w:r>
        <w:tab/>
        <w:t xml:space="preserve">Some standards-making bodies outsource the administration of comparable resources, but most do not. However, outsourcing is not necessarily used as a method to lower costs for end-users: it can also be used as a method to generate revenues that are above costs and that are used to subsidize other activities, such as secretariats for standards-making bodies. For example, the Internet Society (ISOC) obtains revenue of around </w:t>
      </w:r>
      <w:r w:rsidR="007153C8">
        <w:t xml:space="preserve">USD </w:t>
      </w:r>
      <w:r>
        <w:t>24 million from the operation of the domain name “.org” and uses part of that (</w:t>
      </w:r>
      <w:r w:rsidR="007153C8">
        <w:t xml:space="preserve">USD </w:t>
      </w:r>
      <w:r>
        <w:t>5 million) to fund the secretariat of the Internet Engineering Task Force (IETF).</w:t>
      </w:r>
    </w:p>
    <w:p w:rsidR="009F6AE6" w:rsidRDefault="009F6AE6" w:rsidP="006237F0">
      <w:pPr>
        <w:tabs>
          <w:tab w:val="left" w:pos="1418"/>
        </w:tabs>
        <w:spacing w:after="120"/>
      </w:pPr>
      <w:r>
        <w:t>6</w:t>
      </w:r>
      <w:r>
        <w:rPr>
          <w:lang w:val="en"/>
        </w:rPr>
        <w:t>.3</w:t>
      </w:r>
      <w:r>
        <w:rPr>
          <w:lang w:val="en"/>
        </w:rPr>
        <w:tab/>
        <w:t>The World Intellectual Property Organization (WIPO) obtains revenues from certain services</w:t>
      </w:r>
      <w:r w:rsidR="009F5A21">
        <w:rPr>
          <w:lang w:val="en"/>
        </w:rPr>
        <w:t xml:space="preserve"> provided</w:t>
      </w:r>
      <w:r w:rsidR="009F5A21" w:rsidRPr="002724A8">
        <w:rPr>
          <w:lang w:val="en"/>
        </w:rPr>
        <w:t xml:space="preserve"> under its international registration systems, which represent over 90% of the Organization’s total income. The regular budget of WIPO finances activities targeting the </w:t>
      </w:r>
      <w:r w:rsidR="009F5A21" w:rsidRPr="002724A8">
        <w:rPr>
          <w:lang w:val="en"/>
        </w:rPr>
        <w:lastRenderedPageBreak/>
        <w:t>achievement of 38 Expected Results (2014/15 biennial Program and Budget), under nine Strategic Goals, and across 31 programs.</w:t>
      </w:r>
      <w:r>
        <w:rPr>
          <w:lang w:val="en"/>
        </w:rPr>
        <w:t xml:space="preserve"> Those revenues cover 94% of its budget and they are used to fund activities other than the services themselves. The total cost of the services provided for a fee is only about 40% of the total WIPO expenditure, so WIPO relies on these services to generate revenues well in excess of costs.</w:t>
      </w:r>
    </w:p>
    <w:p w:rsidR="009F6AE6" w:rsidRDefault="009F6AE6" w:rsidP="006237F0">
      <w:pPr>
        <w:tabs>
          <w:tab w:val="left" w:pos="1418"/>
        </w:tabs>
        <w:spacing w:after="120"/>
      </w:pPr>
      <w:r>
        <w:t>6.4</w:t>
      </w:r>
      <w:r>
        <w:tab/>
        <w:t>Within ITU, fees are charged for various activities, such as satellite filings, ITU Telecom events, and publications.</w:t>
      </w:r>
    </w:p>
    <w:p w:rsidR="009F6AE6" w:rsidRDefault="009F6AE6" w:rsidP="006237F0">
      <w:pPr>
        <w:tabs>
          <w:tab w:val="left" w:pos="1418"/>
        </w:tabs>
        <w:spacing w:after="120"/>
      </w:pPr>
      <w:r>
        <w:t>6.5</w:t>
      </w:r>
      <w:r>
        <w:tab/>
        <w:t>Satellite filing fees are based on cost recovery. The decision to limit revenues to the level required to recover costs was taken in consideration of the advantages and disadvantages of setting fees at a higher or lower level. That is, it was felt that the optimum was neither to subsidize satellite filings from the general ITU revenues, nor to use satellite filings in order to generate revenues in excess of costs.</w:t>
      </w:r>
    </w:p>
    <w:p w:rsidR="009F6AE6" w:rsidRDefault="009F6AE6" w:rsidP="006237F0">
      <w:pPr>
        <w:tabs>
          <w:tab w:val="left" w:pos="1418"/>
        </w:tabs>
        <w:spacing w:after="120"/>
      </w:pPr>
      <w:r>
        <w:t>6.6</w:t>
      </w:r>
      <w:r>
        <w:tab/>
        <w:t>In contrast, fees for both ITU Telecom and publications are not limited to cost recovery. On the contrary, both activities are expected to generate revenues in excess of costs.</w:t>
      </w:r>
    </w:p>
    <w:p w:rsidR="00292D33" w:rsidRDefault="00292D33">
      <w:pPr>
        <w:tabs>
          <w:tab w:val="clear" w:pos="567"/>
          <w:tab w:val="clear" w:pos="1134"/>
          <w:tab w:val="clear" w:pos="1701"/>
          <w:tab w:val="clear" w:pos="2268"/>
          <w:tab w:val="clear" w:pos="2835"/>
        </w:tabs>
        <w:overflowPunct/>
        <w:autoSpaceDE/>
        <w:autoSpaceDN/>
        <w:adjustRightInd/>
        <w:spacing w:before="0"/>
        <w:textAlignment w:val="auto"/>
      </w:pPr>
      <w:r>
        <w:br w:type="page"/>
      </w:r>
    </w:p>
    <w:p w:rsidR="00313948" w:rsidRDefault="00313948" w:rsidP="00313948">
      <w:pPr>
        <w:tabs>
          <w:tab w:val="left" w:pos="1418"/>
        </w:tabs>
        <w:spacing w:after="120"/>
        <w:jc w:val="center"/>
      </w:pPr>
      <w:r>
        <w:lastRenderedPageBreak/>
        <w:t>ANNEX</w:t>
      </w:r>
    </w:p>
    <w:p w:rsidR="00313948" w:rsidRDefault="00313948" w:rsidP="00313948">
      <w:pPr>
        <w:tabs>
          <w:tab w:val="left" w:pos="1418"/>
        </w:tabs>
        <w:spacing w:after="120"/>
        <w:jc w:val="center"/>
        <w:rPr>
          <w:b/>
          <w:bCs/>
          <w:sz w:val="28"/>
          <w:szCs w:val="22"/>
        </w:rPr>
      </w:pPr>
      <w:r w:rsidRPr="00313948">
        <w:rPr>
          <w:b/>
          <w:bCs/>
          <w:sz w:val="28"/>
          <w:szCs w:val="22"/>
        </w:rPr>
        <w:t>Summary of discussions at the final meeting of the 2014 Session of Council</w:t>
      </w:r>
    </w:p>
    <w:p w:rsidR="00292D33" w:rsidRDefault="00292D33" w:rsidP="00313948">
      <w:pPr>
        <w:tabs>
          <w:tab w:val="left" w:pos="1418"/>
        </w:tabs>
        <w:spacing w:after="120"/>
        <w:jc w:val="center"/>
        <w:rPr>
          <w:b/>
          <w:bCs/>
          <w:sz w:val="28"/>
          <w:szCs w:val="22"/>
        </w:rPr>
      </w:pPr>
    </w:p>
    <w:p w:rsidR="00C263C9" w:rsidRPr="00C263C9" w:rsidRDefault="00C263C9" w:rsidP="00C263C9">
      <w:pPr>
        <w:rPr>
          <w:rFonts w:asciiTheme="minorHAnsi" w:hAnsiTheme="minorHAnsi"/>
        </w:rPr>
      </w:pPr>
      <w:r w:rsidRPr="00C263C9">
        <w:rPr>
          <w:rFonts w:asciiTheme="minorHAnsi" w:hAnsiTheme="minorHAnsi"/>
        </w:rPr>
        <w:t xml:space="preserve">The Deputy-Director of TSB introduced Document C14/111, on the advantages and disadvantages of utilizing revenue generated from international numbering resources (INRs) for the purpose of balancing revenue and expenses. The Council was invited to note the document and to take such action as it considered appropriate. </w:t>
      </w:r>
    </w:p>
    <w:p w:rsidR="00C263C9" w:rsidRPr="00C263C9" w:rsidRDefault="00C263C9" w:rsidP="00C263C9">
      <w:pPr>
        <w:rPr>
          <w:rFonts w:asciiTheme="minorHAnsi" w:hAnsiTheme="minorHAnsi"/>
        </w:rPr>
      </w:pPr>
      <w:r w:rsidRPr="00C263C9">
        <w:rPr>
          <w:rFonts w:asciiTheme="minorHAnsi" w:hAnsiTheme="minorHAnsi"/>
        </w:rPr>
        <w:t>The following points were made:</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Any fees charged should apply only to INRs assigned directly by ITU to operators, and should cover only the administrative costs concerned. Those INRs assigned by Member State administrations were often already subject to charges, therefore any risk of double charging should be avoided.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Those operators that were already ITU Sector Members should not have to pay fees for INRs. Non-Sector Members should be treated differently than Sector Members, especially in light of the efforts made to attract new members.</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There were more advantages than disadvantages in charging for INRs. For that reason, and given the profits made by operators, the proposed approach to generating revenue was supported, and was also the basic approach adopted in other United Nations agencies.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ITU incurred expenses in assigning INRs, and the revenue gained by charging for the service could be used to support ITU’s budget, or for the benefit of developing countries, for example.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Fees should not apply for resources not charged for previously.</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There could be no certainty as to how much revenue might be generated, especially given the risk that the parties involved might seek other means of providing their services.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If administrations were asked to levy charges on behalf of ITU, it might lead to considerable complications at the administrative level.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The entire matter required further study.</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A Council working group should study the matter and report to PP-18.</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A full economic analysis should be carried out.</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It would pose a moral dilemma to charge for a common or “natural” resource like numbering, and the assignment of INRs surely constituted one of ITU’s basic activities.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INRs were an extremely valuable resource, which should be subject to charges.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 xml:space="preserve">Providers might find other ways of offering their services.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The approach could be detrimental to operators.</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There should be no additional costs for administrations</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The principle of cost recovery should be fully applied.</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All revenues generated should be earmarked for specific purposes.</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lastRenderedPageBreak/>
        <w:t>The approach was endorsed and took account of the views of all stakeholders.</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INR fees could be applied on a trial basis otherwise items in the strategic plan would have to be reviewed and possibly suppressed.</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cs="Calibri"/>
        </w:rPr>
        <w:t>This is an urgent and important subject which should be dealt with on a very high priority and ITU needs to move swiftly since it is related to the strategic plan and has financial impact on the plan and the balancing of the budget, it requires an urgent solution.</w:t>
      </w:r>
      <w:r w:rsidRPr="00C263C9" w:rsidDel="00EA5706">
        <w:rPr>
          <w:rFonts w:asciiTheme="minorHAnsi" w:hAnsiTheme="minorHAnsi"/>
        </w:rPr>
        <w:t xml:space="preserve"> </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The matter should be discussed in PP-14 so that all Member States could express a view.</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It was premature to forward the matter to PP-14.</w:t>
      </w:r>
    </w:p>
    <w:p w:rsidR="00C263C9" w:rsidRPr="00C263C9" w:rsidRDefault="00C263C9" w:rsidP="00C263C9">
      <w:pPr>
        <w:pStyle w:val="ListParagraph"/>
        <w:numPr>
          <w:ilvl w:val="0"/>
          <w:numId w:val="26"/>
        </w:numPr>
        <w:tabs>
          <w:tab w:val="clear" w:pos="794"/>
          <w:tab w:val="clear" w:pos="1191"/>
          <w:tab w:val="clear" w:pos="1588"/>
          <w:tab w:val="clear" w:pos="1985"/>
        </w:tabs>
        <w:overflowPunct/>
        <w:autoSpaceDE/>
        <w:autoSpaceDN/>
        <w:adjustRightInd/>
        <w:spacing w:after="160"/>
        <w:ind w:left="0" w:hanging="11"/>
        <w:contextualSpacing w:val="0"/>
        <w:textAlignment w:val="auto"/>
        <w:rPr>
          <w:rFonts w:asciiTheme="minorHAnsi" w:hAnsiTheme="minorHAnsi"/>
        </w:rPr>
      </w:pPr>
      <w:r w:rsidRPr="00C263C9">
        <w:rPr>
          <w:rFonts w:asciiTheme="minorHAnsi" w:hAnsiTheme="minorHAnsi"/>
        </w:rPr>
        <w:t>If the approach of charging INR fees was not adopted, there would be a deficit of CHF 5 million in the draft financial plan. It would be very difficult for the secretariat to find ways to make up that deficit.</w:t>
      </w:r>
    </w:p>
    <w:p w:rsidR="00C263C9" w:rsidRPr="00C263C9" w:rsidRDefault="00C263C9" w:rsidP="00313948">
      <w:pPr>
        <w:tabs>
          <w:tab w:val="left" w:pos="1418"/>
        </w:tabs>
        <w:spacing w:after="120"/>
        <w:jc w:val="center"/>
        <w:rPr>
          <w:b/>
          <w:bCs/>
          <w:sz w:val="28"/>
          <w:szCs w:val="22"/>
          <w:u w:val="single"/>
        </w:rPr>
      </w:pPr>
      <w:r>
        <w:rPr>
          <w:b/>
          <w:bCs/>
          <w:sz w:val="28"/>
          <w:szCs w:val="22"/>
          <w:u w:val="single"/>
        </w:rPr>
        <w:t>                                </w:t>
      </w:r>
    </w:p>
    <w:sectPr w:rsidR="00C263C9" w:rsidRPr="00C263C9" w:rsidSect="006237F0">
      <w:headerReference w:type="default" r:id="rId23"/>
      <w:footerReference w:type="first" r:id="rId24"/>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91" w:rsidRDefault="00366D91">
      <w:r>
        <w:separator/>
      </w:r>
    </w:p>
  </w:endnote>
  <w:endnote w:type="continuationSeparator" w:id="0">
    <w:p w:rsidR="00366D91" w:rsidRDefault="00366D91">
      <w:r>
        <w:continuationSeparator/>
      </w:r>
    </w:p>
  </w:endnote>
  <w:endnote w:type="continuationNotice" w:id="1">
    <w:p w:rsidR="00366D91" w:rsidRDefault="00366D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5F" w:rsidRPr="00456C54" w:rsidRDefault="00F1205F" w:rsidP="00594B99">
    <w:pPr>
      <w:jc w:val="center"/>
      <w:rPr>
        <w:sz w:val="22"/>
        <w:szCs w:val="22"/>
      </w:rPr>
    </w:pPr>
    <w:r w:rsidRPr="00456C54">
      <w:rPr>
        <w:sz w:val="22"/>
        <w:szCs w:val="22"/>
      </w:rPr>
      <w:t xml:space="preserve">• </w:t>
    </w:r>
    <w:hyperlink r:id="rId1" w:history="1">
      <w:r w:rsidRPr="00E36A72">
        <w:rPr>
          <w:rStyle w:val="Hyperlink"/>
          <w:sz w:val="22"/>
          <w:szCs w:val="22"/>
        </w:rPr>
        <w:t>http://www.itu.int/council</w:t>
      </w:r>
    </w:hyperlink>
    <w:r w:rsidRPr="00456C54">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91" w:rsidRDefault="00366D91">
      <w:r>
        <w:t>____________________</w:t>
      </w:r>
    </w:p>
  </w:footnote>
  <w:footnote w:type="continuationSeparator" w:id="0">
    <w:p w:rsidR="00366D91" w:rsidRDefault="00366D91">
      <w:r>
        <w:continuationSeparator/>
      </w:r>
    </w:p>
  </w:footnote>
  <w:footnote w:type="continuationNotice" w:id="1">
    <w:p w:rsidR="00366D91" w:rsidRDefault="00366D9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5F" w:rsidRDefault="00F1205F" w:rsidP="00CE433C">
    <w:pPr>
      <w:pStyle w:val="Header"/>
    </w:pPr>
    <w:r>
      <w:fldChar w:fldCharType="begin"/>
    </w:r>
    <w:r>
      <w:instrText>PAGE</w:instrText>
    </w:r>
    <w:r>
      <w:fldChar w:fldCharType="separate"/>
    </w:r>
    <w:r w:rsidR="00CA0698">
      <w:rPr>
        <w:noProof/>
      </w:rPr>
      <w:t>2</w:t>
    </w:r>
    <w:r>
      <w:fldChar w:fldCharType="end"/>
    </w:r>
    <w:r>
      <w:t>/</w:t>
    </w:r>
    <w:r w:rsidR="00CA0698">
      <w:fldChar w:fldCharType="begin"/>
    </w:r>
    <w:r w:rsidR="00CA0698">
      <w:instrText xml:space="preserve"> NUMPAGES   \* MERGEFORMAT </w:instrText>
    </w:r>
    <w:r w:rsidR="00CA0698">
      <w:fldChar w:fldCharType="separate"/>
    </w:r>
    <w:r w:rsidR="00CA0698">
      <w:rPr>
        <w:noProof/>
      </w:rPr>
      <w:t>7</w:t>
    </w:r>
    <w:r w:rsidR="00CA0698">
      <w:rPr>
        <w:noProof/>
      </w:rPr>
      <w:fldChar w:fldCharType="end"/>
    </w:r>
  </w:p>
  <w:p w:rsidR="00F1205F" w:rsidRDefault="00313948" w:rsidP="00313948">
    <w:pPr>
      <w:pStyle w:val="Header"/>
      <w:rPr>
        <w:lang w:eastAsia="zh-CN"/>
      </w:rPr>
    </w:pPr>
    <w:r>
      <w:t>PP-</w:t>
    </w:r>
    <w:r w:rsidR="00F1205F">
      <w:t>1</w:t>
    </w:r>
    <w:r w:rsidR="006D344A">
      <w:rPr>
        <w:rFonts w:hint="eastAsia"/>
        <w:lang w:eastAsia="zh-CN"/>
      </w:rPr>
      <w:t>4</w:t>
    </w:r>
    <w:r w:rsidR="00F1205F">
      <w:t>/</w:t>
    </w:r>
    <w:r>
      <w:rPr>
        <w:lang w:eastAsia="zh-CN"/>
      </w:rPr>
      <w:t>9</w:t>
    </w:r>
    <w:r w:rsidR="009F6AE6">
      <w:rPr>
        <w:lang w:eastAsia="zh-CN"/>
      </w:rPr>
      <w:t>1</w:t>
    </w:r>
    <w:r>
      <w:rPr>
        <w:lang w:eastAsia="zh-CN"/>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E8B6AC"/>
    <w:lvl w:ilvl="0">
      <w:start w:val="1"/>
      <w:numFmt w:val="decimal"/>
      <w:lvlText w:val="%1."/>
      <w:lvlJc w:val="left"/>
      <w:pPr>
        <w:tabs>
          <w:tab w:val="num" w:pos="1492"/>
        </w:tabs>
        <w:ind w:left="1492" w:hanging="360"/>
      </w:pPr>
    </w:lvl>
  </w:abstractNum>
  <w:abstractNum w:abstractNumId="1">
    <w:nsid w:val="FFFFFF7D"/>
    <w:multiLevelType w:val="singleLevel"/>
    <w:tmpl w:val="14EAB80A"/>
    <w:lvl w:ilvl="0">
      <w:start w:val="1"/>
      <w:numFmt w:val="decimal"/>
      <w:lvlText w:val="%1."/>
      <w:lvlJc w:val="left"/>
      <w:pPr>
        <w:tabs>
          <w:tab w:val="num" w:pos="1209"/>
        </w:tabs>
        <w:ind w:left="1209" w:hanging="360"/>
      </w:pPr>
    </w:lvl>
  </w:abstractNum>
  <w:abstractNum w:abstractNumId="2">
    <w:nsid w:val="FFFFFF7E"/>
    <w:multiLevelType w:val="singleLevel"/>
    <w:tmpl w:val="59BABCB6"/>
    <w:lvl w:ilvl="0">
      <w:start w:val="1"/>
      <w:numFmt w:val="decimal"/>
      <w:lvlText w:val="%1."/>
      <w:lvlJc w:val="left"/>
      <w:pPr>
        <w:tabs>
          <w:tab w:val="num" w:pos="926"/>
        </w:tabs>
        <w:ind w:left="926" w:hanging="360"/>
      </w:pPr>
    </w:lvl>
  </w:abstractNum>
  <w:abstractNum w:abstractNumId="3">
    <w:nsid w:val="FFFFFF7F"/>
    <w:multiLevelType w:val="singleLevel"/>
    <w:tmpl w:val="1ECCD2B8"/>
    <w:lvl w:ilvl="0">
      <w:start w:val="1"/>
      <w:numFmt w:val="decimal"/>
      <w:lvlText w:val="%1."/>
      <w:lvlJc w:val="left"/>
      <w:pPr>
        <w:tabs>
          <w:tab w:val="num" w:pos="643"/>
        </w:tabs>
        <w:ind w:left="643" w:hanging="360"/>
      </w:pPr>
    </w:lvl>
  </w:abstractNum>
  <w:abstractNum w:abstractNumId="4">
    <w:nsid w:val="FFFFFF80"/>
    <w:multiLevelType w:val="singleLevel"/>
    <w:tmpl w:val="03A42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6EAC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D6C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7861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89088"/>
    <w:lvl w:ilvl="0">
      <w:start w:val="1"/>
      <w:numFmt w:val="decimal"/>
      <w:lvlText w:val="%1."/>
      <w:lvlJc w:val="left"/>
      <w:pPr>
        <w:tabs>
          <w:tab w:val="num" w:pos="360"/>
        </w:tabs>
        <w:ind w:left="360" w:hanging="360"/>
      </w:pPr>
    </w:lvl>
  </w:abstractNum>
  <w:abstractNum w:abstractNumId="9">
    <w:nsid w:val="FFFFFF89"/>
    <w:multiLevelType w:val="singleLevel"/>
    <w:tmpl w:val="41EC6484"/>
    <w:lvl w:ilvl="0">
      <w:start w:val="1"/>
      <w:numFmt w:val="bullet"/>
      <w:lvlText w:val=""/>
      <w:lvlJc w:val="left"/>
      <w:pPr>
        <w:tabs>
          <w:tab w:val="num" w:pos="360"/>
        </w:tabs>
        <w:ind w:left="360" w:hanging="360"/>
      </w:pPr>
      <w:rPr>
        <w:rFonts w:ascii="Symbol" w:hAnsi="Symbol" w:hint="default"/>
      </w:rPr>
    </w:lvl>
  </w:abstractNum>
  <w:abstractNum w:abstractNumId="10">
    <w:nsid w:val="080D10D4"/>
    <w:multiLevelType w:val="hybridMultilevel"/>
    <w:tmpl w:val="907E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632CDF"/>
    <w:multiLevelType w:val="multilevel"/>
    <w:tmpl w:val="3C98E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0A62C18"/>
    <w:multiLevelType w:val="hybridMultilevel"/>
    <w:tmpl w:val="1EE0D0C6"/>
    <w:lvl w:ilvl="0" w:tplc="13C6057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766E3"/>
    <w:multiLevelType w:val="hybridMultilevel"/>
    <w:tmpl w:val="212E40B2"/>
    <w:lvl w:ilvl="0" w:tplc="7FB6D032">
      <w:start w:val="1"/>
      <w:numFmt w:val="lowerRoman"/>
      <w:lvlText w:val="%1)"/>
      <w:lvlJc w:val="left"/>
      <w:pPr>
        <w:ind w:left="720" w:hanging="720"/>
      </w:pPr>
      <w:rPr>
        <w:rFonts w:ascii="Calibri" w:eastAsia="Times New Roman" w:hAnsi="Calibri" w:cs="Calibri"/>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E16386"/>
    <w:multiLevelType w:val="hybridMultilevel"/>
    <w:tmpl w:val="B7A6E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CF1145"/>
    <w:multiLevelType w:val="hybridMultilevel"/>
    <w:tmpl w:val="66FC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97AEA"/>
    <w:multiLevelType w:val="hybridMultilevel"/>
    <w:tmpl w:val="7CD6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C7435"/>
    <w:multiLevelType w:val="hybridMultilevel"/>
    <w:tmpl w:val="FEFEE5B0"/>
    <w:lvl w:ilvl="0" w:tplc="06FE7B48">
      <w:start w:val="3"/>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C6C09"/>
    <w:multiLevelType w:val="multilevel"/>
    <w:tmpl w:val="D4041508"/>
    <w:lvl w:ilvl="0">
      <w:start w:val="1"/>
      <w:numFmt w:val="decimal"/>
      <w:lvlText w:val="Pillar %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91511E"/>
    <w:multiLevelType w:val="multilevel"/>
    <w:tmpl w:val="65ACEDFA"/>
    <w:lvl w:ilvl="0">
      <w:start w:val="1"/>
      <w:numFmt w:val="lowerLetter"/>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77611EA4"/>
    <w:multiLevelType w:val="hybridMultilevel"/>
    <w:tmpl w:val="98E2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6"/>
  </w:num>
  <w:num w:numId="5">
    <w:abstractNumId w:val="20"/>
  </w:num>
  <w:num w:numId="6">
    <w:abstractNumId w:val="1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4A"/>
    <w:rsid w:val="00000466"/>
    <w:rsid w:val="00000F6B"/>
    <w:rsid w:val="0000194A"/>
    <w:rsid w:val="00001B26"/>
    <w:rsid w:val="00001EAF"/>
    <w:rsid w:val="0000331E"/>
    <w:rsid w:val="0000622A"/>
    <w:rsid w:val="00007394"/>
    <w:rsid w:val="00011A93"/>
    <w:rsid w:val="00015F6B"/>
    <w:rsid w:val="00020B4D"/>
    <w:rsid w:val="000226AD"/>
    <w:rsid w:val="000232B3"/>
    <w:rsid w:val="00023403"/>
    <w:rsid w:val="0002626C"/>
    <w:rsid w:val="00026575"/>
    <w:rsid w:val="00026CED"/>
    <w:rsid w:val="00035419"/>
    <w:rsid w:val="00036FBD"/>
    <w:rsid w:val="00040285"/>
    <w:rsid w:val="00042695"/>
    <w:rsid w:val="00042FDC"/>
    <w:rsid w:val="0004769A"/>
    <w:rsid w:val="00050FD0"/>
    <w:rsid w:val="00052EA6"/>
    <w:rsid w:val="000530CC"/>
    <w:rsid w:val="00055EB8"/>
    <w:rsid w:val="00056825"/>
    <w:rsid w:val="0006121D"/>
    <w:rsid w:val="000624CF"/>
    <w:rsid w:val="000625A9"/>
    <w:rsid w:val="00063016"/>
    <w:rsid w:val="00070615"/>
    <w:rsid w:val="0007393D"/>
    <w:rsid w:val="00074282"/>
    <w:rsid w:val="00074AA8"/>
    <w:rsid w:val="00076AF6"/>
    <w:rsid w:val="0008166F"/>
    <w:rsid w:val="00082882"/>
    <w:rsid w:val="00085CF2"/>
    <w:rsid w:val="00086420"/>
    <w:rsid w:val="00087CE6"/>
    <w:rsid w:val="00087E87"/>
    <w:rsid w:val="0009083D"/>
    <w:rsid w:val="00090ACB"/>
    <w:rsid w:val="000951BE"/>
    <w:rsid w:val="00095C29"/>
    <w:rsid w:val="000979B0"/>
    <w:rsid w:val="00097FC5"/>
    <w:rsid w:val="000A25C2"/>
    <w:rsid w:val="000A2673"/>
    <w:rsid w:val="000A650E"/>
    <w:rsid w:val="000A69F6"/>
    <w:rsid w:val="000B03CD"/>
    <w:rsid w:val="000B1705"/>
    <w:rsid w:val="000B29EA"/>
    <w:rsid w:val="000B5381"/>
    <w:rsid w:val="000B65F8"/>
    <w:rsid w:val="000B6EA4"/>
    <w:rsid w:val="000B75CF"/>
    <w:rsid w:val="000C171C"/>
    <w:rsid w:val="000C344B"/>
    <w:rsid w:val="000C6DD9"/>
    <w:rsid w:val="000D0309"/>
    <w:rsid w:val="000D0691"/>
    <w:rsid w:val="000D1976"/>
    <w:rsid w:val="000D1D82"/>
    <w:rsid w:val="000D2C4F"/>
    <w:rsid w:val="000D37D8"/>
    <w:rsid w:val="000D3B5F"/>
    <w:rsid w:val="000D7F04"/>
    <w:rsid w:val="000E27EE"/>
    <w:rsid w:val="000E43DB"/>
    <w:rsid w:val="000F2409"/>
    <w:rsid w:val="000F2BBC"/>
    <w:rsid w:val="000F3160"/>
    <w:rsid w:val="000F32AE"/>
    <w:rsid w:val="000F355D"/>
    <w:rsid w:val="000F4F4F"/>
    <w:rsid w:val="000F553C"/>
    <w:rsid w:val="000F5F91"/>
    <w:rsid w:val="000F6011"/>
    <w:rsid w:val="0010035C"/>
    <w:rsid w:val="00100AB2"/>
    <w:rsid w:val="00102E08"/>
    <w:rsid w:val="00106C16"/>
    <w:rsid w:val="00107B29"/>
    <w:rsid w:val="0011033D"/>
    <w:rsid w:val="001103F7"/>
    <w:rsid w:val="001111A7"/>
    <w:rsid w:val="001121F5"/>
    <w:rsid w:val="00112C52"/>
    <w:rsid w:val="001146BD"/>
    <w:rsid w:val="001207FD"/>
    <w:rsid w:val="0012271C"/>
    <w:rsid w:val="00124B48"/>
    <w:rsid w:val="00130240"/>
    <w:rsid w:val="001324B5"/>
    <w:rsid w:val="001340B4"/>
    <w:rsid w:val="00140CE1"/>
    <w:rsid w:val="00141D54"/>
    <w:rsid w:val="001428AA"/>
    <w:rsid w:val="001455A0"/>
    <w:rsid w:val="00145FB2"/>
    <w:rsid w:val="00153B8E"/>
    <w:rsid w:val="00156F69"/>
    <w:rsid w:val="001570DE"/>
    <w:rsid w:val="00165338"/>
    <w:rsid w:val="001677BE"/>
    <w:rsid w:val="0017539C"/>
    <w:rsid w:val="00175AC2"/>
    <w:rsid w:val="0017609F"/>
    <w:rsid w:val="001804CD"/>
    <w:rsid w:val="0018279A"/>
    <w:rsid w:val="00183896"/>
    <w:rsid w:val="001847AB"/>
    <w:rsid w:val="0018560D"/>
    <w:rsid w:val="00187995"/>
    <w:rsid w:val="0019349C"/>
    <w:rsid w:val="0019604C"/>
    <w:rsid w:val="00196C54"/>
    <w:rsid w:val="001A4740"/>
    <w:rsid w:val="001A6C4D"/>
    <w:rsid w:val="001B125B"/>
    <w:rsid w:val="001B2871"/>
    <w:rsid w:val="001C3476"/>
    <w:rsid w:val="001C3690"/>
    <w:rsid w:val="001C3B5A"/>
    <w:rsid w:val="001C628E"/>
    <w:rsid w:val="001D08B8"/>
    <w:rsid w:val="001D162E"/>
    <w:rsid w:val="001D2216"/>
    <w:rsid w:val="001D228E"/>
    <w:rsid w:val="001D29FE"/>
    <w:rsid w:val="001D3E3C"/>
    <w:rsid w:val="001D47E5"/>
    <w:rsid w:val="001E0577"/>
    <w:rsid w:val="001E0F7B"/>
    <w:rsid w:val="001E2BF7"/>
    <w:rsid w:val="001E3FF3"/>
    <w:rsid w:val="001E4991"/>
    <w:rsid w:val="001E6646"/>
    <w:rsid w:val="001F09CF"/>
    <w:rsid w:val="001F26B7"/>
    <w:rsid w:val="001F46E9"/>
    <w:rsid w:val="001F4F54"/>
    <w:rsid w:val="0020040C"/>
    <w:rsid w:val="00202BB4"/>
    <w:rsid w:val="00204E4F"/>
    <w:rsid w:val="00207D0E"/>
    <w:rsid w:val="00207DEA"/>
    <w:rsid w:val="00211484"/>
    <w:rsid w:val="002119FD"/>
    <w:rsid w:val="002122D8"/>
    <w:rsid w:val="002130E0"/>
    <w:rsid w:val="002158E9"/>
    <w:rsid w:val="00215AE9"/>
    <w:rsid w:val="002174BF"/>
    <w:rsid w:val="00222CB5"/>
    <w:rsid w:val="00223782"/>
    <w:rsid w:val="00223F34"/>
    <w:rsid w:val="0023475A"/>
    <w:rsid w:val="002366B6"/>
    <w:rsid w:val="00241E8B"/>
    <w:rsid w:val="00242E28"/>
    <w:rsid w:val="00243545"/>
    <w:rsid w:val="002513A3"/>
    <w:rsid w:val="00251A5C"/>
    <w:rsid w:val="00251CC2"/>
    <w:rsid w:val="00253596"/>
    <w:rsid w:val="00256C1B"/>
    <w:rsid w:val="0026173B"/>
    <w:rsid w:val="00261AD7"/>
    <w:rsid w:val="002628E4"/>
    <w:rsid w:val="00262DB5"/>
    <w:rsid w:val="00264D2F"/>
    <w:rsid w:val="002650C7"/>
    <w:rsid w:val="00265875"/>
    <w:rsid w:val="00270151"/>
    <w:rsid w:val="0027303B"/>
    <w:rsid w:val="00277A3A"/>
    <w:rsid w:val="002807F7"/>
    <w:rsid w:val="0028109B"/>
    <w:rsid w:val="002814CB"/>
    <w:rsid w:val="0028390A"/>
    <w:rsid w:val="00284888"/>
    <w:rsid w:val="002872DE"/>
    <w:rsid w:val="00292D33"/>
    <w:rsid w:val="00293BCF"/>
    <w:rsid w:val="002970B4"/>
    <w:rsid w:val="002A22F9"/>
    <w:rsid w:val="002A5471"/>
    <w:rsid w:val="002B1F58"/>
    <w:rsid w:val="002B575B"/>
    <w:rsid w:val="002B701A"/>
    <w:rsid w:val="002B77EE"/>
    <w:rsid w:val="002B7CC1"/>
    <w:rsid w:val="002C037A"/>
    <w:rsid w:val="002C1C7A"/>
    <w:rsid w:val="002C3072"/>
    <w:rsid w:val="002C41BA"/>
    <w:rsid w:val="002C49E5"/>
    <w:rsid w:val="002C5412"/>
    <w:rsid w:val="002C6660"/>
    <w:rsid w:val="002C7DE7"/>
    <w:rsid w:val="002D21C2"/>
    <w:rsid w:val="002D41D2"/>
    <w:rsid w:val="002D4D11"/>
    <w:rsid w:val="002D5EA5"/>
    <w:rsid w:val="002D6C43"/>
    <w:rsid w:val="002E2218"/>
    <w:rsid w:val="002E2F08"/>
    <w:rsid w:val="002E6E25"/>
    <w:rsid w:val="002F0EAC"/>
    <w:rsid w:val="002F2527"/>
    <w:rsid w:val="002F3DFE"/>
    <w:rsid w:val="002F733C"/>
    <w:rsid w:val="002F7E5F"/>
    <w:rsid w:val="003005E0"/>
    <w:rsid w:val="003015DE"/>
    <w:rsid w:val="00301DFE"/>
    <w:rsid w:val="00307A91"/>
    <w:rsid w:val="00313948"/>
    <w:rsid w:val="00313EB5"/>
    <w:rsid w:val="00315DC6"/>
    <w:rsid w:val="00322D0D"/>
    <w:rsid w:val="003274DC"/>
    <w:rsid w:val="003308C8"/>
    <w:rsid w:val="00331A9F"/>
    <w:rsid w:val="0033250A"/>
    <w:rsid w:val="00332B37"/>
    <w:rsid w:val="003341A9"/>
    <w:rsid w:val="00337B1D"/>
    <w:rsid w:val="003419D8"/>
    <w:rsid w:val="003429D7"/>
    <w:rsid w:val="00345BF1"/>
    <w:rsid w:val="00346E29"/>
    <w:rsid w:val="00350CA1"/>
    <w:rsid w:val="00357DCA"/>
    <w:rsid w:val="00366D91"/>
    <w:rsid w:val="0036701F"/>
    <w:rsid w:val="00372253"/>
    <w:rsid w:val="00374A37"/>
    <w:rsid w:val="00385ECA"/>
    <w:rsid w:val="0038621D"/>
    <w:rsid w:val="0038632E"/>
    <w:rsid w:val="003900B1"/>
    <w:rsid w:val="00390237"/>
    <w:rsid w:val="00392826"/>
    <w:rsid w:val="003942D4"/>
    <w:rsid w:val="003958A8"/>
    <w:rsid w:val="00397E7B"/>
    <w:rsid w:val="003A1C4C"/>
    <w:rsid w:val="003A2808"/>
    <w:rsid w:val="003A5469"/>
    <w:rsid w:val="003A5B30"/>
    <w:rsid w:val="003B0BB8"/>
    <w:rsid w:val="003B2441"/>
    <w:rsid w:val="003B44D8"/>
    <w:rsid w:val="003B463F"/>
    <w:rsid w:val="003B6834"/>
    <w:rsid w:val="003B7DAA"/>
    <w:rsid w:val="003C0854"/>
    <w:rsid w:val="003C20E1"/>
    <w:rsid w:val="003C2663"/>
    <w:rsid w:val="003D2532"/>
    <w:rsid w:val="003D5DBB"/>
    <w:rsid w:val="003D5FAA"/>
    <w:rsid w:val="003D6155"/>
    <w:rsid w:val="003D7895"/>
    <w:rsid w:val="003E1552"/>
    <w:rsid w:val="003E1CF8"/>
    <w:rsid w:val="003E3F28"/>
    <w:rsid w:val="003E62FF"/>
    <w:rsid w:val="003E6614"/>
    <w:rsid w:val="003F7EDF"/>
    <w:rsid w:val="00401271"/>
    <w:rsid w:val="004022DC"/>
    <w:rsid w:val="004030FE"/>
    <w:rsid w:val="00403A1C"/>
    <w:rsid w:val="0040435A"/>
    <w:rsid w:val="00411EB6"/>
    <w:rsid w:val="004121EC"/>
    <w:rsid w:val="00412F69"/>
    <w:rsid w:val="00420EE8"/>
    <w:rsid w:val="00425202"/>
    <w:rsid w:val="00425ABE"/>
    <w:rsid w:val="00431111"/>
    <w:rsid w:val="00431D9E"/>
    <w:rsid w:val="00433CE8"/>
    <w:rsid w:val="00434921"/>
    <w:rsid w:val="00434A5C"/>
    <w:rsid w:val="00435A83"/>
    <w:rsid w:val="0043631B"/>
    <w:rsid w:val="0043741F"/>
    <w:rsid w:val="004401C6"/>
    <w:rsid w:val="00443644"/>
    <w:rsid w:val="0044485E"/>
    <w:rsid w:val="0044716E"/>
    <w:rsid w:val="00451914"/>
    <w:rsid w:val="004544D9"/>
    <w:rsid w:val="00456112"/>
    <w:rsid w:val="00460F25"/>
    <w:rsid w:val="00461609"/>
    <w:rsid w:val="0046603E"/>
    <w:rsid w:val="00466D93"/>
    <w:rsid w:val="00467145"/>
    <w:rsid w:val="00474E16"/>
    <w:rsid w:val="00475152"/>
    <w:rsid w:val="004775D5"/>
    <w:rsid w:val="00480E35"/>
    <w:rsid w:val="004863C8"/>
    <w:rsid w:val="00490E72"/>
    <w:rsid w:val="00490FB4"/>
    <w:rsid w:val="004921C8"/>
    <w:rsid w:val="00492DA2"/>
    <w:rsid w:val="00494411"/>
    <w:rsid w:val="00495E8B"/>
    <w:rsid w:val="0049653A"/>
    <w:rsid w:val="004A240B"/>
    <w:rsid w:val="004A49A0"/>
    <w:rsid w:val="004A56DC"/>
    <w:rsid w:val="004A7F40"/>
    <w:rsid w:val="004A7FAE"/>
    <w:rsid w:val="004B6642"/>
    <w:rsid w:val="004B6CAE"/>
    <w:rsid w:val="004B76E3"/>
    <w:rsid w:val="004C098E"/>
    <w:rsid w:val="004C7C77"/>
    <w:rsid w:val="004D08E3"/>
    <w:rsid w:val="004D15DF"/>
    <w:rsid w:val="004D17CB"/>
    <w:rsid w:val="004D1851"/>
    <w:rsid w:val="004D44F2"/>
    <w:rsid w:val="004D599D"/>
    <w:rsid w:val="004D6997"/>
    <w:rsid w:val="004D74FB"/>
    <w:rsid w:val="004D754A"/>
    <w:rsid w:val="004E030F"/>
    <w:rsid w:val="004E2EA5"/>
    <w:rsid w:val="004E3AEB"/>
    <w:rsid w:val="004E4742"/>
    <w:rsid w:val="004F1DA8"/>
    <w:rsid w:val="004F24C7"/>
    <w:rsid w:val="004F2C8F"/>
    <w:rsid w:val="004F2EE8"/>
    <w:rsid w:val="004F3C2F"/>
    <w:rsid w:val="0050223C"/>
    <w:rsid w:val="00502469"/>
    <w:rsid w:val="00504DBC"/>
    <w:rsid w:val="0050596F"/>
    <w:rsid w:val="00506F0E"/>
    <w:rsid w:val="0050733F"/>
    <w:rsid w:val="00507E8E"/>
    <w:rsid w:val="00507F53"/>
    <w:rsid w:val="005129D9"/>
    <w:rsid w:val="005140A6"/>
    <w:rsid w:val="005146B0"/>
    <w:rsid w:val="00516C10"/>
    <w:rsid w:val="005220DA"/>
    <w:rsid w:val="0052388C"/>
    <w:rsid w:val="005243FF"/>
    <w:rsid w:val="0052451D"/>
    <w:rsid w:val="00527BA7"/>
    <w:rsid w:val="005314CA"/>
    <w:rsid w:val="0053329D"/>
    <w:rsid w:val="005347EF"/>
    <w:rsid w:val="00534E51"/>
    <w:rsid w:val="00537930"/>
    <w:rsid w:val="00537C03"/>
    <w:rsid w:val="00540F94"/>
    <w:rsid w:val="005410C2"/>
    <w:rsid w:val="0054451A"/>
    <w:rsid w:val="0054578E"/>
    <w:rsid w:val="00545DB9"/>
    <w:rsid w:val="00545F97"/>
    <w:rsid w:val="00546560"/>
    <w:rsid w:val="00547313"/>
    <w:rsid w:val="00552C0F"/>
    <w:rsid w:val="00554582"/>
    <w:rsid w:val="0055620F"/>
    <w:rsid w:val="00560A13"/>
    <w:rsid w:val="00560AFD"/>
    <w:rsid w:val="00564FBC"/>
    <w:rsid w:val="005651CD"/>
    <w:rsid w:val="00565E44"/>
    <w:rsid w:val="0057184D"/>
    <w:rsid w:val="00573DA9"/>
    <w:rsid w:val="005806B6"/>
    <w:rsid w:val="00580719"/>
    <w:rsid w:val="00582442"/>
    <w:rsid w:val="00582B6A"/>
    <w:rsid w:val="00592774"/>
    <w:rsid w:val="00594B99"/>
    <w:rsid w:val="00595FCF"/>
    <w:rsid w:val="00596D38"/>
    <w:rsid w:val="005A0D42"/>
    <w:rsid w:val="005A2083"/>
    <w:rsid w:val="005A285D"/>
    <w:rsid w:val="005A59B1"/>
    <w:rsid w:val="005A5AC5"/>
    <w:rsid w:val="005A701F"/>
    <w:rsid w:val="005A711A"/>
    <w:rsid w:val="005A7195"/>
    <w:rsid w:val="005B0393"/>
    <w:rsid w:val="005B293D"/>
    <w:rsid w:val="005C418B"/>
    <w:rsid w:val="005D0823"/>
    <w:rsid w:val="005D0A43"/>
    <w:rsid w:val="005D57B0"/>
    <w:rsid w:val="005D7E6F"/>
    <w:rsid w:val="005E0600"/>
    <w:rsid w:val="005E3044"/>
    <w:rsid w:val="005E3048"/>
    <w:rsid w:val="005E4E97"/>
    <w:rsid w:val="005E7F61"/>
    <w:rsid w:val="005F355D"/>
    <w:rsid w:val="005F3F87"/>
    <w:rsid w:val="005F4E1E"/>
    <w:rsid w:val="005F53D2"/>
    <w:rsid w:val="005F59F2"/>
    <w:rsid w:val="005F670E"/>
    <w:rsid w:val="00602BEC"/>
    <w:rsid w:val="0061079D"/>
    <w:rsid w:val="0061171C"/>
    <w:rsid w:val="006130C8"/>
    <w:rsid w:val="00614807"/>
    <w:rsid w:val="00615F92"/>
    <w:rsid w:val="00617FC0"/>
    <w:rsid w:val="006217F9"/>
    <w:rsid w:val="0062248A"/>
    <w:rsid w:val="0062292A"/>
    <w:rsid w:val="006237F0"/>
    <w:rsid w:val="00626D7E"/>
    <w:rsid w:val="0062717F"/>
    <w:rsid w:val="006302A8"/>
    <w:rsid w:val="00632DD4"/>
    <w:rsid w:val="0063379B"/>
    <w:rsid w:val="00636768"/>
    <w:rsid w:val="00642283"/>
    <w:rsid w:val="0064270D"/>
    <w:rsid w:val="00642A11"/>
    <w:rsid w:val="00645EB3"/>
    <w:rsid w:val="00650BA9"/>
    <w:rsid w:val="0065164C"/>
    <w:rsid w:val="00652F7E"/>
    <w:rsid w:val="006535F1"/>
    <w:rsid w:val="0065557D"/>
    <w:rsid w:val="00656991"/>
    <w:rsid w:val="00656DB8"/>
    <w:rsid w:val="00657A4D"/>
    <w:rsid w:val="00657BFC"/>
    <w:rsid w:val="00660A57"/>
    <w:rsid w:val="00661546"/>
    <w:rsid w:val="00661810"/>
    <w:rsid w:val="00662984"/>
    <w:rsid w:val="00663FBB"/>
    <w:rsid w:val="00664C61"/>
    <w:rsid w:val="00665054"/>
    <w:rsid w:val="0067196B"/>
    <w:rsid w:val="00676229"/>
    <w:rsid w:val="00676AAB"/>
    <w:rsid w:val="0067776C"/>
    <w:rsid w:val="00682482"/>
    <w:rsid w:val="00690642"/>
    <w:rsid w:val="0069137A"/>
    <w:rsid w:val="00692C49"/>
    <w:rsid w:val="00694D16"/>
    <w:rsid w:val="00695637"/>
    <w:rsid w:val="0069651D"/>
    <w:rsid w:val="006968E5"/>
    <w:rsid w:val="00697E49"/>
    <w:rsid w:val="006A15BA"/>
    <w:rsid w:val="006A73B8"/>
    <w:rsid w:val="006B0661"/>
    <w:rsid w:val="006B0EE1"/>
    <w:rsid w:val="006B14D7"/>
    <w:rsid w:val="006B34C0"/>
    <w:rsid w:val="006B6DCC"/>
    <w:rsid w:val="006C06E6"/>
    <w:rsid w:val="006C4337"/>
    <w:rsid w:val="006C5089"/>
    <w:rsid w:val="006D15B4"/>
    <w:rsid w:val="006D1EDC"/>
    <w:rsid w:val="006D2F5F"/>
    <w:rsid w:val="006D344A"/>
    <w:rsid w:val="006D544E"/>
    <w:rsid w:val="006E1E4D"/>
    <w:rsid w:val="006E2495"/>
    <w:rsid w:val="006E291B"/>
    <w:rsid w:val="006E348A"/>
    <w:rsid w:val="006F22A1"/>
    <w:rsid w:val="006F23E0"/>
    <w:rsid w:val="006F33D5"/>
    <w:rsid w:val="006F3F24"/>
    <w:rsid w:val="006F6020"/>
    <w:rsid w:val="006F6075"/>
    <w:rsid w:val="006F6C0D"/>
    <w:rsid w:val="006F7C79"/>
    <w:rsid w:val="0070301D"/>
    <w:rsid w:val="00707349"/>
    <w:rsid w:val="007153C8"/>
    <w:rsid w:val="007172B1"/>
    <w:rsid w:val="007210B5"/>
    <w:rsid w:val="00721997"/>
    <w:rsid w:val="00724658"/>
    <w:rsid w:val="00727746"/>
    <w:rsid w:val="00731C60"/>
    <w:rsid w:val="00734746"/>
    <w:rsid w:val="00736D54"/>
    <w:rsid w:val="00740CB3"/>
    <w:rsid w:val="0074256A"/>
    <w:rsid w:val="00742CE6"/>
    <w:rsid w:val="00744CEA"/>
    <w:rsid w:val="00746D65"/>
    <w:rsid w:val="0075051B"/>
    <w:rsid w:val="0075210C"/>
    <w:rsid w:val="007539E9"/>
    <w:rsid w:val="007568BA"/>
    <w:rsid w:val="00760E9F"/>
    <w:rsid w:val="00761267"/>
    <w:rsid w:val="00763805"/>
    <w:rsid w:val="0076500A"/>
    <w:rsid w:val="0076697B"/>
    <w:rsid w:val="007703D2"/>
    <w:rsid w:val="007721B4"/>
    <w:rsid w:val="00772870"/>
    <w:rsid w:val="00777D53"/>
    <w:rsid w:val="00777E61"/>
    <w:rsid w:val="007811E9"/>
    <w:rsid w:val="007836D5"/>
    <w:rsid w:val="00783C7C"/>
    <w:rsid w:val="007840CF"/>
    <w:rsid w:val="00785F51"/>
    <w:rsid w:val="00786379"/>
    <w:rsid w:val="00787CB2"/>
    <w:rsid w:val="00793057"/>
    <w:rsid w:val="00794B00"/>
    <w:rsid w:val="00794B3F"/>
    <w:rsid w:val="00794D34"/>
    <w:rsid w:val="00794E55"/>
    <w:rsid w:val="007A3902"/>
    <w:rsid w:val="007A3A31"/>
    <w:rsid w:val="007A58DA"/>
    <w:rsid w:val="007A7A85"/>
    <w:rsid w:val="007B00F9"/>
    <w:rsid w:val="007C4F94"/>
    <w:rsid w:val="007C63BC"/>
    <w:rsid w:val="007C6CB4"/>
    <w:rsid w:val="007D0758"/>
    <w:rsid w:val="007D0F4E"/>
    <w:rsid w:val="007D5AAE"/>
    <w:rsid w:val="007E030F"/>
    <w:rsid w:val="007E1642"/>
    <w:rsid w:val="007E6D4E"/>
    <w:rsid w:val="007E6DC7"/>
    <w:rsid w:val="007E716B"/>
    <w:rsid w:val="007F35C5"/>
    <w:rsid w:val="007F3969"/>
    <w:rsid w:val="007F4E72"/>
    <w:rsid w:val="007F6BB6"/>
    <w:rsid w:val="00801604"/>
    <w:rsid w:val="00804D02"/>
    <w:rsid w:val="00805E7A"/>
    <w:rsid w:val="00806C9A"/>
    <w:rsid w:val="00806E96"/>
    <w:rsid w:val="008075B1"/>
    <w:rsid w:val="00807972"/>
    <w:rsid w:val="00811C2E"/>
    <w:rsid w:val="00812ECD"/>
    <w:rsid w:val="00813D3F"/>
    <w:rsid w:val="00813E5E"/>
    <w:rsid w:val="00814BC9"/>
    <w:rsid w:val="00815C6C"/>
    <w:rsid w:val="00817636"/>
    <w:rsid w:val="008176DD"/>
    <w:rsid w:val="00817746"/>
    <w:rsid w:val="0082067F"/>
    <w:rsid w:val="00821B97"/>
    <w:rsid w:val="00823B06"/>
    <w:rsid w:val="00826D00"/>
    <w:rsid w:val="008271C2"/>
    <w:rsid w:val="00827EF0"/>
    <w:rsid w:val="00831B46"/>
    <w:rsid w:val="0083581B"/>
    <w:rsid w:val="008424BE"/>
    <w:rsid w:val="008444FF"/>
    <w:rsid w:val="00844B9D"/>
    <w:rsid w:val="00846E4C"/>
    <w:rsid w:val="0084738D"/>
    <w:rsid w:val="00850374"/>
    <w:rsid w:val="00852C83"/>
    <w:rsid w:val="00860C4F"/>
    <w:rsid w:val="00864483"/>
    <w:rsid w:val="00864AFF"/>
    <w:rsid w:val="008663C1"/>
    <w:rsid w:val="008672DD"/>
    <w:rsid w:val="00867539"/>
    <w:rsid w:val="00867737"/>
    <w:rsid w:val="008678F1"/>
    <w:rsid w:val="00871F56"/>
    <w:rsid w:val="00876CA6"/>
    <w:rsid w:val="00876DDE"/>
    <w:rsid w:val="0088130B"/>
    <w:rsid w:val="008817A9"/>
    <w:rsid w:val="0088315B"/>
    <w:rsid w:val="008900E7"/>
    <w:rsid w:val="00890BC3"/>
    <w:rsid w:val="00897D83"/>
    <w:rsid w:val="008A004C"/>
    <w:rsid w:val="008A0E31"/>
    <w:rsid w:val="008A1B51"/>
    <w:rsid w:val="008A225D"/>
    <w:rsid w:val="008A2A3A"/>
    <w:rsid w:val="008A500A"/>
    <w:rsid w:val="008A684F"/>
    <w:rsid w:val="008A7D70"/>
    <w:rsid w:val="008A7E03"/>
    <w:rsid w:val="008B1075"/>
    <w:rsid w:val="008B4A6A"/>
    <w:rsid w:val="008B4D0A"/>
    <w:rsid w:val="008C058D"/>
    <w:rsid w:val="008C1DC8"/>
    <w:rsid w:val="008C60A6"/>
    <w:rsid w:val="008C7E27"/>
    <w:rsid w:val="008D0A29"/>
    <w:rsid w:val="008D653E"/>
    <w:rsid w:val="008D66C2"/>
    <w:rsid w:val="008E446A"/>
    <w:rsid w:val="008E481F"/>
    <w:rsid w:val="008F1F73"/>
    <w:rsid w:val="008F5205"/>
    <w:rsid w:val="008F777C"/>
    <w:rsid w:val="008F7D7E"/>
    <w:rsid w:val="00900327"/>
    <w:rsid w:val="009003E4"/>
    <w:rsid w:val="00901BCE"/>
    <w:rsid w:val="00902806"/>
    <w:rsid w:val="009053F9"/>
    <w:rsid w:val="009146EC"/>
    <w:rsid w:val="0091552C"/>
    <w:rsid w:val="009173EF"/>
    <w:rsid w:val="009177C0"/>
    <w:rsid w:val="009207E2"/>
    <w:rsid w:val="00922755"/>
    <w:rsid w:val="00922F7E"/>
    <w:rsid w:val="009259C6"/>
    <w:rsid w:val="00927186"/>
    <w:rsid w:val="00927264"/>
    <w:rsid w:val="00927D0D"/>
    <w:rsid w:val="00932906"/>
    <w:rsid w:val="00932F5B"/>
    <w:rsid w:val="0094194E"/>
    <w:rsid w:val="00942204"/>
    <w:rsid w:val="009432AC"/>
    <w:rsid w:val="0094685F"/>
    <w:rsid w:val="0094791F"/>
    <w:rsid w:val="00951D8D"/>
    <w:rsid w:val="009544CB"/>
    <w:rsid w:val="00955F1F"/>
    <w:rsid w:val="009562CA"/>
    <w:rsid w:val="009569A9"/>
    <w:rsid w:val="00960380"/>
    <w:rsid w:val="00961B0B"/>
    <w:rsid w:val="009620CE"/>
    <w:rsid w:val="009634DF"/>
    <w:rsid w:val="00964F08"/>
    <w:rsid w:val="009667C4"/>
    <w:rsid w:val="00967C4E"/>
    <w:rsid w:val="00967D31"/>
    <w:rsid w:val="00967FAE"/>
    <w:rsid w:val="00970F9F"/>
    <w:rsid w:val="00972106"/>
    <w:rsid w:val="00972BD3"/>
    <w:rsid w:val="00973347"/>
    <w:rsid w:val="00973B46"/>
    <w:rsid w:val="00973C1D"/>
    <w:rsid w:val="00974706"/>
    <w:rsid w:val="00976717"/>
    <w:rsid w:val="00980685"/>
    <w:rsid w:val="009813B1"/>
    <w:rsid w:val="00981DC9"/>
    <w:rsid w:val="009824CB"/>
    <w:rsid w:val="00982C30"/>
    <w:rsid w:val="00994E1D"/>
    <w:rsid w:val="00995801"/>
    <w:rsid w:val="009968FA"/>
    <w:rsid w:val="009A456D"/>
    <w:rsid w:val="009A7B31"/>
    <w:rsid w:val="009B0D1A"/>
    <w:rsid w:val="009B263A"/>
    <w:rsid w:val="009B28E1"/>
    <w:rsid w:val="009B6B01"/>
    <w:rsid w:val="009C0417"/>
    <w:rsid w:val="009C1F73"/>
    <w:rsid w:val="009C4A6E"/>
    <w:rsid w:val="009E17BD"/>
    <w:rsid w:val="009E3404"/>
    <w:rsid w:val="009E4CFD"/>
    <w:rsid w:val="009E4E5F"/>
    <w:rsid w:val="009E63C2"/>
    <w:rsid w:val="009F0033"/>
    <w:rsid w:val="009F23FA"/>
    <w:rsid w:val="009F3B93"/>
    <w:rsid w:val="009F5A21"/>
    <w:rsid w:val="009F6263"/>
    <w:rsid w:val="009F6AE6"/>
    <w:rsid w:val="009F7680"/>
    <w:rsid w:val="00A00FA1"/>
    <w:rsid w:val="00A03173"/>
    <w:rsid w:val="00A04CEC"/>
    <w:rsid w:val="00A055FB"/>
    <w:rsid w:val="00A12366"/>
    <w:rsid w:val="00A237E9"/>
    <w:rsid w:val="00A23A6D"/>
    <w:rsid w:val="00A261B5"/>
    <w:rsid w:val="00A2688D"/>
    <w:rsid w:val="00A26D25"/>
    <w:rsid w:val="00A27AD2"/>
    <w:rsid w:val="00A27F92"/>
    <w:rsid w:val="00A308B0"/>
    <w:rsid w:val="00A30D78"/>
    <w:rsid w:val="00A33719"/>
    <w:rsid w:val="00A33E3F"/>
    <w:rsid w:val="00A3671A"/>
    <w:rsid w:val="00A36773"/>
    <w:rsid w:val="00A36E4F"/>
    <w:rsid w:val="00A41DA4"/>
    <w:rsid w:val="00A42D43"/>
    <w:rsid w:val="00A43931"/>
    <w:rsid w:val="00A45E50"/>
    <w:rsid w:val="00A45F38"/>
    <w:rsid w:val="00A525C2"/>
    <w:rsid w:val="00A55622"/>
    <w:rsid w:val="00A607A2"/>
    <w:rsid w:val="00A61650"/>
    <w:rsid w:val="00A6258C"/>
    <w:rsid w:val="00A6299E"/>
    <w:rsid w:val="00A66906"/>
    <w:rsid w:val="00A67FA2"/>
    <w:rsid w:val="00A71949"/>
    <w:rsid w:val="00A72215"/>
    <w:rsid w:val="00A83502"/>
    <w:rsid w:val="00A8352E"/>
    <w:rsid w:val="00A83AF7"/>
    <w:rsid w:val="00A87173"/>
    <w:rsid w:val="00A907F8"/>
    <w:rsid w:val="00A91D2E"/>
    <w:rsid w:val="00A938F0"/>
    <w:rsid w:val="00A95765"/>
    <w:rsid w:val="00A95F86"/>
    <w:rsid w:val="00A967A4"/>
    <w:rsid w:val="00AA0910"/>
    <w:rsid w:val="00AA35AD"/>
    <w:rsid w:val="00AB0647"/>
    <w:rsid w:val="00AB10AA"/>
    <w:rsid w:val="00AB263F"/>
    <w:rsid w:val="00AB2CF8"/>
    <w:rsid w:val="00AB46A9"/>
    <w:rsid w:val="00AC0B97"/>
    <w:rsid w:val="00AC0ED9"/>
    <w:rsid w:val="00AC1F81"/>
    <w:rsid w:val="00AC4C89"/>
    <w:rsid w:val="00AC631B"/>
    <w:rsid w:val="00AC6963"/>
    <w:rsid w:val="00AC6CCB"/>
    <w:rsid w:val="00AD009C"/>
    <w:rsid w:val="00AD567A"/>
    <w:rsid w:val="00AD5F0E"/>
    <w:rsid w:val="00AE5DB2"/>
    <w:rsid w:val="00AF1B92"/>
    <w:rsid w:val="00AF4085"/>
    <w:rsid w:val="00AF6A97"/>
    <w:rsid w:val="00AF6CE7"/>
    <w:rsid w:val="00AF6E49"/>
    <w:rsid w:val="00AF7236"/>
    <w:rsid w:val="00B016DE"/>
    <w:rsid w:val="00B02734"/>
    <w:rsid w:val="00B04A67"/>
    <w:rsid w:val="00B0583C"/>
    <w:rsid w:val="00B05A1D"/>
    <w:rsid w:val="00B06BC7"/>
    <w:rsid w:val="00B13E6D"/>
    <w:rsid w:val="00B16A76"/>
    <w:rsid w:val="00B2048A"/>
    <w:rsid w:val="00B2220F"/>
    <w:rsid w:val="00B223A1"/>
    <w:rsid w:val="00B33557"/>
    <w:rsid w:val="00B34CB3"/>
    <w:rsid w:val="00B35003"/>
    <w:rsid w:val="00B361FA"/>
    <w:rsid w:val="00B363F9"/>
    <w:rsid w:val="00B36ABA"/>
    <w:rsid w:val="00B40A81"/>
    <w:rsid w:val="00B40C35"/>
    <w:rsid w:val="00B42A6E"/>
    <w:rsid w:val="00B42B64"/>
    <w:rsid w:val="00B4470A"/>
    <w:rsid w:val="00B44910"/>
    <w:rsid w:val="00B51195"/>
    <w:rsid w:val="00B518C1"/>
    <w:rsid w:val="00B51A5D"/>
    <w:rsid w:val="00B51E76"/>
    <w:rsid w:val="00B543A6"/>
    <w:rsid w:val="00B55F5B"/>
    <w:rsid w:val="00B60BF0"/>
    <w:rsid w:val="00B6308A"/>
    <w:rsid w:val="00B655CD"/>
    <w:rsid w:val="00B656FA"/>
    <w:rsid w:val="00B6654D"/>
    <w:rsid w:val="00B66DB1"/>
    <w:rsid w:val="00B67712"/>
    <w:rsid w:val="00B67DA0"/>
    <w:rsid w:val="00B72267"/>
    <w:rsid w:val="00B76EB6"/>
    <w:rsid w:val="00B7705B"/>
    <w:rsid w:val="00B77A2B"/>
    <w:rsid w:val="00B8014D"/>
    <w:rsid w:val="00B8209E"/>
    <w:rsid w:val="00B824C8"/>
    <w:rsid w:val="00B836DE"/>
    <w:rsid w:val="00B84D28"/>
    <w:rsid w:val="00B85B0C"/>
    <w:rsid w:val="00B868FA"/>
    <w:rsid w:val="00B87FB1"/>
    <w:rsid w:val="00B9171F"/>
    <w:rsid w:val="00B923F4"/>
    <w:rsid w:val="00B93CE4"/>
    <w:rsid w:val="00B943F4"/>
    <w:rsid w:val="00BA09E2"/>
    <w:rsid w:val="00BA36B4"/>
    <w:rsid w:val="00BA3FCF"/>
    <w:rsid w:val="00BB0A13"/>
    <w:rsid w:val="00BB20E1"/>
    <w:rsid w:val="00BB47B9"/>
    <w:rsid w:val="00BB6534"/>
    <w:rsid w:val="00BC251A"/>
    <w:rsid w:val="00BC54F0"/>
    <w:rsid w:val="00BC7743"/>
    <w:rsid w:val="00BD032B"/>
    <w:rsid w:val="00BD5977"/>
    <w:rsid w:val="00BE018C"/>
    <w:rsid w:val="00BE2640"/>
    <w:rsid w:val="00BE3EC8"/>
    <w:rsid w:val="00BE4435"/>
    <w:rsid w:val="00BE46C2"/>
    <w:rsid w:val="00BE498B"/>
    <w:rsid w:val="00BE5ECD"/>
    <w:rsid w:val="00BE7516"/>
    <w:rsid w:val="00BF5E03"/>
    <w:rsid w:val="00BF75BB"/>
    <w:rsid w:val="00C01189"/>
    <w:rsid w:val="00C06E1C"/>
    <w:rsid w:val="00C10C91"/>
    <w:rsid w:val="00C134D7"/>
    <w:rsid w:val="00C14942"/>
    <w:rsid w:val="00C16DD2"/>
    <w:rsid w:val="00C21D9E"/>
    <w:rsid w:val="00C22D8E"/>
    <w:rsid w:val="00C249C9"/>
    <w:rsid w:val="00C263C9"/>
    <w:rsid w:val="00C2666C"/>
    <w:rsid w:val="00C277CB"/>
    <w:rsid w:val="00C302E0"/>
    <w:rsid w:val="00C31E81"/>
    <w:rsid w:val="00C36B3F"/>
    <w:rsid w:val="00C371B6"/>
    <w:rsid w:val="00C374DE"/>
    <w:rsid w:val="00C37AED"/>
    <w:rsid w:val="00C44726"/>
    <w:rsid w:val="00C47AD4"/>
    <w:rsid w:val="00C47E0B"/>
    <w:rsid w:val="00C5151E"/>
    <w:rsid w:val="00C52D81"/>
    <w:rsid w:val="00C52EDF"/>
    <w:rsid w:val="00C54CA0"/>
    <w:rsid w:val="00C55198"/>
    <w:rsid w:val="00C56759"/>
    <w:rsid w:val="00C57074"/>
    <w:rsid w:val="00C57B5A"/>
    <w:rsid w:val="00C607AE"/>
    <w:rsid w:val="00C63849"/>
    <w:rsid w:val="00C63BFF"/>
    <w:rsid w:val="00C6720F"/>
    <w:rsid w:val="00C678DC"/>
    <w:rsid w:val="00C6792C"/>
    <w:rsid w:val="00C67FB4"/>
    <w:rsid w:val="00C7279D"/>
    <w:rsid w:val="00C72DAF"/>
    <w:rsid w:val="00C740DD"/>
    <w:rsid w:val="00C75445"/>
    <w:rsid w:val="00C76E61"/>
    <w:rsid w:val="00C77DD7"/>
    <w:rsid w:val="00C77EE1"/>
    <w:rsid w:val="00C8127A"/>
    <w:rsid w:val="00C855C7"/>
    <w:rsid w:val="00C863DA"/>
    <w:rsid w:val="00C866AD"/>
    <w:rsid w:val="00C95011"/>
    <w:rsid w:val="00C96832"/>
    <w:rsid w:val="00C97751"/>
    <w:rsid w:val="00CA0698"/>
    <w:rsid w:val="00CA299A"/>
    <w:rsid w:val="00CA4D4A"/>
    <w:rsid w:val="00CA6393"/>
    <w:rsid w:val="00CA65D8"/>
    <w:rsid w:val="00CB18FF"/>
    <w:rsid w:val="00CB4D66"/>
    <w:rsid w:val="00CC0E88"/>
    <w:rsid w:val="00CC1757"/>
    <w:rsid w:val="00CC3130"/>
    <w:rsid w:val="00CC42C7"/>
    <w:rsid w:val="00CC4968"/>
    <w:rsid w:val="00CC5002"/>
    <w:rsid w:val="00CC7CF8"/>
    <w:rsid w:val="00CD0C08"/>
    <w:rsid w:val="00CD13A9"/>
    <w:rsid w:val="00CD1867"/>
    <w:rsid w:val="00CD3CA5"/>
    <w:rsid w:val="00CE29D1"/>
    <w:rsid w:val="00CE433C"/>
    <w:rsid w:val="00CE4730"/>
    <w:rsid w:val="00CF03DB"/>
    <w:rsid w:val="00CF07C1"/>
    <w:rsid w:val="00CF1494"/>
    <w:rsid w:val="00CF212F"/>
    <w:rsid w:val="00CF2B1A"/>
    <w:rsid w:val="00CF33F3"/>
    <w:rsid w:val="00CF47D9"/>
    <w:rsid w:val="00CF7EB6"/>
    <w:rsid w:val="00D00538"/>
    <w:rsid w:val="00D0385D"/>
    <w:rsid w:val="00D0408F"/>
    <w:rsid w:val="00D04D27"/>
    <w:rsid w:val="00D06183"/>
    <w:rsid w:val="00D06664"/>
    <w:rsid w:val="00D07AF5"/>
    <w:rsid w:val="00D1009F"/>
    <w:rsid w:val="00D1120C"/>
    <w:rsid w:val="00D11672"/>
    <w:rsid w:val="00D13A0C"/>
    <w:rsid w:val="00D13DC8"/>
    <w:rsid w:val="00D166C3"/>
    <w:rsid w:val="00D16779"/>
    <w:rsid w:val="00D1724D"/>
    <w:rsid w:val="00D2106C"/>
    <w:rsid w:val="00D226A3"/>
    <w:rsid w:val="00D22ACE"/>
    <w:rsid w:val="00D22C42"/>
    <w:rsid w:val="00D258BE"/>
    <w:rsid w:val="00D30980"/>
    <w:rsid w:val="00D309D6"/>
    <w:rsid w:val="00D32E39"/>
    <w:rsid w:val="00D35421"/>
    <w:rsid w:val="00D355E5"/>
    <w:rsid w:val="00D36867"/>
    <w:rsid w:val="00D417CE"/>
    <w:rsid w:val="00D44413"/>
    <w:rsid w:val="00D44E91"/>
    <w:rsid w:val="00D46255"/>
    <w:rsid w:val="00D4658F"/>
    <w:rsid w:val="00D46628"/>
    <w:rsid w:val="00D51E46"/>
    <w:rsid w:val="00D52970"/>
    <w:rsid w:val="00D5397D"/>
    <w:rsid w:val="00D53F35"/>
    <w:rsid w:val="00D5417B"/>
    <w:rsid w:val="00D55432"/>
    <w:rsid w:val="00D56034"/>
    <w:rsid w:val="00D57B55"/>
    <w:rsid w:val="00D61A6D"/>
    <w:rsid w:val="00D61EFE"/>
    <w:rsid w:val="00D64022"/>
    <w:rsid w:val="00D65041"/>
    <w:rsid w:val="00D6642B"/>
    <w:rsid w:val="00D71B68"/>
    <w:rsid w:val="00D71FF4"/>
    <w:rsid w:val="00D7298D"/>
    <w:rsid w:val="00D80474"/>
    <w:rsid w:val="00D80B1A"/>
    <w:rsid w:val="00D81FAF"/>
    <w:rsid w:val="00D826C4"/>
    <w:rsid w:val="00D83E17"/>
    <w:rsid w:val="00D84E72"/>
    <w:rsid w:val="00D91548"/>
    <w:rsid w:val="00D9313C"/>
    <w:rsid w:val="00D93C79"/>
    <w:rsid w:val="00D94360"/>
    <w:rsid w:val="00D9578F"/>
    <w:rsid w:val="00D958FE"/>
    <w:rsid w:val="00DA5AFE"/>
    <w:rsid w:val="00DB1F5F"/>
    <w:rsid w:val="00DB2F38"/>
    <w:rsid w:val="00DB31FD"/>
    <w:rsid w:val="00DB4793"/>
    <w:rsid w:val="00DB7119"/>
    <w:rsid w:val="00DB761C"/>
    <w:rsid w:val="00DC30EE"/>
    <w:rsid w:val="00DC5E37"/>
    <w:rsid w:val="00DC5E3D"/>
    <w:rsid w:val="00DD3711"/>
    <w:rsid w:val="00DD5649"/>
    <w:rsid w:val="00DD5710"/>
    <w:rsid w:val="00DE2ADE"/>
    <w:rsid w:val="00DE51FC"/>
    <w:rsid w:val="00DF0709"/>
    <w:rsid w:val="00DF11E6"/>
    <w:rsid w:val="00DF3986"/>
    <w:rsid w:val="00DF5EAA"/>
    <w:rsid w:val="00E000A5"/>
    <w:rsid w:val="00E0151B"/>
    <w:rsid w:val="00E01A10"/>
    <w:rsid w:val="00E02F07"/>
    <w:rsid w:val="00E03360"/>
    <w:rsid w:val="00E04351"/>
    <w:rsid w:val="00E05141"/>
    <w:rsid w:val="00E10781"/>
    <w:rsid w:val="00E10E80"/>
    <w:rsid w:val="00E124F0"/>
    <w:rsid w:val="00E12627"/>
    <w:rsid w:val="00E1378A"/>
    <w:rsid w:val="00E140CD"/>
    <w:rsid w:val="00E17411"/>
    <w:rsid w:val="00E17F82"/>
    <w:rsid w:val="00E21F72"/>
    <w:rsid w:val="00E262D7"/>
    <w:rsid w:val="00E33B25"/>
    <w:rsid w:val="00E36A72"/>
    <w:rsid w:val="00E37993"/>
    <w:rsid w:val="00E40566"/>
    <w:rsid w:val="00E4216E"/>
    <w:rsid w:val="00E42350"/>
    <w:rsid w:val="00E4387D"/>
    <w:rsid w:val="00E44635"/>
    <w:rsid w:val="00E44C02"/>
    <w:rsid w:val="00E50C6A"/>
    <w:rsid w:val="00E50D14"/>
    <w:rsid w:val="00E512B6"/>
    <w:rsid w:val="00E56345"/>
    <w:rsid w:val="00E56D8B"/>
    <w:rsid w:val="00E6003A"/>
    <w:rsid w:val="00E6154C"/>
    <w:rsid w:val="00E618D1"/>
    <w:rsid w:val="00E62757"/>
    <w:rsid w:val="00E6794E"/>
    <w:rsid w:val="00E7044A"/>
    <w:rsid w:val="00E77C8D"/>
    <w:rsid w:val="00E8095E"/>
    <w:rsid w:val="00E82211"/>
    <w:rsid w:val="00E82BDC"/>
    <w:rsid w:val="00E82DFA"/>
    <w:rsid w:val="00E833B1"/>
    <w:rsid w:val="00E90164"/>
    <w:rsid w:val="00E94F55"/>
    <w:rsid w:val="00E95344"/>
    <w:rsid w:val="00E95589"/>
    <w:rsid w:val="00E96386"/>
    <w:rsid w:val="00EA06CE"/>
    <w:rsid w:val="00EA1161"/>
    <w:rsid w:val="00EA33A5"/>
    <w:rsid w:val="00EA6E7A"/>
    <w:rsid w:val="00EB0D6F"/>
    <w:rsid w:val="00EB12DC"/>
    <w:rsid w:val="00EB190B"/>
    <w:rsid w:val="00EB1F6F"/>
    <w:rsid w:val="00EB2215"/>
    <w:rsid w:val="00EB2232"/>
    <w:rsid w:val="00EB3775"/>
    <w:rsid w:val="00EB5A9E"/>
    <w:rsid w:val="00EC26E9"/>
    <w:rsid w:val="00EC5337"/>
    <w:rsid w:val="00EC7273"/>
    <w:rsid w:val="00EC7FBA"/>
    <w:rsid w:val="00ED43A8"/>
    <w:rsid w:val="00ED6696"/>
    <w:rsid w:val="00EE01CD"/>
    <w:rsid w:val="00EE1917"/>
    <w:rsid w:val="00EE450C"/>
    <w:rsid w:val="00EE47F6"/>
    <w:rsid w:val="00EE61DF"/>
    <w:rsid w:val="00EF7807"/>
    <w:rsid w:val="00EF7ED6"/>
    <w:rsid w:val="00F02BD2"/>
    <w:rsid w:val="00F0320A"/>
    <w:rsid w:val="00F03ACE"/>
    <w:rsid w:val="00F03C8D"/>
    <w:rsid w:val="00F04F7F"/>
    <w:rsid w:val="00F05223"/>
    <w:rsid w:val="00F06A5A"/>
    <w:rsid w:val="00F077E1"/>
    <w:rsid w:val="00F1205F"/>
    <w:rsid w:val="00F17BF8"/>
    <w:rsid w:val="00F2150A"/>
    <w:rsid w:val="00F231D8"/>
    <w:rsid w:val="00F254BC"/>
    <w:rsid w:val="00F25FF8"/>
    <w:rsid w:val="00F26705"/>
    <w:rsid w:val="00F27C6B"/>
    <w:rsid w:val="00F34117"/>
    <w:rsid w:val="00F4292F"/>
    <w:rsid w:val="00F44172"/>
    <w:rsid w:val="00F44DA2"/>
    <w:rsid w:val="00F46355"/>
    <w:rsid w:val="00F4658E"/>
    <w:rsid w:val="00F46C5F"/>
    <w:rsid w:val="00F50F25"/>
    <w:rsid w:val="00F6252A"/>
    <w:rsid w:val="00F67847"/>
    <w:rsid w:val="00F67BF2"/>
    <w:rsid w:val="00F70316"/>
    <w:rsid w:val="00F73269"/>
    <w:rsid w:val="00F779CB"/>
    <w:rsid w:val="00F77E13"/>
    <w:rsid w:val="00F82E62"/>
    <w:rsid w:val="00F83472"/>
    <w:rsid w:val="00F845F7"/>
    <w:rsid w:val="00F877AA"/>
    <w:rsid w:val="00FA437A"/>
    <w:rsid w:val="00FA7E0A"/>
    <w:rsid w:val="00FB1731"/>
    <w:rsid w:val="00FB20A5"/>
    <w:rsid w:val="00FC0699"/>
    <w:rsid w:val="00FC06D8"/>
    <w:rsid w:val="00FC1B2A"/>
    <w:rsid w:val="00FC1F8F"/>
    <w:rsid w:val="00FC3899"/>
    <w:rsid w:val="00FC577D"/>
    <w:rsid w:val="00FC7278"/>
    <w:rsid w:val="00FD20E0"/>
    <w:rsid w:val="00FD594C"/>
    <w:rsid w:val="00FD5ABF"/>
    <w:rsid w:val="00FE1A28"/>
    <w:rsid w:val="00FE56D7"/>
    <w:rsid w:val="00FE629F"/>
    <w:rsid w:val="00FE7696"/>
    <w:rsid w:val="00FE77D2"/>
    <w:rsid w:val="00FF2E98"/>
    <w:rsid w:val="00FF66A9"/>
    <w:rsid w:val="00FF7B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40857EEA-365E-45A4-B45D-36A8F8C4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9"/>
    <w:qFormat/>
    <w:rsid w:val="00813E5E"/>
    <w:pPr>
      <w:spacing w:before="320"/>
      <w:outlineLvl w:val="1"/>
    </w:pPr>
    <w:rPr>
      <w:sz w:val="24"/>
    </w:rPr>
  </w:style>
  <w:style w:type="paragraph" w:styleId="Heading3">
    <w:name w:val="heading 3"/>
    <w:basedOn w:val="Heading1"/>
    <w:next w:val="Normal"/>
    <w:link w:val="Heading3Char"/>
    <w:uiPriority w:val="99"/>
    <w:qFormat/>
    <w:rsid w:val="00813E5E"/>
    <w:pPr>
      <w:spacing w:before="200"/>
      <w:outlineLvl w:val="2"/>
    </w:pPr>
    <w:rPr>
      <w:sz w:val="24"/>
    </w:rPr>
  </w:style>
  <w:style w:type="paragraph" w:styleId="Heading4">
    <w:name w:val="heading 4"/>
    <w:basedOn w:val="Heading3"/>
    <w:next w:val="Normal"/>
    <w:link w:val="Heading4Char"/>
    <w:uiPriority w:val="99"/>
    <w:qFormat/>
    <w:rsid w:val="00813E5E"/>
    <w:pPr>
      <w:ind w:left="1134" w:hanging="1134"/>
      <w:outlineLvl w:val="3"/>
    </w:pPr>
  </w:style>
  <w:style w:type="paragraph" w:styleId="Heading5">
    <w:name w:val="heading 5"/>
    <w:basedOn w:val="Heading4"/>
    <w:next w:val="Normal"/>
    <w:link w:val="Heading5Char"/>
    <w:uiPriority w:val="99"/>
    <w:qFormat/>
    <w:rsid w:val="00813E5E"/>
    <w:pPr>
      <w:outlineLvl w:val="4"/>
    </w:pPr>
  </w:style>
  <w:style w:type="paragraph" w:styleId="Heading6">
    <w:name w:val="heading 6"/>
    <w:basedOn w:val="Heading4"/>
    <w:next w:val="Normal"/>
    <w:link w:val="Heading6Char"/>
    <w:uiPriority w:val="99"/>
    <w:qFormat/>
    <w:rsid w:val="00813E5E"/>
    <w:pPr>
      <w:outlineLvl w:val="5"/>
    </w:pPr>
  </w:style>
  <w:style w:type="paragraph" w:styleId="Heading7">
    <w:name w:val="heading 7"/>
    <w:basedOn w:val="Heading4"/>
    <w:next w:val="Normal"/>
    <w:link w:val="Heading7Char"/>
    <w:uiPriority w:val="99"/>
    <w:qFormat/>
    <w:rsid w:val="00813E5E"/>
    <w:pPr>
      <w:ind w:left="1701" w:hanging="1701"/>
      <w:outlineLvl w:val="6"/>
    </w:pPr>
  </w:style>
  <w:style w:type="paragraph" w:styleId="Heading8">
    <w:name w:val="heading 8"/>
    <w:basedOn w:val="Heading4"/>
    <w:next w:val="Normal"/>
    <w:link w:val="Heading8Char"/>
    <w:uiPriority w:val="99"/>
    <w:qFormat/>
    <w:rsid w:val="00813E5E"/>
    <w:pPr>
      <w:ind w:left="1701" w:hanging="1701"/>
      <w:outlineLvl w:val="7"/>
    </w:pPr>
  </w:style>
  <w:style w:type="paragraph" w:styleId="Heading9">
    <w:name w:val="heading 9"/>
    <w:basedOn w:val="Heading4"/>
    <w:next w:val="Normal"/>
    <w:link w:val="Heading9Char"/>
    <w:uiPriority w:val="99"/>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55A0"/>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9"/>
    <w:semiHidden/>
    <w:locked/>
    <w:rsid w:val="001455A0"/>
    <w:rPr>
      <w:rFonts w:ascii="Cambria" w:eastAsia="SimSun" w:hAnsi="Cambria" w:cs="Times New Roman"/>
      <w:b/>
      <w:bCs/>
      <w:i/>
      <w:iCs/>
      <w:sz w:val="28"/>
      <w:szCs w:val="28"/>
      <w:lang w:val="en-GB" w:eastAsia="en-US"/>
    </w:rPr>
  </w:style>
  <w:style w:type="character" w:customStyle="1" w:styleId="Heading3Char">
    <w:name w:val="Heading 3 Char"/>
    <w:link w:val="Heading3"/>
    <w:uiPriority w:val="99"/>
    <w:semiHidden/>
    <w:locked/>
    <w:rsid w:val="001455A0"/>
    <w:rPr>
      <w:rFonts w:ascii="Cambria" w:eastAsia="SimSun" w:hAnsi="Cambria" w:cs="Times New Roman"/>
      <w:b/>
      <w:bCs/>
      <w:sz w:val="26"/>
      <w:szCs w:val="26"/>
      <w:lang w:val="en-GB" w:eastAsia="en-US"/>
    </w:rPr>
  </w:style>
  <w:style w:type="character" w:customStyle="1" w:styleId="Heading4Char">
    <w:name w:val="Heading 4 Char"/>
    <w:link w:val="Heading4"/>
    <w:uiPriority w:val="99"/>
    <w:semiHidden/>
    <w:locked/>
    <w:rsid w:val="001455A0"/>
    <w:rPr>
      <w:rFonts w:ascii="Calibri" w:eastAsia="SimSun" w:hAnsi="Calibri" w:cs="Arial"/>
      <w:b/>
      <w:bCs/>
      <w:sz w:val="28"/>
      <w:szCs w:val="28"/>
      <w:lang w:val="en-GB" w:eastAsia="en-US"/>
    </w:rPr>
  </w:style>
  <w:style w:type="character" w:customStyle="1" w:styleId="Heading5Char">
    <w:name w:val="Heading 5 Char"/>
    <w:link w:val="Heading5"/>
    <w:uiPriority w:val="99"/>
    <w:semiHidden/>
    <w:locked/>
    <w:rsid w:val="001455A0"/>
    <w:rPr>
      <w:rFonts w:ascii="Calibri" w:eastAsia="SimSun" w:hAnsi="Calibri" w:cs="Arial"/>
      <w:b/>
      <w:bCs/>
      <w:i/>
      <w:iCs/>
      <w:sz w:val="26"/>
      <w:szCs w:val="26"/>
      <w:lang w:val="en-GB" w:eastAsia="en-US"/>
    </w:rPr>
  </w:style>
  <w:style w:type="character" w:customStyle="1" w:styleId="Heading6Char">
    <w:name w:val="Heading 6 Char"/>
    <w:link w:val="Heading6"/>
    <w:uiPriority w:val="99"/>
    <w:semiHidden/>
    <w:locked/>
    <w:rsid w:val="001455A0"/>
    <w:rPr>
      <w:rFonts w:ascii="Calibri" w:eastAsia="SimSun" w:hAnsi="Calibri" w:cs="Arial"/>
      <w:b/>
      <w:bCs/>
      <w:lang w:val="en-GB" w:eastAsia="en-US"/>
    </w:rPr>
  </w:style>
  <w:style w:type="character" w:customStyle="1" w:styleId="Heading7Char">
    <w:name w:val="Heading 7 Char"/>
    <w:link w:val="Heading7"/>
    <w:uiPriority w:val="99"/>
    <w:semiHidden/>
    <w:locked/>
    <w:rsid w:val="001455A0"/>
    <w:rPr>
      <w:rFonts w:ascii="Calibri" w:eastAsia="SimSun" w:hAnsi="Calibri" w:cs="Arial"/>
      <w:sz w:val="24"/>
      <w:szCs w:val="24"/>
      <w:lang w:val="en-GB" w:eastAsia="en-US"/>
    </w:rPr>
  </w:style>
  <w:style w:type="character" w:customStyle="1" w:styleId="Heading8Char">
    <w:name w:val="Heading 8 Char"/>
    <w:link w:val="Heading8"/>
    <w:uiPriority w:val="99"/>
    <w:semiHidden/>
    <w:locked/>
    <w:rsid w:val="001455A0"/>
    <w:rPr>
      <w:rFonts w:ascii="Calibri" w:eastAsia="SimSun" w:hAnsi="Calibri" w:cs="Arial"/>
      <w:i/>
      <w:iCs/>
      <w:sz w:val="24"/>
      <w:szCs w:val="24"/>
      <w:lang w:val="en-GB" w:eastAsia="en-US"/>
    </w:rPr>
  </w:style>
  <w:style w:type="character" w:customStyle="1" w:styleId="Heading9Char">
    <w:name w:val="Heading 9 Char"/>
    <w:link w:val="Heading9"/>
    <w:uiPriority w:val="99"/>
    <w:semiHidden/>
    <w:locked/>
    <w:rsid w:val="001455A0"/>
    <w:rPr>
      <w:rFonts w:ascii="Cambria" w:eastAsia="SimSun" w:hAnsi="Cambria" w:cs="Times New Roman"/>
      <w:lang w:val="en-GB" w:eastAsia="en-US"/>
    </w:rPr>
  </w:style>
  <w:style w:type="paragraph" w:styleId="TOC8">
    <w:name w:val="toc 8"/>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99"/>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99"/>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uiPriority w:val="99"/>
    <w:rsid w:val="004D1851"/>
    <w:pPr>
      <w:ind w:left="1698"/>
    </w:pPr>
  </w:style>
  <w:style w:type="paragraph" w:styleId="Index6">
    <w:name w:val="index 6"/>
    <w:basedOn w:val="Normal"/>
    <w:next w:val="Normal"/>
    <w:uiPriority w:val="99"/>
    <w:rsid w:val="004D1851"/>
    <w:pPr>
      <w:ind w:left="1415"/>
    </w:pPr>
  </w:style>
  <w:style w:type="paragraph" w:styleId="Index5">
    <w:name w:val="index 5"/>
    <w:basedOn w:val="Normal"/>
    <w:next w:val="Normal"/>
    <w:uiPriority w:val="99"/>
    <w:rsid w:val="004D1851"/>
    <w:pPr>
      <w:ind w:left="1132"/>
    </w:pPr>
  </w:style>
  <w:style w:type="paragraph" w:styleId="Index4">
    <w:name w:val="index 4"/>
    <w:basedOn w:val="Normal"/>
    <w:next w:val="Normal"/>
    <w:uiPriority w:val="99"/>
    <w:rsid w:val="004D1851"/>
    <w:pPr>
      <w:ind w:left="849"/>
    </w:pPr>
  </w:style>
  <w:style w:type="paragraph" w:styleId="Index3">
    <w:name w:val="index 3"/>
    <w:basedOn w:val="Normal"/>
    <w:next w:val="Normal"/>
    <w:uiPriority w:val="99"/>
    <w:rsid w:val="004D1851"/>
    <w:pPr>
      <w:ind w:left="566"/>
    </w:pPr>
  </w:style>
  <w:style w:type="paragraph" w:styleId="Index2">
    <w:name w:val="index 2"/>
    <w:basedOn w:val="Normal"/>
    <w:next w:val="Normal"/>
    <w:uiPriority w:val="99"/>
    <w:rsid w:val="004D1851"/>
    <w:pPr>
      <w:ind w:left="283"/>
    </w:pPr>
  </w:style>
  <w:style w:type="paragraph" w:styleId="Index1">
    <w:name w:val="index 1"/>
    <w:basedOn w:val="Normal"/>
    <w:next w:val="Normal"/>
    <w:uiPriority w:val="99"/>
    <w:rsid w:val="004D1851"/>
  </w:style>
  <w:style w:type="character" w:styleId="LineNumber">
    <w:name w:val="line number"/>
    <w:uiPriority w:val="99"/>
    <w:rsid w:val="004D1851"/>
    <w:rPr>
      <w:rFonts w:cs="Times New Roman"/>
    </w:rPr>
  </w:style>
  <w:style w:type="paragraph" w:styleId="IndexHeading">
    <w:name w:val="index heading"/>
    <w:basedOn w:val="Normal"/>
    <w:next w:val="Index1"/>
    <w:uiPriority w:val="99"/>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link w:val="Footer"/>
    <w:uiPriority w:val="99"/>
    <w:semiHidden/>
    <w:locked/>
    <w:rsid w:val="001455A0"/>
    <w:rPr>
      <w:rFonts w:ascii="Calibri" w:hAnsi="Calibri" w:cs="Times New Roman"/>
      <w:sz w:val="20"/>
      <w:szCs w:val="20"/>
      <w:lang w:val="en-GB" w:eastAsia="en-US"/>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link w:val="Header"/>
    <w:uiPriority w:val="99"/>
    <w:semiHidden/>
    <w:locked/>
    <w:rsid w:val="001455A0"/>
    <w:rPr>
      <w:rFonts w:ascii="Calibri" w:hAnsi="Calibri" w:cs="Times New Roman"/>
      <w:sz w:val="20"/>
      <w:szCs w:val="20"/>
      <w:lang w:val="en-GB" w:eastAsia="en-US"/>
    </w:rPr>
  </w:style>
  <w:style w:type="character" w:styleId="FootnoteReference">
    <w:name w:val="footnote reference"/>
    <w:uiPriority w:val="99"/>
    <w:rsid w:val="00813E5E"/>
    <w:rPr>
      <w:rFonts w:ascii="Calibri" w:hAnsi="Calibri" w:cs="Times New Roman"/>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character" w:customStyle="1" w:styleId="FootnoteTextChar">
    <w:name w:val="Footnote Text Char"/>
    <w:link w:val="FootnoteText"/>
    <w:uiPriority w:val="99"/>
    <w:semiHidden/>
    <w:locked/>
    <w:rsid w:val="001455A0"/>
    <w:rPr>
      <w:rFonts w:ascii="Calibri" w:hAnsi="Calibri" w:cs="Times New Roman"/>
      <w:sz w:val="20"/>
      <w:szCs w:val="20"/>
      <w:lang w:val="en-GB" w:eastAsia="en-US"/>
    </w:rPr>
  </w:style>
  <w:style w:type="paragraph" w:styleId="NormalIndent">
    <w:name w:val="Normal Indent"/>
    <w:basedOn w:val="Normal"/>
    <w:uiPriority w:val="99"/>
    <w:rsid w:val="00813E5E"/>
    <w:pPr>
      <w:ind w:left="567"/>
    </w:pPr>
  </w:style>
  <w:style w:type="paragraph" w:customStyle="1" w:styleId="enumlev1">
    <w:name w:val="enumlev1"/>
    <w:basedOn w:val="Normal"/>
    <w:uiPriority w:val="99"/>
    <w:rsid w:val="00813E5E"/>
    <w:pPr>
      <w:spacing w:before="86"/>
      <w:ind w:left="567" w:hanging="567"/>
    </w:pPr>
  </w:style>
  <w:style w:type="paragraph" w:customStyle="1" w:styleId="enumlev2">
    <w:name w:val="enumlev2"/>
    <w:basedOn w:val="enumlev1"/>
    <w:uiPriority w:val="99"/>
    <w:rsid w:val="00813E5E"/>
    <w:pPr>
      <w:ind w:left="1134"/>
    </w:pPr>
  </w:style>
  <w:style w:type="paragraph" w:customStyle="1" w:styleId="enumlev3">
    <w:name w:val="enumlev3"/>
    <w:basedOn w:val="enumlev2"/>
    <w:uiPriority w:val="99"/>
    <w:rsid w:val="00813E5E"/>
    <w:pPr>
      <w:ind w:left="1701"/>
    </w:pPr>
  </w:style>
  <w:style w:type="paragraph" w:customStyle="1" w:styleId="Normalaftertitle">
    <w:name w:val="Normal after title"/>
    <w:basedOn w:val="Normal"/>
    <w:next w:val="Normal"/>
    <w:uiPriority w:val="99"/>
    <w:rsid w:val="00813E5E"/>
    <w:pPr>
      <w:spacing w:before="240"/>
    </w:pPr>
  </w:style>
  <w:style w:type="paragraph" w:customStyle="1" w:styleId="Equation">
    <w:name w:val="Equation"/>
    <w:basedOn w:val="Normal"/>
    <w:uiPriority w:val="99"/>
    <w:rsid w:val="004D1851"/>
    <w:pPr>
      <w:tabs>
        <w:tab w:val="center" w:pos="4820"/>
        <w:tab w:val="right" w:pos="9639"/>
      </w:tabs>
    </w:pPr>
  </w:style>
  <w:style w:type="paragraph" w:customStyle="1" w:styleId="Head">
    <w:name w:val="Head"/>
    <w:basedOn w:val="Normal"/>
    <w:uiPriority w:val="99"/>
    <w:rsid w:val="004D1851"/>
    <w:pPr>
      <w:tabs>
        <w:tab w:val="left" w:pos="6663"/>
      </w:tabs>
      <w:overflowPunct/>
      <w:autoSpaceDE/>
      <w:autoSpaceDN/>
      <w:adjustRightInd/>
      <w:spacing w:before="0"/>
      <w:textAlignment w:val="auto"/>
    </w:pPr>
  </w:style>
  <w:style w:type="paragraph" w:customStyle="1" w:styleId="toc0">
    <w:name w:val="toc 0"/>
    <w:basedOn w:val="Normal"/>
    <w:next w:val="TOC1"/>
    <w:uiPriority w:val="99"/>
    <w:rsid w:val="00813E5E"/>
    <w:pPr>
      <w:tabs>
        <w:tab w:val="clear" w:pos="567"/>
        <w:tab w:val="clear" w:pos="1134"/>
        <w:tab w:val="clear" w:pos="1701"/>
        <w:tab w:val="clear" w:pos="2268"/>
        <w:tab w:val="clear" w:pos="2835"/>
        <w:tab w:val="right" w:pos="9781"/>
      </w:tabs>
    </w:pPr>
    <w:rPr>
      <w:b/>
    </w:rPr>
  </w:style>
  <w:style w:type="paragraph" w:styleId="List">
    <w:name w:val="List"/>
    <w:basedOn w:val="Normal"/>
    <w:uiPriority w:val="99"/>
    <w:rsid w:val="004D1851"/>
    <w:pPr>
      <w:tabs>
        <w:tab w:val="left" w:pos="2127"/>
      </w:tabs>
      <w:ind w:left="2127" w:hanging="2127"/>
    </w:pPr>
  </w:style>
  <w:style w:type="paragraph" w:customStyle="1" w:styleId="Part">
    <w:name w:val="Part"/>
    <w:basedOn w:val="Normal"/>
    <w:next w:val="Normal"/>
    <w:uiPriority w:val="99"/>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uiPriority w:val="99"/>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uiPriority w:val="99"/>
    <w:rsid w:val="00890BC3"/>
    <w:pPr>
      <w:framePr w:hSpace="180" w:wrap="around" w:hAnchor="margin" w:y="-675"/>
      <w:spacing w:before="840"/>
      <w:jc w:val="center"/>
    </w:pPr>
    <w:rPr>
      <w:b/>
      <w:sz w:val="28"/>
    </w:rPr>
  </w:style>
  <w:style w:type="paragraph" w:customStyle="1" w:styleId="Title1">
    <w:name w:val="Title 1"/>
    <w:basedOn w:val="Source"/>
    <w:next w:val="Title2"/>
    <w:uiPriority w:val="99"/>
    <w:rsid w:val="00813E5E"/>
    <w:pPr>
      <w:framePr w:wrap="around"/>
      <w:spacing w:before="240"/>
    </w:pPr>
    <w:rPr>
      <w:b w:val="0"/>
      <w:caps/>
    </w:rPr>
  </w:style>
  <w:style w:type="paragraph" w:customStyle="1" w:styleId="Title2">
    <w:name w:val="Title 2"/>
    <w:basedOn w:val="Source"/>
    <w:next w:val="Title3"/>
    <w:uiPriority w:val="99"/>
    <w:rsid w:val="00813E5E"/>
    <w:pPr>
      <w:framePr w:wrap="around"/>
      <w:spacing w:before="240"/>
    </w:pPr>
    <w:rPr>
      <w:b w:val="0"/>
      <w:caps/>
    </w:rPr>
  </w:style>
  <w:style w:type="paragraph" w:customStyle="1" w:styleId="Title3">
    <w:name w:val="Title 3"/>
    <w:basedOn w:val="Title2"/>
    <w:next w:val="Normalaftertitle"/>
    <w:uiPriority w:val="99"/>
    <w:rsid w:val="00813E5E"/>
    <w:pPr>
      <w:framePr w:wrap="around"/>
    </w:pPr>
    <w:rPr>
      <w:caps w:val="0"/>
    </w:rPr>
  </w:style>
  <w:style w:type="paragraph" w:customStyle="1" w:styleId="meeting">
    <w:name w:val="meeting"/>
    <w:basedOn w:val="Head"/>
    <w:next w:val="Head"/>
    <w:uiPriority w:val="99"/>
    <w:rsid w:val="004D1851"/>
    <w:pPr>
      <w:tabs>
        <w:tab w:val="left" w:pos="7371"/>
      </w:tabs>
      <w:spacing w:after="567"/>
    </w:pPr>
  </w:style>
  <w:style w:type="paragraph" w:customStyle="1" w:styleId="Subject">
    <w:name w:val="Subject"/>
    <w:basedOn w:val="Normal"/>
    <w:next w:val="Source"/>
    <w:uiPriority w:val="99"/>
    <w:rsid w:val="004D1851"/>
    <w:pPr>
      <w:spacing w:before="0"/>
      <w:ind w:left="1134" w:hanging="1134"/>
    </w:pPr>
  </w:style>
  <w:style w:type="paragraph" w:customStyle="1" w:styleId="Object">
    <w:name w:val="Object"/>
    <w:basedOn w:val="Subject"/>
    <w:next w:val="Subject"/>
    <w:uiPriority w:val="99"/>
    <w:rsid w:val="004D1851"/>
  </w:style>
  <w:style w:type="paragraph" w:customStyle="1" w:styleId="Data1">
    <w:name w:val="Data1"/>
    <w:basedOn w:val="Subject"/>
    <w:next w:val="Subject"/>
    <w:uiPriority w:val="99"/>
    <w:rsid w:val="004D1851"/>
  </w:style>
  <w:style w:type="paragraph" w:customStyle="1" w:styleId="Reasons">
    <w:name w:val="Reasons"/>
    <w:basedOn w:val="Normal"/>
    <w:uiPriority w:val="99"/>
    <w:rsid w:val="00813E5E"/>
  </w:style>
  <w:style w:type="character" w:styleId="Hyperlink">
    <w:name w:val="Hyperlink"/>
    <w:uiPriority w:val="99"/>
    <w:rsid w:val="00813E5E"/>
    <w:rPr>
      <w:rFonts w:cs="Times New Roman"/>
      <w:color w:val="0000FF"/>
      <w:u w:val="single"/>
    </w:rPr>
  </w:style>
  <w:style w:type="paragraph" w:customStyle="1" w:styleId="FirstFooter">
    <w:name w:val="FirstFooter"/>
    <w:basedOn w:val="Footer"/>
    <w:uiPriority w:val="99"/>
    <w:rsid w:val="00813E5E"/>
    <w:rPr>
      <w:caps w:val="0"/>
    </w:rPr>
  </w:style>
  <w:style w:type="paragraph" w:customStyle="1" w:styleId="Note">
    <w:name w:val="Note"/>
    <w:basedOn w:val="Normal"/>
    <w:uiPriority w:val="99"/>
    <w:rsid w:val="00813E5E"/>
    <w:pPr>
      <w:tabs>
        <w:tab w:val="clear" w:pos="567"/>
        <w:tab w:val="left" w:pos="851"/>
      </w:tabs>
    </w:pPr>
  </w:style>
  <w:style w:type="paragraph" w:styleId="TOC9">
    <w:name w:val="toc 9"/>
    <w:basedOn w:val="TOC4"/>
    <w:uiPriority w:val="99"/>
    <w:rsid w:val="004D1851"/>
  </w:style>
  <w:style w:type="paragraph" w:customStyle="1" w:styleId="Headingb">
    <w:name w:val="Heading_b"/>
    <w:basedOn w:val="Heading3"/>
    <w:next w:val="Normal"/>
    <w:link w:val="HeadingbChar"/>
    <w:rsid w:val="00813E5E"/>
    <w:pPr>
      <w:spacing w:before="160"/>
      <w:outlineLvl w:val="0"/>
    </w:pPr>
  </w:style>
  <w:style w:type="character" w:styleId="FollowedHyperlink">
    <w:name w:val="FollowedHyperlink"/>
    <w:uiPriority w:val="99"/>
    <w:rsid w:val="00813E5E"/>
    <w:rPr>
      <w:rFonts w:cs="Times New Roman"/>
      <w:color w:val="800080"/>
      <w:u w:val="single"/>
    </w:rPr>
  </w:style>
  <w:style w:type="paragraph" w:customStyle="1" w:styleId="Title4">
    <w:name w:val="Title 4"/>
    <w:basedOn w:val="Title3"/>
    <w:next w:val="Heading1"/>
    <w:uiPriority w:val="99"/>
    <w:rsid w:val="004D1851"/>
    <w:pPr>
      <w:framePr w:wrap="around"/>
    </w:pPr>
    <w:rPr>
      <w:b/>
    </w:rPr>
  </w:style>
  <w:style w:type="paragraph" w:customStyle="1" w:styleId="dnum">
    <w:name w:val="dnum"/>
    <w:basedOn w:val="Normal"/>
    <w:uiPriority w:val="99"/>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uiPriority w:val="99"/>
    <w:rsid w:val="00813E5E"/>
    <w:pPr>
      <w:spacing w:before="720"/>
      <w:jc w:val="center"/>
    </w:pPr>
    <w:rPr>
      <w:caps/>
      <w:sz w:val="28"/>
    </w:rPr>
  </w:style>
  <w:style w:type="paragraph" w:customStyle="1" w:styleId="Annexref">
    <w:name w:val="Annex_ref"/>
    <w:basedOn w:val="Normal"/>
    <w:next w:val="Annextitle"/>
    <w:uiPriority w:val="99"/>
    <w:rsid w:val="00813E5E"/>
    <w:pPr>
      <w:jc w:val="center"/>
    </w:pPr>
  </w:style>
  <w:style w:type="paragraph" w:customStyle="1" w:styleId="Annextitle">
    <w:name w:val="Annex_title"/>
    <w:basedOn w:val="Normal"/>
    <w:next w:val="Normal"/>
    <w:uiPriority w:val="99"/>
    <w:rsid w:val="00813E5E"/>
    <w:pPr>
      <w:spacing w:before="240" w:after="240"/>
      <w:jc w:val="center"/>
    </w:pPr>
    <w:rPr>
      <w:b/>
      <w:sz w:val="28"/>
    </w:rPr>
  </w:style>
  <w:style w:type="paragraph" w:customStyle="1" w:styleId="AppendixNo">
    <w:name w:val="Appendix_No"/>
    <w:basedOn w:val="AnnexNo"/>
    <w:next w:val="Appendixref"/>
    <w:uiPriority w:val="99"/>
    <w:rsid w:val="00813E5E"/>
  </w:style>
  <w:style w:type="paragraph" w:customStyle="1" w:styleId="Appendixref">
    <w:name w:val="Appendix_ref"/>
    <w:basedOn w:val="Annexref"/>
    <w:next w:val="Appendixtitle"/>
    <w:uiPriority w:val="99"/>
    <w:rsid w:val="00813E5E"/>
  </w:style>
  <w:style w:type="paragraph" w:customStyle="1" w:styleId="Appendixtitle">
    <w:name w:val="Appendix_title"/>
    <w:basedOn w:val="Annextitle"/>
    <w:next w:val="Normal"/>
    <w:uiPriority w:val="99"/>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uiPriority w:val="99"/>
    <w:rsid w:val="004D1851"/>
    <w:rPr>
      <w:rFonts w:cs="Times New Roman"/>
      <w:vertAlign w:val="superscript"/>
    </w:rPr>
  </w:style>
  <w:style w:type="paragraph" w:customStyle="1" w:styleId="Equationlegend">
    <w:name w:val="Equation_legend"/>
    <w:basedOn w:val="Normal"/>
    <w:uiPriority w:val="99"/>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uiPriority w:val="99"/>
    <w:rsid w:val="004D1851"/>
    <w:pPr>
      <w:keepNext/>
      <w:keepLines/>
      <w:spacing w:after="120"/>
      <w:jc w:val="center"/>
    </w:pPr>
  </w:style>
  <w:style w:type="paragraph" w:customStyle="1" w:styleId="Figuretitle">
    <w:name w:val="Figure_title"/>
    <w:basedOn w:val="Tabletitle"/>
    <w:next w:val="Normalaftertitle"/>
    <w:uiPriority w:val="99"/>
    <w:rsid w:val="004D1851"/>
    <w:pPr>
      <w:spacing w:before="240" w:after="480"/>
    </w:pPr>
  </w:style>
  <w:style w:type="paragraph" w:customStyle="1" w:styleId="Tabletitle">
    <w:name w:val="Table_title"/>
    <w:basedOn w:val="TableNo"/>
    <w:next w:val="Tabletext"/>
    <w:uiPriority w:val="99"/>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uiPriority w:val="99"/>
    <w:rsid w:val="00813E5E"/>
    <w:pPr>
      <w:keepNext/>
      <w:spacing w:before="560" w:after="120"/>
      <w:jc w:val="center"/>
    </w:pPr>
    <w:rPr>
      <w:caps/>
    </w:rPr>
  </w:style>
  <w:style w:type="paragraph" w:customStyle="1" w:styleId="Tabletext">
    <w:name w:val="Table_text"/>
    <w:basedOn w:val="Normal"/>
    <w:uiPriority w:val="99"/>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uiPriority w:val="99"/>
    <w:rsid w:val="004D1851"/>
    <w:pPr>
      <w:keepNext/>
      <w:keepLines/>
      <w:spacing w:before="20" w:after="20"/>
    </w:pPr>
    <w:rPr>
      <w:sz w:val="18"/>
    </w:rPr>
  </w:style>
  <w:style w:type="paragraph" w:customStyle="1" w:styleId="FigureNo">
    <w:name w:val="Figure_No"/>
    <w:basedOn w:val="Normal"/>
    <w:next w:val="Figuretitle"/>
    <w:uiPriority w:val="99"/>
    <w:rsid w:val="004D1851"/>
    <w:pPr>
      <w:keepNext/>
      <w:keepLines/>
      <w:spacing w:before="240" w:after="120"/>
      <w:jc w:val="center"/>
    </w:pPr>
    <w:rPr>
      <w:caps/>
    </w:rPr>
  </w:style>
  <w:style w:type="paragraph" w:customStyle="1" w:styleId="Figurewithouttitle">
    <w:name w:val="Figure_without_title"/>
    <w:basedOn w:val="Figure"/>
    <w:next w:val="Normalaftertitle"/>
    <w:uiPriority w:val="99"/>
    <w:rsid w:val="004D1851"/>
    <w:pPr>
      <w:keepNext w:val="0"/>
      <w:spacing w:after="240"/>
    </w:pPr>
  </w:style>
  <w:style w:type="paragraph" w:customStyle="1" w:styleId="Headingi">
    <w:name w:val="Heading_i"/>
    <w:basedOn w:val="Heading3"/>
    <w:next w:val="Normal"/>
    <w:uiPriority w:val="99"/>
    <w:rsid w:val="00813E5E"/>
    <w:pPr>
      <w:spacing w:before="160"/>
      <w:outlineLvl w:val="0"/>
    </w:pPr>
    <w:rPr>
      <w:b w:val="0"/>
      <w:i/>
    </w:rPr>
  </w:style>
  <w:style w:type="character" w:styleId="PageNumber">
    <w:name w:val="page number"/>
    <w:uiPriority w:val="99"/>
    <w:rsid w:val="00813E5E"/>
    <w:rPr>
      <w:rFonts w:ascii="Calibri" w:hAnsi="Calibri" w:cs="Times New Roman"/>
    </w:rPr>
  </w:style>
  <w:style w:type="paragraph" w:customStyle="1" w:styleId="PartNo">
    <w:name w:val="Part_No"/>
    <w:basedOn w:val="AnnexNo"/>
    <w:next w:val="Parttitle"/>
    <w:uiPriority w:val="99"/>
    <w:rsid w:val="004D1851"/>
  </w:style>
  <w:style w:type="paragraph" w:customStyle="1" w:styleId="Parttitle">
    <w:name w:val="Part_title"/>
    <w:basedOn w:val="Annextitle"/>
    <w:next w:val="Partref"/>
    <w:uiPriority w:val="99"/>
    <w:rsid w:val="004D1851"/>
  </w:style>
  <w:style w:type="paragraph" w:customStyle="1" w:styleId="Partref">
    <w:name w:val="Part_ref"/>
    <w:basedOn w:val="Annexref"/>
    <w:next w:val="Normalaftertitle"/>
    <w:uiPriority w:val="99"/>
    <w:rsid w:val="004D1851"/>
  </w:style>
  <w:style w:type="paragraph" w:customStyle="1" w:styleId="RecNo">
    <w:name w:val="Rec_No"/>
    <w:basedOn w:val="Normal"/>
    <w:next w:val="Rectitle"/>
    <w:uiPriority w:val="99"/>
    <w:rsid w:val="00813E5E"/>
    <w:pPr>
      <w:spacing w:before="720"/>
      <w:jc w:val="center"/>
    </w:pPr>
    <w:rPr>
      <w:caps/>
      <w:sz w:val="28"/>
    </w:rPr>
  </w:style>
  <w:style w:type="paragraph" w:customStyle="1" w:styleId="Rectitle">
    <w:name w:val="Rec_title"/>
    <w:basedOn w:val="Normal"/>
    <w:next w:val="Heading1"/>
    <w:uiPriority w:val="99"/>
    <w:rsid w:val="00813E5E"/>
    <w:pPr>
      <w:spacing w:before="240"/>
      <w:jc w:val="center"/>
    </w:pPr>
    <w:rPr>
      <w:b/>
      <w:sz w:val="28"/>
    </w:rPr>
  </w:style>
  <w:style w:type="paragraph" w:customStyle="1" w:styleId="Recref">
    <w:name w:val="Rec_ref"/>
    <w:basedOn w:val="Rectitle"/>
    <w:next w:val="Recdate"/>
    <w:uiPriority w:val="99"/>
    <w:rsid w:val="004D1851"/>
    <w:pPr>
      <w:spacing w:before="120"/>
    </w:pPr>
    <w:rPr>
      <w:rFonts w:ascii="Times New Roman" w:hAnsi="Times New Roman"/>
      <w:b w:val="0"/>
      <w:sz w:val="24"/>
    </w:rPr>
  </w:style>
  <w:style w:type="paragraph" w:customStyle="1" w:styleId="Recdate">
    <w:name w:val="Rec_date"/>
    <w:basedOn w:val="Recref"/>
    <w:next w:val="Normalaftertitle"/>
    <w:uiPriority w:val="99"/>
    <w:rsid w:val="004D1851"/>
    <w:pPr>
      <w:jc w:val="right"/>
    </w:pPr>
    <w:rPr>
      <w:sz w:val="22"/>
    </w:rPr>
  </w:style>
  <w:style w:type="paragraph" w:customStyle="1" w:styleId="Questiondate">
    <w:name w:val="Question_date"/>
    <w:basedOn w:val="Recdate"/>
    <w:next w:val="Normalaftertitle"/>
    <w:uiPriority w:val="99"/>
    <w:rsid w:val="004D1851"/>
  </w:style>
  <w:style w:type="paragraph" w:customStyle="1" w:styleId="QuestionNo">
    <w:name w:val="Question_No"/>
    <w:basedOn w:val="RecNo"/>
    <w:next w:val="Questiontitle"/>
    <w:uiPriority w:val="99"/>
    <w:rsid w:val="004D1851"/>
  </w:style>
  <w:style w:type="paragraph" w:customStyle="1" w:styleId="Questiontitle">
    <w:name w:val="Question_title"/>
    <w:basedOn w:val="Rectitle"/>
    <w:next w:val="Questionref"/>
    <w:uiPriority w:val="99"/>
    <w:rsid w:val="004D1851"/>
  </w:style>
  <w:style w:type="paragraph" w:customStyle="1" w:styleId="Questionref">
    <w:name w:val="Question_ref"/>
    <w:basedOn w:val="Recref"/>
    <w:next w:val="Questiondate"/>
    <w:uiPriority w:val="99"/>
    <w:rsid w:val="004D1851"/>
  </w:style>
  <w:style w:type="paragraph" w:customStyle="1" w:styleId="Reftext">
    <w:name w:val="Ref_text"/>
    <w:basedOn w:val="Normal"/>
    <w:uiPriority w:val="99"/>
    <w:rsid w:val="00813E5E"/>
    <w:pPr>
      <w:ind w:left="567" w:hanging="567"/>
    </w:pPr>
  </w:style>
  <w:style w:type="paragraph" w:customStyle="1" w:styleId="Reftitle">
    <w:name w:val="Ref_title"/>
    <w:basedOn w:val="Normal"/>
    <w:next w:val="Reftext"/>
    <w:uiPriority w:val="99"/>
    <w:rsid w:val="00813E5E"/>
    <w:pPr>
      <w:spacing w:before="480"/>
      <w:jc w:val="center"/>
    </w:pPr>
    <w:rPr>
      <w:caps/>
      <w:sz w:val="28"/>
    </w:rPr>
  </w:style>
  <w:style w:type="paragraph" w:customStyle="1" w:styleId="Repdate">
    <w:name w:val="Rep_date"/>
    <w:basedOn w:val="Recdate"/>
    <w:next w:val="Normalaftertitle"/>
    <w:uiPriority w:val="99"/>
    <w:rsid w:val="004D1851"/>
  </w:style>
  <w:style w:type="paragraph" w:customStyle="1" w:styleId="RepNo">
    <w:name w:val="Rep_No"/>
    <w:basedOn w:val="RecNo"/>
    <w:next w:val="Reptitle"/>
    <w:uiPriority w:val="99"/>
    <w:rsid w:val="004D1851"/>
  </w:style>
  <w:style w:type="paragraph" w:customStyle="1" w:styleId="Reptitle">
    <w:name w:val="Rep_title"/>
    <w:basedOn w:val="Rectitle"/>
    <w:next w:val="Repref"/>
    <w:uiPriority w:val="99"/>
    <w:rsid w:val="004D1851"/>
  </w:style>
  <w:style w:type="paragraph" w:customStyle="1" w:styleId="Repref">
    <w:name w:val="Rep_ref"/>
    <w:basedOn w:val="Recref"/>
    <w:next w:val="Repdate"/>
    <w:uiPriority w:val="99"/>
    <w:rsid w:val="004D1851"/>
  </w:style>
  <w:style w:type="paragraph" w:customStyle="1" w:styleId="Resdate">
    <w:name w:val="Res_date"/>
    <w:basedOn w:val="Recdate"/>
    <w:next w:val="Normalaftertitle"/>
    <w:uiPriority w:val="99"/>
    <w:rsid w:val="004D1851"/>
  </w:style>
  <w:style w:type="paragraph" w:customStyle="1" w:styleId="ResNo">
    <w:name w:val="Res_No"/>
    <w:basedOn w:val="AnnexNo"/>
    <w:next w:val="Restitle"/>
    <w:uiPriority w:val="99"/>
    <w:rsid w:val="00813E5E"/>
  </w:style>
  <w:style w:type="paragraph" w:customStyle="1" w:styleId="Restitle">
    <w:name w:val="Res_title"/>
    <w:basedOn w:val="Annextitle"/>
    <w:next w:val="Normal"/>
    <w:uiPriority w:val="99"/>
    <w:rsid w:val="00813E5E"/>
  </w:style>
  <w:style w:type="paragraph" w:customStyle="1" w:styleId="Resref">
    <w:name w:val="Res_ref"/>
    <w:basedOn w:val="Recref"/>
    <w:next w:val="Resdate"/>
    <w:uiPriority w:val="99"/>
    <w:rsid w:val="004D1851"/>
  </w:style>
  <w:style w:type="paragraph" w:customStyle="1" w:styleId="SectionNo">
    <w:name w:val="Section_No"/>
    <w:basedOn w:val="AnnexNo"/>
    <w:next w:val="Sectiontitle"/>
    <w:uiPriority w:val="99"/>
    <w:rsid w:val="004D1851"/>
  </w:style>
  <w:style w:type="paragraph" w:customStyle="1" w:styleId="Sectiontitle">
    <w:name w:val="Section_title"/>
    <w:basedOn w:val="Normal"/>
    <w:next w:val="Normalaftertitle"/>
    <w:uiPriority w:val="99"/>
    <w:rsid w:val="004D1851"/>
    <w:rPr>
      <w:sz w:val="28"/>
    </w:rPr>
  </w:style>
  <w:style w:type="paragraph" w:customStyle="1" w:styleId="SpecialFooter">
    <w:name w:val="Special Footer"/>
    <w:basedOn w:val="Footer"/>
    <w:uiPriority w:val="99"/>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uiPriority w:val="99"/>
    <w:rsid w:val="00813E5E"/>
    <w:pPr>
      <w:spacing w:before="120" w:after="120"/>
      <w:jc w:val="center"/>
    </w:pPr>
    <w:rPr>
      <w:b/>
    </w:rPr>
  </w:style>
  <w:style w:type="paragraph" w:customStyle="1" w:styleId="Tablelegend">
    <w:name w:val="Table_legend"/>
    <w:basedOn w:val="Tabletext"/>
    <w:uiPriority w:val="99"/>
    <w:rsid w:val="00813E5E"/>
    <w:pPr>
      <w:spacing w:before="120"/>
    </w:pPr>
  </w:style>
  <w:style w:type="paragraph" w:customStyle="1" w:styleId="Tableref">
    <w:name w:val="Table_ref"/>
    <w:basedOn w:val="Normal"/>
    <w:next w:val="Tabletitle"/>
    <w:uiPriority w:val="99"/>
    <w:rsid w:val="004D1851"/>
    <w:pPr>
      <w:keepNext/>
      <w:spacing w:before="567"/>
      <w:jc w:val="center"/>
    </w:pPr>
  </w:style>
  <w:style w:type="paragraph" w:customStyle="1" w:styleId="Artheading">
    <w:name w:val="Art_heading"/>
    <w:basedOn w:val="Normal"/>
    <w:next w:val="Normalaftertitle"/>
    <w:uiPriority w:val="99"/>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uiPriority w:val="99"/>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uiPriority w:val="99"/>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uiPriority w:val="99"/>
    <w:rsid w:val="00813E5E"/>
  </w:style>
  <w:style w:type="paragraph" w:customStyle="1" w:styleId="Chaptitle">
    <w:name w:val="Chap_title"/>
    <w:basedOn w:val="Arttitle"/>
    <w:next w:val="Normal"/>
    <w:uiPriority w:val="99"/>
    <w:rsid w:val="00813E5E"/>
  </w:style>
  <w:style w:type="paragraph" w:customStyle="1" w:styleId="firstfooter0">
    <w:name w:val="firstfooter"/>
    <w:basedOn w:val="Normal"/>
    <w:uiPriority w:val="99"/>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uiPriority w:val="99"/>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AnnexRef0">
    <w:name w:val="Annex_Ref"/>
    <w:basedOn w:val="Normal"/>
    <w:next w:val="Normal"/>
    <w:uiPriority w:val="99"/>
    <w:rsid w:val="0000194A"/>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lang w:val="fr-FR"/>
    </w:rPr>
  </w:style>
  <w:style w:type="paragraph" w:customStyle="1" w:styleId="call0">
    <w:name w:val="call"/>
    <w:basedOn w:val="Normal"/>
    <w:next w:val="Normal"/>
    <w:uiPriority w:val="99"/>
    <w:rsid w:val="0000194A"/>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lang w:val="fr-FR"/>
    </w:rPr>
  </w:style>
  <w:style w:type="paragraph" w:styleId="BodyText">
    <w:name w:val="Body Text"/>
    <w:basedOn w:val="Normal"/>
    <w:link w:val="BodyTextChar"/>
    <w:uiPriority w:val="99"/>
    <w:rsid w:val="0000194A"/>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lang w:val="fr-FR"/>
    </w:rPr>
  </w:style>
  <w:style w:type="character" w:customStyle="1" w:styleId="BodyTextChar">
    <w:name w:val="Body Text Char"/>
    <w:link w:val="BodyText"/>
    <w:uiPriority w:val="99"/>
    <w:locked/>
    <w:rsid w:val="0000194A"/>
    <w:rPr>
      <w:rFonts w:ascii="Times New Roman" w:hAnsi="Times New Roman" w:cs="Times New Roman"/>
      <w:sz w:val="24"/>
      <w:lang w:val="fr-FR" w:eastAsia="en-US"/>
    </w:rPr>
  </w:style>
  <w:style w:type="paragraph" w:styleId="BlockText">
    <w:name w:val="Block Text"/>
    <w:basedOn w:val="Normal"/>
    <w:uiPriority w:val="99"/>
    <w:rsid w:val="0000194A"/>
    <w:pPr>
      <w:tabs>
        <w:tab w:val="clear" w:pos="567"/>
        <w:tab w:val="clear" w:pos="1134"/>
        <w:tab w:val="clear" w:pos="1701"/>
        <w:tab w:val="clear" w:pos="2268"/>
        <w:tab w:val="clear" w:pos="2835"/>
        <w:tab w:val="left" w:pos="794"/>
        <w:tab w:val="left" w:pos="1191"/>
        <w:tab w:val="left" w:pos="1588"/>
        <w:tab w:val="left" w:pos="1872"/>
        <w:tab w:val="left" w:pos="1985"/>
        <w:tab w:val="right" w:pos="9214"/>
      </w:tabs>
      <w:spacing w:after="120"/>
      <w:ind w:left="284" w:right="851"/>
    </w:pPr>
    <w:rPr>
      <w:rFonts w:ascii="Times New Roman" w:hAnsi="Times New Roman"/>
      <w:lang w:val="fr-FR"/>
    </w:rPr>
  </w:style>
  <w:style w:type="paragraph" w:styleId="BodyText3">
    <w:name w:val="Body Text 3"/>
    <w:basedOn w:val="Normal"/>
    <w:link w:val="BodyText3Char"/>
    <w:uiPriority w:val="99"/>
    <w:rsid w:val="0000194A"/>
    <w:pPr>
      <w:tabs>
        <w:tab w:val="clear" w:pos="567"/>
        <w:tab w:val="clear" w:pos="1134"/>
        <w:tab w:val="clear" w:pos="1701"/>
        <w:tab w:val="clear" w:pos="2268"/>
        <w:tab w:val="clear" w:pos="2835"/>
        <w:tab w:val="left" w:pos="1191"/>
        <w:tab w:val="left" w:pos="1588"/>
        <w:tab w:val="left" w:pos="1872"/>
        <w:tab w:val="left" w:pos="1985"/>
        <w:tab w:val="right" w:pos="9214"/>
      </w:tabs>
      <w:spacing w:after="120"/>
      <w:ind w:right="851"/>
    </w:pPr>
    <w:rPr>
      <w:rFonts w:ascii="Times New Roman" w:hAnsi="Times New Roman"/>
      <w:lang w:val="fr-FR"/>
    </w:rPr>
  </w:style>
  <w:style w:type="character" w:customStyle="1" w:styleId="BodyText3Char">
    <w:name w:val="Body Text 3 Char"/>
    <w:link w:val="BodyText3"/>
    <w:uiPriority w:val="99"/>
    <w:locked/>
    <w:rsid w:val="0000194A"/>
    <w:rPr>
      <w:rFonts w:ascii="Times New Roman" w:hAnsi="Times New Roman" w:cs="Times New Roman"/>
      <w:sz w:val="24"/>
      <w:lang w:val="fr-FR" w:eastAsia="en-US"/>
    </w:rPr>
  </w:style>
  <w:style w:type="paragraph" w:styleId="BodyTextIndent2">
    <w:name w:val="Body Text Indent 2"/>
    <w:basedOn w:val="Normal"/>
    <w:link w:val="BodyTextIndent2Char"/>
    <w:uiPriority w:val="99"/>
    <w:rsid w:val="0000194A"/>
    <w:pPr>
      <w:tabs>
        <w:tab w:val="clear" w:pos="567"/>
        <w:tab w:val="clear" w:pos="1134"/>
        <w:tab w:val="clear" w:pos="1701"/>
        <w:tab w:val="clear" w:pos="2268"/>
        <w:tab w:val="clear" w:pos="2835"/>
        <w:tab w:val="left" w:pos="794"/>
        <w:tab w:val="left" w:pos="1191"/>
        <w:tab w:val="left" w:pos="1588"/>
        <w:tab w:val="left" w:pos="1985"/>
      </w:tabs>
      <w:ind w:left="1588" w:hanging="1588"/>
    </w:pPr>
    <w:rPr>
      <w:rFonts w:ascii="Times New Roman" w:hAnsi="Times New Roman"/>
      <w:lang w:val="fr-FR"/>
    </w:rPr>
  </w:style>
  <w:style w:type="character" w:customStyle="1" w:styleId="BodyTextIndent2Char">
    <w:name w:val="Body Text Indent 2 Char"/>
    <w:link w:val="BodyTextIndent2"/>
    <w:uiPriority w:val="99"/>
    <w:locked/>
    <w:rsid w:val="0000194A"/>
    <w:rPr>
      <w:rFonts w:ascii="Times New Roman" w:hAnsi="Times New Roman" w:cs="Times New Roman"/>
      <w:sz w:val="24"/>
      <w:lang w:val="fr-FR" w:eastAsia="en-US"/>
    </w:rPr>
  </w:style>
  <w:style w:type="paragraph" w:styleId="DocumentMap">
    <w:name w:val="Document Map"/>
    <w:basedOn w:val="Normal"/>
    <w:link w:val="DocumentMapChar"/>
    <w:uiPriority w:val="99"/>
    <w:rsid w:val="0000194A"/>
    <w:pPr>
      <w:shd w:val="clear" w:color="auto" w:fill="000080"/>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20"/>
      <w:lang w:val="fr-FR"/>
    </w:rPr>
  </w:style>
  <w:style w:type="character" w:customStyle="1" w:styleId="DocumentMapChar">
    <w:name w:val="Document Map Char"/>
    <w:link w:val="DocumentMap"/>
    <w:uiPriority w:val="99"/>
    <w:locked/>
    <w:rsid w:val="0000194A"/>
    <w:rPr>
      <w:rFonts w:ascii="Tahoma" w:hAnsi="Tahoma" w:cs="Tahoma"/>
      <w:shd w:val="clear" w:color="auto" w:fill="000080"/>
      <w:lang w:val="fr-FR" w:eastAsia="en-US"/>
    </w:rPr>
  </w:style>
  <w:style w:type="paragraph" w:customStyle="1" w:styleId="normal0pt">
    <w:name w:val="normal 0 pt"/>
    <w:basedOn w:val="Normal"/>
    <w:uiPriority w:val="99"/>
    <w:rsid w:val="002D4D11"/>
    <w:pPr>
      <w:tabs>
        <w:tab w:val="clear" w:pos="567"/>
        <w:tab w:val="clear" w:pos="1134"/>
        <w:tab w:val="clear" w:pos="1701"/>
        <w:tab w:val="clear" w:pos="2268"/>
        <w:tab w:val="clear" w:pos="2835"/>
        <w:tab w:val="left" w:pos="794"/>
        <w:tab w:val="left" w:pos="1191"/>
        <w:tab w:val="left" w:pos="1588"/>
        <w:tab w:val="left" w:pos="1985"/>
      </w:tabs>
      <w:spacing w:before="0"/>
      <w:jc w:val="center"/>
      <w:outlineLvl w:val="0"/>
    </w:pPr>
    <w:rPr>
      <w:b/>
      <w:bCs/>
      <w:sz w:val="20"/>
      <w:lang w:val="en-US"/>
    </w:rPr>
  </w:style>
  <w:style w:type="paragraph" w:styleId="BalloonText">
    <w:name w:val="Balloon Text"/>
    <w:basedOn w:val="Normal"/>
    <w:link w:val="BalloonTextChar"/>
    <w:uiPriority w:val="99"/>
    <w:rsid w:val="00955F1F"/>
    <w:pPr>
      <w:spacing w:before="0"/>
    </w:pPr>
    <w:rPr>
      <w:rFonts w:ascii="Tahoma" w:hAnsi="Tahoma" w:cs="Tahoma"/>
      <w:sz w:val="16"/>
      <w:szCs w:val="16"/>
    </w:rPr>
  </w:style>
  <w:style w:type="character" w:customStyle="1" w:styleId="BalloonTextChar">
    <w:name w:val="Balloon Text Char"/>
    <w:link w:val="BalloonText"/>
    <w:uiPriority w:val="99"/>
    <w:locked/>
    <w:rsid w:val="00955F1F"/>
    <w:rPr>
      <w:rFonts w:ascii="Tahoma" w:hAnsi="Tahoma" w:cs="Tahoma"/>
      <w:sz w:val="16"/>
      <w:szCs w:val="16"/>
      <w:lang w:val="en-GB" w:eastAsia="en-US"/>
    </w:rPr>
  </w:style>
  <w:style w:type="paragraph" w:styleId="NormalWeb">
    <w:name w:val="Normal (Web)"/>
    <w:basedOn w:val="Normal"/>
    <w:link w:val="NormalWebChar"/>
    <w:uiPriority w:val="99"/>
    <w:rsid w:val="0043741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ListParagraph">
    <w:name w:val="List Paragraph"/>
    <w:basedOn w:val="Normal"/>
    <w:uiPriority w:val="34"/>
    <w:qFormat/>
    <w:rsid w:val="0043741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customStyle="1" w:styleId="apple-style-span">
    <w:name w:val="apple-style-span"/>
    <w:uiPriority w:val="99"/>
    <w:rsid w:val="0043741F"/>
    <w:rPr>
      <w:rFonts w:cs="Times New Roman"/>
    </w:rPr>
  </w:style>
  <w:style w:type="character" w:customStyle="1" w:styleId="CallChar">
    <w:name w:val="Call Char"/>
    <w:link w:val="Call"/>
    <w:locked/>
    <w:rsid w:val="00F06A5A"/>
    <w:rPr>
      <w:rFonts w:ascii="Calibri" w:hAnsi="Calibri" w:cs="Times New Roman"/>
      <w:i/>
      <w:sz w:val="24"/>
      <w:lang w:val="en-GB" w:eastAsia="en-US"/>
    </w:rPr>
  </w:style>
  <w:style w:type="paragraph" w:customStyle="1" w:styleId="plist">
    <w:name w:val="plist"/>
    <w:basedOn w:val="Normal"/>
    <w:uiPriority w:val="99"/>
    <w:rsid w:val="008D653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styleId="Emphasis">
    <w:name w:val="Emphasis"/>
    <w:uiPriority w:val="99"/>
    <w:qFormat/>
    <w:locked/>
    <w:rsid w:val="002C6660"/>
    <w:rPr>
      <w:rFonts w:cs="Times New Roman"/>
      <w:b/>
      <w:bCs/>
    </w:rPr>
  </w:style>
  <w:style w:type="character" w:styleId="Strong">
    <w:name w:val="Strong"/>
    <w:uiPriority w:val="22"/>
    <w:qFormat/>
    <w:locked/>
    <w:rsid w:val="0075210C"/>
    <w:rPr>
      <w:rFonts w:cs="Times New Roman"/>
      <w:b/>
      <w:bCs/>
    </w:rPr>
  </w:style>
  <w:style w:type="character" w:customStyle="1" w:styleId="NormalWebChar">
    <w:name w:val="Normal (Web) Char"/>
    <w:link w:val="NormalWeb"/>
    <w:uiPriority w:val="99"/>
    <w:locked/>
    <w:rsid w:val="00466D93"/>
    <w:rPr>
      <w:rFonts w:ascii="Times New Roman" w:hAnsi="Times New Roman"/>
      <w:sz w:val="24"/>
      <w:szCs w:val="24"/>
      <w:lang w:val="en-US" w:eastAsia="en-US"/>
    </w:rPr>
  </w:style>
  <w:style w:type="character" w:customStyle="1" w:styleId="verde1">
    <w:name w:val="verde1"/>
    <w:rsid w:val="00B8209E"/>
    <w:rPr>
      <w:color w:val="00959B"/>
    </w:rPr>
  </w:style>
  <w:style w:type="character" w:customStyle="1" w:styleId="st1">
    <w:name w:val="st1"/>
    <w:basedOn w:val="DefaultParagraphFont"/>
    <w:rsid w:val="00E03360"/>
  </w:style>
  <w:style w:type="character" w:styleId="CommentReference">
    <w:name w:val="annotation reference"/>
    <w:uiPriority w:val="99"/>
    <w:semiHidden/>
    <w:unhideWhenUsed/>
    <w:locked/>
    <w:rsid w:val="00D32E39"/>
    <w:rPr>
      <w:sz w:val="16"/>
      <w:szCs w:val="16"/>
    </w:rPr>
  </w:style>
  <w:style w:type="paragraph" w:styleId="CommentText">
    <w:name w:val="annotation text"/>
    <w:basedOn w:val="Normal"/>
    <w:link w:val="CommentTextChar"/>
    <w:uiPriority w:val="99"/>
    <w:semiHidden/>
    <w:unhideWhenUsed/>
    <w:locked/>
    <w:rsid w:val="00D32E39"/>
    <w:rPr>
      <w:sz w:val="20"/>
    </w:rPr>
  </w:style>
  <w:style w:type="character" w:customStyle="1" w:styleId="CommentTextChar">
    <w:name w:val="Comment Text Char"/>
    <w:link w:val="CommentText"/>
    <w:uiPriority w:val="99"/>
    <w:semiHidden/>
    <w:rsid w:val="00D32E39"/>
    <w:rPr>
      <w:rFonts w:ascii="Calibri" w:hAnsi="Calibri"/>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D32E39"/>
    <w:rPr>
      <w:b/>
      <w:bCs/>
    </w:rPr>
  </w:style>
  <w:style w:type="character" w:customStyle="1" w:styleId="CommentSubjectChar">
    <w:name w:val="Comment Subject Char"/>
    <w:link w:val="CommentSubject"/>
    <w:uiPriority w:val="99"/>
    <w:semiHidden/>
    <w:rsid w:val="00D32E39"/>
    <w:rPr>
      <w:rFonts w:ascii="Calibri" w:hAnsi="Calibri"/>
      <w:b/>
      <w:bCs/>
      <w:sz w:val="20"/>
      <w:szCs w:val="20"/>
      <w:lang w:val="en-GB" w:eastAsia="en-US"/>
    </w:rPr>
  </w:style>
  <w:style w:type="paragraph" w:styleId="Revision">
    <w:name w:val="Revision"/>
    <w:hidden/>
    <w:uiPriority w:val="99"/>
    <w:semiHidden/>
    <w:rsid w:val="00E6154C"/>
    <w:rPr>
      <w:rFonts w:ascii="Calibri" w:hAnsi="Calibri"/>
      <w:sz w:val="24"/>
      <w:lang w:val="en-GB" w:eastAsia="en-US"/>
    </w:rPr>
  </w:style>
  <w:style w:type="table" w:styleId="TableGrid">
    <w:name w:val="Table Grid"/>
    <w:basedOn w:val="TableNormal"/>
    <w:uiPriority w:val="59"/>
    <w:locked/>
    <w:rsid w:val="001E2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next w:val="Normal"/>
    <w:rsid w:val="005E0600"/>
    <w:pPr>
      <w:spacing w:before="360" w:after="120"/>
    </w:pPr>
    <w:rPr>
      <w:rFonts w:ascii="Calibri" w:eastAsia="SimHei" w:hAnsi="Calibri" w:cs="Simplified Arabic"/>
      <w:sz w:val="24"/>
      <w:szCs w:val="28"/>
      <w:lang w:val="en-GB" w:eastAsia="en-US"/>
    </w:rPr>
  </w:style>
  <w:style w:type="character" w:customStyle="1" w:styleId="HeadingbChar">
    <w:name w:val="Heading_b Char"/>
    <w:link w:val="Headingb"/>
    <w:locked/>
    <w:rsid w:val="00CC5002"/>
    <w:rPr>
      <w:rFonts w:ascii="Calibri" w:hAnsi="Calibri"/>
      <w:b/>
      <w:sz w:val="24"/>
      <w:szCs w:val="20"/>
      <w:lang w:val="en-GB" w:eastAsia="en-US"/>
    </w:rPr>
  </w:style>
  <w:style w:type="paragraph" w:customStyle="1" w:styleId="BDTParagraphHead">
    <w:name w:val="BDT_Paragraph Head"/>
    <w:basedOn w:val="Normal"/>
    <w:next w:val="Normal"/>
    <w:qFormat/>
    <w:rsid w:val="00CC3130"/>
    <w:pPr>
      <w:tabs>
        <w:tab w:val="clear" w:pos="567"/>
        <w:tab w:val="clear" w:pos="1134"/>
        <w:tab w:val="clear" w:pos="1701"/>
        <w:tab w:val="clear" w:pos="2268"/>
        <w:tab w:val="clear" w:pos="2835"/>
      </w:tabs>
      <w:overflowPunct/>
      <w:autoSpaceDE/>
      <w:autoSpaceDN/>
      <w:adjustRightInd/>
      <w:spacing w:before="360" w:after="120"/>
      <w:textAlignment w:val="auto"/>
    </w:pPr>
    <w:rPr>
      <w:rFonts w:ascii="Verdana" w:hAnsi="Verdana"/>
      <w:b/>
      <w:bCs/>
      <w:sz w:val="19"/>
      <w:szCs w:val="19"/>
      <w:lang w:val="fr-FR"/>
    </w:rPr>
  </w:style>
  <w:style w:type="character" w:customStyle="1" w:styleId="FontStyle19">
    <w:name w:val="Font Style19"/>
    <w:rsid w:val="0057184D"/>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340">
      <w:bodyDiv w:val="1"/>
      <w:marLeft w:val="0"/>
      <w:marRight w:val="0"/>
      <w:marTop w:val="0"/>
      <w:marBottom w:val="0"/>
      <w:divBdr>
        <w:top w:val="none" w:sz="0" w:space="0" w:color="auto"/>
        <w:left w:val="none" w:sz="0" w:space="0" w:color="auto"/>
        <w:bottom w:val="none" w:sz="0" w:space="0" w:color="auto"/>
        <w:right w:val="none" w:sz="0" w:space="0" w:color="auto"/>
      </w:divBdr>
    </w:div>
    <w:div w:id="68774553">
      <w:bodyDiv w:val="1"/>
      <w:marLeft w:val="0"/>
      <w:marRight w:val="0"/>
      <w:marTop w:val="0"/>
      <w:marBottom w:val="0"/>
      <w:divBdr>
        <w:top w:val="none" w:sz="0" w:space="0" w:color="auto"/>
        <w:left w:val="none" w:sz="0" w:space="0" w:color="auto"/>
        <w:bottom w:val="none" w:sz="0" w:space="0" w:color="auto"/>
        <w:right w:val="none" w:sz="0" w:space="0" w:color="auto"/>
      </w:divBdr>
    </w:div>
    <w:div w:id="163205328">
      <w:bodyDiv w:val="1"/>
      <w:marLeft w:val="0"/>
      <w:marRight w:val="0"/>
      <w:marTop w:val="0"/>
      <w:marBottom w:val="0"/>
      <w:divBdr>
        <w:top w:val="none" w:sz="0" w:space="0" w:color="auto"/>
        <w:left w:val="none" w:sz="0" w:space="0" w:color="auto"/>
        <w:bottom w:val="none" w:sz="0" w:space="0" w:color="auto"/>
        <w:right w:val="none" w:sz="0" w:space="0" w:color="auto"/>
      </w:divBdr>
    </w:div>
    <w:div w:id="213348452">
      <w:bodyDiv w:val="1"/>
      <w:marLeft w:val="0"/>
      <w:marRight w:val="0"/>
      <w:marTop w:val="0"/>
      <w:marBottom w:val="0"/>
      <w:divBdr>
        <w:top w:val="none" w:sz="0" w:space="0" w:color="auto"/>
        <w:left w:val="none" w:sz="0" w:space="0" w:color="auto"/>
        <w:bottom w:val="none" w:sz="0" w:space="0" w:color="auto"/>
        <w:right w:val="none" w:sz="0" w:space="0" w:color="auto"/>
      </w:divBdr>
    </w:div>
    <w:div w:id="286199567">
      <w:bodyDiv w:val="1"/>
      <w:marLeft w:val="0"/>
      <w:marRight w:val="0"/>
      <w:marTop w:val="0"/>
      <w:marBottom w:val="0"/>
      <w:divBdr>
        <w:top w:val="none" w:sz="0" w:space="0" w:color="auto"/>
        <w:left w:val="none" w:sz="0" w:space="0" w:color="auto"/>
        <w:bottom w:val="none" w:sz="0" w:space="0" w:color="auto"/>
        <w:right w:val="none" w:sz="0" w:space="0" w:color="auto"/>
      </w:divBdr>
    </w:div>
    <w:div w:id="347567455">
      <w:bodyDiv w:val="1"/>
      <w:marLeft w:val="0"/>
      <w:marRight w:val="0"/>
      <w:marTop w:val="0"/>
      <w:marBottom w:val="0"/>
      <w:divBdr>
        <w:top w:val="none" w:sz="0" w:space="0" w:color="auto"/>
        <w:left w:val="none" w:sz="0" w:space="0" w:color="auto"/>
        <w:bottom w:val="none" w:sz="0" w:space="0" w:color="auto"/>
        <w:right w:val="none" w:sz="0" w:space="0" w:color="auto"/>
      </w:divBdr>
    </w:div>
    <w:div w:id="406462290">
      <w:bodyDiv w:val="1"/>
      <w:marLeft w:val="0"/>
      <w:marRight w:val="0"/>
      <w:marTop w:val="0"/>
      <w:marBottom w:val="0"/>
      <w:divBdr>
        <w:top w:val="none" w:sz="0" w:space="0" w:color="auto"/>
        <w:left w:val="none" w:sz="0" w:space="0" w:color="auto"/>
        <w:bottom w:val="none" w:sz="0" w:space="0" w:color="auto"/>
        <w:right w:val="none" w:sz="0" w:space="0" w:color="auto"/>
      </w:divBdr>
    </w:div>
    <w:div w:id="557517569">
      <w:bodyDiv w:val="1"/>
      <w:marLeft w:val="0"/>
      <w:marRight w:val="0"/>
      <w:marTop w:val="0"/>
      <w:marBottom w:val="0"/>
      <w:divBdr>
        <w:top w:val="none" w:sz="0" w:space="0" w:color="auto"/>
        <w:left w:val="none" w:sz="0" w:space="0" w:color="auto"/>
        <w:bottom w:val="none" w:sz="0" w:space="0" w:color="auto"/>
        <w:right w:val="none" w:sz="0" w:space="0" w:color="auto"/>
      </w:divBdr>
    </w:div>
    <w:div w:id="561059529">
      <w:bodyDiv w:val="1"/>
      <w:marLeft w:val="0"/>
      <w:marRight w:val="0"/>
      <w:marTop w:val="0"/>
      <w:marBottom w:val="0"/>
      <w:divBdr>
        <w:top w:val="none" w:sz="0" w:space="0" w:color="auto"/>
        <w:left w:val="none" w:sz="0" w:space="0" w:color="auto"/>
        <w:bottom w:val="none" w:sz="0" w:space="0" w:color="auto"/>
        <w:right w:val="none" w:sz="0" w:space="0" w:color="auto"/>
      </w:divBdr>
    </w:div>
    <w:div w:id="688726135">
      <w:bodyDiv w:val="1"/>
      <w:marLeft w:val="0"/>
      <w:marRight w:val="0"/>
      <w:marTop w:val="0"/>
      <w:marBottom w:val="0"/>
      <w:divBdr>
        <w:top w:val="none" w:sz="0" w:space="0" w:color="auto"/>
        <w:left w:val="none" w:sz="0" w:space="0" w:color="auto"/>
        <w:bottom w:val="none" w:sz="0" w:space="0" w:color="auto"/>
        <w:right w:val="none" w:sz="0" w:space="0" w:color="auto"/>
      </w:divBdr>
    </w:div>
    <w:div w:id="745079058">
      <w:bodyDiv w:val="1"/>
      <w:marLeft w:val="0"/>
      <w:marRight w:val="0"/>
      <w:marTop w:val="0"/>
      <w:marBottom w:val="0"/>
      <w:divBdr>
        <w:top w:val="none" w:sz="0" w:space="0" w:color="auto"/>
        <w:left w:val="none" w:sz="0" w:space="0" w:color="auto"/>
        <w:bottom w:val="none" w:sz="0" w:space="0" w:color="auto"/>
        <w:right w:val="none" w:sz="0" w:space="0" w:color="auto"/>
      </w:divBdr>
    </w:div>
    <w:div w:id="761879292">
      <w:bodyDiv w:val="1"/>
      <w:marLeft w:val="0"/>
      <w:marRight w:val="0"/>
      <w:marTop w:val="0"/>
      <w:marBottom w:val="0"/>
      <w:divBdr>
        <w:top w:val="none" w:sz="0" w:space="0" w:color="auto"/>
        <w:left w:val="none" w:sz="0" w:space="0" w:color="auto"/>
        <w:bottom w:val="none" w:sz="0" w:space="0" w:color="auto"/>
        <w:right w:val="none" w:sz="0" w:space="0" w:color="auto"/>
      </w:divBdr>
    </w:div>
    <w:div w:id="777483281">
      <w:bodyDiv w:val="1"/>
      <w:marLeft w:val="0"/>
      <w:marRight w:val="0"/>
      <w:marTop w:val="0"/>
      <w:marBottom w:val="0"/>
      <w:divBdr>
        <w:top w:val="none" w:sz="0" w:space="0" w:color="auto"/>
        <w:left w:val="none" w:sz="0" w:space="0" w:color="auto"/>
        <w:bottom w:val="none" w:sz="0" w:space="0" w:color="auto"/>
        <w:right w:val="none" w:sz="0" w:space="0" w:color="auto"/>
      </w:divBdr>
    </w:div>
    <w:div w:id="787696044">
      <w:bodyDiv w:val="1"/>
      <w:marLeft w:val="0"/>
      <w:marRight w:val="0"/>
      <w:marTop w:val="0"/>
      <w:marBottom w:val="0"/>
      <w:divBdr>
        <w:top w:val="none" w:sz="0" w:space="0" w:color="auto"/>
        <w:left w:val="none" w:sz="0" w:space="0" w:color="auto"/>
        <w:bottom w:val="none" w:sz="0" w:space="0" w:color="auto"/>
        <w:right w:val="none" w:sz="0" w:space="0" w:color="auto"/>
      </w:divBdr>
    </w:div>
    <w:div w:id="941688792">
      <w:bodyDiv w:val="1"/>
      <w:marLeft w:val="0"/>
      <w:marRight w:val="0"/>
      <w:marTop w:val="0"/>
      <w:marBottom w:val="0"/>
      <w:divBdr>
        <w:top w:val="none" w:sz="0" w:space="0" w:color="auto"/>
        <w:left w:val="none" w:sz="0" w:space="0" w:color="auto"/>
        <w:bottom w:val="none" w:sz="0" w:space="0" w:color="auto"/>
        <w:right w:val="none" w:sz="0" w:space="0" w:color="auto"/>
      </w:divBdr>
    </w:div>
    <w:div w:id="981694186">
      <w:bodyDiv w:val="1"/>
      <w:marLeft w:val="0"/>
      <w:marRight w:val="0"/>
      <w:marTop w:val="0"/>
      <w:marBottom w:val="0"/>
      <w:divBdr>
        <w:top w:val="none" w:sz="0" w:space="0" w:color="auto"/>
        <w:left w:val="none" w:sz="0" w:space="0" w:color="auto"/>
        <w:bottom w:val="none" w:sz="0" w:space="0" w:color="auto"/>
        <w:right w:val="none" w:sz="0" w:space="0" w:color="auto"/>
      </w:divBdr>
    </w:div>
    <w:div w:id="1030686787">
      <w:bodyDiv w:val="1"/>
      <w:marLeft w:val="0"/>
      <w:marRight w:val="0"/>
      <w:marTop w:val="0"/>
      <w:marBottom w:val="0"/>
      <w:divBdr>
        <w:top w:val="none" w:sz="0" w:space="0" w:color="auto"/>
        <w:left w:val="none" w:sz="0" w:space="0" w:color="auto"/>
        <w:bottom w:val="none" w:sz="0" w:space="0" w:color="auto"/>
        <w:right w:val="none" w:sz="0" w:space="0" w:color="auto"/>
      </w:divBdr>
    </w:div>
    <w:div w:id="1062798831">
      <w:bodyDiv w:val="1"/>
      <w:marLeft w:val="0"/>
      <w:marRight w:val="0"/>
      <w:marTop w:val="0"/>
      <w:marBottom w:val="0"/>
      <w:divBdr>
        <w:top w:val="none" w:sz="0" w:space="0" w:color="auto"/>
        <w:left w:val="none" w:sz="0" w:space="0" w:color="auto"/>
        <w:bottom w:val="none" w:sz="0" w:space="0" w:color="auto"/>
        <w:right w:val="none" w:sz="0" w:space="0" w:color="auto"/>
      </w:divBdr>
      <w:divsChild>
        <w:div w:id="282461493">
          <w:marLeft w:val="0"/>
          <w:marRight w:val="0"/>
          <w:marTop w:val="0"/>
          <w:marBottom w:val="0"/>
          <w:divBdr>
            <w:top w:val="none" w:sz="0" w:space="0" w:color="auto"/>
            <w:left w:val="none" w:sz="0" w:space="0" w:color="auto"/>
            <w:bottom w:val="none" w:sz="0" w:space="0" w:color="auto"/>
            <w:right w:val="none" w:sz="0" w:space="0" w:color="auto"/>
          </w:divBdr>
          <w:divsChild>
            <w:div w:id="1860968297">
              <w:marLeft w:val="0"/>
              <w:marRight w:val="0"/>
              <w:marTop w:val="0"/>
              <w:marBottom w:val="0"/>
              <w:divBdr>
                <w:top w:val="none" w:sz="0" w:space="0" w:color="auto"/>
                <w:left w:val="none" w:sz="0" w:space="0" w:color="auto"/>
                <w:bottom w:val="none" w:sz="0" w:space="0" w:color="auto"/>
                <w:right w:val="none" w:sz="0" w:space="0" w:color="auto"/>
              </w:divBdr>
              <w:divsChild>
                <w:div w:id="317343461">
                  <w:marLeft w:val="0"/>
                  <w:marRight w:val="0"/>
                  <w:marTop w:val="225"/>
                  <w:marBottom w:val="150"/>
                  <w:divBdr>
                    <w:top w:val="none" w:sz="0" w:space="0" w:color="auto"/>
                    <w:left w:val="none" w:sz="0" w:space="0" w:color="auto"/>
                    <w:bottom w:val="none" w:sz="0" w:space="0" w:color="auto"/>
                    <w:right w:val="none" w:sz="0" w:space="0" w:color="auto"/>
                  </w:divBdr>
                  <w:divsChild>
                    <w:div w:id="1254706565">
                      <w:marLeft w:val="0"/>
                      <w:marRight w:val="0"/>
                      <w:marTop w:val="0"/>
                      <w:marBottom w:val="0"/>
                      <w:divBdr>
                        <w:top w:val="none" w:sz="0" w:space="0" w:color="auto"/>
                        <w:left w:val="none" w:sz="0" w:space="0" w:color="auto"/>
                        <w:bottom w:val="none" w:sz="0" w:space="0" w:color="auto"/>
                        <w:right w:val="none" w:sz="0" w:space="0" w:color="auto"/>
                      </w:divBdr>
                      <w:divsChild>
                        <w:div w:id="49152636">
                          <w:marLeft w:val="150"/>
                          <w:marRight w:val="0"/>
                          <w:marTop w:val="75"/>
                          <w:marBottom w:val="75"/>
                          <w:divBdr>
                            <w:top w:val="none" w:sz="0" w:space="0" w:color="auto"/>
                            <w:left w:val="none" w:sz="0" w:space="0" w:color="auto"/>
                            <w:bottom w:val="none" w:sz="0" w:space="0" w:color="auto"/>
                            <w:right w:val="none" w:sz="0" w:space="0" w:color="auto"/>
                          </w:divBdr>
                          <w:divsChild>
                            <w:div w:id="7417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1510">
      <w:bodyDiv w:val="1"/>
      <w:marLeft w:val="0"/>
      <w:marRight w:val="0"/>
      <w:marTop w:val="0"/>
      <w:marBottom w:val="0"/>
      <w:divBdr>
        <w:top w:val="none" w:sz="0" w:space="0" w:color="auto"/>
        <w:left w:val="none" w:sz="0" w:space="0" w:color="auto"/>
        <w:bottom w:val="none" w:sz="0" w:space="0" w:color="auto"/>
        <w:right w:val="none" w:sz="0" w:space="0" w:color="auto"/>
      </w:divBdr>
    </w:div>
    <w:div w:id="1693724048">
      <w:bodyDiv w:val="1"/>
      <w:marLeft w:val="0"/>
      <w:marRight w:val="0"/>
      <w:marTop w:val="0"/>
      <w:marBottom w:val="0"/>
      <w:divBdr>
        <w:top w:val="none" w:sz="0" w:space="0" w:color="auto"/>
        <w:left w:val="none" w:sz="0" w:space="0" w:color="auto"/>
        <w:bottom w:val="none" w:sz="0" w:space="0" w:color="auto"/>
        <w:right w:val="none" w:sz="0" w:space="0" w:color="auto"/>
      </w:divBdr>
    </w:div>
    <w:div w:id="1936549959">
      <w:marLeft w:val="0"/>
      <w:marRight w:val="0"/>
      <w:marTop w:val="0"/>
      <w:marBottom w:val="0"/>
      <w:divBdr>
        <w:top w:val="none" w:sz="0" w:space="0" w:color="auto"/>
        <w:left w:val="none" w:sz="0" w:space="0" w:color="auto"/>
        <w:bottom w:val="none" w:sz="0" w:space="0" w:color="auto"/>
        <w:right w:val="none" w:sz="0" w:space="0" w:color="auto"/>
      </w:divBdr>
    </w:div>
    <w:div w:id="1936549960">
      <w:marLeft w:val="0"/>
      <w:marRight w:val="0"/>
      <w:marTop w:val="0"/>
      <w:marBottom w:val="0"/>
      <w:divBdr>
        <w:top w:val="none" w:sz="0" w:space="0" w:color="auto"/>
        <w:left w:val="none" w:sz="0" w:space="0" w:color="auto"/>
        <w:bottom w:val="none" w:sz="0" w:space="0" w:color="auto"/>
        <w:right w:val="none" w:sz="0" w:space="0" w:color="auto"/>
      </w:divBdr>
    </w:div>
    <w:div w:id="1936549961">
      <w:marLeft w:val="0"/>
      <w:marRight w:val="0"/>
      <w:marTop w:val="0"/>
      <w:marBottom w:val="0"/>
      <w:divBdr>
        <w:top w:val="none" w:sz="0" w:space="0" w:color="auto"/>
        <w:left w:val="none" w:sz="0" w:space="0" w:color="auto"/>
        <w:bottom w:val="none" w:sz="0" w:space="0" w:color="auto"/>
        <w:right w:val="none" w:sz="0" w:space="0" w:color="auto"/>
      </w:divBdr>
    </w:div>
    <w:div w:id="1936549963">
      <w:marLeft w:val="0"/>
      <w:marRight w:val="0"/>
      <w:marTop w:val="0"/>
      <w:marBottom w:val="0"/>
      <w:divBdr>
        <w:top w:val="none" w:sz="0" w:space="0" w:color="auto"/>
        <w:left w:val="none" w:sz="0" w:space="0" w:color="auto"/>
        <w:bottom w:val="none" w:sz="0" w:space="0" w:color="auto"/>
        <w:right w:val="none" w:sz="0" w:space="0" w:color="auto"/>
      </w:divBdr>
      <w:divsChild>
        <w:div w:id="1936549968">
          <w:marLeft w:val="0"/>
          <w:marRight w:val="0"/>
          <w:marTop w:val="0"/>
          <w:marBottom w:val="0"/>
          <w:divBdr>
            <w:top w:val="none" w:sz="0" w:space="0" w:color="auto"/>
            <w:left w:val="none" w:sz="0" w:space="0" w:color="auto"/>
            <w:bottom w:val="none" w:sz="0" w:space="0" w:color="auto"/>
            <w:right w:val="none" w:sz="0" w:space="0" w:color="auto"/>
          </w:divBdr>
          <w:divsChild>
            <w:div w:id="1936549962">
              <w:marLeft w:val="0"/>
              <w:marRight w:val="0"/>
              <w:marTop w:val="0"/>
              <w:marBottom w:val="0"/>
              <w:divBdr>
                <w:top w:val="none" w:sz="0" w:space="0" w:color="auto"/>
                <w:left w:val="none" w:sz="0" w:space="0" w:color="auto"/>
                <w:bottom w:val="none" w:sz="0" w:space="0" w:color="auto"/>
                <w:right w:val="none" w:sz="0" w:space="0" w:color="auto"/>
              </w:divBdr>
            </w:div>
            <w:div w:id="1936549964">
              <w:marLeft w:val="0"/>
              <w:marRight w:val="0"/>
              <w:marTop w:val="0"/>
              <w:marBottom w:val="0"/>
              <w:divBdr>
                <w:top w:val="none" w:sz="0" w:space="0" w:color="auto"/>
                <w:left w:val="none" w:sz="0" w:space="0" w:color="auto"/>
                <w:bottom w:val="none" w:sz="0" w:space="0" w:color="auto"/>
                <w:right w:val="none" w:sz="0" w:space="0" w:color="auto"/>
              </w:divBdr>
            </w:div>
            <w:div w:id="1936549965">
              <w:marLeft w:val="0"/>
              <w:marRight w:val="0"/>
              <w:marTop w:val="0"/>
              <w:marBottom w:val="0"/>
              <w:divBdr>
                <w:top w:val="none" w:sz="0" w:space="0" w:color="auto"/>
                <w:left w:val="none" w:sz="0" w:space="0" w:color="auto"/>
                <w:bottom w:val="none" w:sz="0" w:space="0" w:color="auto"/>
                <w:right w:val="none" w:sz="0" w:space="0" w:color="auto"/>
              </w:divBdr>
            </w:div>
            <w:div w:id="1936549966">
              <w:marLeft w:val="0"/>
              <w:marRight w:val="0"/>
              <w:marTop w:val="0"/>
              <w:marBottom w:val="0"/>
              <w:divBdr>
                <w:top w:val="none" w:sz="0" w:space="0" w:color="auto"/>
                <w:left w:val="none" w:sz="0" w:space="0" w:color="auto"/>
                <w:bottom w:val="none" w:sz="0" w:space="0" w:color="auto"/>
                <w:right w:val="none" w:sz="0" w:space="0" w:color="auto"/>
              </w:divBdr>
            </w:div>
            <w:div w:id="19365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063">
      <w:bodyDiv w:val="1"/>
      <w:marLeft w:val="0"/>
      <w:marRight w:val="0"/>
      <w:marTop w:val="0"/>
      <w:marBottom w:val="0"/>
      <w:divBdr>
        <w:top w:val="none" w:sz="0" w:space="0" w:color="auto"/>
        <w:left w:val="none" w:sz="0" w:space="0" w:color="auto"/>
        <w:bottom w:val="none" w:sz="0" w:space="0" w:color="auto"/>
        <w:right w:val="none" w:sz="0" w:space="0" w:color="auto"/>
      </w:divBdr>
    </w:div>
    <w:div w:id="1998024389">
      <w:bodyDiv w:val="1"/>
      <w:marLeft w:val="0"/>
      <w:marRight w:val="0"/>
      <w:marTop w:val="0"/>
      <w:marBottom w:val="0"/>
      <w:divBdr>
        <w:top w:val="none" w:sz="0" w:space="0" w:color="auto"/>
        <w:left w:val="none" w:sz="0" w:space="0" w:color="auto"/>
        <w:bottom w:val="none" w:sz="0" w:space="0" w:color="auto"/>
        <w:right w:val="none" w:sz="0" w:space="0" w:color="auto"/>
      </w:divBdr>
    </w:div>
    <w:div w:id="2000421392">
      <w:bodyDiv w:val="1"/>
      <w:marLeft w:val="0"/>
      <w:marRight w:val="0"/>
      <w:marTop w:val="0"/>
      <w:marBottom w:val="0"/>
      <w:divBdr>
        <w:top w:val="none" w:sz="0" w:space="0" w:color="auto"/>
        <w:left w:val="none" w:sz="0" w:space="0" w:color="auto"/>
        <w:bottom w:val="none" w:sz="0" w:space="0" w:color="auto"/>
        <w:right w:val="none" w:sz="0" w:space="0" w:color="auto"/>
      </w:divBdr>
    </w:div>
    <w:div w:id="2106071992">
      <w:bodyDiv w:val="1"/>
      <w:marLeft w:val="0"/>
      <w:marRight w:val="0"/>
      <w:marTop w:val="0"/>
      <w:marBottom w:val="0"/>
      <w:divBdr>
        <w:top w:val="none" w:sz="0" w:space="0" w:color="auto"/>
        <w:left w:val="none" w:sz="0" w:space="0" w:color="auto"/>
        <w:bottom w:val="none" w:sz="0" w:space="0" w:color="auto"/>
        <w:right w:val="none" w:sz="0" w:space="0" w:color="auto"/>
      </w:divBdr>
      <w:divsChild>
        <w:div w:id="577250903">
          <w:marLeft w:val="0"/>
          <w:marRight w:val="0"/>
          <w:marTop w:val="0"/>
          <w:marBottom w:val="0"/>
          <w:divBdr>
            <w:top w:val="none" w:sz="0" w:space="0" w:color="auto"/>
            <w:left w:val="none" w:sz="0" w:space="0" w:color="auto"/>
            <w:bottom w:val="none" w:sz="0" w:space="0" w:color="auto"/>
            <w:right w:val="none" w:sz="0" w:space="0" w:color="auto"/>
          </w:divBdr>
          <w:divsChild>
            <w:div w:id="636490487">
              <w:marLeft w:val="0"/>
              <w:marRight w:val="0"/>
              <w:marTop w:val="0"/>
              <w:marBottom w:val="0"/>
              <w:divBdr>
                <w:top w:val="none" w:sz="0" w:space="0" w:color="auto"/>
                <w:left w:val="none" w:sz="0" w:space="0" w:color="auto"/>
                <w:bottom w:val="none" w:sz="0" w:space="0" w:color="auto"/>
                <w:right w:val="none" w:sz="0" w:space="0" w:color="auto"/>
              </w:divBdr>
              <w:divsChild>
                <w:div w:id="5507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89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u.int/md/S14-CL-INF-0024/en"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ttp://www.itu.int/council/Basic-Texts/ResDecRec-PP10-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ttp://www.itu.int/council/Basic-Texts/ResDecRec-PP10-e.doc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itu.int/md/S14-CL-INF-0024/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C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312F7ECC54724B984EC3EA898E15B9" ma:contentTypeVersion="0" ma:contentTypeDescription="Create a new document." ma:contentTypeScope="" ma:versionID="d54ceb0e940ec004fc01c7bba7daa1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45DD-4596-4350-9294-2AF80F3DB736}">
  <ds:schemaRefs>
    <ds:schemaRef ds:uri="http://schemas.microsoft.com/sharepoint/v3/contenttype/forms"/>
  </ds:schemaRefs>
</ds:datastoreItem>
</file>

<file path=customXml/itemProps10.xml><?xml version="1.0" encoding="utf-8"?>
<ds:datastoreItem xmlns:ds="http://schemas.openxmlformats.org/officeDocument/2006/customXml" ds:itemID="{EDD37FB9-D26B-4E74-9A57-C3565C8BCFD0}">
  <ds:schemaRefs>
    <ds:schemaRef ds:uri="http://schemas.openxmlformats.org/officeDocument/2006/bibliography"/>
  </ds:schemaRefs>
</ds:datastoreItem>
</file>

<file path=customXml/itemProps11.xml><?xml version="1.0" encoding="utf-8"?>
<ds:datastoreItem xmlns:ds="http://schemas.openxmlformats.org/officeDocument/2006/customXml" ds:itemID="{B1F7B4C4-D04C-4411-B1B9-16C8D2BE8246}">
  <ds:schemaRefs>
    <ds:schemaRef ds:uri="http://schemas.openxmlformats.org/officeDocument/2006/bibliography"/>
  </ds:schemaRefs>
</ds:datastoreItem>
</file>

<file path=customXml/itemProps2.xml><?xml version="1.0" encoding="utf-8"?>
<ds:datastoreItem xmlns:ds="http://schemas.openxmlformats.org/officeDocument/2006/customXml" ds:itemID="{3D8B0FDA-9117-4DC9-A6E6-C55A1963670D}">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ED2D38-CCAD-45E4-8254-25A1A8EFA7AC}">
  <ds:schemaRefs>
    <ds:schemaRef ds:uri="http://schemas.openxmlformats.org/officeDocument/2006/bibliography"/>
  </ds:schemaRefs>
</ds:datastoreItem>
</file>

<file path=customXml/itemProps4.xml><?xml version="1.0" encoding="utf-8"?>
<ds:datastoreItem xmlns:ds="http://schemas.openxmlformats.org/officeDocument/2006/customXml" ds:itemID="{AEE8D2E3-071F-4058-8B56-3B53C5CE548C}">
  <ds:schemaRefs>
    <ds:schemaRef ds:uri="http://schemas.openxmlformats.org/officeDocument/2006/bibliography"/>
  </ds:schemaRefs>
</ds:datastoreItem>
</file>

<file path=customXml/itemProps5.xml><?xml version="1.0" encoding="utf-8"?>
<ds:datastoreItem xmlns:ds="http://schemas.openxmlformats.org/officeDocument/2006/customXml" ds:itemID="{1A42AAFC-CBCF-430D-9F0B-940688EFF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D45D998-BF14-466D-8951-BFCF2E23A88D}">
  <ds:schemaRefs>
    <ds:schemaRef ds:uri="http://schemas.openxmlformats.org/officeDocument/2006/bibliography"/>
  </ds:schemaRefs>
</ds:datastoreItem>
</file>

<file path=customXml/itemProps7.xml><?xml version="1.0" encoding="utf-8"?>
<ds:datastoreItem xmlns:ds="http://schemas.openxmlformats.org/officeDocument/2006/customXml" ds:itemID="{05A74B48-EF3E-40F8-BE94-0B079D1E5171}">
  <ds:schemaRefs>
    <ds:schemaRef ds:uri="http://schemas.openxmlformats.org/officeDocument/2006/bibliography"/>
  </ds:schemaRefs>
</ds:datastoreItem>
</file>

<file path=customXml/itemProps8.xml><?xml version="1.0" encoding="utf-8"?>
<ds:datastoreItem xmlns:ds="http://schemas.openxmlformats.org/officeDocument/2006/customXml" ds:itemID="{34CF4365-61F3-424D-B319-389CC372FF84}">
  <ds:schemaRefs>
    <ds:schemaRef ds:uri="http://schemas.openxmlformats.org/officeDocument/2006/bibliography"/>
  </ds:schemaRefs>
</ds:datastoreItem>
</file>

<file path=customXml/itemProps9.xml><?xml version="1.0" encoding="utf-8"?>
<ds:datastoreItem xmlns:ds="http://schemas.openxmlformats.org/officeDocument/2006/customXml" ds:itemID="{47916988-15EB-444A-8651-92BB6DC4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PE_C11.dotm</Template>
  <TotalTime>2</TotalTime>
  <Pages>7</Pages>
  <Words>2714</Words>
  <Characters>14426</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C14/109 - Definition of the term "ICT"</vt:lpstr>
      <vt:lpstr>C13/24 - Conformance and interoperability programme - status report and action plan</vt:lpstr>
    </vt:vector>
  </TitlesOfParts>
  <Manager>General Secretariat - Pool</Manager>
  <Company>International Telecommunication Union (ITU)</Company>
  <LinksUpToDate>false</LinksUpToDate>
  <CharactersWithSpaces>17106</CharactersWithSpaces>
  <SharedDoc>false</SharedDoc>
  <HLinks>
    <vt:vector size="30" baseType="variant">
      <vt:variant>
        <vt:i4>5505028</vt:i4>
      </vt:variant>
      <vt:variant>
        <vt:i4>9</vt:i4>
      </vt:variant>
      <vt:variant>
        <vt:i4>0</vt:i4>
      </vt:variant>
      <vt:variant>
        <vt:i4>5</vt:i4>
      </vt:variant>
      <vt:variant>
        <vt:lpwstr>http://www.itu.int/md/S14-CL-INF-0024/en</vt:lpwstr>
      </vt:variant>
      <vt:variant>
        <vt:lpwstr/>
      </vt:variant>
      <vt:variant>
        <vt:i4>5505028</vt:i4>
      </vt:variant>
      <vt:variant>
        <vt:i4>6</vt:i4>
      </vt:variant>
      <vt:variant>
        <vt:i4>0</vt:i4>
      </vt:variant>
      <vt:variant>
        <vt:i4>5</vt:i4>
      </vt:variant>
      <vt:variant>
        <vt:lpwstr>http://www.itu.int/md/S14-CL-INF-0024/en</vt:lpwstr>
      </vt:variant>
      <vt:variant>
        <vt:lpwstr/>
      </vt:variant>
      <vt:variant>
        <vt:i4>1769554</vt:i4>
      </vt:variant>
      <vt:variant>
        <vt:i4>3</vt:i4>
      </vt:variant>
      <vt:variant>
        <vt:i4>0</vt:i4>
      </vt:variant>
      <vt:variant>
        <vt:i4>5</vt:i4>
      </vt:variant>
      <vt:variant>
        <vt:lpwstr>ttp://www.itu.int/council/Basic-Texts/ResDecRec-PP10-e.docx</vt:lpwstr>
      </vt:variant>
      <vt:variant>
        <vt:lpwstr>res158</vt:lpwstr>
      </vt:variant>
      <vt:variant>
        <vt:i4>2818151</vt:i4>
      </vt:variant>
      <vt:variant>
        <vt:i4>0</vt:i4>
      </vt:variant>
      <vt:variant>
        <vt:i4>0</vt:i4>
      </vt:variant>
      <vt:variant>
        <vt:i4>5</vt:i4>
      </vt:variant>
      <vt:variant>
        <vt:lpwstr>ttp://www.itu.int/council/Basic-Texts/ResDecRec-PP10-e.docx</vt:lpwstr>
      </vt:variant>
      <vt:variant>
        <vt:lpwstr>res91</vt:lpwstr>
      </vt:variant>
      <vt:variant>
        <vt:i4>3342371</vt:i4>
      </vt:variant>
      <vt:variant>
        <vt:i4>6</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C14/109 - Definition of the term "ICT"</dc:title>
  <dc:subject>Council 2014</dc:subject>
  <dc:creator>Scholl, Reinhard</dc:creator>
  <cp:keywords/>
  <cp:lastModifiedBy>Janin, Patricia</cp:lastModifiedBy>
  <cp:revision>3</cp:revision>
  <cp:lastPrinted>2014-10-19T11:53:00Z</cp:lastPrinted>
  <dcterms:created xsi:type="dcterms:W3CDTF">2014-10-19T11:52:00Z</dcterms:created>
  <dcterms:modified xsi:type="dcterms:W3CDTF">2014-10-19T11:54:00Z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0x0101007A312F7ECC54724B984EC3EA898E15B9</vt:lpwstr>
  </property>
</Properties>
</file>