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D1614" w:rsidRPr="001503A0" w:rsidTr="006A046E">
        <w:trPr>
          <w:cantSplit/>
        </w:trPr>
        <w:tc>
          <w:tcPr>
            <w:tcW w:w="6911" w:type="dxa"/>
          </w:tcPr>
          <w:p w:rsidR="00BD1614" w:rsidRPr="001503A0" w:rsidRDefault="00BD1614" w:rsidP="006A046E">
            <w:pPr>
              <w:rPr>
                <w:b/>
                <w:bCs/>
                <w:position w:val="6"/>
                <w:szCs w:val="24"/>
                <w:lang w:val="fr-CH"/>
              </w:rPr>
            </w:pPr>
            <w:bookmarkStart w:id="0" w:name="dbreak"/>
            <w:bookmarkStart w:id="1" w:name="dpp"/>
            <w:bookmarkEnd w:id="0"/>
            <w:bookmarkEnd w:id="1"/>
            <w:r w:rsidRPr="001503A0">
              <w:rPr>
                <w:rFonts w:eastAsia="SimSun" w:cs="Traditional Arabic"/>
                <w:b/>
                <w:sz w:val="30"/>
                <w:szCs w:val="30"/>
                <w:lang w:val="fr-CH"/>
              </w:rPr>
              <w:t>Conférence de plénipotentiaires</w:t>
            </w:r>
            <w:r w:rsidRPr="001503A0">
              <w:rPr>
                <w:rFonts w:eastAsia="SimSun" w:cs="Traditional Arabic"/>
                <w:b/>
                <w:smallCaps/>
                <w:sz w:val="30"/>
                <w:szCs w:val="30"/>
                <w:lang w:val="fr-CH"/>
              </w:rPr>
              <w:t xml:space="preserve"> (PP-14)</w:t>
            </w:r>
            <w:r w:rsidRPr="001503A0">
              <w:rPr>
                <w:b/>
                <w:smallCaps/>
                <w:sz w:val="36"/>
                <w:lang w:val="fr-CH"/>
              </w:rPr>
              <w:br/>
            </w:r>
            <w:r w:rsidRPr="001503A0">
              <w:rPr>
                <w:rFonts w:eastAsia="SimSun" w:cs="Traditional Arabic"/>
                <w:b/>
                <w:bCs/>
                <w:szCs w:val="24"/>
                <w:lang w:val="fr-CH"/>
              </w:rPr>
              <w:t>Busan, 20 octobre - 7 novembre 2014</w:t>
            </w:r>
          </w:p>
        </w:tc>
        <w:tc>
          <w:tcPr>
            <w:tcW w:w="3120" w:type="dxa"/>
          </w:tcPr>
          <w:p w:rsidR="00BD1614" w:rsidRPr="001503A0" w:rsidRDefault="00BD1614" w:rsidP="006A046E">
            <w:pPr>
              <w:spacing w:before="0" w:line="240" w:lineRule="atLeast"/>
              <w:rPr>
                <w:rFonts w:cstheme="minorHAnsi"/>
                <w:lang w:val="fr-CH"/>
              </w:rPr>
            </w:pPr>
            <w:bookmarkStart w:id="2" w:name="ditulogo"/>
            <w:bookmarkEnd w:id="2"/>
            <w:r w:rsidRPr="001503A0">
              <w:rPr>
                <w:rFonts w:cstheme="minorHAnsi"/>
                <w:b/>
                <w:bCs/>
                <w:noProof/>
                <w:lang w:val="en-US" w:eastAsia="zh-CN"/>
              </w:rPr>
              <w:drawing>
                <wp:inline distT="0" distB="0" distL="0" distR="0" wp14:anchorId="17972A46" wp14:editId="1D3D841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D1614" w:rsidRPr="001503A0" w:rsidTr="006A046E">
        <w:trPr>
          <w:cantSplit/>
        </w:trPr>
        <w:tc>
          <w:tcPr>
            <w:tcW w:w="6911" w:type="dxa"/>
            <w:tcBorders>
              <w:bottom w:val="single" w:sz="12" w:space="0" w:color="auto"/>
            </w:tcBorders>
          </w:tcPr>
          <w:p w:rsidR="00BD1614" w:rsidRPr="001503A0" w:rsidRDefault="00BD1614" w:rsidP="006A046E">
            <w:pPr>
              <w:spacing w:before="0" w:after="48" w:line="240" w:lineRule="atLeast"/>
              <w:rPr>
                <w:rFonts w:cstheme="minorHAnsi"/>
                <w:b/>
                <w:smallCaps/>
                <w:szCs w:val="24"/>
                <w:lang w:val="fr-CH"/>
              </w:rPr>
            </w:pPr>
            <w:bookmarkStart w:id="3" w:name="dhead"/>
          </w:p>
        </w:tc>
        <w:tc>
          <w:tcPr>
            <w:tcW w:w="3120" w:type="dxa"/>
            <w:tcBorders>
              <w:bottom w:val="single" w:sz="12" w:space="0" w:color="auto"/>
            </w:tcBorders>
          </w:tcPr>
          <w:p w:rsidR="00BD1614" w:rsidRPr="001503A0" w:rsidRDefault="00BD1614" w:rsidP="000F58F7">
            <w:pPr>
              <w:spacing w:before="0" w:after="48" w:line="240" w:lineRule="atLeast"/>
              <w:rPr>
                <w:rFonts w:cstheme="minorHAnsi"/>
                <w:b/>
                <w:smallCaps/>
                <w:szCs w:val="24"/>
                <w:lang w:val="fr-CH"/>
              </w:rPr>
            </w:pPr>
          </w:p>
        </w:tc>
      </w:tr>
      <w:tr w:rsidR="00BD1614" w:rsidRPr="001503A0" w:rsidTr="006A046E">
        <w:trPr>
          <w:cantSplit/>
        </w:trPr>
        <w:tc>
          <w:tcPr>
            <w:tcW w:w="6911" w:type="dxa"/>
            <w:tcBorders>
              <w:top w:val="single" w:sz="12" w:space="0" w:color="auto"/>
            </w:tcBorders>
          </w:tcPr>
          <w:p w:rsidR="00BD1614" w:rsidRPr="001503A0" w:rsidRDefault="00BD1614" w:rsidP="003D637A">
            <w:pPr>
              <w:spacing w:before="0"/>
              <w:rPr>
                <w:rFonts w:cstheme="minorHAnsi"/>
                <w:b/>
                <w:smallCaps/>
                <w:szCs w:val="24"/>
                <w:lang w:val="fr-CH"/>
              </w:rPr>
            </w:pPr>
          </w:p>
        </w:tc>
        <w:tc>
          <w:tcPr>
            <w:tcW w:w="3120" w:type="dxa"/>
            <w:tcBorders>
              <w:top w:val="single" w:sz="12" w:space="0" w:color="auto"/>
            </w:tcBorders>
          </w:tcPr>
          <w:p w:rsidR="00BD1614" w:rsidRPr="001503A0" w:rsidRDefault="00BD1614" w:rsidP="003D637A">
            <w:pPr>
              <w:spacing w:before="0"/>
              <w:rPr>
                <w:rFonts w:cstheme="minorHAnsi"/>
                <w:szCs w:val="24"/>
                <w:lang w:val="fr-CH"/>
              </w:rPr>
            </w:pPr>
          </w:p>
        </w:tc>
      </w:tr>
      <w:tr w:rsidR="00BD1614" w:rsidRPr="001503A0" w:rsidTr="006A046E">
        <w:trPr>
          <w:cantSplit/>
        </w:trPr>
        <w:tc>
          <w:tcPr>
            <w:tcW w:w="6911" w:type="dxa"/>
            <w:shd w:val="clear" w:color="auto" w:fill="auto"/>
          </w:tcPr>
          <w:p w:rsidR="00BD1614" w:rsidRPr="001503A0" w:rsidRDefault="00BD1614" w:rsidP="003D637A">
            <w:pPr>
              <w:pStyle w:val="Committee"/>
              <w:framePr w:hSpace="0" w:wrap="auto" w:hAnchor="text" w:yAlign="inline"/>
              <w:spacing w:after="0" w:line="240" w:lineRule="auto"/>
              <w:rPr>
                <w:lang w:val="fr-CH"/>
              </w:rPr>
            </w:pPr>
            <w:r w:rsidRPr="001503A0">
              <w:rPr>
                <w:rFonts w:ascii="Calibri" w:eastAsia="SimSun" w:hAnsi="Calibri" w:cs="Traditional Arabic"/>
                <w:lang w:val="fr-CH"/>
              </w:rPr>
              <w:t>SÉANCE PLÉNIÈRE</w:t>
            </w:r>
          </w:p>
        </w:tc>
        <w:tc>
          <w:tcPr>
            <w:tcW w:w="3120" w:type="dxa"/>
            <w:shd w:val="clear" w:color="auto" w:fill="auto"/>
          </w:tcPr>
          <w:p w:rsidR="00BD1614" w:rsidRPr="001503A0" w:rsidRDefault="00BD1614" w:rsidP="003D637A">
            <w:pPr>
              <w:spacing w:before="0"/>
              <w:rPr>
                <w:rFonts w:cstheme="minorHAnsi"/>
                <w:szCs w:val="24"/>
                <w:lang w:val="fr-CH"/>
              </w:rPr>
            </w:pPr>
            <w:r w:rsidRPr="001503A0">
              <w:rPr>
                <w:rFonts w:eastAsia="SimSun" w:cs="Traditional Arabic"/>
                <w:b/>
                <w:szCs w:val="24"/>
                <w:lang w:val="fr-CH"/>
              </w:rPr>
              <w:t>Document 98</w:t>
            </w:r>
            <w:r w:rsidR="0056346B">
              <w:rPr>
                <w:rFonts w:eastAsia="SimSun" w:cs="Traditional Arabic"/>
                <w:b/>
                <w:szCs w:val="24"/>
                <w:lang w:val="fr-CH"/>
              </w:rPr>
              <w:t>(Rév.1)</w:t>
            </w:r>
            <w:r w:rsidR="005F63BD" w:rsidRPr="001503A0">
              <w:rPr>
                <w:rFonts w:eastAsia="SimSun" w:cs="Traditional Arabic"/>
                <w:b/>
                <w:szCs w:val="24"/>
                <w:lang w:val="fr-CH"/>
              </w:rPr>
              <w:t>-F</w:t>
            </w:r>
          </w:p>
        </w:tc>
      </w:tr>
      <w:tr w:rsidR="00BD1614" w:rsidRPr="001503A0" w:rsidTr="006A046E">
        <w:trPr>
          <w:cantSplit/>
        </w:trPr>
        <w:tc>
          <w:tcPr>
            <w:tcW w:w="6911" w:type="dxa"/>
            <w:shd w:val="clear" w:color="auto" w:fill="auto"/>
          </w:tcPr>
          <w:p w:rsidR="00BD1614" w:rsidRPr="001503A0" w:rsidRDefault="00BD1614" w:rsidP="003D637A">
            <w:pPr>
              <w:spacing w:before="0"/>
              <w:rPr>
                <w:rFonts w:cstheme="minorHAnsi"/>
                <w:b/>
                <w:szCs w:val="24"/>
                <w:lang w:val="fr-CH"/>
              </w:rPr>
            </w:pPr>
          </w:p>
        </w:tc>
        <w:tc>
          <w:tcPr>
            <w:tcW w:w="3120" w:type="dxa"/>
            <w:shd w:val="clear" w:color="auto" w:fill="auto"/>
          </w:tcPr>
          <w:p w:rsidR="00BD1614" w:rsidRPr="001503A0" w:rsidRDefault="00BD1614" w:rsidP="0056346B">
            <w:pPr>
              <w:spacing w:before="0"/>
              <w:rPr>
                <w:rFonts w:cstheme="minorHAnsi"/>
                <w:b/>
                <w:szCs w:val="24"/>
                <w:lang w:val="fr-CH"/>
              </w:rPr>
            </w:pPr>
            <w:r w:rsidRPr="001503A0">
              <w:rPr>
                <w:rFonts w:eastAsia="SimSun" w:cs="Traditional Arabic"/>
                <w:b/>
                <w:szCs w:val="24"/>
                <w:lang w:val="fr-CH"/>
              </w:rPr>
              <w:t xml:space="preserve">2 </w:t>
            </w:r>
            <w:r w:rsidR="0056346B">
              <w:rPr>
                <w:rFonts w:eastAsia="SimSun" w:cs="Traditional Arabic"/>
                <w:b/>
                <w:szCs w:val="24"/>
                <w:lang w:val="fr-CH"/>
              </w:rPr>
              <w:t>novem</w:t>
            </w:r>
            <w:r w:rsidRPr="001503A0">
              <w:rPr>
                <w:rFonts w:eastAsia="SimSun" w:cs="Traditional Arabic"/>
                <w:b/>
                <w:szCs w:val="24"/>
                <w:lang w:val="fr-CH"/>
              </w:rPr>
              <w:t>bre 2014</w:t>
            </w:r>
          </w:p>
        </w:tc>
      </w:tr>
      <w:tr w:rsidR="00BD1614" w:rsidRPr="001503A0" w:rsidTr="006A046E">
        <w:trPr>
          <w:cantSplit/>
        </w:trPr>
        <w:tc>
          <w:tcPr>
            <w:tcW w:w="6911" w:type="dxa"/>
          </w:tcPr>
          <w:p w:rsidR="00BD1614" w:rsidRPr="001503A0" w:rsidRDefault="00BD1614" w:rsidP="003D637A">
            <w:pPr>
              <w:spacing w:before="0"/>
              <w:rPr>
                <w:rFonts w:cstheme="minorHAnsi"/>
                <w:b/>
                <w:smallCaps/>
                <w:szCs w:val="24"/>
                <w:lang w:val="fr-CH"/>
              </w:rPr>
            </w:pPr>
          </w:p>
        </w:tc>
        <w:tc>
          <w:tcPr>
            <w:tcW w:w="3120" w:type="dxa"/>
          </w:tcPr>
          <w:p w:rsidR="00BD1614" w:rsidRPr="001503A0" w:rsidRDefault="00BD1614" w:rsidP="003D637A">
            <w:pPr>
              <w:spacing w:before="0"/>
              <w:rPr>
                <w:rFonts w:cstheme="minorHAnsi"/>
                <w:b/>
                <w:szCs w:val="24"/>
                <w:lang w:val="fr-CH"/>
              </w:rPr>
            </w:pPr>
            <w:r w:rsidRPr="001503A0">
              <w:rPr>
                <w:rFonts w:eastAsia="SimSun" w:cs="Traditional Arabic"/>
                <w:b/>
                <w:szCs w:val="24"/>
                <w:lang w:val="fr-CH"/>
              </w:rPr>
              <w:t>Original: anglais</w:t>
            </w:r>
          </w:p>
        </w:tc>
      </w:tr>
      <w:tr w:rsidR="00BD1614" w:rsidRPr="001503A0" w:rsidTr="006A046E">
        <w:trPr>
          <w:cantSplit/>
        </w:trPr>
        <w:tc>
          <w:tcPr>
            <w:tcW w:w="10031" w:type="dxa"/>
            <w:gridSpan w:val="2"/>
          </w:tcPr>
          <w:p w:rsidR="00BD1614" w:rsidRPr="001503A0" w:rsidRDefault="00BD1614" w:rsidP="006A046E">
            <w:pPr>
              <w:spacing w:before="0" w:line="240" w:lineRule="atLeast"/>
              <w:rPr>
                <w:rFonts w:cstheme="minorHAnsi"/>
                <w:b/>
                <w:szCs w:val="24"/>
                <w:lang w:val="fr-CH"/>
              </w:rPr>
            </w:pPr>
          </w:p>
        </w:tc>
      </w:tr>
      <w:tr w:rsidR="00BD1614" w:rsidRPr="001503A0" w:rsidTr="006A046E">
        <w:trPr>
          <w:cantSplit/>
        </w:trPr>
        <w:tc>
          <w:tcPr>
            <w:tcW w:w="10031" w:type="dxa"/>
            <w:gridSpan w:val="2"/>
          </w:tcPr>
          <w:p w:rsidR="00BD1614" w:rsidRPr="001503A0" w:rsidRDefault="00BD1614" w:rsidP="00D65A96">
            <w:pPr>
              <w:pStyle w:val="Source"/>
              <w:rPr>
                <w:lang w:val="fr-CH"/>
              </w:rPr>
            </w:pPr>
            <w:bookmarkStart w:id="4" w:name="dsource" w:colFirst="0" w:colLast="0"/>
            <w:bookmarkEnd w:id="3"/>
            <w:r w:rsidRPr="001503A0">
              <w:rPr>
                <w:rFonts w:eastAsia="SimSun" w:cs="Traditional Arabic"/>
                <w:lang w:val="fr-CH"/>
              </w:rPr>
              <w:t>Inde (République de l')</w:t>
            </w:r>
          </w:p>
        </w:tc>
      </w:tr>
      <w:tr w:rsidR="00BD1614" w:rsidRPr="001503A0" w:rsidTr="006A046E">
        <w:trPr>
          <w:cantSplit/>
        </w:trPr>
        <w:tc>
          <w:tcPr>
            <w:tcW w:w="10031" w:type="dxa"/>
            <w:gridSpan w:val="2"/>
          </w:tcPr>
          <w:p w:rsidR="00BD1614" w:rsidRPr="001503A0" w:rsidRDefault="00BD1614" w:rsidP="00D65A96">
            <w:pPr>
              <w:pStyle w:val="Title1"/>
              <w:rPr>
                <w:lang w:val="fr-CH"/>
              </w:rPr>
            </w:pPr>
            <w:bookmarkStart w:id="5" w:name="dtitle1" w:colFirst="0" w:colLast="0"/>
            <w:bookmarkEnd w:id="4"/>
            <w:r w:rsidRPr="001503A0">
              <w:rPr>
                <w:rFonts w:eastAsia="SimSun" w:cs="Traditional Arabic"/>
                <w:lang w:val="fr-CH"/>
              </w:rPr>
              <w:t>Propos</w:t>
            </w:r>
            <w:r w:rsidR="00420B5F" w:rsidRPr="001503A0">
              <w:rPr>
                <w:rFonts w:eastAsia="SimSun" w:cs="Traditional Arabic"/>
                <w:lang w:val="fr-CH"/>
              </w:rPr>
              <w:t xml:space="preserve">itions pour les travaux de la </w:t>
            </w:r>
            <w:r w:rsidRPr="001503A0">
              <w:rPr>
                <w:rFonts w:eastAsia="SimSun" w:cs="Traditional Arabic"/>
                <w:lang w:val="fr-CH"/>
              </w:rPr>
              <w:t>Conf</w:t>
            </w:r>
            <w:r w:rsidR="00420B5F" w:rsidRPr="001503A0">
              <w:rPr>
                <w:rFonts w:eastAsia="SimSun" w:cs="Traditional Arabic"/>
                <w:lang w:val="fr-CH"/>
              </w:rPr>
              <w:t>é</w:t>
            </w:r>
            <w:r w:rsidRPr="001503A0">
              <w:rPr>
                <w:rFonts w:eastAsia="SimSun" w:cs="Traditional Arabic"/>
                <w:lang w:val="fr-CH"/>
              </w:rPr>
              <w:t>rence</w:t>
            </w:r>
          </w:p>
        </w:tc>
      </w:tr>
      <w:tr w:rsidR="00BD1614" w:rsidRPr="001503A0" w:rsidTr="006A046E">
        <w:trPr>
          <w:cantSplit/>
        </w:trPr>
        <w:tc>
          <w:tcPr>
            <w:tcW w:w="10031" w:type="dxa"/>
            <w:gridSpan w:val="2"/>
          </w:tcPr>
          <w:p w:rsidR="00BD1614" w:rsidRPr="001503A0" w:rsidRDefault="00420B5F" w:rsidP="00D65A96">
            <w:pPr>
              <w:pStyle w:val="Title2"/>
              <w:rPr>
                <w:lang w:val="fr-CH"/>
              </w:rPr>
            </w:pPr>
            <w:bookmarkStart w:id="6" w:name="dtitle2" w:colFirst="0" w:colLast="0"/>
            <w:bookmarkEnd w:id="5"/>
            <w:r w:rsidRPr="001503A0">
              <w:rPr>
                <w:rFonts w:eastAsia="SimSun" w:cs="Traditional Arabic"/>
                <w:lang w:val="fr-CH"/>
              </w:rPr>
              <w:t xml:space="preserve">Projet de nouvelle </w:t>
            </w:r>
            <w:r w:rsidR="00BD1614" w:rsidRPr="001503A0">
              <w:rPr>
                <w:rFonts w:eastAsia="SimSun" w:cs="Traditional Arabic"/>
                <w:lang w:val="fr-CH"/>
              </w:rPr>
              <w:t>R</w:t>
            </w:r>
            <w:r w:rsidRPr="001503A0">
              <w:rPr>
                <w:rFonts w:eastAsia="SimSun" w:cs="Traditional Arabic"/>
                <w:lang w:val="fr-CH"/>
              </w:rPr>
              <w:t>é</w:t>
            </w:r>
            <w:r w:rsidR="00BD1614" w:rsidRPr="001503A0">
              <w:rPr>
                <w:rFonts w:eastAsia="SimSun" w:cs="Traditional Arabic"/>
                <w:lang w:val="fr-CH"/>
              </w:rPr>
              <w:t>SOLUTION</w:t>
            </w:r>
          </w:p>
        </w:tc>
      </w:tr>
      <w:tr w:rsidR="00BD1614" w:rsidRPr="001503A0" w:rsidTr="006A046E">
        <w:trPr>
          <w:cantSplit/>
        </w:trPr>
        <w:tc>
          <w:tcPr>
            <w:tcW w:w="10031" w:type="dxa"/>
            <w:gridSpan w:val="2"/>
          </w:tcPr>
          <w:p w:rsidR="00BD1614" w:rsidRPr="001503A0" w:rsidRDefault="008B5520" w:rsidP="00D30BDF">
            <w:pPr>
              <w:pStyle w:val="Title2"/>
            </w:pPr>
            <w:bookmarkStart w:id="7" w:name="dtitle3" w:colFirst="0" w:colLast="0"/>
            <w:bookmarkEnd w:id="6"/>
            <w:r w:rsidRPr="00D30BDF">
              <w:rPr>
                <w:rFonts w:eastAsia="SimSun" w:cs="Traditional Arabic"/>
                <w:lang w:val="fr-CH"/>
              </w:rPr>
              <w:t xml:space="preserve">RÔLE DE L’UIT DANS L’AMÉLIORATION DES FONCTIONNALITÉS DES RÉSEAUX EN VUE D’INSTAURER LA CONFIANCE DANS LES RÉSEAUX DE TÉLÉCOMMUNICATION </w:t>
            </w:r>
            <w:r w:rsidR="007B5B38">
              <w:rPr>
                <w:rFonts w:eastAsia="SimSun" w:cs="Traditional Arabic"/>
                <w:lang w:val="fr-CH"/>
              </w:rPr>
              <w:br/>
            </w:r>
            <w:r w:rsidRPr="00D30BDF">
              <w:rPr>
                <w:rFonts w:eastAsia="SimSun" w:cs="Traditional Arabic"/>
                <w:lang w:val="fr-CH"/>
              </w:rPr>
              <w:t>FONDÉS SUR LE PROTOCOLE INTERNET</w:t>
            </w:r>
          </w:p>
        </w:tc>
      </w:tr>
    </w:tbl>
    <w:bookmarkEnd w:id="7"/>
    <w:p w:rsidR="003B370D" w:rsidRPr="001503A0" w:rsidRDefault="002425C7" w:rsidP="00D65A96">
      <w:pPr>
        <w:pStyle w:val="Proposal"/>
        <w:rPr>
          <w:lang w:val="fr-CH"/>
        </w:rPr>
      </w:pPr>
      <w:r w:rsidRPr="001503A0">
        <w:rPr>
          <w:lang w:val="fr-CH"/>
        </w:rPr>
        <w:t>ADD</w:t>
      </w:r>
      <w:r w:rsidRPr="001503A0">
        <w:rPr>
          <w:lang w:val="fr-CH"/>
        </w:rPr>
        <w:tab/>
        <w:t>IND/98/1</w:t>
      </w:r>
    </w:p>
    <w:p w:rsidR="003B370D" w:rsidRPr="001503A0" w:rsidRDefault="002425C7" w:rsidP="00D65A96">
      <w:pPr>
        <w:pStyle w:val="ResNo"/>
        <w:rPr>
          <w:lang w:val="fr-CH"/>
        </w:rPr>
      </w:pPr>
      <w:r w:rsidRPr="001503A0">
        <w:rPr>
          <w:lang w:val="fr-CH"/>
        </w:rPr>
        <w:t xml:space="preserve">Projet de nouvelle </w:t>
      </w:r>
      <w:r w:rsidR="00A27400">
        <w:rPr>
          <w:lang w:val="fr-CH"/>
        </w:rPr>
        <w:t>Ré</w:t>
      </w:r>
      <w:r w:rsidRPr="001503A0">
        <w:rPr>
          <w:lang w:val="fr-CH"/>
        </w:rPr>
        <w:t>solution [IND-1]</w:t>
      </w:r>
    </w:p>
    <w:p w:rsidR="003B370D" w:rsidRPr="001503A0" w:rsidRDefault="00986513" w:rsidP="00D65A96">
      <w:pPr>
        <w:pStyle w:val="Restitle"/>
        <w:rPr>
          <w:lang w:val="fr-CH"/>
        </w:rPr>
      </w:pPr>
      <w:r w:rsidRPr="001503A0">
        <w:rPr>
          <w:lang w:val="fr-CH"/>
        </w:rPr>
        <w:t xml:space="preserve">Rôle de l'UIT dans </w:t>
      </w:r>
      <w:r w:rsidR="008B5520">
        <w:rPr>
          <w:lang w:val="fr-CH"/>
        </w:rPr>
        <w:t xml:space="preserve">l’amélioration des fonctionnalités des réseaux en vue d’instaurer la confiance dans les réseaux de télécommunication </w:t>
      </w:r>
      <w:r w:rsidR="008B5520">
        <w:rPr>
          <w:lang w:val="fr-CH"/>
        </w:rPr>
        <w:br/>
        <w:t>fondés sur le protocole Internet</w:t>
      </w:r>
    </w:p>
    <w:p w:rsidR="00823940" w:rsidRPr="00823940" w:rsidRDefault="001503A0" w:rsidP="00D65A96">
      <w:pPr>
        <w:spacing w:before="240"/>
        <w:rPr>
          <w:lang w:val="fr-CH"/>
        </w:rPr>
      </w:pPr>
      <w:r w:rsidRPr="001503A0">
        <w:rPr>
          <w:lang w:val="fr-CH"/>
        </w:rPr>
        <w:t>La Conférence de plénipotentiaires de l'Union international</w:t>
      </w:r>
      <w:r w:rsidR="00856870">
        <w:rPr>
          <w:lang w:val="fr-CH"/>
        </w:rPr>
        <w:t>e</w:t>
      </w:r>
      <w:r w:rsidRPr="001503A0">
        <w:rPr>
          <w:lang w:val="fr-CH"/>
        </w:rPr>
        <w:t xml:space="preserve"> des télécommunications </w:t>
      </w:r>
      <w:r w:rsidR="00823940" w:rsidRPr="00823940">
        <w:rPr>
          <w:lang w:val="fr-CH"/>
        </w:rPr>
        <w:t>(Busan,</w:t>
      </w:r>
      <w:r w:rsidR="00A27400">
        <w:rPr>
          <w:lang w:val="fr-CH"/>
        </w:rPr>
        <w:t> </w:t>
      </w:r>
      <w:r w:rsidR="00823940" w:rsidRPr="00823940">
        <w:rPr>
          <w:lang w:val="fr-CH"/>
        </w:rPr>
        <w:t>2014),</w:t>
      </w:r>
    </w:p>
    <w:p w:rsidR="008B5520" w:rsidRDefault="008B5520" w:rsidP="00D65A96">
      <w:pPr>
        <w:keepNext/>
        <w:keepLines/>
        <w:tabs>
          <w:tab w:val="clear" w:pos="1134"/>
          <w:tab w:val="clear" w:pos="1701"/>
          <w:tab w:val="clear" w:pos="2268"/>
          <w:tab w:val="clear" w:pos="2835"/>
        </w:tabs>
        <w:spacing w:before="160"/>
        <w:ind w:left="567"/>
        <w:rPr>
          <w:i/>
          <w:lang w:val="fr-CH"/>
        </w:rPr>
      </w:pPr>
      <w:r>
        <w:rPr>
          <w:i/>
          <w:lang w:val="fr-CH"/>
        </w:rPr>
        <w:t>rappelant</w:t>
      </w:r>
    </w:p>
    <w:p w:rsidR="008B5520" w:rsidRDefault="008B5520" w:rsidP="00D65A96">
      <w:pPr>
        <w:rPr>
          <w:lang w:val="fr-CH"/>
        </w:rPr>
      </w:pPr>
      <w:r>
        <w:rPr>
          <w:i/>
          <w:iCs/>
          <w:lang w:val="fr-CH"/>
        </w:rPr>
        <w:t>a)</w:t>
      </w:r>
      <w:r>
        <w:rPr>
          <w:i/>
          <w:iCs/>
          <w:lang w:val="fr-CH"/>
        </w:rPr>
        <w:tab/>
      </w:r>
      <w:r>
        <w:rPr>
          <w:lang w:val="fr-CH"/>
        </w:rPr>
        <w:t>la Résolution 101 (Rév. Guadalajara, 2010) de la Conférence de plénipotentiaires</w:t>
      </w:r>
      <w:r w:rsidR="00D044F1">
        <w:rPr>
          <w:lang w:val="fr-CH"/>
        </w:rPr>
        <w:t>,</w:t>
      </w:r>
      <w:r>
        <w:rPr>
          <w:lang w:val="fr-CH"/>
        </w:rPr>
        <w:t xml:space="preserve"> relative aux réseaux fondés sur le protocole Internet</w:t>
      </w:r>
      <w:r w:rsidR="00D044F1">
        <w:rPr>
          <w:lang w:val="fr-CH"/>
        </w:rPr>
        <w:t xml:space="preserve">, par laquelle les Etats Membres ont décidé de confier à l’UIT </w:t>
      </w:r>
      <w:r w:rsidR="003D0011">
        <w:rPr>
          <w:lang w:val="fr-CH"/>
        </w:rPr>
        <w:t>la tâche</w:t>
      </w:r>
      <w:r w:rsidR="00D044F1">
        <w:rPr>
          <w:lang w:val="fr-CH"/>
        </w:rPr>
        <w:t xml:space="preserve"> de collaborer et d’assurer la coordination avec les organisations compétentes participant au développement des réseaux fondés sur le protocole Internet et de l’Internet de demain;</w:t>
      </w:r>
    </w:p>
    <w:p w:rsidR="003D0011" w:rsidRDefault="00D044F1" w:rsidP="00D65A96">
      <w:pPr>
        <w:rPr>
          <w:lang w:val="fr-CH"/>
        </w:rPr>
      </w:pPr>
      <w:r w:rsidRPr="003D0011">
        <w:rPr>
          <w:i/>
          <w:iCs/>
          <w:lang w:val="fr-CH"/>
        </w:rPr>
        <w:t>b)</w:t>
      </w:r>
      <w:r>
        <w:rPr>
          <w:lang w:val="fr-CH"/>
        </w:rPr>
        <w:tab/>
        <w:t xml:space="preserve">la Résolution 102 (Rév. Guadalajara, 2010) de la Conférence de plénipotentiaires sur </w:t>
      </w:r>
      <w:r w:rsidR="003D0011">
        <w:rPr>
          <w:lang w:val="fr-CH"/>
        </w:rPr>
        <w:t>le rôle de l’UIT concernant les questions de politiques publiques internationales ayant trait à l’Internet et à la gestion des ressources de l’Internet, y compris les noms de domaine et les adresses;</w:t>
      </w:r>
    </w:p>
    <w:p w:rsidR="00D044F1" w:rsidRDefault="003D0011" w:rsidP="00D65A96">
      <w:pPr>
        <w:rPr>
          <w:lang w:val="fr-CH"/>
        </w:rPr>
      </w:pPr>
      <w:r w:rsidRPr="003D0011">
        <w:rPr>
          <w:i/>
          <w:iCs/>
          <w:lang w:val="fr-CH"/>
        </w:rPr>
        <w:t>c)</w:t>
      </w:r>
      <w:r>
        <w:rPr>
          <w:lang w:val="fr-CH"/>
        </w:rPr>
        <w:tab/>
        <w:t>la Résolution 130 (Rév. Guadalajara, 2010) de la Conférence de plénipotentiaires sur</w:t>
      </w:r>
      <w:r w:rsidRPr="003D0011">
        <w:rPr>
          <w:lang w:val="fr-CH"/>
        </w:rPr>
        <w:t xml:space="preserve"> </w:t>
      </w:r>
      <w:r>
        <w:rPr>
          <w:lang w:val="fr-CH"/>
        </w:rPr>
        <w:t>le renforcement du rôle de l’UIT dans l’instauration de la confiance et de la sécurité dans l’utilisation des technologies de l’information et de la communication</w:t>
      </w:r>
      <w:r w:rsidR="00D65A96">
        <w:rPr>
          <w:lang w:val="fr-CH"/>
        </w:rPr>
        <w:t xml:space="preserve"> (TIC)</w:t>
      </w:r>
      <w:r w:rsidR="00D044F1">
        <w:rPr>
          <w:lang w:val="fr-CH"/>
        </w:rPr>
        <w:t>,</w:t>
      </w:r>
    </w:p>
    <w:p w:rsidR="00D044F1" w:rsidRPr="00D044F1" w:rsidRDefault="00D044F1" w:rsidP="00D65A96">
      <w:pPr>
        <w:keepNext/>
        <w:keepLines/>
        <w:tabs>
          <w:tab w:val="clear" w:pos="1134"/>
          <w:tab w:val="clear" w:pos="1701"/>
          <w:tab w:val="clear" w:pos="2268"/>
          <w:tab w:val="clear" w:pos="2835"/>
        </w:tabs>
        <w:spacing w:before="160"/>
        <w:ind w:left="567"/>
        <w:rPr>
          <w:i/>
          <w:iCs/>
          <w:lang w:val="fr-CH"/>
        </w:rPr>
      </w:pPr>
      <w:r w:rsidRPr="00D044F1">
        <w:rPr>
          <w:i/>
          <w:iCs/>
          <w:lang w:val="fr-CH"/>
        </w:rPr>
        <w:lastRenderedPageBreak/>
        <w:t>rappelant en outre</w:t>
      </w:r>
    </w:p>
    <w:p w:rsidR="00D044F1" w:rsidRDefault="00D044F1" w:rsidP="008B4D96">
      <w:pPr>
        <w:rPr>
          <w:lang w:val="fr-CH"/>
        </w:rPr>
      </w:pPr>
      <w:r w:rsidRPr="00D044F1">
        <w:rPr>
          <w:i/>
          <w:iCs/>
          <w:lang w:val="fr-CH"/>
        </w:rPr>
        <w:t>a)</w:t>
      </w:r>
      <w:r>
        <w:rPr>
          <w:lang w:val="fr-CH"/>
        </w:rPr>
        <w:tab/>
        <w:t>l</w:t>
      </w:r>
      <w:r w:rsidR="00A52B13">
        <w:rPr>
          <w:lang w:val="fr-CH"/>
        </w:rPr>
        <w:t>e</w:t>
      </w:r>
      <w:r>
        <w:rPr>
          <w:lang w:val="fr-CH"/>
        </w:rPr>
        <w:t xml:space="preserve"> paragraphe 39 de l’Agenda de Tunis sur </w:t>
      </w:r>
      <w:r w:rsidR="000230F0">
        <w:rPr>
          <w:lang w:val="fr-CH"/>
        </w:rPr>
        <w:t>l’instauration d’un climat de</w:t>
      </w:r>
      <w:r>
        <w:rPr>
          <w:lang w:val="fr-CH"/>
        </w:rPr>
        <w:t xml:space="preserve"> confiance et de sécurité dans l’utilisation des TIC </w:t>
      </w:r>
      <w:r w:rsidR="008B4D96">
        <w:rPr>
          <w:lang w:val="fr-CH"/>
        </w:rPr>
        <w:t xml:space="preserve">par le renforcement </w:t>
      </w:r>
      <w:r w:rsidR="007B5B38">
        <w:rPr>
          <w:lang w:val="fr-CH"/>
        </w:rPr>
        <w:t>d</w:t>
      </w:r>
      <w:r>
        <w:rPr>
          <w:lang w:val="fr-CH"/>
        </w:rPr>
        <w:t>es bases de cette confiance;</w:t>
      </w:r>
    </w:p>
    <w:p w:rsidR="00D044F1" w:rsidRDefault="00D044F1" w:rsidP="00D65A96">
      <w:pPr>
        <w:rPr>
          <w:lang w:val="fr-CH"/>
        </w:rPr>
      </w:pPr>
      <w:r w:rsidRPr="00D044F1">
        <w:rPr>
          <w:i/>
          <w:iCs/>
          <w:lang w:val="fr-CH"/>
        </w:rPr>
        <w:t>b)</w:t>
      </w:r>
      <w:r>
        <w:rPr>
          <w:lang w:val="fr-CH"/>
        </w:rPr>
        <w:tab/>
        <w:t xml:space="preserve">le paragraphe 46 de l’Agenda de Tunis </w:t>
      </w:r>
      <w:r w:rsidR="000230F0">
        <w:rPr>
          <w:lang w:val="fr-CH"/>
        </w:rPr>
        <w:t>qui vise à garantir le</w:t>
      </w:r>
      <w:r>
        <w:rPr>
          <w:lang w:val="fr-CH"/>
        </w:rPr>
        <w:t xml:space="preserve"> respect de la vie privée et la protection des informations et données à caractère personnel;</w:t>
      </w:r>
    </w:p>
    <w:p w:rsidR="000230F0" w:rsidRDefault="000230F0" w:rsidP="008B4D96">
      <w:pPr>
        <w:rPr>
          <w:lang w:val="fr-CH"/>
        </w:rPr>
      </w:pPr>
      <w:r w:rsidRPr="00A9706A">
        <w:rPr>
          <w:i/>
          <w:iCs/>
          <w:lang w:val="fr-CH"/>
        </w:rPr>
        <w:t>c)</w:t>
      </w:r>
      <w:r>
        <w:rPr>
          <w:lang w:val="fr-CH"/>
        </w:rPr>
        <w:tab/>
        <w:t xml:space="preserve">la grande orientation C5 du Plan d’action de Genève </w:t>
      </w:r>
      <w:r w:rsidR="008B4D96">
        <w:rPr>
          <w:lang w:val="fr-CH"/>
        </w:rPr>
        <w:t xml:space="preserve">dont l’UIT est le coordonnateur unique et qui porte </w:t>
      </w:r>
      <w:r>
        <w:rPr>
          <w:lang w:val="fr-CH"/>
        </w:rPr>
        <w:t xml:space="preserve">sur l’instauration de la confiance et de la sécurité dans l’utilisation des TIC </w:t>
      </w:r>
      <w:r w:rsidR="008B4D96">
        <w:rPr>
          <w:lang w:val="fr-CH"/>
        </w:rPr>
        <w:t>pour édifier la société de l’information</w:t>
      </w:r>
      <w:r w:rsidR="00A9706A">
        <w:rPr>
          <w:lang w:val="fr-CH"/>
        </w:rPr>
        <w:t>;</w:t>
      </w:r>
    </w:p>
    <w:p w:rsidR="00A9706A" w:rsidRDefault="00A9706A" w:rsidP="00D65A96">
      <w:pPr>
        <w:rPr>
          <w:lang w:val="fr-CH"/>
        </w:rPr>
      </w:pPr>
      <w:r w:rsidRPr="00A9706A">
        <w:rPr>
          <w:i/>
          <w:iCs/>
          <w:lang w:val="fr-CH"/>
        </w:rPr>
        <w:t>d)</w:t>
      </w:r>
      <w:r w:rsidRPr="00A9706A">
        <w:rPr>
          <w:i/>
          <w:iCs/>
          <w:lang w:val="fr-CH"/>
        </w:rPr>
        <w:tab/>
      </w:r>
      <w:r>
        <w:rPr>
          <w:lang w:val="fr-CH"/>
        </w:rPr>
        <w:t>les travaux menés actuellement par la CE 17 de l'UIT</w:t>
      </w:r>
      <w:r>
        <w:rPr>
          <w:lang w:val="fr-CH"/>
        </w:rPr>
        <w:noBreakHyphen/>
        <w:t xml:space="preserve">T concernant la feuille de route sur les normes relatives à la sécurité des TIC et l'étude d'autres </w:t>
      </w:r>
      <w:r w:rsidRPr="00823940">
        <w:rPr>
          <w:lang w:val="fr-CH"/>
        </w:rPr>
        <w:t>questions</w:t>
      </w:r>
      <w:r>
        <w:rPr>
          <w:lang w:val="fr-CH"/>
        </w:rPr>
        <w:t>, et par la CE 13 de l’UIT</w:t>
      </w:r>
      <w:r>
        <w:rPr>
          <w:lang w:val="fr-CH"/>
        </w:rPr>
        <w:noBreakHyphen/>
        <w:t>T sur les réseaux de prochaine génération,</w:t>
      </w:r>
    </w:p>
    <w:p w:rsidR="00A9706A" w:rsidRPr="00A9706A" w:rsidRDefault="00A9706A" w:rsidP="00D65A96">
      <w:pPr>
        <w:keepNext/>
        <w:keepLines/>
        <w:tabs>
          <w:tab w:val="clear" w:pos="1134"/>
          <w:tab w:val="clear" w:pos="1701"/>
          <w:tab w:val="clear" w:pos="2268"/>
          <w:tab w:val="clear" w:pos="2835"/>
        </w:tabs>
        <w:spacing w:before="160"/>
        <w:ind w:left="567"/>
        <w:rPr>
          <w:i/>
          <w:lang w:val="fr-CH"/>
        </w:rPr>
      </w:pPr>
      <w:r w:rsidRPr="00A9706A">
        <w:rPr>
          <w:i/>
          <w:lang w:val="fr-CH"/>
        </w:rPr>
        <w:t>reconnaissant</w:t>
      </w:r>
    </w:p>
    <w:p w:rsidR="00A9706A" w:rsidRDefault="00A9706A" w:rsidP="008B4D96">
      <w:pPr>
        <w:rPr>
          <w:lang w:val="fr-CH"/>
        </w:rPr>
      </w:pPr>
      <w:r w:rsidRPr="002C5956">
        <w:rPr>
          <w:i/>
          <w:iCs/>
          <w:lang w:val="fr-CH"/>
        </w:rPr>
        <w:t>a)</w:t>
      </w:r>
      <w:r>
        <w:rPr>
          <w:lang w:val="fr-CH"/>
        </w:rPr>
        <w:tab/>
        <w:t>q</w:t>
      </w:r>
      <w:r w:rsidR="008B4D96">
        <w:rPr>
          <w:lang w:val="fr-CH"/>
        </w:rPr>
        <w:t>u'il est nécessaire d'attribuer et</w:t>
      </w:r>
      <w:r>
        <w:rPr>
          <w:lang w:val="fr-CH"/>
        </w:rPr>
        <w:t xml:space="preserve"> d'assigner les ressources relatives aux réseaux en mode paquet de manière é</w:t>
      </w:r>
      <w:r w:rsidRPr="00823940">
        <w:rPr>
          <w:lang w:val="fr-CH"/>
        </w:rPr>
        <w:t xml:space="preserve">quitable, </w:t>
      </w:r>
      <w:r>
        <w:rPr>
          <w:lang w:val="fr-CH"/>
        </w:rPr>
        <w:t>loyale et juste pour le développement des télécommunications</w:t>
      </w:r>
      <w:r w:rsidRPr="00823940">
        <w:rPr>
          <w:lang w:val="fr-CH"/>
        </w:rPr>
        <w:t>/</w:t>
      </w:r>
      <w:r>
        <w:rPr>
          <w:lang w:val="fr-CH"/>
        </w:rPr>
        <w:t xml:space="preserve">TIC, ce qui nécessite une coordination et une </w:t>
      </w:r>
      <w:r w:rsidRPr="00823940">
        <w:rPr>
          <w:lang w:val="fr-CH"/>
        </w:rPr>
        <w:t xml:space="preserve">collaboration </w:t>
      </w:r>
      <w:r>
        <w:rPr>
          <w:lang w:val="fr-CH"/>
        </w:rPr>
        <w:t>entre les organisations compétentes et les Etats Membres pour assurer la planification</w:t>
      </w:r>
      <w:r w:rsidRPr="00823940">
        <w:rPr>
          <w:lang w:val="fr-CH"/>
        </w:rPr>
        <w:t xml:space="preserve">, </w:t>
      </w:r>
      <w:r>
        <w:rPr>
          <w:lang w:val="fr-CH"/>
        </w:rPr>
        <w:t xml:space="preserve">la mise en œuvre et le suivi des politiques correspondantes et la </w:t>
      </w:r>
      <w:r w:rsidRPr="00823940">
        <w:rPr>
          <w:lang w:val="fr-CH"/>
        </w:rPr>
        <w:t>coop</w:t>
      </w:r>
      <w:r>
        <w:rPr>
          <w:lang w:val="fr-CH"/>
        </w:rPr>
        <w:t>é</w:t>
      </w:r>
      <w:r w:rsidRPr="00823940">
        <w:rPr>
          <w:lang w:val="fr-CH"/>
        </w:rPr>
        <w:t xml:space="preserve">ration </w:t>
      </w:r>
      <w:r>
        <w:rPr>
          <w:lang w:val="fr-CH"/>
        </w:rPr>
        <w:t>en la matière;</w:t>
      </w:r>
    </w:p>
    <w:p w:rsidR="00A9706A" w:rsidRDefault="00A9706A" w:rsidP="001B084D">
      <w:pPr>
        <w:rPr>
          <w:lang w:val="fr-CH"/>
        </w:rPr>
      </w:pPr>
      <w:r w:rsidRPr="002C5956">
        <w:rPr>
          <w:i/>
          <w:iCs/>
          <w:lang w:val="fr-CH"/>
        </w:rPr>
        <w:t>b)</w:t>
      </w:r>
      <w:r>
        <w:rPr>
          <w:lang w:val="fr-CH"/>
        </w:rPr>
        <w:tab/>
      </w:r>
      <w:r w:rsidR="002C5956">
        <w:rPr>
          <w:lang w:val="fr-CH"/>
        </w:rPr>
        <w:t xml:space="preserve">que, pour assurer le </w:t>
      </w:r>
      <w:r w:rsidR="001B084D">
        <w:rPr>
          <w:lang w:val="fr-CH"/>
        </w:rPr>
        <w:t xml:space="preserve">bon </w:t>
      </w:r>
      <w:r w:rsidR="002C5956">
        <w:rPr>
          <w:lang w:val="fr-CH"/>
        </w:rPr>
        <w:t>fonctionnement d</w:t>
      </w:r>
      <w:r w:rsidR="0082324A">
        <w:rPr>
          <w:lang w:val="fr-CH"/>
        </w:rPr>
        <w:t>’un</w:t>
      </w:r>
      <w:r w:rsidR="002C5956">
        <w:rPr>
          <w:lang w:val="fr-CH"/>
        </w:rPr>
        <w:t xml:space="preserve"> réseau de télécommunication, des ressources sont nécessaires, en particulier de nommage</w:t>
      </w:r>
      <w:r w:rsidR="002C5956" w:rsidRPr="00823940">
        <w:rPr>
          <w:lang w:val="fr-CH"/>
        </w:rPr>
        <w:t xml:space="preserve">, </w:t>
      </w:r>
      <w:r w:rsidR="002C5956">
        <w:rPr>
          <w:lang w:val="fr-CH"/>
        </w:rPr>
        <w:t>de numérotage et d'adressage;</w:t>
      </w:r>
    </w:p>
    <w:p w:rsidR="002C5956" w:rsidRDefault="002C5956" w:rsidP="00E5450D">
      <w:pPr>
        <w:rPr>
          <w:lang w:val="fr-CH"/>
        </w:rPr>
      </w:pPr>
      <w:r w:rsidRPr="002C5956">
        <w:rPr>
          <w:i/>
          <w:iCs/>
          <w:lang w:val="fr-CH"/>
        </w:rPr>
        <w:t>c)</w:t>
      </w:r>
      <w:r>
        <w:rPr>
          <w:lang w:val="fr-CH"/>
        </w:rPr>
        <w:tab/>
        <w:t>que le Conseil, dans sa Résolution 1305, a identifié les questions de politiques publiques internationales relatives à l’Internet (gestion des télécommunications/TIC), telles que la sécurité, la sûreté, la continuité, la durabilité et la solidité de l’Internet (télécommunications/TIC), et que le même Conseil, par sa Résolution 1336, adoptée à sa session de 2011, a créé un groupe de travail du Conseil sur les questions de politiques publiques</w:t>
      </w:r>
      <w:r w:rsidR="001B084D">
        <w:rPr>
          <w:lang w:val="fr-CH"/>
        </w:rPr>
        <w:t xml:space="preserve"> internationales relatives à l’I</w:t>
      </w:r>
      <w:r>
        <w:rPr>
          <w:lang w:val="fr-CH"/>
        </w:rPr>
        <w:t>nternet (GTC</w:t>
      </w:r>
      <w:r w:rsidR="0093304A">
        <w:rPr>
          <w:lang w:val="fr-CH"/>
        </w:rPr>
        <w:noBreakHyphen/>
      </w:r>
      <w:r>
        <w:rPr>
          <w:lang w:val="fr-CH"/>
        </w:rPr>
        <w:t>Internet), dont le mandat consiste à identifier, étudier et approfondir les thèmes relatifs aux questions de politiques publiques internationales relatives à l’Internet recensées dans la Résolution 1305 du Conseil;</w:t>
      </w:r>
    </w:p>
    <w:p w:rsidR="002C5956" w:rsidRDefault="002C5956" w:rsidP="00D65A96">
      <w:pPr>
        <w:rPr>
          <w:lang w:val="fr-CH"/>
        </w:rPr>
      </w:pPr>
      <w:r w:rsidRPr="002C5956">
        <w:rPr>
          <w:i/>
          <w:iCs/>
          <w:lang w:val="fr-CH"/>
        </w:rPr>
        <w:t>d)</w:t>
      </w:r>
      <w:r>
        <w:rPr>
          <w:lang w:val="fr-CH"/>
        </w:rPr>
        <w:tab/>
        <w:t>que pour assurer la sécurité et la sûreté des services de télécommunication/TIC, les Etats Membres doivent élaborer des mesures juridiques, politiques et réglementaires appropriées</w:t>
      </w:r>
      <w:r w:rsidRPr="00823940">
        <w:rPr>
          <w:lang w:val="fr-CH"/>
        </w:rPr>
        <w:t xml:space="preserve">, </w:t>
      </w:r>
      <w:r>
        <w:rPr>
          <w:lang w:val="fr-CH"/>
        </w:rPr>
        <w:t>qui doivent être prises en charge par les capacités techniques des réseaux</w:t>
      </w:r>
      <w:r w:rsidRPr="00823940">
        <w:rPr>
          <w:lang w:val="fr-CH"/>
        </w:rPr>
        <w:t>;</w:t>
      </w:r>
    </w:p>
    <w:p w:rsidR="002C5956" w:rsidRDefault="002C5956" w:rsidP="00D65A96">
      <w:pPr>
        <w:rPr>
          <w:lang w:val="fr-CH"/>
        </w:rPr>
      </w:pPr>
      <w:r w:rsidRPr="002C5956">
        <w:rPr>
          <w:i/>
          <w:iCs/>
          <w:lang w:val="fr-CH"/>
        </w:rPr>
        <w:t>e)</w:t>
      </w:r>
      <w:r>
        <w:rPr>
          <w:lang w:val="fr-CH"/>
        </w:rPr>
        <w:tab/>
        <w:t>que le secteur privé devrait jouer un rôle actif</w:t>
      </w:r>
      <w:r w:rsidRPr="00823940">
        <w:rPr>
          <w:lang w:val="fr-CH"/>
        </w:rPr>
        <w:t xml:space="preserve"> </w:t>
      </w:r>
      <w:r>
        <w:rPr>
          <w:lang w:val="fr-CH"/>
        </w:rPr>
        <w:t xml:space="preserve">dans le fonctionnement au jour le jour, </w:t>
      </w:r>
      <w:r w:rsidRPr="002425C7">
        <w:rPr>
          <w:lang w:val="fr-CH"/>
        </w:rPr>
        <w:t>l'innovation et la création de valeur</w:t>
      </w:r>
      <w:r>
        <w:rPr>
          <w:lang w:val="fr-CH"/>
        </w:rPr>
        <w:t>;</w:t>
      </w:r>
    </w:p>
    <w:p w:rsidR="003017EB" w:rsidRDefault="003017EB" w:rsidP="00D65A96">
      <w:pPr>
        <w:rPr>
          <w:lang w:val="fr-CH"/>
        </w:rPr>
      </w:pPr>
      <w:r w:rsidRPr="003017EB">
        <w:rPr>
          <w:i/>
          <w:iCs/>
          <w:lang w:val="fr-CH"/>
        </w:rPr>
        <w:t>f)</w:t>
      </w:r>
      <w:r>
        <w:rPr>
          <w:lang w:val="fr-CH"/>
        </w:rPr>
        <w:tab/>
        <w:t xml:space="preserve">qu’une </w:t>
      </w:r>
      <w:r w:rsidRPr="002425C7">
        <w:rPr>
          <w:lang w:val="fr-CH"/>
        </w:rPr>
        <w:t>approche multi-parties prenantes devrait être adoptée</w:t>
      </w:r>
      <w:r>
        <w:rPr>
          <w:lang w:val="fr-CH"/>
        </w:rPr>
        <w:t>,</w:t>
      </w:r>
      <w:r w:rsidRPr="002425C7">
        <w:rPr>
          <w:lang w:val="fr-CH"/>
        </w:rPr>
        <w:t xml:space="preserve"> </w:t>
      </w:r>
      <w:r>
        <w:rPr>
          <w:lang w:val="fr-CH"/>
        </w:rPr>
        <w:t>dans la mesure du possible,</w:t>
      </w:r>
      <w:r w:rsidRPr="002425C7">
        <w:rPr>
          <w:lang w:val="fr-CH"/>
        </w:rPr>
        <w:t xml:space="preserve"> à tous les niveaux</w:t>
      </w:r>
      <w:r>
        <w:rPr>
          <w:lang w:val="fr-CH"/>
        </w:rPr>
        <w:t>,</w:t>
      </w:r>
      <w:r w:rsidRPr="002425C7">
        <w:rPr>
          <w:lang w:val="fr-CH"/>
        </w:rPr>
        <w:t xml:space="preserve"> </w:t>
      </w:r>
      <w:r>
        <w:rPr>
          <w:lang w:val="fr-CH"/>
        </w:rPr>
        <w:t xml:space="preserve">pour </w:t>
      </w:r>
      <w:r w:rsidRPr="002425C7">
        <w:rPr>
          <w:lang w:val="fr-CH"/>
        </w:rPr>
        <w:t xml:space="preserve">améliorer la coordination des activités des organisations internationales et intergouvernementales et des autres institutions </w:t>
      </w:r>
      <w:r>
        <w:rPr>
          <w:lang w:val="fr-CH"/>
        </w:rPr>
        <w:t>qui jouent un rôle dans le domaine</w:t>
      </w:r>
      <w:r w:rsidRPr="002425C7">
        <w:rPr>
          <w:lang w:val="fr-CH"/>
        </w:rPr>
        <w:t xml:space="preserve"> </w:t>
      </w:r>
      <w:r>
        <w:rPr>
          <w:lang w:val="fr-CH"/>
        </w:rPr>
        <w:t>des réseaux de télécommunication/TIC</w:t>
      </w:r>
      <w:r w:rsidRPr="00823940">
        <w:rPr>
          <w:lang w:val="fr-CH"/>
        </w:rPr>
        <w:t xml:space="preserve"> </w:t>
      </w:r>
      <w:r>
        <w:rPr>
          <w:lang w:val="fr-CH"/>
        </w:rPr>
        <w:t>basés sur la technologie </w:t>
      </w:r>
      <w:r w:rsidRPr="00823940">
        <w:rPr>
          <w:lang w:val="fr-CH"/>
        </w:rPr>
        <w:t>IP</w:t>
      </w:r>
      <w:r>
        <w:rPr>
          <w:lang w:val="fr-CH"/>
        </w:rPr>
        <w:t>,</w:t>
      </w:r>
    </w:p>
    <w:p w:rsidR="003017EB" w:rsidRPr="003017EB" w:rsidRDefault="003017EB" w:rsidP="00D65A96">
      <w:pPr>
        <w:keepNext/>
        <w:keepLines/>
        <w:tabs>
          <w:tab w:val="clear" w:pos="1134"/>
          <w:tab w:val="clear" w:pos="1701"/>
          <w:tab w:val="clear" w:pos="2268"/>
          <w:tab w:val="clear" w:pos="2835"/>
        </w:tabs>
        <w:spacing w:before="160"/>
        <w:ind w:left="567"/>
        <w:rPr>
          <w:i/>
          <w:lang w:val="fr-CH"/>
        </w:rPr>
      </w:pPr>
      <w:r w:rsidRPr="003017EB">
        <w:rPr>
          <w:i/>
          <w:lang w:val="fr-CH"/>
        </w:rPr>
        <w:t>considérant</w:t>
      </w:r>
    </w:p>
    <w:p w:rsidR="003017EB" w:rsidRDefault="003017EB" w:rsidP="00D65A96">
      <w:pPr>
        <w:rPr>
          <w:lang w:val="fr-CH"/>
        </w:rPr>
      </w:pPr>
      <w:r w:rsidRPr="003017EB">
        <w:rPr>
          <w:i/>
          <w:iCs/>
          <w:lang w:val="fr-CH"/>
        </w:rPr>
        <w:t>a)</w:t>
      </w:r>
      <w:r>
        <w:rPr>
          <w:lang w:val="fr-CH"/>
        </w:rPr>
        <w:tab/>
        <w:t>que tous les futurs réseaux seront probablement des réseaux en mode paquet qui offriront divers services de télécommunication reposant actuellement sur la technologie </w:t>
      </w:r>
      <w:r w:rsidRPr="00823940">
        <w:rPr>
          <w:lang w:val="fr-CH"/>
        </w:rPr>
        <w:t>IP</w:t>
      </w:r>
      <w:r>
        <w:rPr>
          <w:lang w:val="fr-CH"/>
        </w:rPr>
        <w:t>;</w:t>
      </w:r>
    </w:p>
    <w:p w:rsidR="003017EB" w:rsidRDefault="003017EB" w:rsidP="00D65A96">
      <w:pPr>
        <w:rPr>
          <w:lang w:val="fr-CH"/>
        </w:rPr>
      </w:pPr>
      <w:r w:rsidRPr="003017EB">
        <w:rPr>
          <w:i/>
          <w:iCs/>
          <w:lang w:val="fr-CH"/>
        </w:rPr>
        <w:t>b)</w:t>
      </w:r>
      <w:r>
        <w:rPr>
          <w:lang w:val="fr-CH"/>
        </w:rPr>
        <w:tab/>
        <w:t xml:space="preserve">que les réseaux en mode paquet </w:t>
      </w:r>
      <w:r w:rsidRPr="00823940">
        <w:rPr>
          <w:lang w:val="fr-CH"/>
        </w:rPr>
        <w:t>modern</w:t>
      </w:r>
      <w:r>
        <w:rPr>
          <w:lang w:val="fr-CH"/>
        </w:rPr>
        <w:t>es</w:t>
      </w:r>
      <w:r w:rsidRPr="00823940">
        <w:rPr>
          <w:lang w:val="fr-CH"/>
        </w:rPr>
        <w:t xml:space="preserve"> </w:t>
      </w:r>
      <w:r>
        <w:rPr>
          <w:lang w:val="fr-CH"/>
        </w:rPr>
        <w:t xml:space="preserve">présentent actuellement de nombreuses failles de sécurité, notamment en ce qui concerne </w:t>
      </w:r>
      <w:r w:rsidR="0082324A">
        <w:rPr>
          <w:lang w:val="fr-CH"/>
        </w:rPr>
        <w:t xml:space="preserve">les </w:t>
      </w:r>
      <w:r w:rsidR="00A52B13">
        <w:rPr>
          <w:lang w:val="fr-CH"/>
        </w:rPr>
        <w:t>relevé</w:t>
      </w:r>
      <w:r w:rsidR="0082324A">
        <w:rPr>
          <w:lang w:val="fr-CH"/>
        </w:rPr>
        <w:t>s des transactions effectuées sur les réseaux;</w:t>
      </w:r>
    </w:p>
    <w:p w:rsidR="0082324A" w:rsidRDefault="0082324A" w:rsidP="00D65A96">
      <w:pPr>
        <w:rPr>
          <w:lang w:val="fr-CH"/>
        </w:rPr>
      </w:pPr>
      <w:r w:rsidRPr="0082324A">
        <w:rPr>
          <w:i/>
          <w:iCs/>
          <w:lang w:val="fr-CH"/>
        </w:rPr>
        <w:lastRenderedPageBreak/>
        <w:t>c)</w:t>
      </w:r>
      <w:r>
        <w:rPr>
          <w:lang w:val="fr-CH"/>
        </w:rPr>
        <w:tab/>
      </w:r>
      <w:r w:rsidRPr="0082324A">
        <w:rPr>
          <w:lang w:val="fr-CH"/>
        </w:rPr>
        <w:t xml:space="preserve">que, même pour la résolution d'adresse locale, les systèmes doivent parfois utiliser des ressources à l'extérieur du pays, ce qui rend cette résolution d'adresse onéreuse et, dans une certaine mesure, risquée, et peut </w:t>
      </w:r>
      <w:r>
        <w:rPr>
          <w:lang w:val="fr-CH"/>
        </w:rPr>
        <w:t>avoir pour conséquence</w:t>
      </w:r>
      <w:r w:rsidRPr="0082324A">
        <w:rPr>
          <w:lang w:val="fr-CH"/>
        </w:rPr>
        <w:t xml:space="preserve"> </w:t>
      </w:r>
      <w:r>
        <w:rPr>
          <w:lang w:val="fr-CH"/>
        </w:rPr>
        <w:t xml:space="preserve">la violation de la confidentialité par un autre Etat, sans même qu’il y ait </w:t>
      </w:r>
      <w:r w:rsidR="00E51E1D">
        <w:rPr>
          <w:lang w:val="fr-CH"/>
        </w:rPr>
        <w:t>de</w:t>
      </w:r>
      <w:r>
        <w:rPr>
          <w:lang w:val="fr-CH"/>
        </w:rPr>
        <w:t xml:space="preserve"> recours pour </w:t>
      </w:r>
      <w:r w:rsidR="000010B6">
        <w:rPr>
          <w:lang w:val="fr-CH"/>
        </w:rPr>
        <w:t>traiter</w:t>
      </w:r>
      <w:r w:rsidR="0093304A">
        <w:rPr>
          <w:lang w:val="fr-CH"/>
        </w:rPr>
        <w:t xml:space="preserve"> ce problème de</w:t>
      </w:r>
      <w:r>
        <w:rPr>
          <w:lang w:val="fr-CH"/>
        </w:rPr>
        <w:t xml:space="preserve"> violation de la confidentialité, en raison de la non-applicabilité de la législation relative à la protection de la confidentialité aux non-citoyens, ou de l’existence de législations différentes pour les citoyens et les non-citoyens;</w:t>
      </w:r>
    </w:p>
    <w:p w:rsidR="000010B6" w:rsidRDefault="000010B6" w:rsidP="001B084D">
      <w:pPr>
        <w:rPr>
          <w:lang w:val="fr-CH"/>
        </w:rPr>
      </w:pPr>
      <w:r w:rsidRPr="000010B6">
        <w:rPr>
          <w:i/>
          <w:iCs/>
          <w:lang w:val="fr-CH"/>
        </w:rPr>
        <w:t>d)</w:t>
      </w:r>
      <w:r>
        <w:rPr>
          <w:lang w:val="fr-CH"/>
        </w:rPr>
        <w:tab/>
      </w:r>
      <w:r w:rsidRPr="000010B6">
        <w:rPr>
          <w:lang w:val="fr-CH"/>
        </w:rPr>
        <w:t>que le trafic des communications ayant pour origine et pour destination un même pays franchit parfois la frontière de ce pays, ce qui rend ces communications onéreuses et, dans une certaine mesure, risquées</w:t>
      </w:r>
      <w:r>
        <w:rPr>
          <w:lang w:val="fr-CH"/>
        </w:rPr>
        <w:t xml:space="preserve">, et </w:t>
      </w:r>
      <w:r w:rsidRPr="0082324A">
        <w:rPr>
          <w:lang w:val="fr-CH"/>
        </w:rPr>
        <w:t xml:space="preserve">peut </w:t>
      </w:r>
      <w:r>
        <w:rPr>
          <w:lang w:val="fr-CH"/>
        </w:rPr>
        <w:t>avoir pour conséquence</w:t>
      </w:r>
      <w:r w:rsidRPr="0082324A">
        <w:rPr>
          <w:lang w:val="fr-CH"/>
        </w:rPr>
        <w:t xml:space="preserve"> </w:t>
      </w:r>
      <w:r>
        <w:rPr>
          <w:lang w:val="fr-CH"/>
        </w:rPr>
        <w:t xml:space="preserve">la violation de la confidentialité, sans même qu’il y ait </w:t>
      </w:r>
      <w:r w:rsidR="00E51E1D">
        <w:rPr>
          <w:lang w:val="fr-CH"/>
        </w:rPr>
        <w:t>de</w:t>
      </w:r>
      <w:r>
        <w:rPr>
          <w:lang w:val="fr-CH"/>
        </w:rPr>
        <w:t xml:space="preserve"> recours pour traiter </w:t>
      </w:r>
      <w:r w:rsidR="0093304A">
        <w:rPr>
          <w:lang w:val="fr-CH"/>
        </w:rPr>
        <w:t>ce problème</w:t>
      </w:r>
      <w:r>
        <w:rPr>
          <w:lang w:val="fr-CH"/>
        </w:rPr>
        <w:t xml:space="preserve"> </w:t>
      </w:r>
      <w:r w:rsidR="00E51E1D">
        <w:rPr>
          <w:lang w:val="fr-CH"/>
        </w:rPr>
        <w:t xml:space="preserve">de </w:t>
      </w:r>
      <w:r>
        <w:rPr>
          <w:lang w:val="fr-CH"/>
        </w:rPr>
        <w:t>violation de la confidentialité, en raison de la non-applicabilité de la législation relative à la protection de la confidentialité aux non-citoyens, ou de l’existence de législations différentes pour les citoyens et les non-citoyens;</w:t>
      </w:r>
    </w:p>
    <w:p w:rsidR="000010B6" w:rsidRDefault="000010B6" w:rsidP="00D65A96">
      <w:pPr>
        <w:rPr>
          <w:lang w:val="fr-CH"/>
        </w:rPr>
      </w:pPr>
      <w:r w:rsidRPr="00FF29A8">
        <w:rPr>
          <w:i/>
          <w:iCs/>
          <w:lang w:val="fr-CH"/>
        </w:rPr>
        <w:t>e)</w:t>
      </w:r>
      <w:r>
        <w:rPr>
          <w:lang w:val="fr-CH"/>
        </w:rPr>
        <w:tab/>
        <w:t xml:space="preserve">que les adresses IP ne sont pas distribuées de manière contiguë, ce qui rend difficile la traçabilité des communications </w:t>
      </w:r>
      <w:r w:rsidR="00E51E1D">
        <w:rPr>
          <w:lang w:val="fr-CH"/>
        </w:rPr>
        <w:t>lorsque</w:t>
      </w:r>
      <w:r>
        <w:rPr>
          <w:lang w:val="fr-CH"/>
        </w:rPr>
        <w:t xml:space="preserve"> celle</w:t>
      </w:r>
      <w:r>
        <w:rPr>
          <w:lang w:val="fr-CH"/>
        </w:rPr>
        <w:noBreakHyphen/>
        <w:t>ci est requise par la législation nationale,</w:t>
      </w:r>
    </w:p>
    <w:p w:rsidR="000010B6" w:rsidRDefault="000010B6" w:rsidP="00D65A96">
      <w:pPr>
        <w:keepNext/>
        <w:keepLines/>
        <w:tabs>
          <w:tab w:val="clear" w:pos="1134"/>
          <w:tab w:val="clear" w:pos="1701"/>
          <w:tab w:val="clear" w:pos="2268"/>
          <w:tab w:val="clear" w:pos="2835"/>
        </w:tabs>
        <w:spacing w:before="160"/>
        <w:ind w:left="567"/>
        <w:rPr>
          <w:i/>
          <w:lang w:val="fr-CH"/>
        </w:rPr>
      </w:pPr>
      <w:r w:rsidRPr="000010B6">
        <w:rPr>
          <w:i/>
          <w:lang w:val="fr-CH"/>
        </w:rPr>
        <w:t>décide</w:t>
      </w:r>
    </w:p>
    <w:p w:rsidR="0093304A" w:rsidRPr="0093304A" w:rsidRDefault="0093304A" w:rsidP="001B084D">
      <w:pPr>
        <w:rPr>
          <w:iCs/>
          <w:lang w:val="fr-CH"/>
        </w:rPr>
      </w:pPr>
      <w:r>
        <w:rPr>
          <w:lang w:val="fr-CH"/>
        </w:rPr>
        <w:t xml:space="preserve">d'examiner systématiquement les questions visées dans le </w:t>
      </w:r>
      <w:r w:rsidRPr="0093304A">
        <w:rPr>
          <w:i/>
          <w:iCs/>
          <w:lang w:val="fr-CH"/>
        </w:rPr>
        <w:t>considérant</w:t>
      </w:r>
      <w:r>
        <w:rPr>
          <w:lang w:val="fr-CH"/>
        </w:rPr>
        <w:t xml:space="preserve"> de la présente Résolution, eu égard à leur importance en ce qui concerne la fourniture de services fondés sur les TIC dans les réseaux de télécommunication publics, compte tenu du rôle de l'UIT dans "l'établissement de la confiance et de la sécurité dans l'utilisation des TIC"</w:t>
      </w:r>
      <w:r w:rsidRPr="00823940">
        <w:rPr>
          <w:lang w:val="fr-CH"/>
        </w:rPr>
        <w:t xml:space="preserve">, </w:t>
      </w:r>
      <w:r>
        <w:rPr>
          <w:lang w:val="fr-CH"/>
        </w:rPr>
        <w:t xml:space="preserve">dont l'accomplissement est un besoin </w:t>
      </w:r>
      <w:r w:rsidRPr="00823940">
        <w:rPr>
          <w:lang w:val="fr-CH"/>
        </w:rPr>
        <w:t>f</w:t>
      </w:r>
      <w:r>
        <w:rPr>
          <w:lang w:val="fr-CH"/>
        </w:rPr>
        <w:t>o</w:t>
      </w:r>
      <w:r w:rsidRPr="00823940">
        <w:rPr>
          <w:lang w:val="fr-CH"/>
        </w:rPr>
        <w:t xml:space="preserve">ndamental </w:t>
      </w:r>
      <w:r>
        <w:rPr>
          <w:lang w:val="fr-CH"/>
        </w:rPr>
        <w:t xml:space="preserve">pour </w:t>
      </w:r>
      <w:r w:rsidR="00991534">
        <w:rPr>
          <w:lang w:val="fr-CH"/>
        </w:rPr>
        <w:t>l'é</w:t>
      </w:r>
      <w:r w:rsidR="001B084D">
        <w:rPr>
          <w:lang w:val="fr-CH"/>
        </w:rPr>
        <w:t>dification</w:t>
      </w:r>
      <w:r>
        <w:rPr>
          <w:lang w:val="fr-CH"/>
        </w:rPr>
        <w:t xml:space="preserve"> de la société de l'i</w:t>
      </w:r>
      <w:r w:rsidRPr="00823940">
        <w:rPr>
          <w:lang w:val="fr-CH"/>
        </w:rPr>
        <w:t>nformation,</w:t>
      </w:r>
    </w:p>
    <w:p w:rsidR="0093304A" w:rsidRPr="000010B6" w:rsidRDefault="00E5450D" w:rsidP="00D65A96">
      <w:pPr>
        <w:keepNext/>
        <w:keepLines/>
        <w:tabs>
          <w:tab w:val="clear" w:pos="1134"/>
          <w:tab w:val="clear" w:pos="1701"/>
          <w:tab w:val="clear" w:pos="2268"/>
          <w:tab w:val="clear" w:pos="2835"/>
        </w:tabs>
        <w:spacing w:before="160"/>
        <w:ind w:left="567"/>
        <w:rPr>
          <w:i/>
          <w:lang w:val="fr-CH"/>
        </w:rPr>
      </w:pPr>
      <w:r>
        <w:rPr>
          <w:i/>
          <w:lang w:val="fr-CH"/>
        </w:rPr>
        <w:t>charge le d</w:t>
      </w:r>
      <w:r w:rsidR="0093304A">
        <w:rPr>
          <w:i/>
          <w:lang w:val="fr-CH"/>
        </w:rPr>
        <w:t>irecteur du Bureau de la normalisation des télécommunications</w:t>
      </w:r>
    </w:p>
    <w:p w:rsidR="000010B6" w:rsidRDefault="000010B6" w:rsidP="00D65A96">
      <w:pPr>
        <w:rPr>
          <w:lang w:val="fr-CH"/>
        </w:rPr>
      </w:pPr>
      <w:r>
        <w:rPr>
          <w:lang w:val="fr-CH"/>
        </w:rPr>
        <w:t>1</w:t>
      </w:r>
      <w:r>
        <w:rPr>
          <w:lang w:val="fr-CH"/>
        </w:rPr>
        <w:tab/>
        <w:t>d’</w:t>
      </w:r>
      <w:r w:rsidR="00FF29A8">
        <w:rPr>
          <w:lang w:val="fr-CH"/>
        </w:rPr>
        <w:t>entreprendre une étude,</w:t>
      </w:r>
      <w:r>
        <w:rPr>
          <w:lang w:val="fr-CH"/>
        </w:rPr>
        <w:t xml:space="preserve"> </w:t>
      </w:r>
      <w:r w:rsidR="00FF29A8">
        <w:rPr>
          <w:lang w:val="fr-CH"/>
        </w:rPr>
        <w:t>en collaboration avec les organisations</w:t>
      </w:r>
      <w:r w:rsidR="00FF29A8">
        <w:rPr>
          <w:rStyle w:val="FootnoteReference"/>
          <w:lang w:val="fr-CH"/>
        </w:rPr>
        <w:footnoteReference w:id="1"/>
      </w:r>
      <w:r w:rsidR="00FF29A8">
        <w:rPr>
          <w:lang w:val="fr-CH"/>
        </w:rPr>
        <w:t xml:space="preserve"> compétentes participant au développement des réseaux IP et des réseaux futurs,</w:t>
      </w:r>
      <w:r w:rsidR="00FF29A8" w:rsidRPr="00FF29A8">
        <w:rPr>
          <w:lang w:val="fr-CH"/>
        </w:rPr>
        <w:t xml:space="preserve"> </w:t>
      </w:r>
      <w:r w:rsidR="00FF29A8">
        <w:rPr>
          <w:lang w:val="fr-CH"/>
        </w:rPr>
        <w:t>afin:</w:t>
      </w:r>
    </w:p>
    <w:p w:rsidR="00FF29A8" w:rsidRDefault="00FF29A8" w:rsidP="00C92C54">
      <w:pPr>
        <w:pStyle w:val="enumlev1"/>
        <w:rPr>
          <w:lang w:val="fr-CH"/>
        </w:rPr>
      </w:pPr>
      <w:r>
        <w:rPr>
          <w:lang w:val="fr-CH"/>
        </w:rPr>
        <w:t>a)</w:t>
      </w:r>
      <w:r>
        <w:rPr>
          <w:lang w:val="fr-CH"/>
        </w:rPr>
        <w:tab/>
        <w:t>d’envisager l’élaboration d’un système de nommage e</w:t>
      </w:r>
      <w:r w:rsidR="001B084D">
        <w:rPr>
          <w:lang w:val="fr-CH"/>
        </w:rPr>
        <w:t>t de numérotage grâce auquel le nommage</w:t>
      </w:r>
      <w:r>
        <w:rPr>
          <w:lang w:val="fr-CH"/>
        </w:rPr>
        <w:t xml:space="preserve"> et </w:t>
      </w:r>
      <w:r w:rsidR="001B084D">
        <w:rPr>
          <w:lang w:val="fr-CH"/>
        </w:rPr>
        <w:t>le numérotage</w:t>
      </w:r>
      <w:r>
        <w:rPr>
          <w:lang w:val="fr-CH"/>
        </w:rPr>
        <w:t xml:space="preserve"> de différents pays soient facilement discernables;</w:t>
      </w:r>
    </w:p>
    <w:p w:rsidR="005A2B5C" w:rsidRDefault="005A2B5C" w:rsidP="00C92C54">
      <w:pPr>
        <w:pStyle w:val="enumlev1"/>
        <w:rPr>
          <w:lang w:val="fr-CH"/>
        </w:rPr>
      </w:pPr>
      <w:r>
        <w:rPr>
          <w:lang w:val="fr-CH"/>
        </w:rPr>
        <w:t>b)</w:t>
      </w:r>
      <w:r>
        <w:rPr>
          <w:lang w:val="fr-CH"/>
        </w:rPr>
        <w:tab/>
        <w:t>d’élaborer des principes pour l'attribution</w:t>
      </w:r>
      <w:r w:rsidRPr="00823940">
        <w:rPr>
          <w:lang w:val="fr-CH"/>
        </w:rPr>
        <w:t xml:space="preserve">, </w:t>
      </w:r>
      <w:r>
        <w:rPr>
          <w:lang w:val="fr-CH"/>
        </w:rPr>
        <w:t>l'assignation et la gestion des ressources </w:t>
      </w:r>
      <w:r w:rsidRPr="00823940">
        <w:rPr>
          <w:lang w:val="fr-CH"/>
        </w:rPr>
        <w:t>IP</w:t>
      </w:r>
      <w:r>
        <w:rPr>
          <w:lang w:val="fr-CH"/>
        </w:rPr>
        <w:t>,</w:t>
      </w:r>
      <w:r w:rsidRPr="00823940">
        <w:rPr>
          <w:lang w:val="fr-CH"/>
        </w:rPr>
        <w:t xml:space="preserve"> </w:t>
      </w:r>
      <w:r w:rsidR="00341A26">
        <w:rPr>
          <w:lang w:val="fr-CH"/>
        </w:rPr>
        <w:t>y </w:t>
      </w:r>
      <w:r>
        <w:rPr>
          <w:lang w:val="fr-CH"/>
        </w:rPr>
        <w:t>compris de nommage</w:t>
      </w:r>
      <w:r w:rsidRPr="00823940">
        <w:rPr>
          <w:lang w:val="fr-CH"/>
        </w:rPr>
        <w:t xml:space="preserve">, </w:t>
      </w:r>
      <w:r>
        <w:rPr>
          <w:lang w:val="fr-CH"/>
        </w:rPr>
        <w:t>de numérotage et d'adressage,</w:t>
      </w:r>
      <w:r w:rsidRPr="00823940">
        <w:rPr>
          <w:lang w:val="fr-CH"/>
        </w:rPr>
        <w:t xml:space="preserve"> </w:t>
      </w:r>
      <w:r>
        <w:rPr>
          <w:lang w:val="fr-CH"/>
        </w:rPr>
        <w:t xml:space="preserve">qui soient </w:t>
      </w:r>
      <w:r w:rsidRPr="00823940">
        <w:rPr>
          <w:lang w:val="fr-CH"/>
        </w:rPr>
        <w:t>syst</w:t>
      </w:r>
      <w:r>
        <w:rPr>
          <w:lang w:val="fr-CH"/>
        </w:rPr>
        <w:t>ématiques</w:t>
      </w:r>
      <w:r w:rsidRPr="00823940">
        <w:rPr>
          <w:lang w:val="fr-CH"/>
        </w:rPr>
        <w:t xml:space="preserve">, </w:t>
      </w:r>
      <w:r>
        <w:rPr>
          <w:lang w:val="fr-CH"/>
        </w:rPr>
        <w:t>é</w:t>
      </w:r>
      <w:r w:rsidRPr="00823940">
        <w:rPr>
          <w:lang w:val="fr-CH"/>
        </w:rPr>
        <w:t>quitable</w:t>
      </w:r>
      <w:r>
        <w:rPr>
          <w:lang w:val="fr-CH"/>
        </w:rPr>
        <w:t>s</w:t>
      </w:r>
      <w:r w:rsidRPr="00823940">
        <w:rPr>
          <w:lang w:val="fr-CH"/>
        </w:rPr>
        <w:t xml:space="preserve">, </w:t>
      </w:r>
      <w:r>
        <w:rPr>
          <w:lang w:val="fr-CH"/>
        </w:rPr>
        <w:t>loyales</w:t>
      </w:r>
      <w:r w:rsidRPr="00823940">
        <w:rPr>
          <w:lang w:val="fr-CH"/>
        </w:rPr>
        <w:t>, just</w:t>
      </w:r>
      <w:r>
        <w:rPr>
          <w:lang w:val="fr-CH"/>
        </w:rPr>
        <w:t>es</w:t>
      </w:r>
      <w:r w:rsidRPr="00823940">
        <w:rPr>
          <w:lang w:val="fr-CH"/>
        </w:rPr>
        <w:t>, d</w:t>
      </w:r>
      <w:r>
        <w:rPr>
          <w:lang w:val="fr-CH"/>
        </w:rPr>
        <w:t xml:space="preserve">émocratiques et </w:t>
      </w:r>
      <w:r w:rsidRPr="00823940">
        <w:rPr>
          <w:lang w:val="fr-CH"/>
        </w:rPr>
        <w:t>transparent</w:t>
      </w:r>
      <w:r>
        <w:rPr>
          <w:lang w:val="fr-CH"/>
        </w:rPr>
        <w:t>es;</w:t>
      </w:r>
    </w:p>
    <w:p w:rsidR="005A2B5C" w:rsidRDefault="005A2B5C" w:rsidP="00C92C54">
      <w:pPr>
        <w:pStyle w:val="enumlev1"/>
        <w:rPr>
          <w:lang w:val="fr-CH"/>
        </w:rPr>
      </w:pPr>
      <w:r>
        <w:rPr>
          <w:lang w:val="fr-CH"/>
        </w:rPr>
        <w:t>c)</w:t>
      </w:r>
      <w:r>
        <w:rPr>
          <w:lang w:val="fr-CH"/>
        </w:rPr>
        <w:tab/>
        <w:t xml:space="preserve">de formuler des recommandations concernant la capacité des réseaux </w:t>
      </w:r>
      <w:r w:rsidR="00D34379">
        <w:rPr>
          <w:lang w:val="fr-CH"/>
        </w:rPr>
        <w:t xml:space="preserve">nécessaire pour </w:t>
      </w:r>
      <w:r w:rsidR="002B3DCA">
        <w:rPr>
          <w:lang w:val="fr-CH"/>
        </w:rPr>
        <w:t>faire en sorte</w:t>
      </w:r>
      <w:r w:rsidR="00E51E1D">
        <w:rPr>
          <w:lang w:val="fr-CH"/>
        </w:rPr>
        <w:t>, de manière efficace,</w:t>
      </w:r>
      <w:r>
        <w:rPr>
          <w:lang w:val="fr-CH"/>
        </w:rPr>
        <w:t xml:space="preserve"> que la résolution d’adresse pour le trafic initié par </w:t>
      </w:r>
      <w:r w:rsidR="002B3DCA">
        <w:rPr>
          <w:lang w:val="fr-CH"/>
        </w:rPr>
        <w:t xml:space="preserve">un </w:t>
      </w:r>
      <w:r>
        <w:rPr>
          <w:lang w:val="fr-CH"/>
        </w:rPr>
        <w:t xml:space="preserve">utilisateur </w:t>
      </w:r>
      <w:r w:rsidR="00D34379">
        <w:rPr>
          <w:lang w:val="fr-CH"/>
        </w:rPr>
        <w:t xml:space="preserve">dans un pays ou une région </w:t>
      </w:r>
      <w:r>
        <w:rPr>
          <w:lang w:val="fr-CH"/>
        </w:rPr>
        <w:t xml:space="preserve">et que </w:t>
      </w:r>
      <w:r w:rsidR="002B3DCA">
        <w:rPr>
          <w:lang w:val="fr-CH"/>
        </w:rPr>
        <w:t>cet utilisateur</w:t>
      </w:r>
      <w:r>
        <w:rPr>
          <w:lang w:val="fr-CH"/>
        </w:rPr>
        <w:t xml:space="preserve"> souhaite faire aboutir dans le même pays ou la même région</w:t>
      </w:r>
      <w:r w:rsidR="00D34379">
        <w:rPr>
          <w:lang w:val="fr-CH"/>
        </w:rPr>
        <w:t>,</w:t>
      </w:r>
      <w:r>
        <w:rPr>
          <w:lang w:val="fr-CH"/>
        </w:rPr>
        <w:t xml:space="preserve"> ait lieu dans ce pays ou cette région;</w:t>
      </w:r>
    </w:p>
    <w:p w:rsidR="005A2B5C" w:rsidRDefault="005A2B5C" w:rsidP="00D65A96">
      <w:pPr>
        <w:rPr>
          <w:lang w:val="fr-CH"/>
        </w:rPr>
      </w:pPr>
      <w:r>
        <w:rPr>
          <w:lang w:val="fr-CH"/>
        </w:rPr>
        <w:t>2</w:t>
      </w:r>
      <w:r>
        <w:rPr>
          <w:lang w:val="fr-CH"/>
        </w:rPr>
        <w:tab/>
      </w:r>
      <w:r w:rsidR="00D34379">
        <w:rPr>
          <w:lang w:val="fr-CH"/>
        </w:rPr>
        <w:t>d’entreprendre une étude, en collaboration avec les organisations</w:t>
      </w:r>
      <w:r w:rsidR="00D34379">
        <w:rPr>
          <w:vertAlign w:val="superscript"/>
          <w:lang w:val="fr-CH"/>
        </w:rPr>
        <w:t>1</w:t>
      </w:r>
      <w:r w:rsidR="00D34379">
        <w:rPr>
          <w:lang w:val="fr-CH"/>
        </w:rPr>
        <w:t xml:space="preserve"> compétentes participant au développement des réseaux IP, en vue de recommander un système permettant de faire en sorte</w:t>
      </w:r>
      <w:r w:rsidR="00E51E1D">
        <w:rPr>
          <w:lang w:val="fr-CH"/>
        </w:rPr>
        <w:t>, de manière efficace,</w:t>
      </w:r>
      <w:r w:rsidR="00D34379">
        <w:rPr>
          <w:lang w:val="fr-CH"/>
        </w:rPr>
        <w:t xml:space="preserve"> que le trafic initié dans un pays et destiné à aboutir dans le même pays reste dans ce pays;</w:t>
      </w:r>
    </w:p>
    <w:p w:rsidR="00D34379" w:rsidRDefault="00D34379" w:rsidP="00D65A96">
      <w:pPr>
        <w:rPr>
          <w:lang w:val="fr-CH"/>
        </w:rPr>
      </w:pPr>
      <w:r>
        <w:rPr>
          <w:lang w:val="fr-CH"/>
        </w:rPr>
        <w:lastRenderedPageBreak/>
        <w:t>3</w:t>
      </w:r>
      <w:r>
        <w:rPr>
          <w:lang w:val="fr-CH"/>
        </w:rPr>
        <w:tab/>
        <w:t>d’entreprendre une étude, en collaboration avec les organisations</w:t>
      </w:r>
      <w:r w:rsidR="00E51E1D">
        <w:rPr>
          <w:vertAlign w:val="superscript"/>
          <w:lang w:val="fr-CH"/>
        </w:rPr>
        <w:t>1</w:t>
      </w:r>
      <w:r>
        <w:rPr>
          <w:lang w:val="fr-CH"/>
        </w:rPr>
        <w:t xml:space="preserve"> compétentes participant au développement des réseaux IP, en vue de recommander des moyens efficaces de conserver </w:t>
      </w:r>
      <w:r w:rsidR="00A52B13">
        <w:rPr>
          <w:lang w:val="fr-CH"/>
        </w:rPr>
        <w:t>des relevés exacts</w:t>
      </w:r>
      <w:r>
        <w:rPr>
          <w:lang w:val="fr-CH"/>
        </w:rPr>
        <w:t xml:space="preserve"> des transactions effectuées sur les réseaux;</w:t>
      </w:r>
    </w:p>
    <w:p w:rsidR="00D34379" w:rsidRDefault="00D34379" w:rsidP="00D65A96">
      <w:pPr>
        <w:rPr>
          <w:lang w:val="fr-CH"/>
        </w:rPr>
      </w:pPr>
      <w:r>
        <w:rPr>
          <w:lang w:val="fr-CH"/>
        </w:rPr>
        <w:t>4</w:t>
      </w:r>
      <w:r>
        <w:rPr>
          <w:lang w:val="fr-CH"/>
        </w:rPr>
        <w:tab/>
      </w:r>
      <w:r w:rsidR="00A52B13">
        <w:rPr>
          <w:lang w:val="fr-CH"/>
        </w:rPr>
        <w:t xml:space="preserve">d’entreprendre une étude, en collaboration avec toutes les parties prenantes </w:t>
      </w:r>
      <w:r w:rsidR="00E51E1D">
        <w:rPr>
          <w:lang w:val="fr-CH"/>
        </w:rPr>
        <w:t xml:space="preserve">concernées, en vue </w:t>
      </w:r>
      <w:r w:rsidR="005F652B">
        <w:rPr>
          <w:lang w:val="fr-CH"/>
        </w:rPr>
        <w:t>d’examiner</w:t>
      </w:r>
      <w:r w:rsidR="00A52B13">
        <w:rPr>
          <w:lang w:val="fr-CH"/>
        </w:rPr>
        <w:t xml:space="preserve"> </w:t>
      </w:r>
      <w:r w:rsidR="00E51E1D">
        <w:rPr>
          <w:lang w:val="fr-CH"/>
        </w:rPr>
        <w:t>l</w:t>
      </w:r>
      <w:r w:rsidR="00A52B13">
        <w:rPr>
          <w:lang w:val="fr-CH"/>
        </w:rPr>
        <w:t>es failles des protocoles actuellement utilisés dans les réseaux de télécommunication et de définir et de recommander des protocoles sûrs</w:t>
      </w:r>
      <w:r w:rsidR="00A52B13" w:rsidRPr="00823940">
        <w:rPr>
          <w:lang w:val="fr-CH"/>
        </w:rPr>
        <w:t>, robust</w:t>
      </w:r>
      <w:r w:rsidR="00A52B13">
        <w:rPr>
          <w:lang w:val="fr-CH"/>
        </w:rPr>
        <w:t>es</w:t>
      </w:r>
      <w:r w:rsidR="00A52B13" w:rsidRPr="00823940">
        <w:rPr>
          <w:lang w:val="fr-CH"/>
        </w:rPr>
        <w:t xml:space="preserve"> </w:t>
      </w:r>
      <w:r w:rsidR="00A52B13">
        <w:rPr>
          <w:lang w:val="fr-CH"/>
        </w:rPr>
        <w:t>et infalsifiables pour répondre aux exigences des réseaux futurs, au vu de l'augmentation considérable du trafic et du nombre de dispositifs terminaux qui est envisagée dans un futur proche, compte tenu des besoins relatifs à l'Internet des objets et aux communications de machine à machine</w:t>
      </w:r>
      <w:r w:rsidR="006866A7">
        <w:rPr>
          <w:lang w:val="fr-CH"/>
        </w:rPr>
        <w:t>,</w:t>
      </w:r>
    </w:p>
    <w:p w:rsidR="00A52B13" w:rsidRPr="00E51E1D" w:rsidRDefault="00A52B13" w:rsidP="00D65A96">
      <w:pPr>
        <w:keepNext/>
        <w:keepLines/>
        <w:tabs>
          <w:tab w:val="clear" w:pos="1134"/>
          <w:tab w:val="clear" w:pos="1701"/>
          <w:tab w:val="clear" w:pos="2268"/>
          <w:tab w:val="clear" w:pos="2835"/>
        </w:tabs>
        <w:spacing w:before="160"/>
        <w:ind w:left="567"/>
        <w:rPr>
          <w:i/>
          <w:lang w:val="fr-CH"/>
        </w:rPr>
      </w:pPr>
      <w:r w:rsidRPr="00E51E1D">
        <w:rPr>
          <w:i/>
          <w:lang w:val="fr-CH"/>
        </w:rPr>
        <w:t>invite les Etats Membres et les Membres des Secteurs</w:t>
      </w:r>
    </w:p>
    <w:p w:rsidR="00A52B13" w:rsidRDefault="00A52B13" w:rsidP="00D65A96">
      <w:pPr>
        <w:rPr>
          <w:lang w:val="fr-CH"/>
        </w:rPr>
      </w:pPr>
      <w:r>
        <w:rPr>
          <w:lang w:val="fr-CH"/>
        </w:rPr>
        <w:t>à participer activement aux discussions ayant trait à ces questions et à fournir des contributions.</w:t>
      </w:r>
    </w:p>
    <w:p w:rsidR="00921704" w:rsidRDefault="00921704" w:rsidP="0032202E">
      <w:pPr>
        <w:pStyle w:val="Reasons"/>
      </w:pPr>
      <w:bookmarkStart w:id="8" w:name="_GoBack"/>
      <w:bookmarkEnd w:id="8"/>
    </w:p>
    <w:p w:rsidR="00921704" w:rsidRDefault="00921704">
      <w:pPr>
        <w:jc w:val="center"/>
      </w:pPr>
      <w:r>
        <w:t>______________</w:t>
      </w:r>
    </w:p>
    <w:sectPr w:rsidR="00921704" w:rsidSect="003A0B7D">
      <w:headerReference w:type="default" r:id="rId12"/>
      <w:footerReference w:type="default" r:id="rId13"/>
      <w:footerReference w:type="first" r:id="rId14"/>
      <w:type w:val="continuous"/>
      <w:pgSz w:w="11913" w:h="16834"/>
      <w:pgMar w:top="1418" w:right="1134" w:bottom="1418" w:left="1134" w:header="720" w:footer="720" w:gutter="0"/>
      <w:paperSrc w:first="15" w:other="15"/>
      <w:cols w:space="720"/>
      <w:titlePg/>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51C0" w:rsidRDefault="004951C0">
      <w:r>
        <w:separator/>
      </w:r>
    </w:p>
  </w:endnote>
  <w:endnote w:type="continuationSeparator" w:id="0">
    <w:p w:rsidR="004951C0" w:rsidRDefault="00495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A1E" w:rsidRDefault="00341A26" w:rsidP="007B5B38">
    <w:pPr>
      <w:pStyle w:val="Footer"/>
      <w:tabs>
        <w:tab w:val="clear" w:pos="5954"/>
        <w:tab w:val="clear" w:pos="9639"/>
        <w:tab w:val="left" w:pos="7655"/>
        <w:tab w:val="right" w:pos="9498"/>
      </w:tabs>
    </w:pPr>
    <w:r>
      <w:fldChar w:fldCharType="begin"/>
    </w:r>
    <w:r>
      <w:instrText xml:space="preserve"> FILENAME \p \* MERGEFORMAT </w:instrText>
    </w:r>
    <w:r>
      <w:fldChar w:fldCharType="separate"/>
    </w:r>
    <w:r>
      <w:t>P:\FRA\SG\CONF-SG\PP14\000\098REV1F.docx</w:t>
    </w:r>
    <w:r>
      <w:fldChar w:fldCharType="end"/>
    </w:r>
    <w:r w:rsidR="00200A1E">
      <w:t xml:space="preserve"> (37</w:t>
    </w:r>
    <w:r w:rsidR="007B5B38">
      <w:t>2062</w:t>
    </w:r>
    <w:r w:rsidR="00200A1E">
      <w:t>)</w:t>
    </w:r>
    <w:r w:rsidR="00200A1E">
      <w:tab/>
    </w:r>
    <w:r w:rsidR="00200A1E">
      <w:fldChar w:fldCharType="begin"/>
    </w:r>
    <w:r w:rsidR="00200A1E">
      <w:instrText xml:space="preserve"> savedate \@ dd.MM.yy </w:instrText>
    </w:r>
    <w:r w:rsidR="00200A1E">
      <w:fldChar w:fldCharType="separate"/>
    </w:r>
    <w:r>
      <w:t>03.11.14</w:t>
    </w:r>
    <w:r w:rsidR="00200A1E">
      <w:fldChar w:fldCharType="end"/>
    </w:r>
    <w:r w:rsidR="00200A1E">
      <w:tab/>
    </w:r>
    <w:r w:rsidR="00200A1E">
      <w:fldChar w:fldCharType="begin"/>
    </w:r>
    <w:r w:rsidR="00200A1E">
      <w:instrText xml:space="preserve"> printdate \@ dd.MM.yy </w:instrText>
    </w:r>
    <w:r w:rsidR="00200A1E">
      <w:fldChar w:fldCharType="separate"/>
    </w:r>
    <w:r>
      <w:t>00.00.00</w:t>
    </w:r>
    <w:r w:rsidR="00200A1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5FB" w:rsidRDefault="000D15FB" w:rsidP="000D15FB">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0C467B" w:rsidRDefault="000C467B">
    <w:pPr>
      <w:pStyle w:val="FirstFooter"/>
      <w:jc w:val="center"/>
    </w:pPr>
  </w:p>
  <w:p w:rsidR="000C467B" w:rsidRDefault="00341A26" w:rsidP="007B5B38">
    <w:pPr>
      <w:pStyle w:val="Footer"/>
      <w:tabs>
        <w:tab w:val="clear" w:pos="5954"/>
        <w:tab w:val="clear" w:pos="9639"/>
        <w:tab w:val="left" w:pos="7655"/>
        <w:tab w:val="right" w:pos="9498"/>
      </w:tabs>
    </w:pPr>
    <w:r>
      <w:fldChar w:fldCharType="begin"/>
    </w:r>
    <w:r>
      <w:instrText xml:space="preserve"> FILENAME \p \* MERGEFORMAT </w:instrText>
    </w:r>
    <w:r>
      <w:fldChar w:fldCharType="separate"/>
    </w:r>
    <w:r>
      <w:t>P:\FRA\SG\CONF-SG\PP14\000\098REV1F.docx</w:t>
    </w:r>
    <w:r>
      <w:fldChar w:fldCharType="end"/>
    </w:r>
    <w:r w:rsidR="00D500F7">
      <w:t xml:space="preserve"> (37</w:t>
    </w:r>
    <w:r w:rsidR="007B5B38">
      <w:t>2062</w:t>
    </w:r>
    <w:r w:rsidR="00D500F7">
      <w:t>)</w:t>
    </w:r>
    <w:r w:rsidR="000C467B">
      <w:tab/>
    </w:r>
    <w:r w:rsidR="00575DC7">
      <w:fldChar w:fldCharType="begin"/>
    </w:r>
    <w:r w:rsidR="000C467B">
      <w:instrText xml:space="preserve"> savedate \@ dd.MM.yy </w:instrText>
    </w:r>
    <w:r w:rsidR="00575DC7">
      <w:fldChar w:fldCharType="separate"/>
    </w:r>
    <w:r>
      <w:t>03.11.14</w:t>
    </w:r>
    <w:r w:rsidR="00575DC7">
      <w:fldChar w:fldCharType="end"/>
    </w:r>
    <w:r w:rsidR="000C467B">
      <w:tab/>
    </w:r>
    <w:r w:rsidR="00575DC7">
      <w:fldChar w:fldCharType="begin"/>
    </w:r>
    <w:r w:rsidR="000C467B">
      <w:instrText xml:space="preserve"> printdate \@ dd.MM.yy </w:instrText>
    </w:r>
    <w:r w:rsidR="00575DC7">
      <w:fldChar w:fldCharType="separate"/>
    </w:r>
    <w:r>
      <w:t>00.00.00</w:t>
    </w:r>
    <w:r w:rsidR="00575DC7">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51C0" w:rsidRDefault="004951C0">
      <w:r>
        <w:t>____________________</w:t>
      </w:r>
    </w:p>
  </w:footnote>
  <w:footnote w:type="continuationSeparator" w:id="0">
    <w:p w:rsidR="004951C0" w:rsidRDefault="004951C0">
      <w:r>
        <w:continuationSeparator/>
      </w:r>
    </w:p>
  </w:footnote>
  <w:footnote w:id="1">
    <w:p w:rsidR="00FF29A8" w:rsidRPr="00FF29A8" w:rsidRDefault="00FF29A8">
      <w:pPr>
        <w:pStyle w:val="FootnoteText"/>
        <w:rPr>
          <w:lang w:val="fr-CH"/>
        </w:rPr>
      </w:pPr>
      <w:r>
        <w:rPr>
          <w:rStyle w:val="FootnoteReference"/>
        </w:rPr>
        <w:footnoteRef/>
      </w:r>
      <w:r>
        <w:t xml:space="preserve"> </w:t>
      </w:r>
      <w:r>
        <w:tab/>
      </w:r>
      <w:r w:rsidRPr="00921704">
        <w:rPr>
          <w:szCs w:val="24"/>
          <w:lang w:val="fr-CH"/>
        </w:rPr>
        <w:t>Organisations comprenant, entre autres, l'Internet Corporation for Assigned Names and Numbers (ICANN), les registres Internet régionaux (RIR), le Groupe d'études sur l'ingénierie Internet (IETF), l'Internet Society (ISOC) et le World Wide Web Consortium (W3C), sur une base de réciprocité.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614" w:rsidRDefault="00BD1614" w:rsidP="00BD1614">
    <w:pPr>
      <w:pStyle w:val="Header"/>
    </w:pPr>
    <w:r>
      <w:fldChar w:fldCharType="begin"/>
    </w:r>
    <w:r>
      <w:instrText xml:space="preserve"> PAGE </w:instrText>
    </w:r>
    <w:r>
      <w:fldChar w:fldCharType="separate"/>
    </w:r>
    <w:r w:rsidR="00341A26">
      <w:rPr>
        <w:noProof/>
      </w:rPr>
      <w:t>4</w:t>
    </w:r>
    <w:r>
      <w:fldChar w:fldCharType="end"/>
    </w:r>
  </w:p>
  <w:p w:rsidR="00BD1614" w:rsidRDefault="00BD1614" w:rsidP="00BD1614">
    <w:pPr>
      <w:pStyle w:val="Header"/>
    </w:pPr>
    <w:r>
      <w:t>PP14/98</w:t>
    </w:r>
    <w:r w:rsidR="00EA6E89">
      <w:t>(Rév.1)</w:t>
    </w:r>
    <w:r>
      <w:t>-</w:t>
    </w:r>
    <w:r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89864F1A"/>
    <w:lvl w:ilvl="0">
      <w:start w:val="1"/>
      <w:numFmt w:val="decimal"/>
      <w:lvlText w:val="%1."/>
      <w:lvlJc w:val="left"/>
      <w:pPr>
        <w:tabs>
          <w:tab w:val="num" w:pos="1492"/>
        </w:tabs>
        <w:ind w:left="1492" w:hanging="360"/>
      </w:pPr>
    </w:lvl>
  </w:abstractNum>
  <w:abstractNum w:abstractNumId="1">
    <w:nsid w:val="FFFFFF7D"/>
    <w:multiLevelType w:val="singleLevel"/>
    <w:tmpl w:val="B148BD80"/>
    <w:lvl w:ilvl="0">
      <w:start w:val="1"/>
      <w:numFmt w:val="decimal"/>
      <w:lvlText w:val="%1."/>
      <w:lvlJc w:val="left"/>
      <w:pPr>
        <w:tabs>
          <w:tab w:val="num" w:pos="1209"/>
        </w:tabs>
        <w:ind w:left="1209" w:hanging="360"/>
      </w:pPr>
    </w:lvl>
  </w:abstractNum>
  <w:abstractNum w:abstractNumId="2">
    <w:nsid w:val="FFFFFF7E"/>
    <w:multiLevelType w:val="singleLevel"/>
    <w:tmpl w:val="53B26BD2"/>
    <w:lvl w:ilvl="0">
      <w:start w:val="1"/>
      <w:numFmt w:val="decimal"/>
      <w:lvlText w:val="%1."/>
      <w:lvlJc w:val="left"/>
      <w:pPr>
        <w:tabs>
          <w:tab w:val="num" w:pos="926"/>
        </w:tabs>
        <w:ind w:left="926" w:hanging="360"/>
      </w:pPr>
    </w:lvl>
  </w:abstractNum>
  <w:abstractNum w:abstractNumId="3">
    <w:nsid w:val="FFFFFF7F"/>
    <w:multiLevelType w:val="singleLevel"/>
    <w:tmpl w:val="EC5076F6"/>
    <w:lvl w:ilvl="0">
      <w:start w:val="1"/>
      <w:numFmt w:val="decimal"/>
      <w:lvlText w:val="%1."/>
      <w:lvlJc w:val="left"/>
      <w:pPr>
        <w:tabs>
          <w:tab w:val="num" w:pos="643"/>
        </w:tabs>
        <w:ind w:left="643" w:hanging="360"/>
      </w:pPr>
    </w:lvl>
  </w:abstractNum>
  <w:abstractNum w:abstractNumId="4">
    <w:nsid w:val="FFFFFF80"/>
    <w:multiLevelType w:val="singleLevel"/>
    <w:tmpl w:val="813EC5F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D2A5B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66CF79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2A8601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27C9F2C"/>
    <w:lvl w:ilvl="0">
      <w:start w:val="1"/>
      <w:numFmt w:val="decimal"/>
      <w:lvlText w:val="%1."/>
      <w:lvlJc w:val="left"/>
      <w:pPr>
        <w:tabs>
          <w:tab w:val="num" w:pos="360"/>
        </w:tabs>
        <w:ind w:left="360" w:hanging="360"/>
      </w:pPr>
    </w:lvl>
  </w:abstractNum>
  <w:abstractNum w:abstractNumId="9">
    <w:nsid w:val="FFFFFF89"/>
    <w:multiLevelType w:val="singleLevel"/>
    <w:tmpl w:val="5106D9D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D5E"/>
    <w:rsid w:val="000010B6"/>
    <w:rsid w:val="000054D8"/>
    <w:rsid w:val="000230F0"/>
    <w:rsid w:val="00024610"/>
    <w:rsid w:val="00060D74"/>
    <w:rsid w:val="000629A9"/>
    <w:rsid w:val="00072D5C"/>
    <w:rsid w:val="0008398C"/>
    <w:rsid w:val="00084308"/>
    <w:rsid w:val="000B14B6"/>
    <w:rsid w:val="000C467B"/>
    <w:rsid w:val="000C4F8F"/>
    <w:rsid w:val="000D15FB"/>
    <w:rsid w:val="000F58F7"/>
    <w:rsid w:val="001051E4"/>
    <w:rsid w:val="001354EA"/>
    <w:rsid w:val="00136FCE"/>
    <w:rsid w:val="001503A0"/>
    <w:rsid w:val="00153BA4"/>
    <w:rsid w:val="001921A8"/>
    <w:rsid w:val="001941AD"/>
    <w:rsid w:val="001A0682"/>
    <w:rsid w:val="001B084D"/>
    <w:rsid w:val="001B4D8D"/>
    <w:rsid w:val="001C2A2B"/>
    <w:rsid w:val="001C6C50"/>
    <w:rsid w:val="001D31B2"/>
    <w:rsid w:val="001E1B9B"/>
    <w:rsid w:val="001E6B20"/>
    <w:rsid w:val="001F6233"/>
    <w:rsid w:val="00200A1E"/>
    <w:rsid w:val="002253D5"/>
    <w:rsid w:val="002324B2"/>
    <w:rsid w:val="002355CD"/>
    <w:rsid w:val="0024023B"/>
    <w:rsid w:val="00242327"/>
    <w:rsid w:val="002425C7"/>
    <w:rsid w:val="00270B2F"/>
    <w:rsid w:val="002A0E1B"/>
    <w:rsid w:val="002A51B6"/>
    <w:rsid w:val="002B3DCA"/>
    <w:rsid w:val="002C1059"/>
    <w:rsid w:val="002C2F9C"/>
    <w:rsid w:val="002C5956"/>
    <w:rsid w:val="002D360F"/>
    <w:rsid w:val="002E616C"/>
    <w:rsid w:val="003017EB"/>
    <w:rsid w:val="00322DEA"/>
    <w:rsid w:val="00341A26"/>
    <w:rsid w:val="003937DF"/>
    <w:rsid w:val="003A0B7D"/>
    <w:rsid w:val="003A45C2"/>
    <w:rsid w:val="003B370D"/>
    <w:rsid w:val="003C4BE2"/>
    <w:rsid w:val="003D0011"/>
    <w:rsid w:val="003D147D"/>
    <w:rsid w:val="003D637A"/>
    <w:rsid w:val="00420B5F"/>
    <w:rsid w:val="004226A1"/>
    <w:rsid w:val="00430015"/>
    <w:rsid w:val="0046616C"/>
    <w:rsid w:val="004678D0"/>
    <w:rsid w:val="00482954"/>
    <w:rsid w:val="004951C0"/>
    <w:rsid w:val="00506081"/>
    <w:rsid w:val="00524001"/>
    <w:rsid w:val="0056346B"/>
    <w:rsid w:val="00564B63"/>
    <w:rsid w:val="00575DC7"/>
    <w:rsid w:val="005836C2"/>
    <w:rsid w:val="005A2B5C"/>
    <w:rsid w:val="005A4EFD"/>
    <w:rsid w:val="005A5ABE"/>
    <w:rsid w:val="005C2ECC"/>
    <w:rsid w:val="005C6744"/>
    <w:rsid w:val="005E419E"/>
    <w:rsid w:val="005F63BD"/>
    <w:rsid w:val="005F652B"/>
    <w:rsid w:val="00611CF1"/>
    <w:rsid w:val="006201D9"/>
    <w:rsid w:val="006277DB"/>
    <w:rsid w:val="00635B7B"/>
    <w:rsid w:val="00655B98"/>
    <w:rsid w:val="006710E6"/>
    <w:rsid w:val="006866A7"/>
    <w:rsid w:val="00686973"/>
    <w:rsid w:val="006A6342"/>
    <w:rsid w:val="006B6C9C"/>
    <w:rsid w:val="006C7AE3"/>
    <w:rsid w:val="006D55E8"/>
    <w:rsid w:val="006E1921"/>
    <w:rsid w:val="006F1CC2"/>
    <w:rsid w:val="006F36F9"/>
    <w:rsid w:val="0070576B"/>
    <w:rsid w:val="00713335"/>
    <w:rsid w:val="00727C2F"/>
    <w:rsid w:val="00735F13"/>
    <w:rsid w:val="007427B1"/>
    <w:rsid w:val="007717F2"/>
    <w:rsid w:val="00772E3B"/>
    <w:rsid w:val="0078134C"/>
    <w:rsid w:val="007A5830"/>
    <w:rsid w:val="007B5B38"/>
    <w:rsid w:val="00801256"/>
    <w:rsid w:val="0082324A"/>
    <w:rsid w:val="00823940"/>
    <w:rsid w:val="00856870"/>
    <w:rsid w:val="008703CB"/>
    <w:rsid w:val="00893279"/>
    <w:rsid w:val="008B4D96"/>
    <w:rsid w:val="008B5520"/>
    <w:rsid w:val="008B61AF"/>
    <w:rsid w:val="008C33C2"/>
    <w:rsid w:val="008C6137"/>
    <w:rsid w:val="008E2DB4"/>
    <w:rsid w:val="00901DD5"/>
    <w:rsid w:val="0090735B"/>
    <w:rsid w:val="00912D5E"/>
    <w:rsid w:val="00921704"/>
    <w:rsid w:val="0093304A"/>
    <w:rsid w:val="00934340"/>
    <w:rsid w:val="00956DC7"/>
    <w:rsid w:val="00966CD3"/>
    <w:rsid w:val="00974C79"/>
    <w:rsid w:val="00986513"/>
    <w:rsid w:val="00987A20"/>
    <w:rsid w:val="00991534"/>
    <w:rsid w:val="00993A6D"/>
    <w:rsid w:val="009A0E15"/>
    <w:rsid w:val="009A7F01"/>
    <w:rsid w:val="009D4037"/>
    <w:rsid w:val="009F0592"/>
    <w:rsid w:val="00A20E72"/>
    <w:rsid w:val="00A246DC"/>
    <w:rsid w:val="00A27400"/>
    <w:rsid w:val="00A47BAF"/>
    <w:rsid w:val="00A51169"/>
    <w:rsid w:val="00A52B13"/>
    <w:rsid w:val="00A542D3"/>
    <w:rsid w:val="00A5784F"/>
    <w:rsid w:val="00A8436E"/>
    <w:rsid w:val="00A95B66"/>
    <w:rsid w:val="00A9706A"/>
    <w:rsid w:val="00AD7BCC"/>
    <w:rsid w:val="00AE0667"/>
    <w:rsid w:val="00AE532F"/>
    <w:rsid w:val="00B41E0A"/>
    <w:rsid w:val="00B539DB"/>
    <w:rsid w:val="00B56DE0"/>
    <w:rsid w:val="00B71F12"/>
    <w:rsid w:val="00B96B1E"/>
    <w:rsid w:val="00BA11CA"/>
    <w:rsid w:val="00BB2A6F"/>
    <w:rsid w:val="00BD1614"/>
    <w:rsid w:val="00BD5DA6"/>
    <w:rsid w:val="00BF7D25"/>
    <w:rsid w:val="00C010C0"/>
    <w:rsid w:val="00C40CB5"/>
    <w:rsid w:val="00C54CE6"/>
    <w:rsid w:val="00C575E2"/>
    <w:rsid w:val="00C7368B"/>
    <w:rsid w:val="00C80234"/>
    <w:rsid w:val="00C92746"/>
    <w:rsid w:val="00C92C54"/>
    <w:rsid w:val="00CA2B62"/>
    <w:rsid w:val="00CC4DC5"/>
    <w:rsid w:val="00CE1A7C"/>
    <w:rsid w:val="00CE580C"/>
    <w:rsid w:val="00D044F1"/>
    <w:rsid w:val="00D0464B"/>
    <w:rsid w:val="00D12C74"/>
    <w:rsid w:val="00D2263F"/>
    <w:rsid w:val="00D30BDF"/>
    <w:rsid w:val="00D34379"/>
    <w:rsid w:val="00D415FD"/>
    <w:rsid w:val="00D42948"/>
    <w:rsid w:val="00D500F7"/>
    <w:rsid w:val="00D56483"/>
    <w:rsid w:val="00D5658F"/>
    <w:rsid w:val="00D56AD6"/>
    <w:rsid w:val="00D65A96"/>
    <w:rsid w:val="00D70019"/>
    <w:rsid w:val="00D74B58"/>
    <w:rsid w:val="00D82ABE"/>
    <w:rsid w:val="00D91B7D"/>
    <w:rsid w:val="00DA007B"/>
    <w:rsid w:val="00DA4ABA"/>
    <w:rsid w:val="00DA685B"/>
    <w:rsid w:val="00DA742B"/>
    <w:rsid w:val="00DF25C1"/>
    <w:rsid w:val="00DF48F7"/>
    <w:rsid w:val="00DF4964"/>
    <w:rsid w:val="00DF4D73"/>
    <w:rsid w:val="00DF79B0"/>
    <w:rsid w:val="00E1047D"/>
    <w:rsid w:val="00E443FA"/>
    <w:rsid w:val="00E51E1D"/>
    <w:rsid w:val="00E5450D"/>
    <w:rsid w:val="00E54FCE"/>
    <w:rsid w:val="00E60DA1"/>
    <w:rsid w:val="00E85C76"/>
    <w:rsid w:val="00E87BA5"/>
    <w:rsid w:val="00E93D35"/>
    <w:rsid w:val="00EA45DB"/>
    <w:rsid w:val="00EA6E89"/>
    <w:rsid w:val="00ED2CD9"/>
    <w:rsid w:val="00F07DA7"/>
    <w:rsid w:val="00F564C1"/>
    <w:rsid w:val="00F623C8"/>
    <w:rsid w:val="00F77FA2"/>
    <w:rsid w:val="00F8357A"/>
    <w:rsid w:val="00FA1B77"/>
    <w:rsid w:val="00FB4B65"/>
    <w:rsid w:val="00FB74B8"/>
    <w:rsid w:val="00FB78D1"/>
    <w:rsid w:val="00FC49E0"/>
    <w:rsid w:val="00FE060D"/>
    <w:rsid w:val="00FF0484"/>
    <w:rsid w:val="00FF29A8"/>
    <w:rsid w:val="00FF4E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10E6"/>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5A4EFD"/>
    <w:pPr>
      <w:keepNext/>
      <w:keepLines/>
      <w:spacing w:before="480"/>
      <w:ind w:left="567" w:hanging="567"/>
      <w:outlineLvl w:val="0"/>
    </w:pPr>
    <w:rPr>
      <w:b/>
      <w:sz w:val="28"/>
    </w:rPr>
  </w:style>
  <w:style w:type="paragraph" w:styleId="Heading2">
    <w:name w:val="heading 2"/>
    <w:basedOn w:val="Heading1"/>
    <w:next w:val="Normal"/>
    <w:qFormat/>
    <w:rsid w:val="00686973"/>
    <w:pPr>
      <w:spacing w:before="320"/>
      <w:outlineLvl w:val="1"/>
    </w:pPr>
    <w:rPr>
      <w:sz w:val="24"/>
    </w:rPr>
  </w:style>
  <w:style w:type="paragraph" w:styleId="Heading3">
    <w:name w:val="heading 3"/>
    <w:basedOn w:val="Heading1"/>
    <w:next w:val="Normal"/>
    <w:qFormat/>
    <w:rsid w:val="00686973"/>
    <w:pPr>
      <w:spacing w:before="200"/>
      <w:outlineLvl w:val="2"/>
    </w:pPr>
    <w:rPr>
      <w:sz w:val="24"/>
    </w:rPr>
  </w:style>
  <w:style w:type="paragraph" w:styleId="Heading4">
    <w:name w:val="heading 4"/>
    <w:basedOn w:val="Heading3"/>
    <w:next w:val="Normal"/>
    <w:qFormat/>
    <w:rsid w:val="003A0B7D"/>
    <w:pPr>
      <w:ind w:left="1134" w:hanging="1134"/>
      <w:outlineLvl w:val="3"/>
    </w:pPr>
  </w:style>
  <w:style w:type="paragraph" w:styleId="Heading5">
    <w:name w:val="heading 5"/>
    <w:basedOn w:val="Heading4"/>
    <w:next w:val="Normal"/>
    <w:qFormat/>
    <w:rsid w:val="003A0B7D"/>
    <w:pPr>
      <w:outlineLvl w:val="4"/>
    </w:pPr>
  </w:style>
  <w:style w:type="paragraph" w:styleId="Heading6">
    <w:name w:val="heading 6"/>
    <w:basedOn w:val="Heading4"/>
    <w:next w:val="Normal"/>
    <w:qFormat/>
    <w:rsid w:val="003A0B7D"/>
    <w:pPr>
      <w:outlineLvl w:val="5"/>
    </w:pPr>
  </w:style>
  <w:style w:type="paragraph" w:styleId="Heading7">
    <w:name w:val="heading 7"/>
    <w:basedOn w:val="Heading4"/>
    <w:next w:val="Normal"/>
    <w:qFormat/>
    <w:rsid w:val="003A0B7D"/>
    <w:pPr>
      <w:ind w:left="1701" w:hanging="1701"/>
      <w:outlineLvl w:val="6"/>
    </w:pPr>
  </w:style>
  <w:style w:type="paragraph" w:styleId="Heading8">
    <w:name w:val="heading 8"/>
    <w:basedOn w:val="Heading4"/>
    <w:next w:val="Normal"/>
    <w:qFormat/>
    <w:rsid w:val="003A0B7D"/>
    <w:pPr>
      <w:ind w:left="1701" w:hanging="1701"/>
      <w:outlineLvl w:val="7"/>
    </w:pPr>
  </w:style>
  <w:style w:type="paragraph" w:styleId="Heading9">
    <w:name w:val="heading 9"/>
    <w:basedOn w:val="Heading4"/>
    <w:next w:val="Normal"/>
    <w:qFormat/>
    <w:rsid w:val="003A0B7D"/>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3A0B7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3A0B7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3A0B7D"/>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rsid w:val="003A0B7D"/>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3A0B7D"/>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5A4EFD"/>
    <w:rPr>
      <w:rFonts w:ascii="Calibri" w:hAnsi="Calibri"/>
      <w:position w:val="6"/>
      <w:sz w:val="16"/>
    </w:rPr>
  </w:style>
  <w:style w:type="paragraph" w:styleId="FootnoteText">
    <w:name w:val="footnote text"/>
    <w:basedOn w:val="Normal"/>
    <w:rsid w:val="003A0B7D"/>
    <w:pPr>
      <w:keepLines/>
      <w:tabs>
        <w:tab w:val="left" w:pos="256"/>
      </w:tabs>
      <w:ind w:left="256" w:hanging="256"/>
    </w:pPr>
  </w:style>
  <w:style w:type="paragraph" w:styleId="NormalIndent">
    <w:name w:val="Normal Indent"/>
    <w:basedOn w:val="Normal"/>
    <w:rsid w:val="003A0B7D"/>
    <w:pPr>
      <w:ind w:left="567"/>
    </w:pPr>
  </w:style>
  <w:style w:type="paragraph" w:customStyle="1" w:styleId="Tablelegend">
    <w:name w:val="Table_legend"/>
    <w:basedOn w:val="Tabletext"/>
    <w:rsid w:val="003A0B7D"/>
    <w:pPr>
      <w:spacing w:before="120"/>
    </w:pPr>
  </w:style>
  <w:style w:type="paragraph" w:customStyle="1" w:styleId="Tabletext">
    <w:name w:val="Table_text"/>
    <w:basedOn w:val="Normal"/>
    <w:rsid w:val="003A0B7D"/>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3A0B7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3A0B7D"/>
    <w:pPr>
      <w:keepNext/>
      <w:spacing w:before="560" w:after="120"/>
      <w:jc w:val="center"/>
    </w:pPr>
    <w:rPr>
      <w:caps/>
    </w:rPr>
  </w:style>
  <w:style w:type="paragraph" w:customStyle="1" w:styleId="enumlev1">
    <w:name w:val="enumlev1"/>
    <w:basedOn w:val="Normal"/>
    <w:rsid w:val="003A0B7D"/>
    <w:pPr>
      <w:spacing w:before="86"/>
      <w:ind w:left="567" w:hanging="567"/>
    </w:pPr>
  </w:style>
  <w:style w:type="paragraph" w:customStyle="1" w:styleId="enumlev2">
    <w:name w:val="enumlev2"/>
    <w:basedOn w:val="enumlev1"/>
    <w:rsid w:val="003A0B7D"/>
    <w:pPr>
      <w:ind w:left="1134"/>
    </w:pPr>
  </w:style>
  <w:style w:type="paragraph" w:customStyle="1" w:styleId="enumlev3">
    <w:name w:val="enumlev3"/>
    <w:basedOn w:val="enumlev2"/>
    <w:rsid w:val="003A0B7D"/>
    <w:pPr>
      <w:ind w:left="1701"/>
    </w:pPr>
  </w:style>
  <w:style w:type="paragraph" w:customStyle="1" w:styleId="Tablehead">
    <w:name w:val="Table_head"/>
    <w:basedOn w:val="Tabletext"/>
    <w:rsid w:val="003A0B7D"/>
    <w:pPr>
      <w:spacing w:before="120" w:after="120"/>
      <w:jc w:val="center"/>
    </w:pPr>
    <w:rPr>
      <w:b/>
    </w:rPr>
  </w:style>
  <w:style w:type="paragraph" w:customStyle="1" w:styleId="Normalaftertitle">
    <w:name w:val="Normal after title"/>
    <w:basedOn w:val="Normal"/>
    <w:next w:val="Normal"/>
    <w:rsid w:val="003A0B7D"/>
    <w:pPr>
      <w:spacing w:before="240"/>
    </w:pPr>
  </w:style>
  <w:style w:type="paragraph" w:customStyle="1" w:styleId="AnnexNo">
    <w:name w:val="Annex_No"/>
    <w:basedOn w:val="Normal"/>
    <w:next w:val="Annexref"/>
    <w:rsid w:val="00686973"/>
    <w:pPr>
      <w:spacing w:before="720"/>
      <w:jc w:val="center"/>
    </w:pPr>
    <w:rPr>
      <w:caps/>
      <w:sz w:val="28"/>
    </w:rPr>
  </w:style>
  <w:style w:type="paragraph" w:customStyle="1" w:styleId="Annexref">
    <w:name w:val="Annex_ref"/>
    <w:basedOn w:val="Normal"/>
    <w:next w:val="Annextitle"/>
    <w:rsid w:val="00686973"/>
    <w:pPr>
      <w:jc w:val="center"/>
    </w:pPr>
    <w:rPr>
      <w:sz w:val="28"/>
    </w:rPr>
  </w:style>
  <w:style w:type="paragraph" w:customStyle="1" w:styleId="Annextitle">
    <w:name w:val="Annex_title"/>
    <w:basedOn w:val="Normal"/>
    <w:next w:val="Normal"/>
    <w:rsid w:val="00686973"/>
    <w:pPr>
      <w:spacing w:before="240" w:after="240"/>
      <w:jc w:val="center"/>
    </w:pPr>
    <w:rPr>
      <w:b/>
      <w:sz w:val="28"/>
    </w:rPr>
  </w:style>
  <w:style w:type="paragraph" w:customStyle="1" w:styleId="AppendixNo">
    <w:name w:val="Appendix_No"/>
    <w:basedOn w:val="AnnexNo"/>
    <w:next w:val="Appendixref"/>
    <w:rsid w:val="00686973"/>
  </w:style>
  <w:style w:type="paragraph" w:customStyle="1" w:styleId="Appendixref">
    <w:name w:val="Appendix_ref"/>
    <w:basedOn w:val="Annexref"/>
    <w:next w:val="Appendixtitle"/>
    <w:rsid w:val="003A0B7D"/>
  </w:style>
  <w:style w:type="paragraph" w:customStyle="1" w:styleId="Appendixtitle">
    <w:name w:val="Appendix_title"/>
    <w:basedOn w:val="Annextitle"/>
    <w:next w:val="Normal"/>
    <w:rsid w:val="003A0B7D"/>
  </w:style>
  <w:style w:type="paragraph" w:customStyle="1" w:styleId="Reftitle">
    <w:name w:val="Ref_title"/>
    <w:basedOn w:val="Normal"/>
    <w:next w:val="Reftext"/>
    <w:rsid w:val="00686973"/>
    <w:pPr>
      <w:spacing w:before="480"/>
      <w:jc w:val="center"/>
    </w:pPr>
    <w:rPr>
      <w:caps/>
      <w:sz w:val="28"/>
    </w:rPr>
  </w:style>
  <w:style w:type="paragraph" w:customStyle="1" w:styleId="Reftext">
    <w:name w:val="Ref_text"/>
    <w:basedOn w:val="Normal"/>
    <w:rsid w:val="003A0B7D"/>
    <w:pPr>
      <w:ind w:left="567" w:hanging="567"/>
    </w:pPr>
  </w:style>
  <w:style w:type="paragraph" w:customStyle="1" w:styleId="Rectitle">
    <w:name w:val="Rec_title"/>
    <w:basedOn w:val="Normal"/>
    <w:next w:val="Heading1"/>
    <w:rsid w:val="005A4EFD"/>
    <w:pPr>
      <w:spacing w:before="240"/>
      <w:jc w:val="center"/>
    </w:pPr>
    <w:rPr>
      <w:b/>
      <w:sz w:val="28"/>
    </w:rPr>
  </w:style>
  <w:style w:type="paragraph" w:customStyle="1" w:styleId="Call">
    <w:name w:val="Call"/>
    <w:basedOn w:val="Normal"/>
    <w:next w:val="Normal"/>
    <w:rsid w:val="003A0B7D"/>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686973"/>
    <w:pPr>
      <w:spacing w:before="720"/>
      <w:jc w:val="center"/>
    </w:pPr>
    <w:rPr>
      <w:caps/>
      <w:sz w:val="28"/>
    </w:rPr>
  </w:style>
  <w:style w:type="paragraph" w:customStyle="1" w:styleId="toc0">
    <w:name w:val="toc 0"/>
    <w:basedOn w:val="Normal"/>
    <w:next w:val="TOC1"/>
    <w:rsid w:val="003A0B7D"/>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686973"/>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3A0B7D"/>
    <w:pPr>
      <w:tabs>
        <w:tab w:val="clear" w:pos="567"/>
        <w:tab w:val="left" w:pos="851"/>
      </w:tabs>
    </w:pPr>
  </w:style>
  <w:style w:type="paragraph" w:customStyle="1" w:styleId="MinusFootnote">
    <w:name w:val="MinusFootnote"/>
    <w:basedOn w:val="Normal"/>
    <w:rsid w:val="003A0B7D"/>
    <w:pPr>
      <w:ind w:left="-1701" w:hanging="284"/>
    </w:pPr>
  </w:style>
  <w:style w:type="paragraph" w:customStyle="1" w:styleId="Title3">
    <w:name w:val="Title 3"/>
    <w:basedOn w:val="Title2"/>
    <w:next w:val="Normalaftertitle"/>
    <w:rsid w:val="003A0B7D"/>
    <w:rPr>
      <w:caps w:val="0"/>
    </w:rPr>
  </w:style>
  <w:style w:type="paragraph" w:customStyle="1" w:styleId="Title2">
    <w:name w:val="Title 2"/>
    <w:basedOn w:val="Source"/>
    <w:next w:val="Title3"/>
    <w:rsid w:val="003A0B7D"/>
    <w:pPr>
      <w:spacing w:before="240"/>
    </w:pPr>
    <w:rPr>
      <w:b w:val="0"/>
      <w:caps/>
    </w:rPr>
  </w:style>
  <w:style w:type="paragraph" w:customStyle="1" w:styleId="Source">
    <w:name w:val="Source"/>
    <w:basedOn w:val="Normal"/>
    <w:next w:val="Title1"/>
    <w:rsid w:val="00F564C1"/>
    <w:pPr>
      <w:spacing w:before="840"/>
      <w:jc w:val="center"/>
    </w:pPr>
    <w:rPr>
      <w:b/>
      <w:sz w:val="28"/>
    </w:rPr>
  </w:style>
  <w:style w:type="paragraph" w:customStyle="1" w:styleId="Title1">
    <w:name w:val="Title 1"/>
    <w:basedOn w:val="Source"/>
    <w:next w:val="Title2"/>
    <w:rsid w:val="003A0B7D"/>
    <w:pPr>
      <w:spacing w:before="240"/>
    </w:pPr>
    <w:rPr>
      <w:b w:val="0"/>
      <w:caps/>
    </w:rPr>
  </w:style>
  <w:style w:type="paragraph" w:customStyle="1" w:styleId="ArtNo">
    <w:name w:val="Art_No"/>
    <w:basedOn w:val="Normal"/>
    <w:next w:val="Arttitle"/>
    <w:rsid w:val="00686973"/>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686973"/>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3A0B7D"/>
  </w:style>
  <w:style w:type="paragraph" w:customStyle="1" w:styleId="Chaptitle">
    <w:name w:val="Chap_title"/>
    <w:basedOn w:val="Arttitle"/>
    <w:next w:val="Normal"/>
    <w:rsid w:val="003A0B7D"/>
  </w:style>
  <w:style w:type="paragraph" w:customStyle="1" w:styleId="Reasons">
    <w:name w:val="Reasons"/>
    <w:basedOn w:val="Normal"/>
    <w:qFormat/>
    <w:rsid w:val="003A0B7D"/>
  </w:style>
  <w:style w:type="paragraph" w:customStyle="1" w:styleId="ResNo">
    <w:name w:val="Res_No"/>
    <w:basedOn w:val="AnnexNo"/>
    <w:next w:val="Restitle"/>
    <w:rsid w:val="003A0B7D"/>
  </w:style>
  <w:style w:type="paragraph" w:customStyle="1" w:styleId="Restitle">
    <w:name w:val="Res_title"/>
    <w:basedOn w:val="Annextitle"/>
    <w:next w:val="Normal"/>
    <w:rsid w:val="005A4EFD"/>
  </w:style>
  <w:style w:type="paragraph" w:customStyle="1" w:styleId="AnnexNoS2">
    <w:name w:val="Annex_No_S2"/>
    <w:basedOn w:val="AnnexNo"/>
    <w:next w:val="AnnexrefS2"/>
    <w:rsid w:val="00686973"/>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3A0B7D"/>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3A0B7D"/>
    <w:rPr>
      <w:caps w:val="0"/>
    </w:rPr>
  </w:style>
  <w:style w:type="paragraph" w:customStyle="1" w:styleId="Section2">
    <w:name w:val="Section 2"/>
    <w:basedOn w:val="Section1"/>
    <w:next w:val="Normal"/>
    <w:rsid w:val="003A0B7D"/>
    <w:pPr>
      <w:spacing w:before="240"/>
    </w:pPr>
    <w:rPr>
      <w:b/>
      <w:i/>
    </w:rPr>
  </w:style>
  <w:style w:type="paragraph" w:customStyle="1" w:styleId="AppendixNoS2">
    <w:name w:val="Appendix_No_S2"/>
    <w:basedOn w:val="AppendixNo"/>
    <w:next w:val="Appendixref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686973"/>
    <w:pPr>
      <w:tabs>
        <w:tab w:val="left" w:pos="851"/>
      </w:tabs>
      <w:jc w:val="left"/>
    </w:pPr>
    <w:rPr>
      <w:b/>
      <w:sz w:val="24"/>
    </w:rPr>
  </w:style>
  <w:style w:type="paragraph" w:customStyle="1" w:styleId="ArttitleS2">
    <w:name w:val="Art_title_S2"/>
    <w:basedOn w:val="Arttitle"/>
    <w:next w:val="NormalS2"/>
    <w:rsid w:val="00686973"/>
    <w:pPr>
      <w:tabs>
        <w:tab w:val="left" w:pos="851"/>
      </w:tabs>
      <w:jc w:val="left"/>
    </w:pPr>
    <w:rPr>
      <w:sz w:val="24"/>
    </w:rPr>
  </w:style>
  <w:style w:type="paragraph" w:customStyle="1" w:styleId="ChapNoS2">
    <w:name w:val="Chap_No_S2"/>
    <w:basedOn w:val="ChapNo"/>
    <w:next w:val="ChaptitleS2"/>
    <w:rsid w:val="005A4EFD"/>
    <w:pPr>
      <w:tabs>
        <w:tab w:val="left" w:pos="851"/>
      </w:tabs>
      <w:jc w:val="left"/>
    </w:pPr>
    <w:rPr>
      <w:b/>
      <w:sz w:val="24"/>
    </w:rPr>
  </w:style>
  <w:style w:type="paragraph" w:customStyle="1" w:styleId="ChaptitleS2">
    <w:name w:val="Chap_title_S2"/>
    <w:basedOn w:val="Chaptitle"/>
    <w:next w:val="NormalS2"/>
    <w:rsid w:val="00686973"/>
    <w:pPr>
      <w:tabs>
        <w:tab w:val="left" w:pos="851"/>
      </w:tabs>
      <w:jc w:val="left"/>
    </w:pPr>
    <w:rPr>
      <w:sz w:val="24"/>
    </w:rPr>
  </w:style>
  <w:style w:type="paragraph" w:customStyle="1" w:styleId="enumlev1S2">
    <w:name w:val="enumlev1_S2"/>
    <w:basedOn w:val="enumlev1"/>
    <w:rsid w:val="003A0B7D"/>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3A0B7D"/>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3A0B7D"/>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3A0B7D"/>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686973"/>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3A0B7D"/>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3A0B7D"/>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3A0B7D"/>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3A0B7D"/>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3A0B7D"/>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3A0B7D"/>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3A0B7D"/>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3A0B7D"/>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3A0B7D"/>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3A0B7D"/>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3A0B7D"/>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686973"/>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3A0B7D"/>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686973"/>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686973"/>
    <w:pPr>
      <w:tabs>
        <w:tab w:val="left" w:pos="851"/>
      </w:tabs>
      <w:jc w:val="left"/>
    </w:pPr>
    <w:rPr>
      <w:caps/>
      <w:sz w:val="24"/>
    </w:rPr>
  </w:style>
  <w:style w:type="paragraph" w:customStyle="1" w:styleId="Section2S2">
    <w:name w:val="Section 2_S2"/>
    <w:basedOn w:val="Section2"/>
    <w:next w:val="NormalS2"/>
    <w:rsid w:val="005A4EFD"/>
    <w:pPr>
      <w:tabs>
        <w:tab w:val="left" w:pos="851"/>
      </w:tabs>
      <w:jc w:val="left"/>
    </w:pPr>
    <w:rPr>
      <w:sz w:val="24"/>
    </w:rPr>
  </w:style>
  <w:style w:type="paragraph" w:customStyle="1" w:styleId="TableNoS2">
    <w:name w:val="Table_No_S2"/>
    <w:basedOn w:val="TableNo"/>
    <w:next w:val="TabletitleS2"/>
    <w:rsid w:val="003A0B7D"/>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3A0B7D"/>
    <w:pPr>
      <w:keepNext w:val="0"/>
      <w:tabs>
        <w:tab w:val="clear" w:pos="2948"/>
        <w:tab w:val="clear" w:pos="4082"/>
        <w:tab w:val="left" w:pos="851"/>
      </w:tabs>
      <w:jc w:val="left"/>
    </w:pPr>
  </w:style>
  <w:style w:type="paragraph" w:customStyle="1" w:styleId="TabletextS2">
    <w:name w:val="Table_text_S2"/>
    <w:basedOn w:val="Tabletext"/>
    <w:rsid w:val="003A0B7D"/>
    <w:pPr>
      <w:tabs>
        <w:tab w:val="left" w:pos="851"/>
      </w:tabs>
    </w:pPr>
    <w:rPr>
      <w:b/>
    </w:rPr>
  </w:style>
  <w:style w:type="paragraph" w:customStyle="1" w:styleId="TablelegendS2">
    <w:name w:val="Table_legend_S2"/>
    <w:basedOn w:val="Tablelegend"/>
    <w:rsid w:val="003A0B7D"/>
    <w:pPr>
      <w:tabs>
        <w:tab w:val="left" w:pos="851"/>
      </w:tabs>
      <w:spacing w:after="0"/>
    </w:pPr>
    <w:rPr>
      <w:b/>
    </w:rPr>
  </w:style>
  <w:style w:type="paragraph" w:customStyle="1" w:styleId="FooterS2">
    <w:name w:val="Footer_S2"/>
    <w:basedOn w:val="Footer"/>
    <w:rsid w:val="003A0B7D"/>
    <w:pPr>
      <w:tabs>
        <w:tab w:val="clear" w:pos="5954"/>
        <w:tab w:val="clear" w:pos="9639"/>
        <w:tab w:val="left" w:pos="3686"/>
        <w:tab w:val="right" w:pos="7655"/>
      </w:tabs>
      <w:ind w:left="-1985"/>
    </w:pPr>
  </w:style>
  <w:style w:type="paragraph" w:customStyle="1" w:styleId="HeaderS2">
    <w:name w:val="Header_S2"/>
    <w:basedOn w:val="Normal"/>
    <w:rsid w:val="003A0B7D"/>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3A0B7D"/>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3A0B7D"/>
    <w:pPr>
      <w:tabs>
        <w:tab w:val="left" w:pos="851"/>
      </w:tabs>
      <w:jc w:val="left"/>
    </w:pPr>
  </w:style>
  <w:style w:type="paragraph" w:customStyle="1" w:styleId="NoteS2">
    <w:name w:val="Note_S2"/>
    <w:basedOn w:val="Note"/>
    <w:rsid w:val="003A0B7D"/>
    <w:pPr>
      <w:tabs>
        <w:tab w:val="clear" w:pos="1134"/>
        <w:tab w:val="clear" w:pos="1701"/>
        <w:tab w:val="clear" w:pos="2268"/>
        <w:tab w:val="clear" w:pos="2835"/>
      </w:tabs>
    </w:pPr>
    <w:rPr>
      <w:b/>
    </w:rPr>
  </w:style>
  <w:style w:type="paragraph" w:customStyle="1" w:styleId="Heading1c">
    <w:name w:val="Heading 1c"/>
    <w:basedOn w:val="Heading1"/>
    <w:next w:val="Normal"/>
    <w:rsid w:val="00CC4DC5"/>
    <w:pPr>
      <w:ind w:left="0" w:firstLine="0"/>
      <w:jc w:val="center"/>
      <w:outlineLvl w:val="9"/>
    </w:pPr>
  </w:style>
  <w:style w:type="paragraph" w:customStyle="1" w:styleId="Heading2i">
    <w:name w:val="Heading 2i"/>
    <w:basedOn w:val="Heading2"/>
    <w:next w:val="Normal"/>
    <w:rsid w:val="005A4EFD"/>
    <w:rPr>
      <w:b w:val="0"/>
      <w:i/>
    </w:rPr>
  </w:style>
  <w:style w:type="paragraph" w:customStyle="1" w:styleId="Heading1cS2">
    <w:name w:val="Heading 1c_S2"/>
    <w:basedOn w:val="Heading1c"/>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3A0B7D"/>
    <w:rPr>
      <w:caps w:val="0"/>
    </w:rPr>
  </w:style>
  <w:style w:type="paragraph" w:customStyle="1" w:styleId="Headingb">
    <w:name w:val="Heading_b"/>
    <w:basedOn w:val="Heading3"/>
    <w:next w:val="Normal"/>
    <w:rsid w:val="003A0B7D"/>
    <w:pPr>
      <w:spacing w:before="160"/>
      <w:outlineLvl w:val="0"/>
    </w:pPr>
  </w:style>
  <w:style w:type="paragraph" w:styleId="TOC9">
    <w:name w:val="toc 9"/>
    <w:basedOn w:val="Normal"/>
    <w:next w:val="Normal"/>
    <w:rsid w:val="003A0B7D"/>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5A4EFD"/>
    <w:pPr>
      <w:spacing w:before="160"/>
      <w:outlineLvl w:val="0"/>
    </w:pPr>
    <w:rPr>
      <w:b w:val="0"/>
      <w:i/>
    </w:rPr>
  </w:style>
  <w:style w:type="paragraph" w:customStyle="1" w:styleId="HeadingbS2">
    <w:name w:val="Headingb_S2"/>
    <w:basedOn w:val="Headingb"/>
    <w:next w:val="NormalS2"/>
    <w:rsid w:val="003A0B7D"/>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3A0B7D"/>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3A0B7D"/>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5A4EFD"/>
    <w:rPr>
      <w:rFonts w:ascii="Calibri" w:hAnsi="Calibri"/>
    </w:rPr>
  </w:style>
  <w:style w:type="character" w:styleId="Hyperlink">
    <w:name w:val="Hyperlink"/>
    <w:basedOn w:val="DefaultParagraphFont"/>
    <w:uiPriority w:val="99"/>
    <w:rsid w:val="00CC4DC5"/>
    <w:rPr>
      <w:rFonts w:ascii="Calibri" w:hAnsi="Calibri"/>
      <w:color w:val="0000FF"/>
      <w:u w:val="single"/>
    </w:rPr>
  </w:style>
  <w:style w:type="paragraph" w:customStyle="1" w:styleId="firstfooter0">
    <w:name w:val="firstfooter"/>
    <w:basedOn w:val="Normal"/>
    <w:rsid w:val="00966CD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3A0B7D"/>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3A0B7D"/>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686973"/>
    <w:pPr>
      <w:spacing w:before="320"/>
      <w:outlineLvl w:val="1"/>
    </w:pPr>
    <w:rPr>
      <w:sz w:val="24"/>
    </w:rPr>
  </w:style>
  <w:style w:type="paragraph" w:customStyle="1" w:styleId="Heading3pv">
    <w:name w:val="Heading 3pv"/>
    <w:basedOn w:val="Heading1pv"/>
    <w:next w:val="Normalpv"/>
    <w:rsid w:val="00686973"/>
    <w:pPr>
      <w:spacing w:before="200"/>
      <w:outlineLvl w:val="2"/>
    </w:pPr>
    <w:rPr>
      <w:sz w:val="24"/>
    </w:rPr>
  </w:style>
  <w:style w:type="paragraph" w:customStyle="1" w:styleId="NormalendS2">
    <w:name w:val="Normal_end_S2"/>
    <w:basedOn w:val="Normal"/>
    <w:qFormat/>
    <w:rsid w:val="006C7AE3"/>
  </w:style>
  <w:style w:type="paragraph" w:customStyle="1" w:styleId="Dectitle">
    <w:name w:val="Dec_title"/>
    <w:basedOn w:val="Restitle"/>
    <w:next w:val="Normalaftertitle"/>
    <w:qFormat/>
    <w:rsid w:val="00C92746"/>
  </w:style>
  <w:style w:type="paragraph" w:customStyle="1" w:styleId="DecNo">
    <w:name w:val="Dec_No"/>
    <w:basedOn w:val="ResNo"/>
    <w:next w:val="Dectitle"/>
    <w:qFormat/>
    <w:rsid w:val="00C92746"/>
  </w:style>
  <w:style w:type="paragraph" w:customStyle="1" w:styleId="DectitleS2">
    <w:name w:val="Dec_title_S2"/>
    <w:basedOn w:val="RestitleS2"/>
    <w:next w:val="Normal"/>
    <w:qFormat/>
    <w:rsid w:val="00C92746"/>
  </w:style>
  <w:style w:type="paragraph" w:customStyle="1" w:styleId="DecNoS2">
    <w:name w:val="Dec_No_S2"/>
    <w:basedOn w:val="ResNoS2"/>
    <w:next w:val="DectitleS2"/>
    <w:qFormat/>
    <w:rsid w:val="00C92746"/>
  </w:style>
  <w:style w:type="paragraph" w:customStyle="1" w:styleId="SectionNo">
    <w:name w:val="Section_No"/>
    <w:basedOn w:val="ArtNo"/>
    <w:next w:val="Normal"/>
    <w:qFormat/>
    <w:rsid w:val="0090735B"/>
    <w:rPr>
      <w:lang w:val="en-GB"/>
    </w:rPr>
  </w:style>
  <w:style w:type="paragraph" w:customStyle="1" w:styleId="SectionNoS2">
    <w:name w:val="Section_No_S2"/>
    <w:basedOn w:val="ArtNoS2"/>
    <w:next w:val="Normal"/>
    <w:qFormat/>
    <w:rsid w:val="0090735B"/>
    <w:rPr>
      <w:lang w:val="en-GB"/>
    </w:rPr>
  </w:style>
  <w:style w:type="paragraph" w:customStyle="1" w:styleId="Sectiontitle">
    <w:name w:val="Section_title"/>
    <w:basedOn w:val="Arttitle"/>
    <w:next w:val="Normalaftertitle"/>
    <w:qFormat/>
    <w:rsid w:val="0090735B"/>
    <w:rPr>
      <w:lang w:val="en-GB"/>
    </w:rPr>
  </w:style>
  <w:style w:type="paragraph" w:customStyle="1" w:styleId="SectiontitleS2">
    <w:name w:val="Section_title_S2"/>
    <w:basedOn w:val="ArttitleS2"/>
    <w:next w:val="Normal"/>
    <w:qFormat/>
    <w:rsid w:val="0090735B"/>
    <w:rPr>
      <w:lang w:val="en-GB"/>
    </w:rPr>
  </w:style>
  <w:style w:type="paragraph" w:customStyle="1" w:styleId="Proposal">
    <w:name w:val="Proposal"/>
    <w:basedOn w:val="Normal"/>
    <w:next w:val="Normal"/>
    <w:rsid w:val="008B61AF"/>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BD161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BD161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rsid w:val="00BD1614"/>
    <w:rPr>
      <w:rFonts w:ascii="Calibri" w:hAnsi="Calibri"/>
      <w:sz w:val="18"/>
      <w:lang w:val="fr-FR" w:eastAsia="en-US"/>
    </w:rPr>
  </w:style>
  <w:style w:type="paragraph" w:styleId="BalloonText">
    <w:name w:val="Balloon Text"/>
    <w:basedOn w:val="Normal"/>
    <w:link w:val="BalloonTextChar"/>
    <w:rsid w:val="00AE0667"/>
    <w:pPr>
      <w:spacing w:before="0"/>
    </w:pPr>
    <w:rPr>
      <w:rFonts w:ascii="Tahoma" w:hAnsi="Tahoma" w:cs="Tahoma"/>
      <w:sz w:val="16"/>
      <w:szCs w:val="16"/>
    </w:rPr>
  </w:style>
  <w:style w:type="character" w:customStyle="1" w:styleId="BalloonTextChar">
    <w:name w:val="Balloon Text Char"/>
    <w:basedOn w:val="DefaultParagraphFont"/>
    <w:link w:val="BalloonText"/>
    <w:rsid w:val="00AE0667"/>
    <w:rPr>
      <w:rFonts w:ascii="Tahoma" w:hAnsi="Tahoma" w:cs="Tahoma"/>
      <w:sz w:val="16"/>
      <w:szCs w:val="16"/>
      <w:lang w:val="fr-FR" w:eastAsia="en-US"/>
    </w:rPr>
  </w:style>
  <w:style w:type="paragraph" w:customStyle="1" w:styleId="OP">
    <w:name w:val="OP"/>
    <w:basedOn w:val="Normal"/>
    <w:next w:val="Normal"/>
    <w:qFormat/>
    <w:rsid w:val="00D5658F"/>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lang w:val="en-GB"/>
    </w:rPr>
  </w:style>
  <w:style w:type="paragraph" w:customStyle="1" w:styleId="OPtitle">
    <w:name w:val="OP_title"/>
    <w:basedOn w:val="Normal"/>
    <w:next w:val="Normalaftertitle"/>
    <w:qFormat/>
    <w:rsid w:val="00D5658F"/>
    <w:pPr>
      <w:jc w:val="center"/>
    </w:pPr>
    <w:rPr>
      <w:b/>
      <w:bCs/>
      <w:lang w:val="en-GB"/>
    </w:rPr>
  </w:style>
  <w:style w:type="paragraph" w:customStyle="1" w:styleId="VolumeTitle">
    <w:name w:val="VolumeTitle"/>
    <w:basedOn w:val="Normal"/>
    <w:next w:val="Normal"/>
    <w:rsid w:val="00270B2F"/>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character" w:customStyle="1" w:styleId="href">
    <w:name w:val="href"/>
    <w:basedOn w:val="DefaultParagraphFont"/>
    <w:rsid w:val="006710E6"/>
    <w:rPr>
      <w:color w:val="auto"/>
    </w:rPr>
  </w:style>
  <w:style w:type="character" w:customStyle="1" w:styleId="apple-converted-space">
    <w:name w:val="apple-converted-space"/>
    <w:basedOn w:val="DefaultParagraphFont"/>
    <w:rsid w:val="008232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39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4dfdb5df-5da4-4ca5-a572-68ad44c41d18" targetNamespace="http://schemas.microsoft.com/office/2006/metadata/properties" ma:root="true" ma:fieldsID="d41af5c836d734370eb92e7ee5f83852" ns2:_="" ns3:_="">
    <xsd:import namespace="996b2e75-67fd-4955-a3b0-5ab9934cb50b"/>
    <xsd:import namespace="4dfdb5df-5da4-4ca5-a572-68ad44c41d18"/>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4dfdb5df-5da4-4ca5-a572-68ad44c41d18"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4dfdb5df-5da4-4ca5-a572-68ad44c41d18">Documents Proposals Manager (DPM)</DPM_x0020_Author>
    <DPM_x0020_File_x0020_name xmlns="4dfdb5df-5da4-4ca5-a572-68ad44c41d18">S14-PP-C-0098!!MSW-F</DPM_x0020_File_x0020_name>
    <DPM_x0020_Version xmlns="4dfdb5df-5da4-4ca5-a572-68ad44c41d18">DPM_v5.7.1.34_prod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4dfdb5df-5da4-4ca5-a572-68ad44c41d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dcmitype/"/>
    <ds:schemaRef ds:uri="http://www.w3.org/XML/1998/namespace"/>
    <ds:schemaRef ds:uri="http://purl.org/dc/terms/"/>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4dfdb5df-5da4-4ca5-a572-68ad44c41d18"/>
    <ds:schemaRef ds:uri="996b2e75-67fd-4955-a3b0-5ab9934cb50b"/>
    <ds:schemaRef ds:uri="http://schemas.microsoft.com/office/2006/metadata/properties"/>
  </ds:schemaRefs>
</ds:datastoreItem>
</file>

<file path=customXml/itemProps3.xml><?xml version="1.0" encoding="utf-8"?>
<ds:datastoreItem xmlns:ds="http://schemas.openxmlformats.org/officeDocument/2006/customXml" ds:itemID="{3DCC8195-BD33-4726-8F55-6CFD05CDF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1339</Words>
  <Characters>7646</Characters>
  <Application>Microsoft Office Word</Application>
  <DocSecurity>0</DocSecurity>
  <Lines>131</Lines>
  <Paragraphs>56</Paragraphs>
  <ScaleCrop>false</ScaleCrop>
  <HeadingPairs>
    <vt:vector size="2" baseType="variant">
      <vt:variant>
        <vt:lpstr>Title</vt:lpstr>
      </vt:variant>
      <vt:variant>
        <vt:i4>1</vt:i4>
      </vt:variant>
    </vt:vector>
  </HeadingPairs>
  <TitlesOfParts>
    <vt:vector size="1" baseType="lpstr">
      <vt:lpstr>S14-PP-C-0098!!MSW-F</vt:lpstr>
    </vt:vector>
  </TitlesOfParts>
  <Manager/>
  <Company/>
  <LinksUpToDate>false</LinksUpToDate>
  <CharactersWithSpaces>8929</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S14-PP-C-0098!!MSW-F</dc:title>
  <dc:subject>Plenipotentiary Conference (PP-14)</dc:subject>
  <dc:creator/>
  <cp:keywords>DPM_v5.7.1.34_prod</cp:keywords>
  <dc:description/>
  <cp:lastModifiedBy/>
  <cp:revision>1</cp:revision>
  <dcterms:created xsi:type="dcterms:W3CDTF">2014-11-03T08:37:00Z</dcterms:created>
  <dcterms:modified xsi:type="dcterms:W3CDTF">2014-11-03T10:28:00Z</dcterms:modified>
  <cp:category>Conference document</cp:category>
</cp:coreProperties>
</file>