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F96AB4" w:rsidRPr="00B52645" w:rsidTr="00475198">
        <w:trPr>
          <w:cantSplit/>
        </w:trPr>
        <w:tc>
          <w:tcPr>
            <w:tcW w:w="6911" w:type="dxa"/>
          </w:tcPr>
          <w:p w:rsidR="00F96AB4" w:rsidRPr="00B52645" w:rsidRDefault="00F96AB4" w:rsidP="00475198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lang w:val="ru-RU"/>
              </w:rPr>
            </w:pPr>
            <w:bookmarkStart w:id="0" w:name="dbreak"/>
            <w:bookmarkEnd w:id="0"/>
            <w:r w:rsidRPr="00B52645">
              <w:rPr>
                <w:rFonts w:eastAsia="SimSun" w:cs="Traditional Arabic"/>
                <w:b/>
                <w:bCs/>
                <w:sz w:val="28"/>
                <w:szCs w:val="28"/>
                <w:lang w:val="ru-RU"/>
              </w:rPr>
              <w:t>Полномочная конференция (ПК-</w:t>
            </w:r>
            <w:proofErr w:type="gramStart"/>
            <w:r w:rsidRPr="00B52645">
              <w:rPr>
                <w:rFonts w:eastAsia="SimSun" w:cs="Traditional Arabic"/>
                <w:b/>
                <w:bCs/>
                <w:sz w:val="28"/>
                <w:szCs w:val="28"/>
                <w:lang w:val="ru-RU"/>
              </w:rPr>
              <w:t>14)</w:t>
            </w:r>
            <w:r w:rsidRPr="00B52645">
              <w:rPr>
                <w:rFonts w:ascii="Verdana" w:hAnsi="Verdana"/>
                <w:szCs w:val="22"/>
                <w:lang w:val="ru-RU"/>
              </w:rPr>
              <w:br/>
            </w:r>
            <w:proofErr w:type="spellStart"/>
            <w:r w:rsidRPr="00B52645">
              <w:rPr>
                <w:rFonts w:eastAsia="SimSun" w:cs="Traditional Arabic"/>
                <w:b/>
                <w:bCs/>
                <w:lang w:val="ru-RU"/>
              </w:rPr>
              <w:t>Пусан</w:t>
            </w:r>
            <w:proofErr w:type="spellEnd"/>
            <w:proofErr w:type="gramEnd"/>
            <w:r w:rsidRPr="00B52645">
              <w:rPr>
                <w:rFonts w:eastAsia="SimSun" w:cs="Traditional Arabic"/>
                <w:b/>
                <w:bCs/>
                <w:lang w:val="ru-RU"/>
              </w:rPr>
              <w:t>, 20 октября – 7 ноября 2014 г.</w:t>
            </w:r>
          </w:p>
        </w:tc>
        <w:tc>
          <w:tcPr>
            <w:tcW w:w="3120" w:type="dxa"/>
          </w:tcPr>
          <w:p w:rsidR="00F96AB4" w:rsidRPr="00B52645" w:rsidRDefault="00F96AB4" w:rsidP="00475198">
            <w:pPr>
              <w:rPr>
                <w:lang w:val="ru-RU"/>
              </w:rPr>
            </w:pPr>
            <w:bookmarkStart w:id="1" w:name="ditulogo"/>
            <w:bookmarkEnd w:id="1"/>
            <w:r w:rsidRPr="00B52645">
              <w:rPr>
                <w:lang w:val="ru-RU" w:eastAsia="zh-CN"/>
              </w:rPr>
              <w:drawing>
                <wp:inline distT="0" distB="0" distL="0" distR="0" wp14:anchorId="4D83626B" wp14:editId="44637D89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B4" w:rsidRPr="00B52645" w:rsidTr="00475198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F96AB4" w:rsidRPr="00B52645" w:rsidRDefault="00F96AB4" w:rsidP="00475198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F96AB4" w:rsidRPr="00B52645" w:rsidRDefault="00F96AB4" w:rsidP="000C68C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</w:p>
        </w:tc>
      </w:tr>
      <w:tr w:rsidR="00F96AB4" w:rsidRPr="00B52645" w:rsidTr="00475198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F96AB4" w:rsidRPr="00B52645" w:rsidRDefault="00F96AB4" w:rsidP="00066DE8">
            <w:pPr>
              <w:spacing w:before="0"/>
              <w:rPr>
                <w:rFonts w:cstheme="minorHAnsi"/>
                <w:b/>
                <w:smallCaps/>
                <w:sz w:val="18"/>
                <w:szCs w:val="22"/>
                <w:lang w:val="ru-RU"/>
              </w:rPr>
            </w:pPr>
            <w:bookmarkStart w:id="3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F96AB4" w:rsidRPr="00B52645" w:rsidRDefault="00F96AB4" w:rsidP="00066DE8">
            <w:pPr>
              <w:spacing w:before="0"/>
              <w:rPr>
                <w:rFonts w:cstheme="minorHAnsi"/>
                <w:sz w:val="18"/>
                <w:szCs w:val="22"/>
                <w:lang w:val="ru-RU"/>
              </w:rPr>
            </w:pPr>
          </w:p>
        </w:tc>
      </w:tr>
      <w:bookmarkEnd w:id="2"/>
      <w:bookmarkEnd w:id="3"/>
      <w:tr w:rsidR="00F96AB4" w:rsidRPr="00B52645" w:rsidTr="00475198">
        <w:trPr>
          <w:cantSplit/>
        </w:trPr>
        <w:tc>
          <w:tcPr>
            <w:tcW w:w="6911" w:type="dxa"/>
            <w:shd w:val="clear" w:color="auto" w:fill="auto"/>
          </w:tcPr>
          <w:p w:rsidR="00F96AB4" w:rsidRPr="00B52645" w:rsidRDefault="00F96AB4" w:rsidP="00066DE8">
            <w:pPr>
              <w:pStyle w:val="Committee"/>
              <w:framePr w:hSpace="0" w:wrap="auto" w:hAnchor="text" w:yAlign="inline"/>
              <w:spacing w:after="0" w:line="240" w:lineRule="auto"/>
              <w:rPr>
                <w:lang w:val="ru-RU"/>
              </w:rPr>
            </w:pPr>
            <w:r w:rsidRPr="00B52645">
              <w:rPr>
                <w:rFonts w:ascii="Calibri" w:eastAsia="SimSun" w:hAnsi="Calibri" w:cs="Traditional Arabic"/>
                <w:lang w:val="ru-RU"/>
              </w:rPr>
              <w:t>ПЛЕНАРНОЕ ЗАСЕДАНИЕ</w:t>
            </w:r>
          </w:p>
        </w:tc>
        <w:tc>
          <w:tcPr>
            <w:tcW w:w="3120" w:type="dxa"/>
            <w:shd w:val="clear" w:color="auto" w:fill="auto"/>
          </w:tcPr>
          <w:p w:rsidR="00F96AB4" w:rsidRPr="00B52645" w:rsidRDefault="00F11CAD" w:rsidP="00066DE8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8"/>
                <w:lang w:val="ru-RU"/>
              </w:rPr>
            </w:pPr>
            <w:r w:rsidRPr="00B52645">
              <w:rPr>
                <w:b/>
                <w:bCs/>
                <w:szCs w:val="22"/>
                <w:lang w:val="ru-RU"/>
              </w:rPr>
              <w:t>Пересмотр 1</w:t>
            </w:r>
            <w:r w:rsidRPr="00B52645">
              <w:rPr>
                <w:b/>
                <w:bCs/>
                <w:szCs w:val="22"/>
                <w:lang w:val="ru-RU"/>
              </w:rPr>
              <w:br/>
            </w:r>
            <w:r w:rsidR="00F96AB4" w:rsidRPr="00B52645">
              <w:rPr>
                <w:rFonts w:eastAsia="SimSun" w:cs="Traditional Arabic"/>
                <w:b/>
                <w:bCs/>
                <w:szCs w:val="28"/>
                <w:lang w:val="ru-RU"/>
              </w:rPr>
              <w:t>Документ</w:t>
            </w:r>
            <w:r w:rsidRPr="00B52645">
              <w:rPr>
                <w:rFonts w:eastAsia="SimSun" w:cs="Traditional Arabic"/>
                <w:b/>
                <w:bCs/>
                <w:szCs w:val="28"/>
                <w:lang w:val="ru-RU"/>
              </w:rPr>
              <w:t>а</w:t>
            </w:r>
            <w:r w:rsidR="00F96AB4" w:rsidRPr="00B52645">
              <w:rPr>
                <w:rFonts w:eastAsia="SimSun" w:cs="Traditional Arabic"/>
                <w:b/>
                <w:bCs/>
                <w:szCs w:val="28"/>
                <w:lang w:val="ru-RU"/>
              </w:rPr>
              <w:t xml:space="preserve"> 98</w:t>
            </w:r>
            <w:r w:rsidR="007919C2" w:rsidRPr="00B52645">
              <w:rPr>
                <w:rFonts w:eastAsia="SimSun" w:cs="Traditional Arabic"/>
                <w:b/>
                <w:szCs w:val="24"/>
                <w:lang w:val="ru-RU"/>
              </w:rPr>
              <w:t>-R</w:t>
            </w:r>
          </w:p>
        </w:tc>
      </w:tr>
      <w:tr w:rsidR="00F96AB4" w:rsidRPr="00B52645" w:rsidTr="00475198">
        <w:trPr>
          <w:cantSplit/>
        </w:trPr>
        <w:tc>
          <w:tcPr>
            <w:tcW w:w="6911" w:type="dxa"/>
            <w:shd w:val="clear" w:color="auto" w:fill="auto"/>
          </w:tcPr>
          <w:p w:rsidR="00F96AB4" w:rsidRPr="00B52645" w:rsidRDefault="00F96AB4" w:rsidP="00066DE8">
            <w:pPr>
              <w:spacing w:before="0"/>
              <w:rPr>
                <w:rFonts w:cstheme="minorHAnsi"/>
                <w:b/>
                <w:bCs/>
                <w:szCs w:val="28"/>
                <w:lang w:val="ru-RU"/>
              </w:rPr>
            </w:pPr>
          </w:p>
        </w:tc>
        <w:tc>
          <w:tcPr>
            <w:tcW w:w="3120" w:type="dxa"/>
          </w:tcPr>
          <w:p w:rsidR="00F96AB4" w:rsidRPr="00B52645" w:rsidRDefault="00753F2E" w:rsidP="00753F2E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B52645">
              <w:rPr>
                <w:rFonts w:eastAsia="SimSun" w:cs="Traditional Arabic"/>
                <w:b/>
                <w:bCs/>
                <w:szCs w:val="28"/>
                <w:lang w:val="ru-RU"/>
              </w:rPr>
              <w:t>2</w:t>
            </w:r>
            <w:r w:rsidR="00F96AB4" w:rsidRPr="00B52645">
              <w:rPr>
                <w:rFonts w:eastAsia="SimSun" w:cs="Traditional Arabic"/>
                <w:b/>
                <w:bCs/>
                <w:szCs w:val="28"/>
                <w:lang w:val="ru-RU"/>
              </w:rPr>
              <w:t xml:space="preserve"> </w:t>
            </w:r>
            <w:r w:rsidRPr="00B52645">
              <w:rPr>
                <w:rFonts w:eastAsia="SimSun" w:cs="Traditional Arabic"/>
                <w:b/>
                <w:bCs/>
                <w:szCs w:val="28"/>
                <w:lang w:val="ru-RU"/>
              </w:rPr>
              <w:t>ноя</w:t>
            </w:r>
            <w:r w:rsidR="00F96AB4" w:rsidRPr="00B52645">
              <w:rPr>
                <w:rFonts w:eastAsia="SimSun" w:cs="Traditional Arabic"/>
                <w:b/>
                <w:bCs/>
                <w:szCs w:val="28"/>
                <w:lang w:val="ru-RU"/>
              </w:rPr>
              <w:t>бря 2014 года</w:t>
            </w:r>
          </w:p>
        </w:tc>
      </w:tr>
      <w:tr w:rsidR="00F96AB4" w:rsidRPr="00B52645" w:rsidTr="00475198">
        <w:trPr>
          <w:cantSplit/>
        </w:trPr>
        <w:tc>
          <w:tcPr>
            <w:tcW w:w="6911" w:type="dxa"/>
          </w:tcPr>
          <w:p w:rsidR="00F96AB4" w:rsidRPr="00B52645" w:rsidRDefault="00F96AB4" w:rsidP="00066DE8">
            <w:pPr>
              <w:spacing w:before="0"/>
              <w:rPr>
                <w:rFonts w:cstheme="minorHAnsi"/>
                <w:b/>
                <w:smallCaps/>
                <w:szCs w:val="28"/>
                <w:lang w:val="ru-RU"/>
              </w:rPr>
            </w:pPr>
          </w:p>
        </w:tc>
        <w:tc>
          <w:tcPr>
            <w:tcW w:w="3120" w:type="dxa"/>
          </w:tcPr>
          <w:p w:rsidR="00F96AB4" w:rsidRPr="00B52645" w:rsidRDefault="00F96AB4" w:rsidP="00066DE8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B52645">
              <w:rPr>
                <w:rFonts w:eastAsia="SimSun" w:cs="Traditional Arabic"/>
                <w:b/>
                <w:bCs/>
                <w:szCs w:val="28"/>
                <w:lang w:val="ru-RU"/>
              </w:rPr>
              <w:t>Оригинал: английский</w:t>
            </w:r>
          </w:p>
        </w:tc>
      </w:tr>
      <w:tr w:rsidR="00F96AB4" w:rsidRPr="00B52645" w:rsidTr="00475198">
        <w:trPr>
          <w:cantSplit/>
        </w:trPr>
        <w:tc>
          <w:tcPr>
            <w:tcW w:w="10031" w:type="dxa"/>
            <w:gridSpan w:val="2"/>
          </w:tcPr>
          <w:p w:rsidR="00F96AB4" w:rsidRPr="00B52645" w:rsidRDefault="00F96AB4" w:rsidP="00066DE8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</w:pPr>
          </w:p>
        </w:tc>
      </w:tr>
      <w:tr w:rsidR="00F96AB4" w:rsidRPr="00B52645" w:rsidTr="00475198">
        <w:trPr>
          <w:cantSplit/>
        </w:trPr>
        <w:tc>
          <w:tcPr>
            <w:tcW w:w="10031" w:type="dxa"/>
            <w:gridSpan w:val="2"/>
          </w:tcPr>
          <w:p w:rsidR="00F96AB4" w:rsidRPr="00B52645" w:rsidRDefault="00F96AB4" w:rsidP="00B5262D">
            <w:pPr>
              <w:pStyle w:val="Source"/>
              <w:framePr w:hSpace="0" w:wrap="auto" w:hAnchor="text" w:yAlign="inline"/>
              <w:rPr>
                <w:lang w:val="ru-RU"/>
              </w:rPr>
            </w:pPr>
            <w:bookmarkStart w:id="4" w:name="dsource" w:colFirst="0" w:colLast="0"/>
            <w:r w:rsidRPr="00B52645">
              <w:rPr>
                <w:lang w:val="ru-RU"/>
              </w:rPr>
              <w:t>Индия (Республика)</w:t>
            </w:r>
          </w:p>
        </w:tc>
      </w:tr>
      <w:tr w:rsidR="008E4E47" w:rsidRPr="00B52645" w:rsidTr="008E4E47">
        <w:trPr>
          <w:cantSplit/>
          <w:trHeight w:val="464"/>
        </w:trPr>
        <w:tc>
          <w:tcPr>
            <w:tcW w:w="10031" w:type="dxa"/>
            <w:gridSpan w:val="2"/>
          </w:tcPr>
          <w:p w:rsidR="008E4E47" w:rsidRPr="00B52645" w:rsidRDefault="008E4E47" w:rsidP="008E4E47">
            <w:pPr>
              <w:pStyle w:val="Title1"/>
              <w:framePr w:hSpace="0" w:wrap="auto" w:hAnchor="text" w:yAlign="inline"/>
              <w:rPr>
                <w:lang w:val="ru-RU"/>
              </w:rPr>
            </w:pPr>
            <w:bookmarkStart w:id="5" w:name="dtitle1" w:colFirst="0" w:colLast="0"/>
            <w:bookmarkEnd w:id="4"/>
            <w:r w:rsidRPr="00B52645">
              <w:rPr>
                <w:lang w:val="ru-RU"/>
              </w:rPr>
              <w:t>ПРЕДЛОЖЕНИЯ ДЛЯ РАБОТЫ КОНФЕРЕНЦИИ</w:t>
            </w:r>
          </w:p>
        </w:tc>
      </w:tr>
      <w:tr w:rsidR="008E4E47" w:rsidRPr="00B52645" w:rsidTr="00475198">
        <w:trPr>
          <w:cantSplit/>
          <w:trHeight w:val="463"/>
        </w:trPr>
        <w:tc>
          <w:tcPr>
            <w:tcW w:w="10031" w:type="dxa"/>
            <w:gridSpan w:val="2"/>
          </w:tcPr>
          <w:p w:rsidR="008E4E47" w:rsidRPr="00B52645" w:rsidRDefault="008E4E47" w:rsidP="008E4E47">
            <w:pPr>
              <w:pStyle w:val="Title2"/>
              <w:framePr w:hSpace="0" w:wrap="auto" w:hAnchor="text" w:yAlign="inline"/>
              <w:rPr>
                <w:lang w:val="ru-RU"/>
              </w:rPr>
            </w:pPr>
            <w:r w:rsidRPr="00B52645">
              <w:rPr>
                <w:lang w:val="ru-RU"/>
              </w:rPr>
              <w:t>ПРОЕКТ НОВОЙ РЕЗОЛЮЦИИ</w:t>
            </w:r>
          </w:p>
        </w:tc>
      </w:tr>
      <w:tr w:rsidR="00F96AB4" w:rsidRPr="00B52645" w:rsidTr="00475198">
        <w:trPr>
          <w:cantSplit/>
        </w:trPr>
        <w:tc>
          <w:tcPr>
            <w:tcW w:w="10031" w:type="dxa"/>
            <w:gridSpan w:val="2"/>
          </w:tcPr>
          <w:p w:rsidR="00F96AB4" w:rsidRPr="00B52645" w:rsidRDefault="00AE0166" w:rsidP="00AE0166">
            <w:pPr>
              <w:pStyle w:val="Title2"/>
              <w:framePr w:hSpace="0" w:wrap="auto" w:hAnchor="text" w:yAlign="inline"/>
              <w:rPr>
                <w:lang w:val="ru-RU"/>
              </w:rPr>
            </w:pPr>
            <w:bookmarkStart w:id="6" w:name="dtitle2" w:colFirst="0" w:colLast="0"/>
            <w:bookmarkEnd w:id="5"/>
            <w:r w:rsidRPr="00B52645">
              <w:rPr>
                <w:lang w:val="ru-RU"/>
              </w:rPr>
              <w:t xml:space="preserve">РОЛЬ МСЭ В УЛУЧШЕНИИ ФУНКЦИОНАЛЬНОСТИ СЕТЕЙ С ЦЕЛЬЮ УКРЕПЛЕНИЯ ДОВЕРИЯ К СЕТЯМ ЭЛЕКТРОСВЯЗИ, БАЗИРУЮЩИМСЯ НА </w:t>
            </w:r>
            <w:r w:rsidR="007C78B5" w:rsidRPr="00B52645">
              <w:rPr>
                <w:lang w:val="ru-RU"/>
              </w:rPr>
              <w:t>протоколе Интернет</w:t>
            </w:r>
          </w:p>
        </w:tc>
      </w:tr>
      <w:tr w:rsidR="00F96AB4" w:rsidRPr="00B52645" w:rsidTr="00475198">
        <w:trPr>
          <w:cantSplit/>
        </w:trPr>
        <w:tc>
          <w:tcPr>
            <w:tcW w:w="10031" w:type="dxa"/>
            <w:gridSpan w:val="2"/>
          </w:tcPr>
          <w:p w:rsidR="00F96AB4" w:rsidRPr="00B52645" w:rsidRDefault="00F96AB4" w:rsidP="0047519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</w:p>
        </w:tc>
      </w:tr>
      <w:bookmarkEnd w:id="7"/>
    </w:tbl>
    <w:p w:rsidR="00F96AB4" w:rsidRPr="00B52645" w:rsidRDefault="00F96AB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</w:p>
    <w:p w:rsidR="002B3E8A" w:rsidRPr="00B52645" w:rsidRDefault="00456A7F">
      <w:pPr>
        <w:pStyle w:val="Proposal"/>
      </w:pPr>
      <w:proofErr w:type="spellStart"/>
      <w:r w:rsidRPr="00B52645">
        <w:t>ADD</w:t>
      </w:r>
      <w:proofErr w:type="spellEnd"/>
      <w:r w:rsidRPr="00B52645">
        <w:tab/>
      </w:r>
      <w:proofErr w:type="spellStart"/>
      <w:r w:rsidRPr="00B52645">
        <w:t>IND</w:t>
      </w:r>
      <w:proofErr w:type="spellEnd"/>
      <w:r w:rsidRPr="00B52645">
        <w:t>/98/1</w:t>
      </w:r>
    </w:p>
    <w:p w:rsidR="002B3E8A" w:rsidRPr="00B52645" w:rsidRDefault="00A232E9" w:rsidP="00B52645">
      <w:pPr>
        <w:pStyle w:val="ResNo"/>
        <w:rPr>
          <w:lang w:val="ru-RU"/>
        </w:rPr>
      </w:pPr>
      <w:r w:rsidRPr="00B52645">
        <w:rPr>
          <w:caps w:val="0"/>
          <w:lang w:val="ru-RU"/>
        </w:rPr>
        <w:t>ПРОЕКТ НОВОЙ РЕЗОЛЮЦИИ [IND-1] (</w:t>
      </w:r>
      <w:proofErr w:type="spellStart"/>
      <w:r w:rsidRPr="00B52645">
        <w:rPr>
          <w:caps w:val="0"/>
          <w:lang w:val="ru-RU"/>
        </w:rPr>
        <w:t>ПУСАН</w:t>
      </w:r>
      <w:proofErr w:type="spellEnd"/>
      <w:r w:rsidRPr="00B52645">
        <w:rPr>
          <w:caps w:val="0"/>
          <w:lang w:val="ru-RU"/>
        </w:rPr>
        <w:t>, 2014 Г.)</w:t>
      </w:r>
    </w:p>
    <w:p w:rsidR="002B3E8A" w:rsidRPr="00B52645" w:rsidRDefault="00E47A45" w:rsidP="007C78B5">
      <w:pPr>
        <w:pStyle w:val="Restitle"/>
        <w:rPr>
          <w:lang w:val="ru-RU"/>
        </w:rPr>
      </w:pPr>
      <w:r w:rsidRPr="00B52645">
        <w:rPr>
          <w:lang w:val="ru-RU"/>
        </w:rPr>
        <w:t xml:space="preserve">Роль МСЭ в улучшении </w:t>
      </w:r>
      <w:bookmarkStart w:id="8" w:name="_GoBack"/>
      <w:bookmarkEnd w:id="8"/>
      <w:r w:rsidRPr="00B52645">
        <w:rPr>
          <w:lang w:val="ru-RU"/>
        </w:rPr>
        <w:t xml:space="preserve">функциональности сетей с целью укрепления доверия к сетям электросвязи, базирующимся на </w:t>
      </w:r>
      <w:r w:rsidR="007C78B5" w:rsidRPr="00B52645">
        <w:rPr>
          <w:lang w:val="ru-RU"/>
        </w:rPr>
        <w:t>протоколе Интернет</w:t>
      </w:r>
    </w:p>
    <w:p w:rsidR="00B5262D" w:rsidRPr="00B52645" w:rsidRDefault="00B5262D" w:rsidP="00B5262D">
      <w:pPr>
        <w:pStyle w:val="Normalaftertitle"/>
        <w:rPr>
          <w:lang w:val="ru-RU"/>
        </w:rPr>
      </w:pPr>
      <w:r w:rsidRPr="00B52645">
        <w:rPr>
          <w:lang w:val="ru-RU"/>
        </w:rPr>
        <w:t>Полномочная конференция Международного союза электросвязи (</w:t>
      </w:r>
      <w:proofErr w:type="spellStart"/>
      <w:r w:rsidRPr="00B52645">
        <w:rPr>
          <w:lang w:val="ru-RU"/>
        </w:rPr>
        <w:t>Пусан</w:t>
      </w:r>
      <w:proofErr w:type="spellEnd"/>
      <w:r w:rsidRPr="00B52645">
        <w:rPr>
          <w:lang w:val="ru-RU"/>
        </w:rPr>
        <w:t>, 2014 г.),</w:t>
      </w:r>
    </w:p>
    <w:p w:rsidR="00B5262D" w:rsidRPr="00B52645" w:rsidRDefault="0024335B" w:rsidP="0024335B">
      <w:pPr>
        <w:pStyle w:val="Call"/>
        <w:rPr>
          <w:lang w:val="ru-RU"/>
        </w:rPr>
      </w:pPr>
      <w:r w:rsidRPr="00B52645">
        <w:rPr>
          <w:lang w:val="ru-RU"/>
        </w:rPr>
        <w:t>напоминая</w:t>
      </w:r>
    </w:p>
    <w:p w:rsidR="00B5262D" w:rsidRPr="00B52645" w:rsidRDefault="00B5262D" w:rsidP="008E4E47">
      <w:pPr>
        <w:rPr>
          <w:lang w:val="ru-RU"/>
        </w:rPr>
      </w:pPr>
      <w:r w:rsidRPr="00B52645">
        <w:rPr>
          <w:i/>
          <w:iCs/>
          <w:lang w:val="ru-RU"/>
        </w:rPr>
        <w:t>a)</w:t>
      </w:r>
      <w:r w:rsidRPr="00B52645">
        <w:rPr>
          <w:lang w:val="ru-RU"/>
        </w:rPr>
        <w:tab/>
      </w:r>
      <w:r w:rsidR="005C2DFD" w:rsidRPr="00B52645">
        <w:rPr>
          <w:lang w:val="ru-RU"/>
        </w:rPr>
        <w:t>Резолюци</w:t>
      </w:r>
      <w:r w:rsidR="0024335B" w:rsidRPr="00B52645">
        <w:rPr>
          <w:lang w:val="ru-RU"/>
        </w:rPr>
        <w:t>ю</w:t>
      </w:r>
      <w:r w:rsidR="005C2DFD" w:rsidRPr="00B52645">
        <w:rPr>
          <w:lang w:val="ru-RU"/>
        </w:rPr>
        <w:t> 101 (</w:t>
      </w:r>
      <w:proofErr w:type="spellStart"/>
      <w:r w:rsidR="005C2DFD" w:rsidRPr="00B52645">
        <w:rPr>
          <w:lang w:val="ru-RU"/>
        </w:rPr>
        <w:t>Пересм</w:t>
      </w:r>
      <w:proofErr w:type="spellEnd"/>
      <w:r w:rsidR="005C2DFD" w:rsidRPr="00B52645">
        <w:rPr>
          <w:lang w:val="ru-RU"/>
        </w:rPr>
        <w:t xml:space="preserve">. </w:t>
      </w:r>
      <w:r w:rsidR="0024335B" w:rsidRPr="00B52645">
        <w:rPr>
          <w:lang w:val="ru-RU"/>
        </w:rPr>
        <w:t>Гвадалахара</w:t>
      </w:r>
      <w:r w:rsidR="005C2DFD" w:rsidRPr="00B52645">
        <w:rPr>
          <w:lang w:val="ru-RU"/>
        </w:rPr>
        <w:t xml:space="preserve">, 2010 г.) </w:t>
      </w:r>
      <w:r w:rsidR="008E4E47" w:rsidRPr="00B52645">
        <w:rPr>
          <w:lang w:val="ru-RU"/>
        </w:rPr>
        <w:t>Полномочной конференции о сетях, базирующихся на протоколе Интернет</w:t>
      </w:r>
      <w:r w:rsidR="0024335B" w:rsidRPr="00B52645">
        <w:rPr>
          <w:lang w:val="ru-RU"/>
        </w:rPr>
        <w:t xml:space="preserve">, </w:t>
      </w:r>
      <w:r w:rsidR="009E1728" w:rsidRPr="00B52645">
        <w:rPr>
          <w:lang w:val="ru-RU"/>
        </w:rPr>
        <w:t>согласно</w:t>
      </w:r>
      <w:r w:rsidR="0024335B" w:rsidRPr="00B52645">
        <w:rPr>
          <w:lang w:val="ru-RU"/>
        </w:rPr>
        <w:t xml:space="preserve"> которой Государства-Члены решили наделить МСЭ мандатом на сотрудничество и координацию с соответствующими организациями, которые участвуют в деятельности по развитию базирую</w:t>
      </w:r>
      <w:r w:rsidR="00CC1BB9" w:rsidRPr="00B52645">
        <w:rPr>
          <w:lang w:val="ru-RU"/>
        </w:rPr>
        <w:t xml:space="preserve">щихся на </w:t>
      </w:r>
      <w:proofErr w:type="spellStart"/>
      <w:r w:rsidR="00CC1BB9" w:rsidRPr="00B52645">
        <w:rPr>
          <w:lang w:val="ru-RU"/>
        </w:rPr>
        <w:t>IP</w:t>
      </w:r>
      <w:proofErr w:type="spellEnd"/>
      <w:r w:rsidR="00CC1BB9" w:rsidRPr="00B52645">
        <w:rPr>
          <w:lang w:val="ru-RU"/>
        </w:rPr>
        <w:noBreakHyphen/>
      </w:r>
      <w:r w:rsidR="0024335B" w:rsidRPr="00B52645">
        <w:rPr>
          <w:lang w:val="ru-RU"/>
        </w:rPr>
        <w:t>сетей и будущего интернета</w:t>
      </w:r>
      <w:r w:rsidRPr="00B52645">
        <w:rPr>
          <w:lang w:val="ru-RU"/>
        </w:rPr>
        <w:t>;</w:t>
      </w:r>
    </w:p>
    <w:p w:rsidR="008A529E" w:rsidRPr="00B52645" w:rsidRDefault="005C2DFD" w:rsidP="008E4E47">
      <w:pPr>
        <w:rPr>
          <w:lang w:val="ru-RU"/>
        </w:rPr>
      </w:pPr>
      <w:r w:rsidRPr="00B52645">
        <w:rPr>
          <w:i/>
          <w:iCs/>
          <w:lang w:val="ru-RU"/>
        </w:rPr>
        <w:t>b)</w:t>
      </w:r>
      <w:r w:rsidRPr="00B52645">
        <w:rPr>
          <w:lang w:val="ru-RU"/>
        </w:rPr>
        <w:tab/>
        <w:t>Резолюци</w:t>
      </w:r>
      <w:r w:rsidR="008A529E" w:rsidRPr="00B52645">
        <w:rPr>
          <w:lang w:val="ru-RU"/>
        </w:rPr>
        <w:t>ю</w:t>
      </w:r>
      <w:r w:rsidRPr="00B52645">
        <w:rPr>
          <w:lang w:val="ru-RU"/>
        </w:rPr>
        <w:t> 102 (</w:t>
      </w:r>
      <w:proofErr w:type="spellStart"/>
      <w:r w:rsidRPr="00B52645">
        <w:rPr>
          <w:lang w:val="ru-RU"/>
        </w:rPr>
        <w:t>Пересм</w:t>
      </w:r>
      <w:proofErr w:type="spellEnd"/>
      <w:r w:rsidRPr="00B52645">
        <w:rPr>
          <w:lang w:val="ru-RU"/>
        </w:rPr>
        <w:t xml:space="preserve">. </w:t>
      </w:r>
      <w:r w:rsidR="008A529E" w:rsidRPr="00B52645">
        <w:rPr>
          <w:lang w:val="ru-RU"/>
        </w:rPr>
        <w:t>Гвадалахара</w:t>
      </w:r>
      <w:r w:rsidRPr="00B52645">
        <w:rPr>
          <w:lang w:val="ru-RU"/>
        </w:rPr>
        <w:t xml:space="preserve">, 2010 г.) </w:t>
      </w:r>
      <w:r w:rsidR="008A529E" w:rsidRPr="00B52645">
        <w:rPr>
          <w:lang w:val="ru-RU"/>
        </w:rPr>
        <w:t xml:space="preserve">Полномочной конференции </w:t>
      </w:r>
      <w:r w:rsidR="008E4E47" w:rsidRPr="00B52645">
        <w:rPr>
          <w:lang w:val="ru-RU"/>
        </w:rPr>
        <w:t xml:space="preserve">о роли </w:t>
      </w:r>
      <w:r w:rsidR="008A529E" w:rsidRPr="00B52645">
        <w:rPr>
          <w:lang w:val="ru-RU"/>
        </w:rPr>
        <w:t>МСЭ в вопросах международной государственной политики, касающихся интернета и управления ресурсами интернета, включая наименования доменов и адреса;</w:t>
      </w:r>
    </w:p>
    <w:p w:rsidR="008A529E" w:rsidRPr="00B52645" w:rsidRDefault="005C2DFD" w:rsidP="009F450C">
      <w:pPr>
        <w:rPr>
          <w:lang w:val="ru-RU"/>
        </w:rPr>
      </w:pPr>
      <w:r w:rsidRPr="00B52645">
        <w:rPr>
          <w:i/>
          <w:iCs/>
          <w:lang w:val="ru-RU"/>
        </w:rPr>
        <w:t>c)</w:t>
      </w:r>
      <w:r w:rsidRPr="00B52645">
        <w:rPr>
          <w:lang w:val="ru-RU"/>
        </w:rPr>
        <w:tab/>
        <w:t>Резолюци</w:t>
      </w:r>
      <w:r w:rsidR="008A529E" w:rsidRPr="00B52645">
        <w:rPr>
          <w:lang w:val="ru-RU"/>
        </w:rPr>
        <w:t>ю</w:t>
      </w:r>
      <w:r w:rsidRPr="00B52645">
        <w:rPr>
          <w:lang w:val="ru-RU"/>
        </w:rPr>
        <w:t> 130 (</w:t>
      </w:r>
      <w:proofErr w:type="spellStart"/>
      <w:r w:rsidRPr="00B52645">
        <w:rPr>
          <w:lang w:val="ru-RU"/>
        </w:rPr>
        <w:t>Пересм</w:t>
      </w:r>
      <w:proofErr w:type="spellEnd"/>
      <w:r w:rsidRPr="00B52645">
        <w:rPr>
          <w:lang w:val="ru-RU"/>
        </w:rPr>
        <w:t xml:space="preserve">. </w:t>
      </w:r>
      <w:r w:rsidR="008A529E" w:rsidRPr="00B52645">
        <w:rPr>
          <w:lang w:val="ru-RU"/>
        </w:rPr>
        <w:t>Гвадалахара</w:t>
      </w:r>
      <w:r w:rsidRPr="00B52645">
        <w:rPr>
          <w:lang w:val="ru-RU"/>
        </w:rPr>
        <w:t>, 2010 г.)</w:t>
      </w:r>
      <w:r w:rsidR="008E4E47" w:rsidRPr="00B52645">
        <w:rPr>
          <w:lang w:val="ru-RU"/>
        </w:rPr>
        <w:t xml:space="preserve"> Полномочной конференции об усилении </w:t>
      </w:r>
      <w:r w:rsidR="008A529E" w:rsidRPr="00B52645">
        <w:rPr>
          <w:lang w:val="ru-RU"/>
        </w:rPr>
        <w:t>роли МСЭ в укреплении доверия и безопасности при использовании информационно-коммуникационных технологий,</w:t>
      </w:r>
    </w:p>
    <w:p w:rsidR="00985507" w:rsidRPr="00B52645" w:rsidRDefault="008A529E" w:rsidP="008A529E">
      <w:pPr>
        <w:pStyle w:val="Call"/>
        <w:rPr>
          <w:lang w:val="ru-RU"/>
        </w:rPr>
      </w:pPr>
      <w:r w:rsidRPr="00B52645">
        <w:rPr>
          <w:lang w:val="ru-RU"/>
        </w:rPr>
        <w:t>напоминая далее</w:t>
      </w:r>
    </w:p>
    <w:p w:rsidR="00985507" w:rsidRPr="00B52645" w:rsidRDefault="00985507" w:rsidP="008A529E">
      <w:pPr>
        <w:rPr>
          <w:lang w:val="ru-RU"/>
        </w:rPr>
      </w:pPr>
      <w:r w:rsidRPr="00B52645">
        <w:rPr>
          <w:i/>
          <w:iCs/>
          <w:lang w:val="ru-RU"/>
        </w:rPr>
        <w:t>a)</w:t>
      </w:r>
      <w:r w:rsidRPr="00B52645">
        <w:rPr>
          <w:lang w:val="ru-RU"/>
        </w:rPr>
        <w:tab/>
      </w:r>
      <w:r w:rsidR="008A529E" w:rsidRPr="00B52645">
        <w:rPr>
          <w:lang w:val="ru-RU"/>
        </w:rPr>
        <w:t>пункт 39 Тунисской программы, касающийся повышения доверия и безопасности при использовании ИКТ путем укрепления основы для доверия</w:t>
      </w:r>
      <w:r w:rsidRPr="00B52645">
        <w:rPr>
          <w:lang w:val="ru-RU"/>
        </w:rPr>
        <w:t xml:space="preserve">; </w:t>
      </w:r>
    </w:p>
    <w:p w:rsidR="00985507" w:rsidRPr="00B52645" w:rsidRDefault="00985507" w:rsidP="008A529E">
      <w:pPr>
        <w:rPr>
          <w:lang w:val="ru-RU"/>
        </w:rPr>
      </w:pPr>
      <w:r w:rsidRPr="00B52645">
        <w:rPr>
          <w:i/>
          <w:iCs/>
          <w:lang w:val="ru-RU"/>
        </w:rPr>
        <w:lastRenderedPageBreak/>
        <w:t>b)</w:t>
      </w:r>
      <w:r w:rsidRPr="00B52645">
        <w:rPr>
          <w:lang w:val="ru-RU"/>
        </w:rPr>
        <w:tab/>
      </w:r>
      <w:r w:rsidR="008A529E" w:rsidRPr="00B52645">
        <w:rPr>
          <w:lang w:val="ru-RU"/>
        </w:rPr>
        <w:t>пункт 46 Тунисской программы, касающийся обеспечения неприкосновенности частной жизни и защиты личной информации и личных сведений</w:t>
      </w:r>
      <w:r w:rsidRPr="00B52645">
        <w:rPr>
          <w:lang w:val="ru-RU"/>
        </w:rPr>
        <w:t>;</w:t>
      </w:r>
    </w:p>
    <w:p w:rsidR="00985507" w:rsidRPr="00B52645" w:rsidRDefault="00985507" w:rsidP="007C78B5">
      <w:pPr>
        <w:rPr>
          <w:lang w:val="ru-RU"/>
        </w:rPr>
      </w:pPr>
      <w:r w:rsidRPr="00B52645">
        <w:rPr>
          <w:i/>
          <w:iCs/>
          <w:lang w:val="ru-RU"/>
        </w:rPr>
        <w:t>c)</w:t>
      </w:r>
      <w:r w:rsidRPr="00B52645">
        <w:rPr>
          <w:lang w:val="ru-RU"/>
        </w:rPr>
        <w:tab/>
      </w:r>
      <w:r w:rsidR="0046200E" w:rsidRPr="00B52645">
        <w:rPr>
          <w:lang w:val="ru-RU"/>
        </w:rPr>
        <w:t xml:space="preserve">Направление деятельности </w:t>
      </w:r>
      <w:r w:rsidRPr="00B52645">
        <w:rPr>
          <w:lang w:val="ru-RU"/>
        </w:rPr>
        <w:t xml:space="preserve">C5 </w:t>
      </w:r>
      <w:r w:rsidR="0046200E" w:rsidRPr="00B52645">
        <w:rPr>
          <w:lang w:val="ru-RU"/>
        </w:rPr>
        <w:t xml:space="preserve">Женевского плана действий "Укрепление доверия и безопасности при использовании ИКТ" </w:t>
      </w:r>
      <w:r w:rsidR="007C78B5" w:rsidRPr="00B52645">
        <w:rPr>
          <w:lang w:val="ru-RU"/>
        </w:rPr>
        <w:t>при</w:t>
      </w:r>
      <w:r w:rsidR="0046200E" w:rsidRPr="00B52645">
        <w:rPr>
          <w:lang w:val="ru-RU"/>
        </w:rPr>
        <w:t xml:space="preserve"> построени</w:t>
      </w:r>
      <w:r w:rsidR="007C78B5" w:rsidRPr="00B52645">
        <w:rPr>
          <w:lang w:val="ru-RU"/>
        </w:rPr>
        <w:t>и</w:t>
      </w:r>
      <w:r w:rsidR="0046200E" w:rsidRPr="00B52645">
        <w:rPr>
          <w:lang w:val="ru-RU"/>
        </w:rPr>
        <w:t xml:space="preserve"> информационного общества, единственным координатором которого является МСЭ</w:t>
      </w:r>
      <w:r w:rsidRPr="00B52645">
        <w:rPr>
          <w:lang w:val="ru-RU"/>
        </w:rPr>
        <w:t>;</w:t>
      </w:r>
    </w:p>
    <w:p w:rsidR="00985507" w:rsidRPr="00B52645" w:rsidRDefault="00985507" w:rsidP="00B52645">
      <w:pPr>
        <w:rPr>
          <w:lang w:val="ru-RU"/>
        </w:rPr>
      </w:pPr>
      <w:r w:rsidRPr="00B52645">
        <w:rPr>
          <w:i/>
          <w:iCs/>
          <w:lang w:val="ru-RU"/>
        </w:rPr>
        <w:t>d)</w:t>
      </w:r>
      <w:r w:rsidRPr="00B52645">
        <w:rPr>
          <w:lang w:val="ru-RU"/>
        </w:rPr>
        <w:tab/>
      </w:r>
      <w:r w:rsidR="0046200E" w:rsidRPr="00B52645">
        <w:rPr>
          <w:lang w:val="ru-RU"/>
        </w:rPr>
        <w:t xml:space="preserve">проводимую ИК17 МСЭ-Т работу, связанную с дорожной картой по стандартам безопасности ИКТ и другими вопросами, и проводимую ИК13 работу, связанную с сетями </w:t>
      </w:r>
      <w:r w:rsidR="00B52645" w:rsidRPr="00B52645">
        <w:rPr>
          <w:lang w:val="ru-RU"/>
        </w:rPr>
        <w:t>последующих</w:t>
      </w:r>
      <w:r w:rsidR="0046200E" w:rsidRPr="00B52645">
        <w:rPr>
          <w:lang w:val="ru-RU"/>
        </w:rPr>
        <w:t xml:space="preserve"> поколени</w:t>
      </w:r>
      <w:r w:rsidR="00B52645" w:rsidRPr="00B52645">
        <w:rPr>
          <w:lang w:val="ru-RU"/>
        </w:rPr>
        <w:t>й</w:t>
      </w:r>
      <w:r w:rsidRPr="00B52645">
        <w:rPr>
          <w:lang w:val="ru-RU"/>
        </w:rPr>
        <w:t>,</w:t>
      </w:r>
    </w:p>
    <w:p w:rsidR="00985507" w:rsidRPr="00B52645" w:rsidRDefault="0046200E" w:rsidP="00985507">
      <w:pPr>
        <w:pStyle w:val="Call"/>
        <w:rPr>
          <w:lang w:val="ru-RU"/>
        </w:rPr>
      </w:pPr>
      <w:r w:rsidRPr="00B52645">
        <w:rPr>
          <w:lang w:val="ru-RU"/>
        </w:rPr>
        <w:t>признавая</w:t>
      </w:r>
      <w:r w:rsidR="00985507" w:rsidRPr="00B52645">
        <w:rPr>
          <w:lang w:val="ru-RU"/>
        </w:rPr>
        <w:t>,</w:t>
      </w:r>
    </w:p>
    <w:p w:rsidR="00985507" w:rsidRPr="00B52645" w:rsidRDefault="00985507" w:rsidP="00B779C4">
      <w:pPr>
        <w:rPr>
          <w:lang w:val="ru-RU"/>
        </w:rPr>
      </w:pPr>
      <w:r w:rsidRPr="00B52645">
        <w:rPr>
          <w:i/>
          <w:iCs/>
          <w:lang w:val="ru-RU"/>
        </w:rPr>
        <w:t>a)</w:t>
      </w:r>
      <w:r w:rsidRPr="00B52645">
        <w:rPr>
          <w:lang w:val="ru-RU"/>
        </w:rPr>
        <w:tab/>
      </w:r>
      <w:r w:rsidR="0046200E" w:rsidRPr="00B52645">
        <w:rPr>
          <w:lang w:val="ru-RU"/>
        </w:rPr>
        <w:t xml:space="preserve">что для развития электросвязи/ИКТ необходимы осуществляемые на основе равноправия, справедливости и беспристрастности распределение и присвоение ресурсов, относящихся к сетям с коммутацией пакетов, и что требуются содействие и сотрудничество </w:t>
      </w:r>
      <w:r w:rsidR="00B779C4" w:rsidRPr="00B52645">
        <w:rPr>
          <w:lang w:val="ru-RU"/>
        </w:rPr>
        <w:t>соответствующи</w:t>
      </w:r>
      <w:r w:rsidR="0046200E" w:rsidRPr="00B52645">
        <w:rPr>
          <w:lang w:val="ru-RU"/>
        </w:rPr>
        <w:t>х организаций и Государств-Членов, для того чтобы обеспечить в своей политике планирование, реализацию, мониторинг и сотрудничество</w:t>
      </w:r>
      <w:r w:rsidRPr="00B52645">
        <w:rPr>
          <w:lang w:val="ru-RU"/>
        </w:rPr>
        <w:t>;</w:t>
      </w:r>
    </w:p>
    <w:p w:rsidR="005C2DFD" w:rsidRPr="00B52645" w:rsidRDefault="00985507" w:rsidP="00753F2E">
      <w:pPr>
        <w:rPr>
          <w:lang w:val="ru-RU"/>
        </w:rPr>
      </w:pPr>
      <w:r w:rsidRPr="00B52645">
        <w:rPr>
          <w:i/>
          <w:iCs/>
          <w:lang w:val="ru-RU"/>
        </w:rPr>
        <w:t>b)</w:t>
      </w:r>
      <w:r w:rsidRPr="00B52645">
        <w:rPr>
          <w:i/>
          <w:iCs/>
          <w:lang w:val="ru-RU"/>
        </w:rPr>
        <w:tab/>
      </w:r>
      <w:r w:rsidRPr="00B52645">
        <w:rPr>
          <w:lang w:val="ru-RU"/>
        </w:rPr>
        <w:t>что для надлежащего функционирования сетей электросвязи необходимы ресурсы, а именно, наряду с прочими, ресурсы наименования, нумерации и адресации;</w:t>
      </w:r>
    </w:p>
    <w:p w:rsidR="00985507" w:rsidRPr="00B52645" w:rsidRDefault="00985507" w:rsidP="004C7AD0">
      <w:pPr>
        <w:rPr>
          <w:lang w:val="ru-RU"/>
        </w:rPr>
      </w:pPr>
      <w:r w:rsidRPr="00B52645">
        <w:rPr>
          <w:i/>
          <w:iCs/>
          <w:lang w:val="ru-RU"/>
        </w:rPr>
        <w:t>c)</w:t>
      </w:r>
      <w:r w:rsidRPr="00B52645">
        <w:rPr>
          <w:lang w:val="ru-RU"/>
        </w:rPr>
        <w:tab/>
      </w:r>
      <w:r w:rsidR="00B779C4" w:rsidRPr="00B52645">
        <w:rPr>
          <w:lang w:val="ru-RU"/>
        </w:rPr>
        <w:t xml:space="preserve">что в Резолюции 1305 Совета определены вопросы государственной политики, касающиеся международного интернета (управления электросвязью/ИКТ), такие как защита, безопасность, целостность, жизнеспособность и устойчивость интернета (электросвязи/ИКТ), и что в соответствии с Резолюцией 1336 Совета, принятой на его сессии 2011 года, </w:t>
      </w:r>
      <w:r w:rsidR="004C7AD0" w:rsidRPr="00B52645">
        <w:rPr>
          <w:lang w:val="ru-RU"/>
        </w:rPr>
        <w:t>была создана Рабочая группа Совета по вопросам государственной политики, касающимся интернета (</w:t>
      </w:r>
      <w:proofErr w:type="spellStart"/>
      <w:r w:rsidR="004C7AD0" w:rsidRPr="00B52645">
        <w:rPr>
          <w:lang w:val="ru-RU"/>
        </w:rPr>
        <w:t>РГС</w:t>
      </w:r>
      <w:proofErr w:type="spellEnd"/>
      <w:r w:rsidR="004C7AD0" w:rsidRPr="00B52645">
        <w:rPr>
          <w:lang w:val="ru-RU"/>
        </w:rPr>
        <w:t>-Интернет), в круг ведения которой входят выявление, изучение и разработка тем, связанных с вопросами международной государственной политики, касающимися интернета, которые были включены в Резолюцию 1305 Совета</w:t>
      </w:r>
      <w:r w:rsidRPr="00B52645">
        <w:rPr>
          <w:lang w:val="ru-RU"/>
        </w:rPr>
        <w:t>;</w:t>
      </w:r>
    </w:p>
    <w:p w:rsidR="00985507" w:rsidRPr="00B52645" w:rsidRDefault="00985507" w:rsidP="00753F2E">
      <w:pPr>
        <w:rPr>
          <w:lang w:val="ru-RU"/>
        </w:rPr>
      </w:pPr>
      <w:r w:rsidRPr="00B52645">
        <w:rPr>
          <w:i/>
          <w:iCs/>
          <w:lang w:val="ru-RU"/>
        </w:rPr>
        <w:t>d)</w:t>
      </w:r>
      <w:r w:rsidRPr="00B52645">
        <w:rPr>
          <w:lang w:val="ru-RU"/>
        </w:rPr>
        <w:tab/>
        <w:t>что в целях обеспечения безопасности и защищенности услуг электросвязи/ИКТ Государствам-Членам необходимо разрабатывать надлежащие правовые, политические и регуляторные меры, которые должны поддерживаться техническими возможностями сетей;</w:t>
      </w:r>
    </w:p>
    <w:p w:rsidR="00985507" w:rsidRPr="00B52645" w:rsidRDefault="00985507" w:rsidP="005925E7">
      <w:pPr>
        <w:rPr>
          <w:lang w:val="ru-RU"/>
        </w:rPr>
      </w:pPr>
      <w:r w:rsidRPr="00B52645">
        <w:rPr>
          <w:i/>
          <w:iCs/>
          <w:lang w:val="ru-RU"/>
        </w:rPr>
        <w:t>e)</w:t>
      </w:r>
      <w:r w:rsidRPr="00B52645">
        <w:rPr>
          <w:lang w:val="ru-RU"/>
        </w:rPr>
        <w:tab/>
      </w:r>
      <w:r w:rsidR="004C7AD0" w:rsidRPr="00B52645">
        <w:rPr>
          <w:lang w:val="ru-RU"/>
        </w:rPr>
        <w:t xml:space="preserve">что частный сектор должен играть активную роль в </w:t>
      </w:r>
      <w:r w:rsidR="004D533D" w:rsidRPr="00B52645">
        <w:rPr>
          <w:lang w:val="ru-RU"/>
        </w:rPr>
        <w:t xml:space="preserve">осуществлении </w:t>
      </w:r>
      <w:r w:rsidR="004C7AD0" w:rsidRPr="00B52645">
        <w:rPr>
          <w:lang w:val="ru-RU"/>
        </w:rPr>
        <w:t>повседневных операци</w:t>
      </w:r>
      <w:r w:rsidR="004D533D" w:rsidRPr="00B52645">
        <w:rPr>
          <w:lang w:val="ru-RU"/>
        </w:rPr>
        <w:t xml:space="preserve">й, </w:t>
      </w:r>
      <w:r w:rsidR="005925E7" w:rsidRPr="00B52645">
        <w:rPr>
          <w:lang w:val="ru-RU"/>
        </w:rPr>
        <w:t>внедрении инноваций и создании стоимости</w:t>
      </w:r>
      <w:r w:rsidRPr="00B52645">
        <w:rPr>
          <w:lang w:val="ru-RU"/>
        </w:rPr>
        <w:t xml:space="preserve">; </w:t>
      </w:r>
    </w:p>
    <w:p w:rsidR="00985507" w:rsidRPr="00B52645" w:rsidRDefault="00985507" w:rsidP="004D533D">
      <w:pPr>
        <w:rPr>
          <w:lang w:val="ru-RU"/>
        </w:rPr>
      </w:pPr>
      <w:r w:rsidRPr="00B52645">
        <w:rPr>
          <w:i/>
          <w:iCs/>
          <w:lang w:val="ru-RU"/>
        </w:rPr>
        <w:t>f)</w:t>
      </w:r>
      <w:r w:rsidRPr="00B52645">
        <w:rPr>
          <w:i/>
          <w:iCs/>
          <w:lang w:val="ru-RU"/>
        </w:rPr>
        <w:tab/>
      </w:r>
      <w:r w:rsidR="004D533D" w:rsidRPr="00B52645">
        <w:rPr>
          <w:lang w:val="ru-RU"/>
        </w:rPr>
        <w:t>что должен быть принят подход с участием многих заинтересованных сторон, насколько это возможно, на всех уровнях в целях усиления координации деятельности международных и межправительственных организаций и других учреждений, занимающихся вопросами сетей электр</w:t>
      </w:r>
      <w:r w:rsidR="009F450C" w:rsidRPr="00B52645">
        <w:rPr>
          <w:lang w:val="ru-RU"/>
        </w:rPr>
        <w:t xml:space="preserve">освязи/ИКТ на базе </w:t>
      </w:r>
      <w:proofErr w:type="spellStart"/>
      <w:r w:rsidR="009F450C" w:rsidRPr="00B52645">
        <w:rPr>
          <w:lang w:val="ru-RU"/>
        </w:rPr>
        <w:t>IP</w:t>
      </w:r>
      <w:proofErr w:type="spellEnd"/>
      <w:r w:rsidR="009F450C" w:rsidRPr="00B52645">
        <w:rPr>
          <w:lang w:val="ru-RU"/>
        </w:rPr>
        <w:noBreakHyphen/>
      </w:r>
      <w:r w:rsidR="004D533D" w:rsidRPr="00B52645">
        <w:rPr>
          <w:lang w:val="ru-RU"/>
        </w:rPr>
        <w:t>технологий</w:t>
      </w:r>
      <w:r w:rsidRPr="00B52645">
        <w:rPr>
          <w:lang w:val="ru-RU"/>
        </w:rPr>
        <w:t>,</w:t>
      </w:r>
    </w:p>
    <w:p w:rsidR="00985507" w:rsidRPr="00B52645" w:rsidRDefault="00E15257" w:rsidP="00985507">
      <w:pPr>
        <w:pStyle w:val="Call"/>
        <w:rPr>
          <w:lang w:val="ru-RU"/>
        </w:rPr>
      </w:pPr>
      <w:r w:rsidRPr="00B52645">
        <w:rPr>
          <w:lang w:val="ru-RU"/>
        </w:rPr>
        <w:t>учитывая</w:t>
      </w:r>
      <w:r w:rsidR="00985507" w:rsidRPr="00B52645">
        <w:rPr>
          <w:lang w:val="ru-RU"/>
        </w:rPr>
        <w:t>,</w:t>
      </w:r>
    </w:p>
    <w:p w:rsidR="00E13BB6" w:rsidRPr="00B52645" w:rsidRDefault="00985507" w:rsidP="009F450C">
      <w:pPr>
        <w:rPr>
          <w:lang w:val="ru-RU"/>
        </w:rPr>
      </w:pPr>
      <w:r w:rsidRPr="00B52645">
        <w:rPr>
          <w:i/>
          <w:iCs/>
          <w:lang w:val="ru-RU"/>
        </w:rPr>
        <w:t>a)</w:t>
      </w:r>
      <w:r w:rsidRPr="00B52645">
        <w:rPr>
          <w:lang w:val="ru-RU"/>
        </w:rPr>
        <w:tab/>
        <w:t xml:space="preserve">что все будущие сети будут, очевидно, пакетными сетями, обеспечивающими предоставление различных услуг электросвязи, которые в настоящее время базируются на </w:t>
      </w:r>
      <w:proofErr w:type="spellStart"/>
      <w:r w:rsidRPr="00B52645">
        <w:rPr>
          <w:lang w:val="ru-RU"/>
        </w:rPr>
        <w:t>IP</w:t>
      </w:r>
      <w:proofErr w:type="spellEnd"/>
      <w:r w:rsidR="009F450C" w:rsidRPr="00B52645">
        <w:rPr>
          <w:lang w:val="ru-RU"/>
        </w:rPr>
        <w:noBreakHyphen/>
        <w:t>технологиях</w:t>
      </w:r>
      <w:r w:rsidR="00E13BB6" w:rsidRPr="00B52645">
        <w:rPr>
          <w:lang w:val="ru-RU"/>
        </w:rPr>
        <w:t>;</w:t>
      </w:r>
    </w:p>
    <w:p w:rsidR="00E13BB6" w:rsidRPr="00B52645" w:rsidRDefault="00E13BB6" w:rsidP="00815350">
      <w:pPr>
        <w:rPr>
          <w:rFonts w:asciiTheme="minorHAnsi" w:hAnsiTheme="minorHAnsi"/>
          <w:lang w:val="ru-RU"/>
        </w:rPr>
      </w:pPr>
      <w:r w:rsidRPr="00B52645">
        <w:rPr>
          <w:rFonts w:asciiTheme="minorHAnsi" w:hAnsiTheme="minorHAnsi"/>
          <w:i/>
          <w:iCs/>
          <w:szCs w:val="24"/>
          <w:lang w:val="ru-RU"/>
        </w:rPr>
        <w:t>b)</w:t>
      </w:r>
      <w:r w:rsidRPr="00B52645">
        <w:rPr>
          <w:rFonts w:asciiTheme="minorHAnsi" w:hAnsiTheme="minorHAnsi"/>
          <w:szCs w:val="24"/>
          <w:lang w:val="ru-RU"/>
        </w:rPr>
        <w:tab/>
      </w:r>
      <w:r w:rsidR="00E15257" w:rsidRPr="00B52645">
        <w:rPr>
          <w:rFonts w:asciiTheme="minorHAnsi" w:hAnsiTheme="minorHAnsi"/>
          <w:szCs w:val="24"/>
          <w:lang w:val="ru-RU"/>
        </w:rPr>
        <w:t xml:space="preserve">что современные пакетные сети в настоящее время имеют большое число слабых мест безопасности, в том числе связанных с </w:t>
      </w:r>
      <w:r w:rsidR="00815350" w:rsidRPr="00B52645">
        <w:rPr>
          <w:rFonts w:asciiTheme="minorHAnsi" w:hAnsiTheme="minorHAnsi"/>
          <w:szCs w:val="24"/>
          <w:lang w:val="ru-RU"/>
        </w:rPr>
        <w:t>записями сетевых транзакций</w:t>
      </w:r>
      <w:r w:rsidRPr="00B52645">
        <w:rPr>
          <w:rFonts w:asciiTheme="minorHAnsi" w:hAnsiTheme="minorHAnsi"/>
          <w:szCs w:val="24"/>
          <w:lang w:val="ru-RU"/>
        </w:rPr>
        <w:t>;</w:t>
      </w:r>
    </w:p>
    <w:p w:rsidR="00E13BB6" w:rsidRPr="00B52645" w:rsidRDefault="00E13BB6" w:rsidP="005E0EA7">
      <w:pPr>
        <w:rPr>
          <w:rFonts w:asciiTheme="minorHAnsi" w:hAnsiTheme="minorHAnsi"/>
          <w:lang w:val="ru-RU"/>
        </w:rPr>
      </w:pPr>
      <w:r w:rsidRPr="00B52645">
        <w:rPr>
          <w:rFonts w:asciiTheme="minorHAnsi" w:hAnsiTheme="minorHAnsi"/>
          <w:i/>
          <w:iCs/>
          <w:szCs w:val="24"/>
          <w:lang w:val="ru-RU"/>
        </w:rPr>
        <w:t>c)</w:t>
      </w:r>
      <w:r w:rsidRPr="00B52645">
        <w:rPr>
          <w:rFonts w:asciiTheme="minorHAnsi" w:hAnsiTheme="minorHAnsi"/>
          <w:i/>
          <w:iCs/>
          <w:szCs w:val="24"/>
          <w:lang w:val="ru-RU"/>
        </w:rPr>
        <w:tab/>
      </w:r>
      <w:r w:rsidR="00815350" w:rsidRPr="00B52645">
        <w:rPr>
          <w:rFonts w:asciiTheme="minorHAnsi" w:hAnsiTheme="minorHAnsi"/>
          <w:szCs w:val="24"/>
          <w:lang w:val="ru-RU"/>
        </w:rPr>
        <w:t xml:space="preserve">что иногда даже для локального разрешения адресов система вынуждена использовать ресурсы за пределами страны, что делает такое разрешение адресов дорогостоящим и в некоторой степени небезопасным; это может привести к нарушению конфиденциальности другим государством, которое может даже не начать рассматривать вопрос о нарушении конфиденциальности, ссылаясь на неприменимость законов о защите конфиденциальности в отношении </w:t>
      </w:r>
      <w:r w:rsidR="005E0EA7" w:rsidRPr="00B52645">
        <w:rPr>
          <w:rFonts w:asciiTheme="minorHAnsi" w:hAnsiTheme="minorHAnsi"/>
          <w:szCs w:val="24"/>
          <w:lang w:val="ru-RU"/>
        </w:rPr>
        <w:t>лиц, не являющихся гражданами,</w:t>
      </w:r>
      <w:r w:rsidR="00815350" w:rsidRPr="00B52645">
        <w:rPr>
          <w:rFonts w:asciiTheme="minorHAnsi" w:hAnsiTheme="minorHAnsi"/>
          <w:szCs w:val="24"/>
          <w:lang w:val="ru-RU"/>
        </w:rPr>
        <w:t xml:space="preserve"> или на то, что </w:t>
      </w:r>
      <w:r w:rsidR="005E0EA7" w:rsidRPr="00B52645">
        <w:rPr>
          <w:rFonts w:asciiTheme="minorHAnsi" w:hAnsiTheme="minorHAnsi"/>
          <w:szCs w:val="24"/>
          <w:lang w:val="ru-RU"/>
        </w:rPr>
        <w:t xml:space="preserve">для </w:t>
      </w:r>
      <w:r w:rsidR="00815350" w:rsidRPr="00B52645">
        <w:rPr>
          <w:rFonts w:asciiTheme="minorHAnsi" w:hAnsiTheme="minorHAnsi"/>
          <w:szCs w:val="24"/>
          <w:lang w:val="ru-RU"/>
        </w:rPr>
        <w:t xml:space="preserve">граждан и </w:t>
      </w:r>
      <w:r w:rsidR="005E0EA7" w:rsidRPr="00B52645">
        <w:rPr>
          <w:rFonts w:asciiTheme="minorHAnsi" w:hAnsiTheme="minorHAnsi"/>
          <w:szCs w:val="24"/>
          <w:lang w:val="ru-RU"/>
        </w:rPr>
        <w:t xml:space="preserve">лиц, не являющихся гражданами, </w:t>
      </w:r>
      <w:r w:rsidR="00815350" w:rsidRPr="00B52645">
        <w:rPr>
          <w:rFonts w:asciiTheme="minorHAnsi" w:hAnsiTheme="minorHAnsi"/>
          <w:szCs w:val="24"/>
          <w:lang w:val="ru-RU"/>
        </w:rPr>
        <w:t>существуют различные законы</w:t>
      </w:r>
      <w:r w:rsidRPr="00B52645">
        <w:rPr>
          <w:rFonts w:asciiTheme="minorHAnsi" w:hAnsiTheme="minorHAnsi"/>
          <w:szCs w:val="24"/>
          <w:lang w:val="ru-RU"/>
        </w:rPr>
        <w:t>;</w:t>
      </w:r>
    </w:p>
    <w:p w:rsidR="00E13BB6" w:rsidRPr="00B52645" w:rsidRDefault="00E13BB6" w:rsidP="009F450C">
      <w:pPr>
        <w:rPr>
          <w:rFonts w:asciiTheme="minorHAnsi" w:hAnsiTheme="minorHAnsi"/>
          <w:lang w:val="ru-RU"/>
        </w:rPr>
      </w:pPr>
      <w:r w:rsidRPr="00B52645">
        <w:rPr>
          <w:rFonts w:asciiTheme="minorHAnsi" w:hAnsiTheme="minorHAnsi"/>
          <w:i/>
          <w:iCs/>
          <w:szCs w:val="24"/>
          <w:lang w:val="ru-RU"/>
        </w:rPr>
        <w:lastRenderedPageBreak/>
        <w:t>d)</w:t>
      </w:r>
      <w:r w:rsidRPr="00B52645">
        <w:rPr>
          <w:rFonts w:asciiTheme="minorHAnsi" w:hAnsiTheme="minorHAnsi"/>
          <w:szCs w:val="24"/>
          <w:lang w:val="ru-RU"/>
        </w:rPr>
        <w:tab/>
      </w:r>
      <w:r w:rsidR="005E0EA7" w:rsidRPr="00B52645">
        <w:rPr>
          <w:rFonts w:asciiTheme="minorHAnsi" w:hAnsiTheme="minorHAnsi"/>
          <w:szCs w:val="24"/>
          <w:lang w:val="ru-RU"/>
        </w:rPr>
        <w:t xml:space="preserve">что иногда трафик связи, являющийся исходящим и </w:t>
      </w:r>
      <w:r w:rsidR="009F450C" w:rsidRPr="00B52645">
        <w:rPr>
          <w:rFonts w:asciiTheme="minorHAnsi" w:hAnsiTheme="minorHAnsi"/>
          <w:szCs w:val="24"/>
          <w:lang w:val="ru-RU"/>
        </w:rPr>
        <w:t>завершающимся</w:t>
      </w:r>
      <w:r w:rsidR="005E0EA7" w:rsidRPr="00B52645">
        <w:rPr>
          <w:rFonts w:asciiTheme="minorHAnsi" w:hAnsiTheme="minorHAnsi"/>
          <w:szCs w:val="24"/>
          <w:lang w:val="ru-RU"/>
        </w:rPr>
        <w:t xml:space="preserve"> в</w:t>
      </w:r>
      <w:r w:rsidR="00FB0888" w:rsidRPr="00B52645">
        <w:rPr>
          <w:rFonts w:asciiTheme="minorHAnsi" w:hAnsiTheme="minorHAnsi"/>
          <w:szCs w:val="24"/>
          <w:lang w:val="ru-RU"/>
        </w:rPr>
        <w:t xml:space="preserve"> одной</w:t>
      </w:r>
      <w:r w:rsidR="005E0EA7" w:rsidRPr="00B52645">
        <w:rPr>
          <w:rFonts w:asciiTheme="minorHAnsi" w:hAnsiTheme="minorHAnsi"/>
          <w:szCs w:val="24"/>
          <w:lang w:val="ru-RU"/>
        </w:rPr>
        <w:t xml:space="preserve"> стране, также выходит за пределы страны, что делает такой трафик дорогостоящим и в некоторой степени небезопасным; это может привести к нарушению конфиденциальности, при этом может даже не начать рассматриваться вопрос о нарушении конфиденциальности со ссылкой на неприменимость законов о защите конфиденциальности в отношении лиц, не являющихся гражданами, или на то, что для граждан и лиц, не являющихся гражданами, существуют различные законы</w:t>
      </w:r>
      <w:r w:rsidRPr="00B52645">
        <w:rPr>
          <w:rFonts w:asciiTheme="minorHAnsi" w:hAnsiTheme="minorHAnsi"/>
          <w:szCs w:val="24"/>
          <w:lang w:val="ru-RU"/>
        </w:rPr>
        <w:t>;</w:t>
      </w:r>
    </w:p>
    <w:p w:rsidR="00E13BB6" w:rsidRPr="00B52645" w:rsidRDefault="00E13BB6" w:rsidP="00CF350D">
      <w:pPr>
        <w:rPr>
          <w:rFonts w:asciiTheme="minorHAnsi" w:hAnsiTheme="minorHAnsi"/>
          <w:lang w:val="ru-RU"/>
        </w:rPr>
      </w:pPr>
      <w:r w:rsidRPr="00B52645">
        <w:rPr>
          <w:rFonts w:asciiTheme="minorHAnsi" w:hAnsiTheme="minorHAnsi"/>
          <w:i/>
          <w:iCs/>
          <w:szCs w:val="24"/>
          <w:lang w:val="ru-RU"/>
        </w:rPr>
        <w:t>e)</w:t>
      </w:r>
      <w:r w:rsidRPr="00B52645">
        <w:rPr>
          <w:rFonts w:asciiTheme="minorHAnsi" w:hAnsiTheme="minorHAnsi"/>
          <w:szCs w:val="24"/>
          <w:lang w:val="ru-RU"/>
        </w:rPr>
        <w:tab/>
      </w:r>
      <w:r w:rsidR="005E0EA7" w:rsidRPr="00B52645">
        <w:rPr>
          <w:rFonts w:asciiTheme="minorHAnsi" w:hAnsiTheme="minorHAnsi"/>
          <w:szCs w:val="24"/>
          <w:lang w:val="ru-RU"/>
        </w:rPr>
        <w:t xml:space="preserve">что </w:t>
      </w:r>
      <w:proofErr w:type="spellStart"/>
      <w:r w:rsidR="005E0EA7" w:rsidRPr="00B52645">
        <w:rPr>
          <w:rFonts w:asciiTheme="minorHAnsi" w:hAnsiTheme="minorHAnsi"/>
          <w:szCs w:val="24"/>
          <w:lang w:val="ru-RU"/>
        </w:rPr>
        <w:t>IP</w:t>
      </w:r>
      <w:proofErr w:type="spellEnd"/>
      <w:r w:rsidR="005E0EA7" w:rsidRPr="00B52645">
        <w:rPr>
          <w:rFonts w:asciiTheme="minorHAnsi" w:hAnsiTheme="minorHAnsi"/>
          <w:szCs w:val="24"/>
          <w:lang w:val="ru-RU"/>
        </w:rPr>
        <w:t xml:space="preserve">-адреса </w:t>
      </w:r>
      <w:r w:rsidR="001C2CB6" w:rsidRPr="00B52645">
        <w:rPr>
          <w:rFonts w:asciiTheme="minorHAnsi" w:hAnsiTheme="minorHAnsi"/>
          <w:szCs w:val="24"/>
          <w:lang w:val="ru-RU"/>
        </w:rPr>
        <w:t xml:space="preserve">не </w:t>
      </w:r>
      <w:r w:rsidR="005E0EA7" w:rsidRPr="00B52645">
        <w:rPr>
          <w:rFonts w:asciiTheme="minorHAnsi" w:hAnsiTheme="minorHAnsi"/>
          <w:szCs w:val="24"/>
          <w:lang w:val="ru-RU"/>
        </w:rPr>
        <w:t xml:space="preserve">распределяются </w:t>
      </w:r>
      <w:r w:rsidR="001C2CB6" w:rsidRPr="00B52645">
        <w:rPr>
          <w:rFonts w:asciiTheme="minorHAnsi" w:hAnsiTheme="minorHAnsi"/>
          <w:szCs w:val="24"/>
          <w:lang w:val="ru-RU"/>
        </w:rPr>
        <w:t>смежным</w:t>
      </w:r>
      <w:r w:rsidR="005E0EA7" w:rsidRPr="00B52645">
        <w:rPr>
          <w:rFonts w:asciiTheme="minorHAnsi" w:hAnsiTheme="minorHAnsi"/>
          <w:szCs w:val="24"/>
          <w:lang w:val="ru-RU"/>
        </w:rPr>
        <w:t xml:space="preserve"> образом, что затрудняет отслеживание связи</w:t>
      </w:r>
      <w:r w:rsidR="001C2CB6" w:rsidRPr="00B52645">
        <w:rPr>
          <w:rFonts w:asciiTheme="minorHAnsi" w:hAnsiTheme="minorHAnsi"/>
          <w:szCs w:val="24"/>
          <w:lang w:val="ru-RU"/>
        </w:rPr>
        <w:t xml:space="preserve"> в случае необходимост</w:t>
      </w:r>
      <w:r w:rsidR="00CF350D" w:rsidRPr="00B52645">
        <w:rPr>
          <w:rFonts w:asciiTheme="minorHAnsi" w:hAnsiTheme="minorHAnsi"/>
          <w:szCs w:val="24"/>
          <w:lang w:val="ru-RU"/>
        </w:rPr>
        <w:t>и в соответствии с национальным законодательством</w:t>
      </w:r>
      <w:r w:rsidR="00B52645" w:rsidRPr="00B52645">
        <w:rPr>
          <w:rFonts w:asciiTheme="minorHAnsi" w:hAnsiTheme="minorHAnsi"/>
          <w:szCs w:val="24"/>
          <w:lang w:val="ru-RU"/>
        </w:rPr>
        <w:t>,</w:t>
      </w:r>
    </w:p>
    <w:p w:rsidR="00E13BB6" w:rsidRPr="00B52645" w:rsidRDefault="00E13BB6" w:rsidP="00E13BB6">
      <w:pPr>
        <w:pStyle w:val="Call"/>
        <w:rPr>
          <w:lang w:val="ru-RU"/>
        </w:rPr>
      </w:pPr>
      <w:r w:rsidRPr="00B52645">
        <w:rPr>
          <w:lang w:val="ru-RU"/>
        </w:rPr>
        <w:t>решает</w:t>
      </w:r>
    </w:p>
    <w:p w:rsidR="00E13BB6" w:rsidRPr="00B52645" w:rsidRDefault="00E13BB6" w:rsidP="009F450C">
      <w:pPr>
        <w:rPr>
          <w:lang w:val="ru-RU"/>
        </w:rPr>
      </w:pPr>
      <w:r w:rsidRPr="00B52645">
        <w:rPr>
          <w:lang w:val="ru-RU"/>
        </w:rPr>
        <w:t>разрешать вопросы</w:t>
      </w:r>
      <w:r w:rsidR="001C2CB6" w:rsidRPr="00B52645">
        <w:rPr>
          <w:lang w:val="ru-RU"/>
        </w:rPr>
        <w:t xml:space="preserve">, содержащиеся в разделе </w:t>
      </w:r>
      <w:r w:rsidR="001C2CB6" w:rsidRPr="00B52645">
        <w:rPr>
          <w:i/>
          <w:iCs/>
          <w:lang w:val="ru-RU"/>
        </w:rPr>
        <w:t>учитывая</w:t>
      </w:r>
      <w:r w:rsidR="001C2CB6" w:rsidRPr="00B52645">
        <w:rPr>
          <w:lang w:val="ru-RU"/>
        </w:rPr>
        <w:t xml:space="preserve"> настоящей Резолюции,</w:t>
      </w:r>
      <w:r w:rsidRPr="00B52645">
        <w:rPr>
          <w:lang w:val="ru-RU"/>
        </w:rPr>
        <w:t xml:space="preserve"> на систематической основе, учитывая их высокую значимость для предоставления услуг на базе ИКТ по сетям электросвязи общего пользования, в свете </w:t>
      </w:r>
      <w:r w:rsidR="009F450C" w:rsidRPr="00B52645">
        <w:rPr>
          <w:lang w:val="ru-RU"/>
        </w:rPr>
        <w:t>роли</w:t>
      </w:r>
      <w:r w:rsidRPr="00B52645">
        <w:rPr>
          <w:lang w:val="ru-RU"/>
        </w:rPr>
        <w:t xml:space="preserve"> МСЭ в "Укреплении доверия и безопасности при использовании ИКТ", выполнение которой является фундаментальной потребностью для формирования информационного общества,</w:t>
      </w:r>
    </w:p>
    <w:p w:rsidR="00E13BB6" w:rsidRPr="00B52645" w:rsidRDefault="001C2CB6" w:rsidP="001C2CB6">
      <w:pPr>
        <w:pStyle w:val="Call"/>
        <w:rPr>
          <w:lang w:val="ru-RU"/>
        </w:rPr>
      </w:pPr>
      <w:r w:rsidRPr="00B52645">
        <w:rPr>
          <w:lang w:val="ru-RU"/>
        </w:rPr>
        <w:t>поручает Директору Бюро стандартизации электросвязи</w:t>
      </w:r>
    </w:p>
    <w:p w:rsidR="00E13BB6" w:rsidRPr="00B52645" w:rsidRDefault="00E13BB6" w:rsidP="001C2CB6">
      <w:pPr>
        <w:rPr>
          <w:lang w:val="ru-RU"/>
        </w:rPr>
      </w:pPr>
      <w:r w:rsidRPr="00B52645">
        <w:rPr>
          <w:lang w:val="ru-RU"/>
        </w:rPr>
        <w:t>1</w:t>
      </w:r>
      <w:r w:rsidRPr="00B52645">
        <w:rPr>
          <w:lang w:val="ru-RU"/>
        </w:rPr>
        <w:tab/>
      </w:r>
      <w:r w:rsidR="001C2CB6" w:rsidRPr="00B52645">
        <w:rPr>
          <w:lang w:val="ru-RU"/>
        </w:rPr>
        <w:t>провести исследование в сотрудничестве с соответствующими организациями</w:t>
      </w:r>
      <w:r w:rsidRPr="00B52645">
        <w:rPr>
          <w:rStyle w:val="FootnoteReference"/>
          <w:lang w:val="ru-RU"/>
        </w:rPr>
        <w:footnoteReference w:customMarkFollows="1" w:id="1"/>
        <w:t>1</w:t>
      </w:r>
      <w:r w:rsidR="001C2CB6" w:rsidRPr="00B52645">
        <w:rPr>
          <w:color w:val="222222"/>
          <w:szCs w:val="24"/>
          <w:lang w:val="ru-RU"/>
        </w:rPr>
        <w:t xml:space="preserve">, </w:t>
      </w:r>
      <w:r w:rsidR="001C2CB6" w:rsidRPr="00B52645">
        <w:rPr>
          <w:lang w:val="ru-RU"/>
        </w:rPr>
        <w:t xml:space="preserve">занимающимися развитием сетей, базирующихся на </w:t>
      </w:r>
      <w:proofErr w:type="spellStart"/>
      <w:r w:rsidR="001C2CB6" w:rsidRPr="00B52645">
        <w:rPr>
          <w:lang w:val="ru-RU"/>
        </w:rPr>
        <w:t>IP</w:t>
      </w:r>
      <w:proofErr w:type="spellEnd"/>
      <w:r w:rsidR="001C2CB6" w:rsidRPr="00B52645">
        <w:rPr>
          <w:lang w:val="ru-RU"/>
        </w:rPr>
        <w:t>, и будущих сетей, направленное на</w:t>
      </w:r>
      <w:r w:rsidRPr="00B52645">
        <w:rPr>
          <w:lang w:val="ru-RU"/>
        </w:rPr>
        <w:t>:</w:t>
      </w:r>
    </w:p>
    <w:p w:rsidR="00E13BB6" w:rsidRPr="00B52645" w:rsidRDefault="00E13BB6" w:rsidP="007C75C1">
      <w:pPr>
        <w:pStyle w:val="enumlev1"/>
        <w:rPr>
          <w:lang w:val="ru-RU"/>
        </w:rPr>
      </w:pPr>
      <w:r w:rsidRPr="00B52645">
        <w:rPr>
          <w:lang w:val="ru-RU"/>
        </w:rPr>
        <w:t>a)</w:t>
      </w:r>
      <w:r w:rsidRPr="00B52645">
        <w:rPr>
          <w:lang w:val="ru-RU"/>
        </w:rPr>
        <w:tab/>
      </w:r>
      <w:r w:rsidR="007C75C1" w:rsidRPr="00B52645">
        <w:rPr>
          <w:lang w:val="ru-RU"/>
        </w:rPr>
        <w:t>изучение вопроса о разработке системы наименования и нумерации, в рамках которой наименование и нумерация различных стран легко различимы</w:t>
      </w:r>
      <w:r w:rsidRPr="00B52645">
        <w:rPr>
          <w:lang w:val="ru-RU"/>
        </w:rPr>
        <w:t>;</w:t>
      </w:r>
    </w:p>
    <w:p w:rsidR="00E13BB6" w:rsidRPr="00B52645" w:rsidRDefault="00E13BB6" w:rsidP="009F450C">
      <w:pPr>
        <w:pStyle w:val="enumlev1"/>
        <w:rPr>
          <w:lang w:val="ru-RU"/>
        </w:rPr>
      </w:pPr>
      <w:r w:rsidRPr="00B52645">
        <w:rPr>
          <w:lang w:val="ru-RU"/>
        </w:rPr>
        <w:t>b)</w:t>
      </w:r>
      <w:r w:rsidRPr="00B52645">
        <w:rPr>
          <w:lang w:val="ru-RU"/>
        </w:rPr>
        <w:tab/>
      </w:r>
      <w:r w:rsidR="007C75C1" w:rsidRPr="00B52645">
        <w:rPr>
          <w:lang w:val="ru-RU"/>
        </w:rPr>
        <w:t xml:space="preserve">разработку </w:t>
      </w:r>
      <w:r w:rsidR="0022511A" w:rsidRPr="00B52645">
        <w:rPr>
          <w:lang w:val="ru-RU"/>
        </w:rPr>
        <w:t xml:space="preserve">принципов распределения и присвоения </w:t>
      </w:r>
      <w:proofErr w:type="spellStart"/>
      <w:r w:rsidR="0022511A" w:rsidRPr="00B52645">
        <w:rPr>
          <w:lang w:val="ru-RU"/>
        </w:rPr>
        <w:t>IP</w:t>
      </w:r>
      <w:proofErr w:type="spellEnd"/>
      <w:r w:rsidR="0022511A" w:rsidRPr="00B52645">
        <w:rPr>
          <w:lang w:val="ru-RU"/>
        </w:rPr>
        <w:noBreakHyphen/>
        <w:t>ресурсов, а также управлен</w:t>
      </w:r>
      <w:r w:rsidR="009F450C" w:rsidRPr="00B52645">
        <w:rPr>
          <w:lang w:val="ru-RU"/>
        </w:rPr>
        <w:t>ия ими, в том числе наименование</w:t>
      </w:r>
      <w:r w:rsidR="0022511A" w:rsidRPr="00B52645">
        <w:rPr>
          <w:lang w:val="ru-RU"/>
        </w:rPr>
        <w:t>, нумераци</w:t>
      </w:r>
      <w:r w:rsidR="009F450C" w:rsidRPr="00B52645">
        <w:rPr>
          <w:lang w:val="ru-RU"/>
        </w:rPr>
        <w:t>ю</w:t>
      </w:r>
      <w:r w:rsidR="0022511A" w:rsidRPr="00B52645">
        <w:rPr>
          <w:lang w:val="ru-RU"/>
        </w:rPr>
        <w:t xml:space="preserve"> и адресаци</w:t>
      </w:r>
      <w:r w:rsidR="009F450C" w:rsidRPr="00B52645">
        <w:rPr>
          <w:lang w:val="ru-RU"/>
        </w:rPr>
        <w:t>ю</w:t>
      </w:r>
      <w:r w:rsidR="0022511A" w:rsidRPr="00B52645">
        <w:rPr>
          <w:lang w:val="ru-RU"/>
        </w:rPr>
        <w:t>, которые осуществляются на систематической основе и на основах равноправия, справедливости, беспристрастности, демократии и прозрачности</w:t>
      </w:r>
      <w:r w:rsidRPr="00B52645">
        <w:rPr>
          <w:lang w:val="ru-RU"/>
        </w:rPr>
        <w:t>;</w:t>
      </w:r>
    </w:p>
    <w:p w:rsidR="0022511A" w:rsidRPr="00B52645" w:rsidRDefault="00E13BB6" w:rsidP="009F450C">
      <w:pPr>
        <w:pStyle w:val="enumlev1"/>
        <w:rPr>
          <w:lang w:val="ru-RU"/>
        </w:rPr>
      </w:pPr>
      <w:r w:rsidRPr="00B52645">
        <w:rPr>
          <w:lang w:val="ru-RU"/>
        </w:rPr>
        <w:t>c)</w:t>
      </w:r>
      <w:r w:rsidRPr="00B52645">
        <w:rPr>
          <w:lang w:val="ru-RU"/>
        </w:rPr>
        <w:tab/>
      </w:r>
      <w:r w:rsidR="0022511A" w:rsidRPr="00B52645">
        <w:rPr>
          <w:lang w:val="ru-RU"/>
        </w:rPr>
        <w:t>выработку рекомендаций относительно</w:t>
      </w:r>
      <w:r w:rsidR="00B303D4" w:rsidRPr="00B52645">
        <w:rPr>
          <w:lang w:val="ru-RU"/>
        </w:rPr>
        <w:t xml:space="preserve"> сетевых</w:t>
      </w:r>
      <w:r w:rsidR="0022511A" w:rsidRPr="00B52645">
        <w:rPr>
          <w:lang w:val="ru-RU"/>
        </w:rPr>
        <w:t xml:space="preserve"> возможностей, позволяющих эффективно обеспечить то, чтобы разрешение адресов в отношении </w:t>
      </w:r>
      <w:r w:rsidR="00B303D4" w:rsidRPr="00B52645">
        <w:rPr>
          <w:lang w:val="ru-RU"/>
        </w:rPr>
        <w:t>исх</w:t>
      </w:r>
      <w:r w:rsidR="0022511A" w:rsidRPr="00B52645">
        <w:rPr>
          <w:lang w:val="ru-RU"/>
        </w:rPr>
        <w:t xml:space="preserve">одящего трафика, </w:t>
      </w:r>
      <w:r w:rsidR="00B303D4" w:rsidRPr="00B52645">
        <w:rPr>
          <w:lang w:val="ru-RU"/>
        </w:rPr>
        <w:t xml:space="preserve">который пользователь планирует сделать </w:t>
      </w:r>
      <w:r w:rsidR="009F450C" w:rsidRPr="00B52645">
        <w:rPr>
          <w:lang w:val="ru-RU"/>
        </w:rPr>
        <w:t>завершающимся</w:t>
      </w:r>
      <w:r w:rsidR="00B303D4" w:rsidRPr="00B52645">
        <w:rPr>
          <w:lang w:val="ru-RU"/>
        </w:rPr>
        <w:t xml:space="preserve"> в той же стране/том же регионе, происходило в пределах этой страны/этого региона;</w:t>
      </w:r>
    </w:p>
    <w:p w:rsidR="00E13BB6" w:rsidRPr="00B52645" w:rsidRDefault="00E13BB6" w:rsidP="009F450C">
      <w:pPr>
        <w:rPr>
          <w:lang w:val="ru-RU"/>
        </w:rPr>
      </w:pPr>
      <w:r w:rsidRPr="00B52645">
        <w:rPr>
          <w:lang w:val="ru-RU"/>
        </w:rPr>
        <w:t>2</w:t>
      </w:r>
      <w:r w:rsidRPr="00B52645">
        <w:rPr>
          <w:lang w:val="ru-RU"/>
        </w:rPr>
        <w:tab/>
      </w:r>
      <w:r w:rsidR="00B303D4" w:rsidRPr="00B52645">
        <w:rPr>
          <w:lang w:val="ru-RU"/>
        </w:rPr>
        <w:t>провести исследование в сотрудничестве с соответствующими организациями</w:t>
      </w:r>
      <w:r w:rsidRPr="00B52645">
        <w:rPr>
          <w:rStyle w:val="FootnoteReference"/>
          <w:lang w:val="ru-RU"/>
        </w:rPr>
        <w:t>1</w:t>
      </w:r>
      <w:r w:rsidR="00B303D4" w:rsidRPr="00B52645">
        <w:rPr>
          <w:lang w:val="ru-RU"/>
        </w:rPr>
        <w:t xml:space="preserve">, занимающимися развитием сетей, базирующихся на </w:t>
      </w:r>
      <w:proofErr w:type="spellStart"/>
      <w:r w:rsidR="00B303D4" w:rsidRPr="00B52645">
        <w:rPr>
          <w:lang w:val="ru-RU"/>
        </w:rPr>
        <w:t>IP</w:t>
      </w:r>
      <w:proofErr w:type="spellEnd"/>
      <w:r w:rsidR="00B303D4" w:rsidRPr="00B52645">
        <w:rPr>
          <w:lang w:val="ru-RU"/>
        </w:rPr>
        <w:t xml:space="preserve">, направленное на выработку рекомендаций относительно системы, эффективно обеспечивающей то, чтобы исходящий трафик, который планируется сделать </w:t>
      </w:r>
      <w:r w:rsidR="009F450C" w:rsidRPr="00B52645">
        <w:rPr>
          <w:lang w:val="ru-RU"/>
        </w:rPr>
        <w:t>завершающимся</w:t>
      </w:r>
      <w:r w:rsidR="00B303D4" w:rsidRPr="00B52645">
        <w:rPr>
          <w:lang w:val="ru-RU"/>
        </w:rPr>
        <w:t xml:space="preserve"> в той же стране, </w:t>
      </w:r>
      <w:r w:rsidR="002E07D0" w:rsidRPr="00B52645">
        <w:rPr>
          <w:lang w:val="ru-RU"/>
        </w:rPr>
        <w:t>оставался</w:t>
      </w:r>
      <w:r w:rsidR="00B303D4" w:rsidRPr="00B52645">
        <w:rPr>
          <w:lang w:val="ru-RU"/>
        </w:rPr>
        <w:t xml:space="preserve"> в пределах этой страны</w:t>
      </w:r>
      <w:r w:rsidRPr="00B52645">
        <w:rPr>
          <w:lang w:val="ru-RU"/>
        </w:rPr>
        <w:t>;</w:t>
      </w:r>
    </w:p>
    <w:p w:rsidR="00E13BB6" w:rsidRPr="00B52645" w:rsidRDefault="00E13BB6" w:rsidP="000B57FE">
      <w:pPr>
        <w:rPr>
          <w:lang w:val="ru-RU"/>
        </w:rPr>
      </w:pPr>
      <w:r w:rsidRPr="00B52645">
        <w:rPr>
          <w:lang w:val="ru-RU"/>
        </w:rPr>
        <w:t>3</w:t>
      </w:r>
      <w:r w:rsidRPr="00B52645">
        <w:rPr>
          <w:lang w:val="ru-RU"/>
        </w:rPr>
        <w:tab/>
      </w:r>
      <w:r w:rsidR="000B57FE" w:rsidRPr="00B52645">
        <w:rPr>
          <w:lang w:val="ru-RU"/>
        </w:rPr>
        <w:t>провести исследование в сотрудничестве с соответствующими организациями</w:t>
      </w:r>
      <w:r w:rsidR="000B57FE" w:rsidRPr="00B52645">
        <w:rPr>
          <w:rStyle w:val="FootnoteReference"/>
          <w:lang w:val="ru-RU"/>
        </w:rPr>
        <w:t>1</w:t>
      </w:r>
      <w:r w:rsidR="000B57FE" w:rsidRPr="00B52645">
        <w:rPr>
          <w:lang w:val="ru-RU"/>
        </w:rPr>
        <w:t xml:space="preserve">, занимающимися развитием сетей, базирующихся на </w:t>
      </w:r>
      <w:proofErr w:type="spellStart"/>
      <w:r w:rsidR="000B57FE" w:rsidRPr="00B52645">
        <w:rPr>
          <w:lang w:val="ru-RU"/>
        </w:rPr>
        <w:t>IP</w:t>
      </w:r>
      <w:proofErr w:type="spellEnd"/>
      <w:r w:rsidR="000B57FE" w:rsidRPr="00B52645">
        <w:rPr>
          <w:lang w:val="ru-RU"/>
        </w:rPr>
        <w:t>, направленное на выработку рекомендаций относительно эффективных способов ведения достоверных записей о транзакциях через сеть</w:t>
      </w:r>
      <w:r w:rsidRPr="00B52645">
        <w:rPr>
          <w:lang w:val="ru-RU"/>
        </w:rPr>
        <w:t>;</w:t>
      </w:r>
    </w:p>
    <w:p w:rsidR="00E13BB6" w:rsidRPr="00B52645" w:rsidRDefault="00E13BB6" w:rsidP="000B57FE">
      <w:pPr>
        <w:rPr>
          <w:lang w:val="ru-RU"/>
        </w:rPr>
      </w:pPr>
      <w:r w:rsidRPr="00B52645">
        <w:rPr>
          <w:lang w:val="ru-RU"/>
        </w:rPr>
        <w:t>4</w:t>
      </w:r>
      <w:r w:rsidRPr="00B52645">
        <w:rPr>
          <w:lang w:val="ru-RU"/>
        </w:rPr>
        <w:tab/>
      </w:r>
      <w:r w:rsidR="000B57FE" w:rsidRPr="00B52645">
        <w:rPr>
          <w:lang w:val="ru-RU"/>
        </w:rPr>
        <w:t xml:space="preserve">провести исследование в сотрудничестве со всеми соответствующими заинтересованными сторонами, направленное на то, чтобы изучить слабые места современных протоколов, используемых в сетях электросвязи, и разработать и рекомендовать надежные, устойчивые и защищенные от несанкционированного вскрытия протоколы в целях удовлетворения требований к будущим сетям в свете ожидаемого в ближайшем будущем многократного роста трафика и числа оконечных устройств, а также с учетом потребностей </w:t>
      </w:r>
      <w:proofErr w:type="spellStart"/>
      <w:r w:rsidR="000B57FE" w:rsidRPr="00B52645">
        <w:rPr>
          <w:lang w:val="ru-RU"/>
        </w:rPr>
        <w:t>IoT</w:t>
      </w:r>
      <w:proofErr w:type="spellEnd"/>
      <w:r w:rsidR="000B57FE" w:rsidRPr="00B52645">
        <w:rPr>
          <w:lang w:val="ru-RU"/>
        </w:rPr>
        <w:t xml:space="preserve"> и M2M</w:t>
      </w:r>
      <w:r w:rsidRPr="00B52645">
        <w:rPr>
          <w:lang w:val="ru-RU"/>
        </w:rPr>
        <w:t>,</w:t>
      </w:r>
    </w:p>
    <w:p w:rsidR="00E13BB6" w:rsidRPr="00B52645" w:rsidRDefault="004146F0" w:rsidP="00E13BB6">
      <w:pPr>
        <w:pStyle w:val="Call"/>
        <w:rPr>
          <w:lang w:val="ru-RU"/>
        </w:rPr>
      </w:pPr>
      <w:r w:rsidRPr="00B52645">
        <w:rPr>
          <w:lang w:val="ru-RU"/>
        </w:rPr>
        <w:lastRenderedPageBreak/>
        <w:t>предлагает Государствам-Членам и Членам Секторов</w:t>
      </w:r>
    </w:p>
    <w:p w:rsidR="00E13BB6" w:rsidRPr="00B52645" w:rsidRDefault="004146F0" w:rsidP="009F450C">
      <w:pPr>
        <w:rPr>
          <w:lang w:val="ru-RU"/>
        </w:rPr>
      </w:pPr>
      <w:r w:rsidRPr="00B52645">
        <w:rPr>
          <w:lang w:val="ru-RU"/>
        </w:rPr>
        <w:t xml:space="preserve">принимать активное участие в </w:t>
      </w:r>
      <w:r w:rsidR="009F450C" w:rsidRPr="00B52645">
        <w:rPr>
          <w:lang w:val="ru-RU"/>
        </w:rPr>
        <w:t>обсуждениях</w:t>
      </w:r>
      <w:r w:rsidRPr="00B52645">
        <w:rPr>
          <w:lang w:val="ru-RU"/>
        </w:rPr>
        <w:t xml:space="preserve"> по этим вопрос</w:t>
      </w:r>
      <w:r w:rsidR="008E48DD" w:rsidRPr="00B52645">
        <w:rPr>
          <w:lang w:val="ru-RU"/>
        </w:rPr>
        <w:t>ам</w:t>
      </w:r>
      <w:r w:rsidRPr="00B52645">
        <w:rPr>
          <w:lang w:val="ru-RU"/>
        </w:rPr>
        <w:t xml:space="preserve"> </w:t>
      </w:r>
      <w:r w:rsidR="008E48DD" w:rsidRPr="00B52645">
        <w:rPr>
          <w:lang w:val="ru-RU"/>
        </w:rPr>
        <w:t xml:space="preserve">и </w:t>
      </w:r>
      <w:r w:rsidR="009F450C" w:rsidRPr="00B52645">
        <w:rPr>
          <w:lang w:val="ru-RU"/>
        </w:rPr>
        <w:t>представлять свои</w:t>
      </w:r>
      <w:r w:rsidR="008E48DD" w:rsidRPr="00B52645">
        <w:rPr>
          <w:lang w:val="ru-RU"/>
        </w:rPr>
        <w:t xml:space="preserve"> вклад</w:t>
      </w:r>
      <w:r w:rsidR="009F450C" w:rsidRPr="00B52645">
        <w:rPr>
          <w:lang w:val="ru-RU"/>
        </w:rPr>
        <w:t>ы</w:t>
      </w:r>
      <w:r w:rsidR="00E13BB6" w:rsidRPr="00B52645">
        <w:rPr>
          <w:lang w:val="ru-RU"/>
        </w:rPr>
        <w:t>.</w:t>
      </w:r>
    </w:p>
    <w:p w:rsidR="009F450C" w:rsidRPr="00B52645" w:rsidRDefault="009F450C" w:rsidP="0032202E">
      <w:pPr>
        <w:pStyle w:val="Reasons"/>
        <w:rPr>
          <w:lang w:val="ru-RU"/>
        </w:rPr>
      </w:pPr>
    </w:p>
    <w:p w:rsidR="009F450C" w:rsidRPr="00B52645" w:rsidRDefault="009F450C">
      <w:pPr>
        <w:jc w:val="center"/>
        <w:rPr>
          <w:lang w:val="ru-RU"/>
        </w:rPr>
      </w:pPr>
      <w:r w:rsidRPr="00B52645">
        <w:rPr>
          <w:lang w:val="ru-RU"/>
        </w:rPr>
        <w:t>______________</w:t>
      </w:r>
    </w:p>
    <w:sectPr w:rsidR="009F450C" w:rsidRPr="00B52645" w:rsidSect="0002174D">
      <w:headerReference w:type="default" r:id="rId11"/>
      <w:footerReference w:type="default" r:id="rId12"/>
      <w:footerReference w:type="first" r:id="rId13"/>
      <w:pgSz w:w="11913" w:h="16834" w:code="9"/>
      <w:pgMar w:top="1418" w:right="1134" w:bottom="1418" w:left="1134" w:header="720" w:footer="720" w:gutter="0"/>
      <w:paperSrc w:first="4" w:other="4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0">
      <wne:macro wne:macroName="TEMPLATEPROJECT.MACROS.POOLPVSTYLES"/>
    </wne:keymap>
    <wne:keymap wne:kcmPrimary="0352">
      <wne:macro wne:macroName="TEMPLATEPROJECT.MACROS.POOLSETREASONS"/>
    </wne:keymap>
    <wne:keymap wne:kcmPrimary="0353">
      <wne:acd wne:acdName="acd2"/>
    </wne:keymap>
  </wne:keymaps>
  <wne:toolbars>
    <wne:acdManifest>
      <wne:acdEntry wne:acdName="acd0"/>
      <wne:acdEntry wne:acdName="acd1"/>
      <wne:acdEntry wne:acdName="acd2"/>
    </wne:acdManifest>
    <wne:toolbarData r:id="rId1"/>
  </wne:toolbars>
  <wne:acds>
    <wne:acd wne:acdName="acd0" wne:fciIndexBasedOn="0065"/>
    <wne:acd wne:acdName="acd1" wne:fciIndexBasedOn="0065"/>
    <wne:acd wne:argValue="AgBOAG8AcgBtAGEAbAAgAHAAdgA=" wne:acdName="acd2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5198" w:rsidRDefault="00475198" w:rsidP="0079159C">
      <w:r>
        <w:separator/>
      </w:r>
    </w:p>
    <w:p w:rsidR="00475198" w:rsidRDefault="00475198" w:rsidP="0079159C"/>
    <w:p w:rsidR="00475198" w:rsidRDefault="00475198" w:rsidP="0079159C"/>
    <w:p w:rsidR="00475198" w:rsidRDefault="00475198" w:rsidP="0079159C"/>
    <w:p w:rsidR="00475198" w:rsidRDefault="00475198" w:rsidP="0079159C"/>
    <w:p w:rsidR="00475198" w:rsidRDefault="00475198" w:rsidP="0079159C"/>
    <w:p w:rsidR="00475198" w:rsidRDefault="00475198" w:rsidP="0079159C"/>
    <w:p w:rsidR="00475198" w:rsidRDefault="00475198" w:rsidP="0079159C"/>
    <w:p w:rsidR="00475198" w:rsidRDefault="00475198" w:rsidP="0079159C"/>
    <w:p w:rsidR="00475198" w:rsidRDefault="00475198" w:rsidP="0079159C"/>
    <w:p w:rsidR="00475198" w:rsidRDefault="00475198" w:rsidP="0079159C"/>
    <w:p w:rsidR="00475198" w:rsidRDefault="00475198" w:rsidP="0079159C"/>
    <w:p w:rsidR="00475198" w:rsidRDefault="00475198" w:rsidP="0079159C"/>
    <w:p w:rsidR="00475198" w:rsidRDefault="00475198" w:rsidP="0079159C"/>
    <w:p w:rsidR="00475198" w:rsidRDefault="00475198" w:rsidP="004B3A6C"/>
    <w:p w:rsidR="00475198" w:rsidRDefault="00475198" w:rsidP="004B3A6C"/>
  </w:endnote>
  <w:endnote w:type="continuationSeparator" w:id="0">
    <w:p w:rsidR="00475198" w:rsidRDefault="00475198" w:rsidP="0079159C">
      <w:r>
        <w:continuationSeparator/>
      </w:r>
    </w:p>
    <w:p w:rsidR="00475198" w:rsidRDefault="00475198" w:rsidP="0079159C"/>
    <w:p w:rsidR="00475198" w:rsidRDefault="00475198" w:rsidP="0079159C"/>
    <w:p w:rsidR="00475198" w:rsidRDefault="00475198" w:rsidP="0079159C"/>
    <w:p w:rsidR="00475198" w:rsidRDefault="00475198" w:rsidP="0079159C"/>
    <w:p w:rsidR="00475198" w:rsidRDefault="00475198" w:rsidP="0079159C"/>
    <w:p w:rsidR="00475198" w:rsidRDefault="00475198" w:rsidP="0079159C"/>
    <w:p w:rsidR="00475198" w:rsidRDefault="00475198" w:rsidP="0079159C"/>
    <w:p w:rsidR="00475198" w:rsidRDefault="00475198" w:rsidP="0079159C"/>
    <w:p w:rsidR="00475198" w:rsidRDefault="00475198" w:rsidP="0079159C"/>
    <w:p w:rsidR="00475198" w:rsidRDefault="00475198" w:rsidP="0079159C"/>
    <w:p w:rsidR="00475198" w:rsidRDefault="00475198" w:rsidP="0079159C"/>
    <w:p w:rsidR="00475198" w:rsidRDefault="00475198" w:rsidP="0079159C"/>
    <w:p w:rsidR="00475198" w:rsidRDefault="00475198" w:rsidP="0079159C"/>
    <w:p w:rsidR="00475198" w:rsidRDefault="00475198" w:rsidP="004B3A6C"/>
    <w:p w:rsidR="00475198" w:rsidRDefault="00475198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198" w:rsidRPr="009F450C" w:rsidRDefault="009F450C" w:rsidP="009F450C">
    <w:pPr>
      <w:pStyle w:val="Footer"/>
      <w:tabs>
        <w:tab w:val="clear" w:pos="5954"/>
        <w:tab w:val="clear" w:pos="9639"/>
        <w:tab w:val="left" w:pos="5387"/>
        <w:tab w:val="right" w:pos="9498"/>
      </w:tabs>
      <w:rPr>
        <w:lang w:val="en-US"/>
      </w:rPr>
    </w:pPr>
    <w:fldSimple w:instr=" FILENAME \p  \* MERGEFORMAT ">
      <w:r w:rsidR="00791C22" w:rsidRPr="00791C22">
        <w:rPr>
          <w:lang w:val="en-US"/>
        </w:rPr>
        <w:t>P:\RUS</w:t>
      </w:r>
      <w:r w:rsidR="00791C22">
        <w:t>\SG\CONF-SG\PP14\000\098REV1R.docx</w:t>
      </w:r>
    </w:fldSimple>
    <w:r>
      <w:t xml:space="preserve"> (372062)</w:t>
    </w:r>
    <w:r w:rsidRPr="001636BD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91C22">
      <w:t>03.11.14</w:t>
    </w:r>
    <w:r>
      <w:fldChar w:fldCharType="end"/>
    </w:r>
    <w:r w:rsidRPr="001636BD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91C22">
      <w:t>00.00.00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198" w:rsidRDefault="00475198" w:rsidP="00D37469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475198" w:rsidRDefault="00475198" w:rsidP="001636BD">
    <w:pPr>
      <w:pStyle w:val="Footer"/>
    </w:pPr>
  </w:p>
  <w:p w:rsidR="00475198" w:rsidRPr="001636BD" w:rsidRDefault="00CC1BB9" w:rsidP="00F11CAD">
    <w:pPr>
      <w:pStyle w:val="Footer"/>
      <w:tabs>
        <w:tab w:val="clear" w:pos="5954"/>
        <w:tab w:val="clear" w:pos="9639"/>
        <w:tab w:val="left" w:pos="5387"/>
        <w:tab w:val="right" w:pos="9498"/>
      </w:tabs>
      <w:rPr>
        <w:lang w:val="en-US"/>
      </w:rPr>
    </w:pPr>
    <w:fldSimple w:instr=" FILENAME \p  \* MERGEFORMAT ">
      <w:r w:rsidR="00791C22" w:rsidRPr="00791C22">
        <w:rPr>
          <w:lang w:val="en-US"/>
        </w:rPr>
        <w:t>P:\RUS</w:t>
      </w:r>
      <w:r w:rsidR="00791C22">
        <w:t>\SG\CONF-SG\PP14\000\098REV1R.docx</w:t>
      </w:r>
    </w:fldSimple>
    <w:r w:rsidR="00475198">
      <w:t xml:space="preserve"> (</w:t>
    </w:r>
    <w:r w:rsidR="00F11CAD">
      <w:t>372062</w:t>
    </w:r>
    <w:r w:rsidR="00475198">
      <w:t>)</w:t>
    </w:r>
    <w:r w:rsidR="00475198" w:rsidRPr="001636BD">
      <w:rPr>
        <w:lang w:val="en-US"/>
      </w:rPr>
      <w:tab/>
    </w:r>
    <w:r w:rsidR="00475198">
      <w:fldChar w:fldCharType="begin"/>
    </w:r>
    <w:r w:rsidR="00475198">
      <w:instrText xml:space="preserve"> SAVEDATE \@ DD.MM.YY </w:instrText>
    </w:r>
    <w:r w:rsidR="00475198">
      <w:fldChar w:fldCharType="separate"/>
    </w:r>
    <w:r w:rsidR="00791C22">
      <w:t>03.11.14</w:t>
    </w:r>
    <w:r w:rsidR="00475198">
      <w:fldChar w:fldCharType="end"/>
    </w:r>
    <w:r w:rsidR="00475198" w:rsidRPr="001636BD">
      <w:rPr>
        <w:lang w:val="en-US"/>
      </w:rPr>
      <w:tab/>
    </w:r>
    <w:r w:rsidR="00475198">
      <w:fldChar w:fldCharType="begin"/>
    </w:r>
    <w:r w:rsidR="00475198">
      <w:instrText xml:space="preserve"> PRINTDATE \@ DD.MM.YY </w:instrText>
    </w:r>
    <w:r w:rsidR="00475198">
      <w:fldChar w:fldCharType="separate"/>
    </w:r>
    <w:r w:rsidR="00791C22">
      <w:t>00.00.00</w:t>
    </w:r>
    <w:r w:rsidR="00475198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5198" w:rsidRDefault="00475198" w:rsidP="0079159C">
      <w:r>
        <w:t>____________________</w:t>
      </w:r>
    </w:p>
  </w:footnote>
  <w:footnote w:type="continuationSeparator" w:id="0">
    <w:p w:rsidR="00475198" w:rsidRDefault="00475198" w:rsidP="0079159C">
      <w:r>
        <w:continuationSeparator/>
      </w:r>
    </w:p>
    <w:p w:rsidR="00475198" w:rsidRDefault="00475198" w:rsidP="0079159C"/>
    <w:p w:rsidR="00475198" w:rsidRDefault="00475198" w:rsidP="0079159C"/>
    <w:p w:rsidR="00475198" w:rsidRDefault="00475198" w:rsidP="0079159C"/>
    <w:p w:rsidR="00475198" w:rsidRDefault="00475198" w:rsidP="0079159C"/>
    <w:p w:rsidR="00475198" w:rsidRDefault="00475198" w:rsidP="0079159C"/>
    <w:p w:rsidR="00475198" w:rsidRDefault="00475198" w:rsidP="0079159C"/>
    <w:p w:rsidR="00475198" w:rsidRDefault="00475198" w:rsidP="0079159C"/>
    <w:p w:rsidR="00475198" w:rsidRDefault="00475198" w:rsidP="0079159C"/>
    <w:p w:rsidR="00475198" w:rsidRDefault="00475198" w:rsidP="0079159C"/>
    <w:p w:rsidR="00475198" w:rsidRDefault="00475198" w:rsidP="0079159C"/>
    <w:p w:rsidR="00475198" w:rsidRDefault="00475198" w:rsidP="0079159C"/>
    <w:p w:rsidR="00475198" w:rsidRDefault="00475198" w:rsidP="0079159C"/>
    <w:p w:rsidR="00475198" w:rsidRDefault="00475198" w:rsidP="0079159C"/>
    <w:p w:rsidR="00475198" w:rsidRDefault="00475198" w:rsidP="004B3A6C"/>
    <w:p w:rsidR="00475198" w:rsidRDefault="00475198" w:rsidP="004B3A6C"/>
  </w:footnote>
  <w:footnote w:id="1">
    <w:p w:rsidR="00E13BB6" w:rsidRPr="00B52645" w:rsidRDefault="00E13BB6" w:rsidP="00E13BB6">
      <w:pPr>
        <w:pStyle w:val="FootnoteText"/>
        <w:rPr>
          <w:lang w:val="ru-RU"/>
        </w:rPr>
      </w:pPr>
      <w:r w:rsidRPr="00B52645">
        <w:rPr>
          <w:rStyle w:val="FootnoteReference"/>
          <w:lang w:val="ru-RU"/>
        </w:rPr>
        <w:t>1</w:t>
      </w:r>
      <w:r w:rsidRPr="00B52645">
        <w:rPr>
          <w:rStyle w:val="FootnoteReference"/>
          <w:lang w:val="ru-RU"/>
        </w:rPr>
        <w:tab/>
      </w:r>
      <w:r w:rsidRPr="00B52645">
        <w:rPr>
          <w:lang w:val="ru-RU"/>
        </w:rPr>
        <w:t>Включая, в том числе, Корпорацию Интернет по присваиванию наименований и номеров (</w:t>
      </w:r>
      <w:proofErr w:type="spellStart"/>
      <w:r w:rsidRPr="009F450C">
        <w:t>ICANN</w:t>
      </w:r>
      <w:proofErr w:type="spellEnd"/>
      <w:r w:rsidRPr="00B52645">
        <w:rPr>
          <w:lang w:val="ru-RU"/>
        </w:rPr>
        <w:t>), региональные регистрационные центры интернета (</w:t>
      </w:r>
      <w:proofErr w:type="spellStart"/>
      <w:r w:rsidRPr="009F450C">
        <w:t>RIR</w:t>
      </w:r>
      <w:proofErr w:type="spellEnd"/>
      <w:r w:rsidRPr="00B52645">
        <w:rPr>
          <w:lang w:val="ru-RU"/>
        </w:rPr>
        <w:t>), Целевую группу по инженерным проблемам интернета (</w:t>
      </w:r>
      <w:proofErr w:type="spellStart"/>
      <w:r w:rsidRPr="009F450C">
        <w:t>IETF</w:t>
      </w:r>
      <w:proofErr w:type="spellEnd"/>
      <w:r w:rsidRPr="00B52645">
        <w:rPr>
          <w:lang w:val="ru-RU"/>
        </w:rPr>
        <w:t>), Общество интернета (</w:t>
      </w:r>
      <w:proofErr w:type="spellStart"/>
      <w:r w:rsidRPr="009F450C">
        <w:t>ISOC</w:t>
      </w:r>
      <w:proofErr w:type="spellEnd"/>
      <w:r w:rsidRPr="00B52645">
        <w:rPr>
          <w:lang w:val="ru-RU"/>
        </w:rPr>
        <w:t>) и Консорциум всемирной паутины (</w:t>
      </w:r>
      <w:r w:rsidRPr="009F450C">
        <w:t>W</w:t>
      </w:r>
      <w:r w:rsidRPr="00B52645">
        <w:rPr>
          <w:lang w:val="ru-RU"/>
        </w:rPr>
        <w:t>3</w:t>
      </w:r>
      <w:r w:rsidRPr="009F450C">
        <w:t>C</w:t>
      </w:r>
      <w:r w:rsidRPr="00B52645">
        <w:rPr>
          <w:lang w:val="ru-RU"/>
        </w:rPr>
        <w:t>) на основе взаимности.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198" w:rsidRPr="00434A7C" w:rsidRDefault="00475198" w:rsidP="00F96AB4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791C22">
      <w:rPr>
        <w:noProof/>
      </w:rPr>
      <w:t>4</w:t>
    </w:r>
    <w:r>
      <w:fldChar w:fldCharType="end"/>
    </w:r>
  </w:p>
  <w:p w:rsidR="00475198" w:rsidRPr="00F96AB4" w:rsidRDefault="00475198" w:rsidP="00F96AB4">
    <w:pPr>
      <w:pStyle w:val="Header"/>
    </w:pPr>
    <w:r>
      <w:t>PP14/98</w:t>
    </w:r>
    <w:r w:rsidR="00F11CAD">
      <w:t>(Rev.1)</w:t>
    </w:r>
    <w:r>
      <w:t>-</w:t>
    </w:r>
    <w:r w:rsidRPr="00010B43">
      <w:t>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C7A"/>
    <w:rsid w:val="00014808"/>
    <w:rsid w:val="00016EB5"/>
    <w:rsid w:val="0002174D"/>
    <w:rsid w:val="000270F5"/>
    <w:rsid w:val="00027300"/>
    <w:rsid w:val="0003029E"/>
    <w:rsid w:val="000626B1"/>
    <w:rsid w:val="00063CA3"/>
    <w:rsid w:val="00065F00"/>
    <w:rsid w:val="00066DE8"/>
    <w:rsid w:val="00071D10"/>
    <w:rsid w:val="00074FE4"/>
    <w:rsid w:val="0009045C"/>
    <w:rsid w:val="000968F5"/>
    <w:rsid w:val="000A68C5"/>
    <w:rsid w:val="000B062A"/>
    <w:rsid w:val="000B3566"/>
    <w:rsid w:val="000B57FE"/>
    <w:rsid w:val="000B751C"/>
    <w:rsid w:val="000B7FC3"/>
    <w:rsid w:val="000C4701"/>
    <w:rsid w:val="000C5120"/>
    <w:rsid w:val="000C64BC"/>
    <w:rsid w:val="000C68CB"/>
    <w:rsid w:val="000C72BD"/>
    <w:rsid w:val="000E3AAE"/>
    <w:rsid w:val="000E4C7A"/>
    <w:rsid w:val="000E63E8"/>
    <w:rsid w:val="00100DF6"/>
    <w:rsid w:val="00120697"/>
    <w:rsid w:val="00130C1F"/>
    <w:rsid w:val="00142ED7"/>
    <w:rsid w:val="0014768F"/>
    <w:rsid w:val="001636BD"/>
    <w:rsid w:val="00170AC3"/>
    <w:rsid w:val="00171990"/>
    <w:rsid w:val="00171E2E"/>
    <w:rsid w:val="00184CBC"/>
    <w:rsid w:val="00187738"/>
    <w:rsid w:val="001A0EEB"/>
    <w:rsid w:val="001B2BFF"/>
    <w:rsid w:val="001B5341"/>
    <w:rsid w:val="001B5FBF"/>
    <w:rsid w:val="001C2CB6"/>
    <w:rsid w:val="001E1651"/>
    <w:rsid w:val="001E1A70"/>
    <w:rsid w:val="001F4B5A"/>
    <w:rsid w:val="00200992"/>
    <w:rsid w:val="00202880"/>
    <w:rsid w:val="0020313F"/>
    <w:rsid w:val="002173B8"/>
    <w:rsid w:val="00221222"/>
    <w:rsid w:val="0022511A"/>
    <w:rsid w:val="00232D57"/>
    <w:rsid w:val="002356E7"/>
    <w:rsid w:val="0024335B"/>
    <w:rsid w:val="002578B4"/>
    <w:rsid w:val="002646E8"/>
    <w:rsid w:val="00273A0B"/>
    <w:rsid w:val="00277F85"/>
    <w:rsid w:val="00297915"/>
    <w:rsid w:val="002A409A"/>
    <w:rsid w:val="002A5402"/>
    <w:rsid w:val="002B033B"/>
    <w:rsid w:val="002B3E8A"/>
    <w:rsid w:val="002C5477"/>
    <w:rsid w:val="002C78FF"/>
    <w:rsid w:val="002D0055"/>
    <w:rsid w:val="002E07D0"/>
    <w:rsid w:val="003429D1"/>
    <w:rsid w:val="00375BBA"/>
    <w:rsid w:val="00395CE4"/>
    <w:rsid w:val="003C1FFD"/>
    <w:rsid w:val="003D274D"/>
    <w:rsid w:val="003E7EAA"/>
    <w:rsid w:val="003F361D"/>
    <w:rsid w:val="004014B0"/>
    <w:rsid w:val="004146F0"/>
    <w:rsid w:val="00426AC1"/>
    <w:rsid w:val="00455F82"/>
    <w:rsid w:val="00456A7F"/>
    <w:rsid w:val="0046200E"/>
    <w:rsid w:val="004676C0"/>
    <w:rsid w:val="00471ABB"/>
    <w:rsid w:val="00475198"/>
    <w:rsid w:val="00481DCA"/>
    <w:rsid w:val="00486CCD"/>
    <w:rsid w:val="0049530F"/>
    <w:rsid w:val="004B03E9"/>
    <w:rsid w:val="004B3A6C"/>
    <w:rsid w:val="004C029D"/>
    <w:rsid w:val="004C79E4"/>
    <w:rsid w:val="004C7AD0"/>
    <w:rsid w:val="004D533D"/>
    <w:rsid w:val="004F2EB5"/>
    <w:rsid w:val="00507F4C"/>
    <w:rsid w:val="0052010F"/>
    <w:rsid w:val="005249EC"/>
    <w:rsid w:val="005356FD"/>
    <w:rsid w:val="00541762"/>
    <w:rsid w:val="0055455D"/>
    <w:rsid w:val="00554E24"/>
    <w:rsid w:val="00563711"/>
    <w:rsid w:val="005653D6"/>
    <w:rsid w:val="00567130"/>
    <w:rsid w:val="00584918"/>
    <w:rsid w:val="005925E7"/>
    <w:rsid w:val="005A1914"/>
    <w:rsid w:val="005B3229"/>
    <w:rsid w:val="005C2192"/>
    <w:rsid w:val="005C2DFD"/>
    <w:rsid w:val="005C3DE4"/>
    <w:rsid w:val="005C67E8"/>
    <w:rsid w:val="005C73AC"/>
    <w:rsid w:val="005D0C15"/>
    <w:rsid w:val="005E0EA7"/>
    <w:rsid w:val="005F526C"/>
    <w:rsid w:val="00600272"/>
    <w:rsid w:val="006104EA"/>
    <w:rsid w:val="0061434A"/>
    <w:rsid w:val="006171D6"/>
    <w:rsid w:val="00617BE4"/>
    <w:rsid w:val="00627A76"/>
    <w:rsid w:val="006418E6"/>
    <w:rsid w:val="00657ECE"/>
    <w:rsid w:val="00662F82"/>
    <w:rsid w:val="00665A8D"/>
    <w:rsid w:val="0067722F"/>
    <w:rsid w:val="006B7F84"/>
    <w:rsid w:val="006C1A71"/>
    <w:rsid w:val="006C1FAB"/>
    <w:rsid w:val="006C567D"/>
    <w:rsid w:val="006E57C8"/>
    <w:rsid w:val="00706CC2"/>
    <w:rsid w:val="00710760"/>
    <w:rsid w:val="0073319E"/>
    <w:rsid w:val="007340B5"/>
    <w:rsid w:val="00750829"/>
    <w:rsid w:val="00753F2E"/>
    <w:rsid w:val="00760830"/>
    <w:rsid w:val="00764D0B"/>
    <w:rsid w:val="00781363"/>
    <w:rsid w:val="0079159C"/>
    <w:rsid w:val="007919C2"/>
    <w:rsid w:val="00791C22"/>
    <w:rsid w:val="007C50AF"/>
    <w:rsid w:val="007C75C1"/>
    <w:rsid w:val="007C78B5"/>
    <w:rsid w:val="007E4D0F"/>
    <w:rsid w:val="008034F1"/>
    <w:rsid w:val="008102A6"/>
    <w:rsid w:val="00815350"/>
    <w:rsid w:val="00821655"/>
    <w:rsid w:val="00826A7C"/>
    <w:rsid w:val="00842BD1"/>
    <w:rsid w:val="00850AEF"/>
    <w:rsid w:val="00870059"/>
    <w:rsid w:val="00872DD7"/>
    <w:rsid w:val="008A2FB3"/>
    <w:rsid w:val="008A529E"/>
    <w:rsid w:val="008D2EB4"/>
    <w:rsid w:val="008D3134"/>
    <w:rsid w:val="008D3BE2"/>
    <w:rsid w:val="008E48DD"/>
    <w:rsid w:val="008E4E47"/>
    <w:rsid w:val="009125CE"/>
    <w:rsid w:val="0093377B"/>
    <w:rsid w:val="00934241"/>
    <w:rsid w:val="009357C1"/>
    <w:rsid w:val="00950E0F"/>
    <w:rsid w:val="00962CCF"/>
    <w:rsid w:val="0097690C"/>
    <w:rsid w:val="00985507"/>
    <w:rsid w:val="00996435"/>
    <w:rsid w:val="009A47A2"/>
    <w:rsid w:val="009A6D9A"/>
    <w:rsid w:val="009C0E1A"/>
    <w:rsid w:val="009E1728"/>
    <w:rsid w:val="009E4F4B"/>
    <w:rsid w:val="009F0BA9"/>
    <w:rsid w:val="009F450C"/>
    <w:rsid w:val="00A16087"/>
    <w:rsid w:val="00A232E9"/>
    <w:rsid w:val="00A3200E"/>
    <w:rsid w:val="00A54F56"/>
    <w:rsid w:val="00A56181"/>
    <w:rsid w:val="00A6719B"/>
    <w:rsid w:val="00A75EAA"/>
    <w:rsid w:val="00AC20C0"/>
    <w:rsid w:val="00AD6841"/>
    <w:rsid w:val="00AE0166"/>
    <w:rsid w:val="00B0005F"/>
    <w:rsid w:val="00B14377"/>
    <w:rsid w:val="00B1733E"/>
    <w:rsid w:val="00B24FBA"/>
    <w:rsid w:val="00B303D4"/>
    <w:rsid w:val="00B4268E"/>
    <w:rsid w:val="00B45785"/>
    <w:rsid w:val="00B51471"/>
    <w:rsid w:val="00B5262D"/>
    <w:rsid w:val="00B52645"/>
    <w:rsid w:val="00B62568"/>
    <w:rsid w:val="00B779C4"/>
    <w:rsid w:val="00BA154E"/>
    <w:rsid w:val="00BD5C5C"/>
    <w:rsid w:val="00BF252A"/>
    <w:rsid w:val="00BF720B"/>
    <w:rsid w:val="00C04511"/>
    <w:rsid w:val="00C1004D"/>
    <w:rsid w:val="00C16846"/>
    <w:rsid w:val="00C40979"/>
    <w:rsid w:val="00C46ECA"/>
    <w:rsid w:val="00C62242"/>
    <w:rsid w:val="00C6326D"/>
    <w:rsid w:val="00C64E78"/>
    <w:rsid w:val="00CA38C9"/>
    <w:rsid w:val="00CC1BB9"/>
    <w:rsid w:val="00CC6362"/>
    <w:rsid w:val="00CD163A"/>
    <w:rsid w:val="00CE40BB"/>
    <w:rsid w:val="00CF350D"/>
    <w:rsid w:val="00D21CC6"/>
    <w:rsid w:val="00D37275"/>
    <w:rsid w:val="00D37469"/>
    <w:rsid w:val="00D50E12"/>
    <w:rsid w:val="00D54942"/>
    <w:rsid w:val="00D55DD9"/>
    <w:rsid w:val="00D57F41"/>
    <w:rsid w:val="00D94081"/>
    <w:rsid w:val="00D955EF"/>
    <w:rsid w:val="00DC7337"/>
    <w:rsid w:val="00DD26B1"/>
    <w:rsid w:val="00DD6770"/>
    <w:rsid w:val="00DE24EF"/>
    <w:rsid w:val="00DF23FC"/>
    <w:rsid w:val="00DF39CD"/>
    <w:rsid w:val="00DF449B"/>
    <w:rsid w:val="00DF4F81"/>
    <w:rsid w:val="00E13BB6"/>
    <w:rsid w:val="00E15257"/>
    <w:rsid w:val="00E17F8D"/>
    <w:rsid w:val="00E227E4"/>
    <w:rsid w:val="00E2538B"/>
    <w:rsid w:val="00E33188"/>
    <w:rsid w:val="00E47A45"/>
    <w:rsid w:val="00E54E66"/>
    <w:rsid w:val="00E56E57"/>
    <w:rsid w:val="00E63D00"/>
    <w:rsid w:val="00E86DC6"/>
    <w:rsid w:val="00E91D24"/>
    <w:rsid w:val="00EC064C"/>
    <w:rsid w:val="00ED279F"/>
    <w:rsid w:val="00ED4CB2"/>
    <w:rsid w:val="00EF2642"/>
    <w:rsid w:val="00EF3681"/>
    <w:rsid w:val="00F06FDE"/>
    <w:rsid w:val="00F076D9"/>
    <w:rsid w:val="00F11CAD"/>
    <w:rsid w:val="00F20BC2"/>
    <w:rsid w:val="00F27805"/>
    <w:rsid w:val="00F342E4"/>
    <w:rsid w:val="00F44625"/>
    <w:rsid w:val="00F44B70"/>
    <w:rsid w:val="00F649D6"/>
    <w:rsid w:val="00F654DD"/>
    <w:rsid w:val="00F96AB4"/>
    <w:rsid w:val="00F97481"/>
    <w:rsid w:val="00FA2591"/>
    <w:rsid w:val="00FA551C"/>
    <w:rsid w:val="00FA5FFE"/>
    <w:rsid w:val="00FB0888"/>
    <w:rsid w:val="00FD7B1D"/>
    <w:rsid w:val="00FE6822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4E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2A5402"/>
    <w:pPr>
      <w:keepLines/>
      <w:tabs>
        <w:tab w:val="left" w:pos="256"/>
      </w:tabs>
      <w:ind w:left="256" w:hanging="256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B5262D"/>
    <w:pPr>
      <w:framePr w:hSpace="180" w:wrap="around" w:hAnchor="margin" w:y="-675"/>
      <w:spacing w:before="840"/>
      <w:jc w:val="center"/>
    </w:pPr>
    <w:rPr>
      <w:rFonts w:eastAsia="SimSun" w:cs="Traditional Arabic"/>
      <w:b/>
      <w:sz w:val="26"/>
    </w:rPr>
  </w:style>
  <w:style w:type="paragraph" w:customStyle="1" w:styleId="Tabletext">
    <w:name w:val="Table_text"/>
    <w:basedOn w:val="Normal"/>
    <w:rsid w:val="008D2EB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framePr w:wrap="around"/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pPr>
      <w:framePr w:wrap="around"/>
    </w:pPr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E2538B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E2538B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B5262D"/>
    <w:rPr>
      <w:rFonts w:ascii="Calibri" w:eastAsia="SimSun" w:hAnsi="Calibri" w:cs="Traditional Arabic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sz w:val="32"/>
      <w:lang w:val="ru-RU" w:eastAsia="zh-CN"/>
    </w:rPr>
  </w:style>
  <w:style w:type="paragraph" w:customStyle="1" w:styleId="OPtitle">
    <w:name w:val="OP_title"/>
    <w:basedOn w:val="Normal"/>
    <w:next w:val="Normalaftertitle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lang w:val="ru-RU" w:eastAsia="zh-CN"/>
    </w:rPr>
  </w:style>
  <w:style w:type="paragraph" w:customStyle="1" w:styleId="VolumeTitle">
    <w:name w:val="VolumeTitle"/>
    <w:basedOn w:val="Normal"/>
    <w:next w:val="Normal"/>
    <w:rsid w:val="0002730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paragraph" w:customStyle="1" w:styleId="DefaultStyle">
    <w:name w:val="Default Style"/>
    <w:rsid w:val="00E13BB6"/>
    <w:pPr>
      <w:tabs>
        <w:tab w:val="left" w:pos="567"/>
        <w:tab w:val="left" w:pos="1134"/>
        <w:tab w:val="left" w:pos="1701"/>
        <w:tab w:val="left" w:pos="2268"/>
        <w:tab w:val="left" w:pos="2835"/>
      </w:tabs>
      <w:suppressAutoHyphens/>
      <w:spacing w:before="120" w:line="276" w:lineRule="auto"/>
      <w:textAlignment w:val="baseline"/>
    </w:pPr>
    <w:rPr>
      <w:rFonts w:ascii="Calibri" w:hAnsi="Calibri"/>
      <w:sz w:val="24"/>
      <w:lang w:val="en-GB" w:eastAsia="en-US"/>
    </w:rPr>
  </w:style>
  <w:style w:type="character" w:customStyle="1" w:styleId="FootnoteAnchor">
    <w:name w:val="Footnote Anchor"/>
    <w:rsid w:val="00E13B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3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c5346949-2dd4-4794-b5c5-5a8b5d5264e4">Documents Proposals Manager (DPM)</DPM_x0020_Author>
    <DPM_x0020_File_x0020_name xmlns="c5346949-2dd4-4794-b5c5-5a8b5d5264e4">S14-PP-C-0098!!MSW-R</DPM_x0020_File_x0020_name>
    <DPM_x0020_Version xmlns="c5346949-2dd4-4794-b5c5-5a8b5d5264e4">DPM_v5.7.1.34_prod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c5346949-2dd4-4794-b5c5-5a8b5d5264e4" targetNamespace="http://schemas.microsoft.com/office/2006/metadata/properties" ma:root="true" ma:fieldsID="d41af5c836d734370eb92e7ee5f83852" ns2:_="" ns3:_="">
    <xsd:import namespace="996b2e75-67fd-4955-a3b0-5ab9934cb50b"/>
    <xsd:import namespace="c5346949-2dd4-4794-b5c5-5a8b5d5264e4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346949-2dd4-4794-b5c5-5a8b5d5264e4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D58E2-EC10-4DC5-9074-AF807B63C28A}">
  <ds:schemaRefs>
    <ds:schemaRef ds:uri="996b2e75-67fd-4955-a3b0-5ab9934cb50b"/>
    <ds:schemaRef ds:uri="c5346949-2dd4-4794-b5c5-5a8b5d5264e4"/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c5346949-2dd4-4794-b5c5-5a8b5d5264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5865E4-1F83-4B19-B3DC-A9D2F4942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989</Words>
  <Characters>7054</Characters>
  <Application>Microsoft Office Word</Application>
  <DocSecurity>0</DocSecurity>
  <Lines>129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S14-PP-C-0098!!MSW-R</vt:lpstr>
    </vt:vector>
  </TitlesOfParts>
  <LinksUpToDate>false</LinksUpToDate>
  <CharactersWithSpaces>7998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S14-PP-C-0098!!MSW-R</dc:title>
  <dc:subject>Plenipotentiary Conference (PP-14)</dc:subject>
  <dc:creator/>
  <cp:keywords>DPM_v5.7.1.34_prod</cp:keywords>
  <cp:lastModifiedBy/>
  <cp:revision>1</cp:revision>
  <dcterms:created xsi:type="dcterms:W3CDTF">2014-11-03T07:40:00Z</dcterms:created>
  <dcterms:modified xsi:type="dcterms:W3CDTF">2014-11-03T13:39:00Z</dcterms:modified>
  <cp:category>Conference document</cp:category>
</cp:coreProperties>
</file>