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491A25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Start w:id="2" w:name="_GoBack"/>
            <w:bookmarkEnd w:id="0"/>
            <w:bookmarkEnd w:id="1"/>
            <w:bookmarkEnd w:id="2"/>
            <w:r w:rsidRPr="007F6EBC">
              <w:rPr>
                <w:rStyle w:val="PageNumber"/>
                <w:rFonts w:eastAsia="SimSun" w:cs="Traditional Arabic"/>
                <w:b/>
                <w:sz w:val="30"/>
                <w:szCs w:val="30"/>
              </w:rPr>
              <w:t>Conferencia de Plenipotenciarios (PP-1</w:t>
            </w:r>
            <w:r>
              <w:rPr>
                <w:rStyle w:val="PageNumber"/>
                <w:rFonts w:eastAsia="SimSun" w:cs="Traditional Arabic"/>
                <w:b/>
                <w:sz w:val="30"/>
                <w:szCs w:val="30"/>
              </w:rPr>
              <w:t>4</w:t>
            </w:r>
            <w:r w:rsidRPr="007F6EBC">
              <w:rPr>
                <w:rStyle w:val="PageNumber"/>
                <w:rFonts w:eastAsia="SimSun" w:cs="Traditional Arabic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>
              <w:rPr>
                <w:rStyle w:val="PageNumber"/>
                <w:rFonts w:eastAsia="SimSun" w:cs="Traditional Arabic"/>
                <w:b/>
                <w:bCs/>
                <w:szCs w:val="24"/>
              </w:rPr>
              <w:t>Bus</w:t>
            </w:r>
            <w:r w:rsidR="00B501AB">
              <w:rPr>
                <w:rStyle w:val="PageNumber"/>
                <w:rFonts w:eastAsia="SimSun" w:cs="Traditional Arabic"/>
                <w:b/>
                <w:bCs/>
                <w:szCs w:val="24"/>
              </w:rPr>
              <w:t>á</w:t>
            </w:r>
            <w:r>
              <w:rPr>
                <w:rStyle w:val="PageNumber"/>
                <w:rFonts w:eastAsia="SimSun" w:cs="Traditional Arabic"/>
                <w:b/>
                <w:bCs/>
                <w:szCs w:val="24"/>
              </w:rPr>
              <w:t>n</w:t>
            </w:r>
            <w:r w:rsidRPr="007F6EBC">
              <w:rPr>
                <w:rStyle w:val="PageNumber"/>
                <w:rFonts w:eastAsia="SimSun" w:cs="Traditional Arabic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rFonts w:eastAsia="SimSun" w:cs="Traditional Arabic"/>
                <w:b/>
                <w:szCs w:val="24"/>
              </w:rPr>
              <w:t xml:space="preserve">20 de octubre </w:t>
            </w:r>
            <w:r w:rsidR="00491A25">
              <w:rPr>
                <w:rStyle w:val="PageNumber"/>
                <w:rFonts w:eastAsia="SimSun" w:cs="Traditional Arabic"/>
                <w:b/>
                <w:szCs w:val="24"/>
              </w:rPr>
              <w:t>–</w:t>
            </w:r>
            <w:r w:rsidRPr="004B07DB">
              <w:rPr>
                <w:rStyle w:val="PageNumber"/>
                <w:rFonts w:eastAsia="SimSun" w:cs="Traditional Arabic"/>
                <w:b/>
                <w:szCs w:val="24"/>
              </w:rPr>
              <w:t xml:space="preserve"> 7 de noviembre de 2014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3" w:name="ditulogo"/>
            <w:bookmarkEnd w:id="3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shd w:val="clear" w:color="auto" w:fill="auto"/>
          </w:tcPr>
          <w:p w:rsidR="00255FA1" w:rsidRPr="006C454B" w:rsidRDefault="00255FA1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6C454B">
              <w:rPr>
                <w:rFonts w:ascii="Calibri" w:eastAsia="SimSun" w:hAnsi="Calibri" w:cs="Traditional Arabic"/>
                <w:lang w:val="es-ES_tradnl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255FA1" w:rsidRPr="006C454B" w:rsidRDefault="00834802" w:rsidP="004F4BB1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eastAsia="SimSun" w:cs="Traditional Arabic"/>
                <w:b/>
                <w:szCs w:val="24"/>
              </w:rPr>
              <w:t>Revisión 1 al</w:t>
            </w:r>
            <w:r>
              <w:rPr>
                <w:rFonts w:eastAsia="SimSun" w:cs="Traditional Arabic"/>
                <w:b/>
                <w:szCs w:val="24"/>
              </w:rPr>
              <w:br/>
            </w:r>
            <w:r w:rsidR="00255FA1" w:rsidRPr="006C454B">
              <w:rPr>
                <w:rFonts w:eastAsia="SimSun" w:cs="Traditional Arabic"/>
                <w:b/>
                <w:szCs w:val="24"/>
              </w:rPr>
              <w:t>Documento 98</w:t>
            </w:r>
            <w:r w:rsidR="00262FF4" w:rsidRPr="006C454B">
              <w:rPr>
                <w:rFonts w:eastAsia="SimSun" w:cs="Traditional Arabic"/>
                <w:b/>
                <w:szCs w:val="24"/>
              </w:rPr>
              <w:t>-S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  <w:shd w:val="clear" w:color="auto" w:fill="auto"/>
          </w:tcPr>
          <w:p w:rsidR="00255FA1" w:rsidRPr="006C454B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255FA1" w:rsidRPr="006C454B" w:rsidRDefault="003D4F43" w:rsidP="004F4BB1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eastAsia="SimSun" w:cs="Traditional Arabic"/>
                <w:b/>
                <w:szCs w:val="24"/>
              </w:rPr>
              <w:t>2 de noviemb</w:t>
            </w:r>
            <w:r w:rsidR="00255FA1" w:rsidRPr="006C454B">
              <w:rPr>
                <w:rFonts w:eastAsia="SimSun" w:cs="Traditional Arabic"/>
                <w:b/>
                <w:szCs w:val="24"/>
              </w:rPr>
              <w:t>re de 2014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6C454B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255FA1" w:rsidRPr="006C454B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6C454B">
              <w:rPr>
                <w:rFonts w:eastAsia="SimSun" w:cs="Traditional Arabic"/>
                <w:b/>
                <w:szCs w:val="24"/>
              </w:rPr>
              <w:t>Original: inglés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6C454B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6C454B" w:rsidRDefault="00255FA1" w:rsidP="006C454B">
            <w:pPr>
              <w:pStyle w:val="Source"/>
              <w:spacing w:before="600"/>
            </w:pPr>
            <w:bookmarkStart w:id="5" w:name="dsource" w:colFirst="0" w:colLast="0"/>
            <w:bookmarkEnd w:id="4"/>
            <w:r w:rsidRPr="006C454B">
              <w:rPr>
                <w:rFonts w:eastAsia="SimSun" w:cs="Traditional Arabic"/>
              </w:rPr>
              <w:t>India (República de la)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6A03AB" w:rsidRDefault="006A03AB" w:rsidP="00682B62">
            <w:pPr>
              <w:pStyle w:val="Title1"/>
            </w:pPr>
            <w:bookmarkStart w:id="6" w:name="dtitle1" w:colFirst="0" w:colLast="0"/>
            <w:bookmarkEnd w:id="5"/>
            <w:r w:rsidRPr="006A03AB">
              <w:rPr>
                <w:rFonts w:eastAsia="SimSun" w:cs="Traditional Arabic"/>
              </w:rPr>
              <w:t>PROPUESTAS PARA LOS TRABAJOS DE LA CONFERENCIA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6A03AB" w:rsidRDefault="00C900B2" w:rsidP="00682B62">
            <w:pPr>
              <w:pStyle w:val="Title2"/>
            </w:pPr>
            <w:bookmarkStart w:id="7" w:name="dtitle2" w:colFirst="0" w:colLast="0"/>
            <w:bookmarkEnd w:id="6"/>
            <w:r>
              <w:rPr>
                <w:rFonts w:eastAsia="SimSun" w:cs="Traditional Arabic"/>
              </w:rPr>
              <w:t>PROYECTO DE NUEVA RESOLUCIó</w:t>
            </w:r>
            <w:r w:rsidRPr="00C900B2">
              <w:rPr>
                <w:rFonts w:eastAsia="SimSun" w:cs="Traditional Arabic"/>
              </w:rPr>
              <w:t>N</w:t>
            </w:r>
          </w:p>
        </w:tc>
      </w:tr>
      <w:tr w:rsidR="00255FA1" w:rsidTr="00682B62">
        <w:trPr>
          <w:cantSplit/>
        </w:trPr>
        <w:tc>
          <w:tcPr>
            <w:tcW w:w="10031" w:type="dxa"/>
            <w:gridSpan w:val="2"/>
          </w:tcPr>
          <w:p w:rsidR="00255FA1" w:rsidRDefault="00C900B2" w:rsidP="00682B62">
            <w:pPr>
              <w:pStyle w:val="Agendaitem"/>
            </w:pPr>
            <w:bookmarkStart w:id="8" w:name="dtitle3" w:colFirst="0" w:colLast="0"/>
            <w:bookmarkEnd w:id="7"/>
            <w:r>
              <w:t>FUNCIÓN</w:t>
            </w:r>
            <w:r w:rsidRPr="00C900B2">
              <w:t xml:space="preserve"> DE LA UIT PARA MEJORAR LAS FUNCIONALIDADES DE LA RED</w:t>
            </w:r>
            <w:r w:rsidR="003D4F43">
              <w:br/>
            </w:r>
            <w:r w:rsidRPr="00C900B2">
              <w:t>A FIN DE INSTAURAR LA CONFIANZA EN LAS REDES DE</w:t>
            </w:r>
            <w:r w:rsidR="003D4F43">
              <w:br/>
            </w:r>
            <w:r w:rsidRPr="00C900B2">
              <w:t>TELECOMUNICACIONES BASADAS EN IP</w:t>
            </w:r>
          </w:p>
        </w:tc>
      </w:tr>
    </w:tbl>
    <w:bookmarkEnd w:id="8"/>
    <w:p w:rsidR="00591F6F" w:rsidRPr="006A03AB" w:rsidRDefault="00CA5C11" w:rsidP="00C17A7C">
      <w:pPr>
        <w:pStyle w:val="Proposal"/>
        <w:spacing w:before="600"/>
        <w:rPr>
          <w:lang w:val="es-ES_tradnl"/>
        </w:rPr>
      </w:pPr>
      <w:r w:rsidRPr="006A03AB">
        <w:rPr>
          <w:lang w:val="es-ES_tradnl"/>
        </w:rPr>
        <w:t>ADD</w:t>
      </w:r>
      <w:r w:rsidRPr="006A03AB">
        <w:rPr>
          <w:lang w:val="es-ES_tradnl"/>
        </w:rPr>
        <w:tab/>
        <w:t>IND/98/1</w:t>
      </w:r>
    </w:p>
    <w:p w:rsidR="00591F6F" w:rsidRDefault="006A03AB">
      <w:pPr>
        <w:pStyle w:val="ResNo"/>
      </w:pPr>
      <w:r w:rsidRPr="006A03AB">
        <w:t xml:space="preserve">PROPUESTA </w:t>
      </w:r>
      <w:r w:rsidR="00CA5C11">
        <w:t>de nueva Resolución [IND-1]</w:t>
      </w:r>
    </w:p>
    <w:p w:rsidR="00591F6F" w:rsidRDefault="00F0537D">
      <w:pPr>
        <w:pStyle w:val="Restitle"/>
      </w:pPr>
      <w:r>
        <w:t>Función</w:t>
      </w:r>
      <w:r w:rsidR="0030537F" w:rsidRPr="0030537F">
        <w:t xml:space="preserve"> de la UIT para mejorar las funcionalidades de la red a fin de instaurar la confianza en las redes de telecomunicaciones basadas en IP</w:t>
      </w:r>
    </w:p>
    <w:p w:rsidR="006A03AB" w:rsidRPr="006A03AB" w:rsidRDefault="006A03AB" w:rsidP="006A03AB">
      <w:pPr>
        <w:pStyle w:val="Normalaftertitle"/>
      </w:pPr>
      <w:r w:rsidRPr="006A03AB">
        <w:t>La Conferencia de Plenipotenciarios de la Unión Internacional de Telecomunicaciones (Busán,</w:t>
      </w:r>
      <w:r>
        <w:t> </w:t>
      </w:r>
      <w:r w:rsidRPr="006A03AB">
        <w:t>2014),</w:t>
      </w:r>
    </w:p>
    <w:p w:rsidR="006A03AB" w:rsidRPr="005550E3" w:rsidRDefault="00F0537D" w:rsidP="006A03AB">
      <w:pPr>
        <w:pStyle w:val="Call"/>
      </w:pPr>
      <w:r>
        <w:t>record</w:t>
      </w:r>
      <w:r w:rsidR="006A03AB" w:rsidRPr="005550E3">
        <w:t>ando</w:t>
      </w:r>
    </w:p>
    <w:p w:rsidR="006A03AB" w:rsidRPr="005550E3" w:rsidRDefault="006A03AB" w:rsidP="007957DC">
      <w:r w:rsidRPr="005550E3">
        <w:rPr>
          <w:i/>
          <w:iCs/>
        </w:rPr>
        <w:t>a)</w:t>
      </w:r>
      <w:r w:rsidRPr="005550E3">
        <w:tab/>
      </w:r>
      <w:r w:rsidR="007957DC">
        <w:t>la R</w:t>
      </w:r>
      <w:r w:rsidR="007957DC" w:rsidRPr="007957DC">
        <w:t xml:space="preserve">esolución 101 </w:t>
      </w:r>
      <w:r w:rsidR="007957DC">
        <w:t>(Rev. Guadalajara, 2010) de la Conferencia de Plenipotenci</w:t>
      </w:r>
      <w:r w:rsidR="007957DC" w:rsidRPr="007957DC">
        <w:t>arios sobre redes basadas en I</w:t>
      </w:r>
      <w:r w:rsidR="007957DC">
        <w:t>P en la que los Estados Miembros</w:t>
      </w:r>
      <w:r w:rsidR="007957DC" w:rsidRPr="007957DC">
        <w:t xml:space="preserve"> resolvieron dar a la UIT el mandato de colaborar y coordinar con las organizaciones </w:t>
      </w:r>
      <w:r w:rsidR="000037C9" w:rsidRPr="007957DC">
        <w:t>per</w:t>
      </w:r>
      <w:r w:rsidR="000037C9">
        <w:t>tinentes</w:t>
      </w:r>
      <w:r w:rsidR="007957DC">
        <w:t xml:space="preserve"> implicadas en el </w:t>
      </w:r>
      <w:r w:rsidR="000037C9">
        <w:t>desarrollo</w:t>
      </w:r>
      <w:r w:rsidR="007957DC">
        <w:t xml:space="preserve"> de redes basadas en IP</w:t>
      </w:r>
      <w:r w:rsidR="007957DC" w:rsidRPr="007957DC">
        <w:t xml:space="preserve"> y el futuro Internet;</w:t>
      </w:r>
    </w:p>
    <w:p w:rsidR="00D111EF" w:rsidRDefault="006A03AB" w:rsidP="00D111EF">
      <w:r w:rsidRPr="005550E3">
        <w:rPr>
          <w:i/>
          <w:iCs/>
        </w:rPr>
        <w:t>b)</w:t>
      </w:r>
      <w:r w:rsidRPr="005550E3">
        <w:tab/>
      </w:r>
      <w:r w:rsidR="00D111EF">
        <w:t>la Resolución 102 (Guadalajara, 2010) de la Conferencia de Plenipotenciarios sobre la función de la UIT con respecto a las cuestiones de política pública internacional relacionadas con Internet y la gestión de los recursos de Internet, incluidos los nombres de dominio y las direcciones;</w:t>
      </w:r>
    </w:p>
    <w:p w:rsidR="006A03AB" w:rsidRPr="005550E3" w:rsidRDefault="00D111EF" w:rsidP="00D111EF">
      <w:r>
        <w:t>c)</w:t>
      </w:r>
      <w:r>
        <w:tab/>
        <w:t>la Resolución 130 (Rev. Guadalajara 2010) de la Conferencia de Plenipotenciarios sobre el fortalecimiento del papel de la UIT en la creación de confianza y seguridad en la utilización de las tecnologías de la información y la comunicación,</w:t>
      </w:r>
    </w:p>
    <w:p w:rsidR="00D111EF" w:rsidRDefault="00D111EF" w:rsidP="00D111EF">
      <w:pPr>
        <w:pStyle w:val="Call"/>
      </w:pPr>
      <w:r>
        <w:lastRenderedPageBreak/>
        <w:t>recordando también</w:t>
      </w:r>
    </w:p>
    <w:p w:rsidR="00D111EF" w:rsidRDefault="00D111EF" w:rsidP="00D111EF">
      <w:r>
        <w:rPr>
          <w:i/>
          <w:iCs/>
        </w:rPr>
        <w:t>a)</w:t>
      </w:r>
      <w:r>
        <w:tab/>
        <w:t>el párrafo 39 de la Agenda de Túnez sobre creación de confianza y seguridad en la utilización de las TIC fortaleciendo el marco de confianza;</w:t>
      </w:r>
    </w:p>
    <w:p w:rsidR="00D111EF" w:rsidRDefault="00D111EF" w:rsidP="00D111EF">
      <w:r w:rsidRPr="00D111EF">
        <w:rPr>
          <w:i/>
          <w:iCs/>
        </w:rPr>
        <w:t>b)</w:t>
      </w:r>
      <w:r>
        <w:tab/>
        <w:t>el párrafo 46 de la Agenda de Túnez sobre garantía del respeto a la privacidad y la protección de la información y los datos personales;</w:t>
      </w:r>
    </w:p>
    <w:p w:rsidR="00D111EF" w:rsidRDefault="00D111EF" w:rsidP="006C7D9B">
      <w:r w:rsidRPr="006C7D9B">
        <w:rPr>
          <w:i/>
          <w:iCs/>
        </w:rPr>
        <w:t>c)</w:t>
      </w:r>
      <w:r w:rsidR="006C7D9B">
        <w:rPr>
          <w:i/>
          <w:iCs/>
        </w:rPr>
        <w:tab/>
      </w:r>
      <w:r>
        <w:t>la Línea de Acción</w:t>
      </w:r>
      <w:r w:rsidR="006C7D9B">
        <w:t xml:space="preserve"> C5 del Plan de A</w:t>
      </w:r>
      <w:r>
        <w:t xml:space="preserve">cción de Ginebra sobre creación de confianza y seguridad en </w:t>
      </w:r>
      <w:r w:rsidR="006C7D9B">
        <w:t>la utilización</w:t>
      </w:r>
      <w:r>
        <w:t xml:space="preserve"> de las TIC para constituir la </w:t>
      </w:r>
      <w:r w:rsidR="009B571B">
        <w:t>S</w:t>
      </w:r>
      <w:r>
        <w:t>ociedad de la Información, d</w:t>
      </w:r>
      <w:r w:rsidR="006C7D9B">
        <w:t>e</w:t>
      </w:r>
      <w:r>
        <w:t xml:space="preserve"> la cual la UIT es la única coordinadora;</w:t>
      </w:r>
    </w:p>
    <w:p w:rsidR="00D111EF" w:rsidRPr="00D111EF" w:rsidRDefault="00D111EF" w:rsidP="006C7D9B">
      <w:r w:rsidRPr="006C7D9B">
        <w:rPr>
          <w:i/>
          <w:iCs/>
        </w:rPr>
        <w:t>d)</w:t>
      </w:r>
      <w:r w:rsidR="006C7D9B">
        <w:tab/>
      </w:r>
      <w:r>
        <w:t>la labor</w:t>
      </w:r>
      <w:r w:rsidR="00576F03">
        <w:t xml:space="preserve"> en curso de la CE</w:t>
      </w:r>
      <w:r w:rsidR="009B571B">
        <w:t xml:space="preserve"> </w:t>
      </w:r>
      <w:r>
        <w:t xml:space="preserve">17 del UIT-T sobre la Guía de normas sobre la seguridad de las TIC y sobre otras cuestiones, y </w:t>
      </w:r>
      <w:r w:rsidR="000F24C2">
        <w:t xml:space="preserve">de </w:t>
      </w:r>
      <w:r>
        <w:t>la CE</w:t>
      </w:r>
      <w:r w:rsidR="009B571B">
        <w:t xml:space="preserve"> </w:t>
      </w:r>
      <w:r>
        <w:t>13 sobre Redes de la Próxima Generación,</w:t>
      </w:r>
    </w:p>
    <w:p w:rsidR="006A03AB" w:rsidRPr="005550E3" w:rsidRDefault="006A03AB" w:rsidP="006A03AB">
      <w:pPr>
        <w:pStyle w:val="Call"/>
      </w:pPr>
      <w:r w:rsidRPr="005550E3">
        <w:t>reconociendo</w:t>
      </w:r>
    </w:p>
    <w:p w:rsidR="000F24C2" w:rsidRPr="000F24C2" w:rsidRDefault="000F24C2" w:rsidP="000F24C2">
      <w:r w:rsidRPr="000F24C2">
        <w:rPr>
          <w:i/>
          <w:iCs/>
        </w:rPr>
        <w:t>a)</w:t>
      </w:r>
      <w:r>
        <w:tab/>
        <w:t>q</w:t>
      </w:r>
      <w:r w:rsidRPr="000F24C2">
        <w:t>ue para el desarrollo de las tel</w:t>
      </w:r>
      <w:r>
        <w:t>ecomunicaciones/TIC es necesaria</w:t>
      </w:r>
      <w:r w:rsidRPr="000F24C2">
        <w:t xml:space="preserve"> una atribución </w:t>
      </w:r>
      <w:r>
        <w:t xml:space="preserve">y asignación </w:t>
      </w:r>
      <w:r w:rsidRPr="000F24C2">
        <w:t>equitativa, imparcial y justa de los recurso</w:t>
      </w:r>
      <w:r>
        <w:t>s</w:t>
      </w:r>
      <w:r w:rsidRPr="000F24C2">
        <w:t xml:space="preserve"> relativos a redes de paquetes y ello exige la coordinación y la colaboración entre </w:t>
      </w:r>
      <w:r>
        <w:t xml:space="preserve">las </w:t>
      </w:r>
      <w:r w:rsidRPr="000F24C2">
        <w:t>organizaciones pertinentes y los Es</w:t>
      </w:r>
      <w:r>
        <w:t>tados M</w:t>
      </w:r>
      <w:r w:rsidRPr="000F24C2">
        <w:t>iembros para la planificación, aplicación, supervisión y cooperación en sus políticas;</w:t>
      </w:r>
    </w:p>
    <w:p w:rsidR="000F24C2" w:rsidRPr="000F24C2" w:rsidRDefault="000F24C2" w:rsidP="000F24C2">
      <w:r w:rsidRPr="000F24C2">
        <w:rPr>
          <w:i/>
          <w:iCs/>
        </w:rPr>
        <w:t>b)</w:t>
      </w:r>
      <w:r>
        <w:tab/>
        <w:t>q</w:t>
      </w:r>
      <w:r w:rsidRPr="000F24C2">
        <w:t>ue los recursos de denominación, numeración y direccionamiento son necesarios, entre otros, para el debido funcionamiento de una red de telecomunicaciones;</w:t>
      </w:r>
    </w:p>
    <w:p w:rsidR="000F24C2" w:rsidRPr="000F24C2" w:rsidRDefault="000F24C2" w:rsidP="00073C1F">
      <w:r w:rsidRPr="000F24C2">
        <w:rPr>
          <w:i/>
          <w:iCs/>
        </w:rPr>
        <w:t>c)</w:t>
      </w:r>
      <w:r w:rsidR="00073C1F">
        <w:tab/>
        <w:t>q</w:t>
      </w:r>
      <w:r w:rsidRPr="000F24C2">
        <w:t>ue la Resolución 1305 d</w:t>
      </w:r>
      <w:r w:rsidR="00073C1F">
        <w:t>el Consejo identificó</w:t>
      </w:r>
      <w:r w:rsidRPr="000F24C2">
        <w:t xml:space="preserve"> los temas de política públicos relativos a Internet Internacional (gestión de las telecomunicaciones/TIC) tales como seguridad, continuidad, sostenibilidad y robustez</w:t>
      </w:r>
      <w:r w:rsidR="00073C1F">
        <w:t xml:space="preserve"> de Internet (</w:t>
      </w:r>
      <w:r w:rsidR="000037C9">
        <w:t>telecomunicaciones</w:t>
      </w:r>
      <w:r w:rsidR="00073C1F">
        <w:t>/TIC) y la Resolución 1336 del C</w:t>
      </w:r>
      <w:r w:rsidRPr="000F24C2">
        <w:t>onsejo</w:t>
      </w:r>
      <w:r w:rsidR="00073C1F">
        <w:t>,</w:t>
      </w:r>
      <w:r w:rsidRPr="000F24C2">
        <w:t xml:space="preserve"> adoptada en su sesión de 2011</w:t>
      </w:r>
      <w:r w:rsidR="00073C1F">
        <w:t>,</w:t>
      </w:r>
      <w:r w:rsidRPr="000F24C2">
        <w:t xml:space="preserve"> estableció un </w:t>
      </w:r>
      <w:r w:rsidR="00073C1F">
        <w:t>Grupo de Trabajo del C</w:t>
      </w:r>
      <w:r w:rsidRPr="000F24C2">
        <w:t>onsejo sobre Política</w:t>
      </w:r>
      <w:r w:rsidR="00073C1F">
        <w:t xml:space="preserve"> Pú</w:t>
      </w:r>
      <w:r w:rsidRPr="000F24C2">
        <w:t>blica de Internet</w:t>
      </w:r>
      <w:r w:rsidR="00073C1F">
        <w:t xml:space="preserve"> (GTC-Internet</w:t>
      </w:r>
      <w:r w:rsidRPr="000F24C2">
        <w:t>) cuyo mandato es identificar, estudiar y desarrollar asuntos relativos a temas referentes a I</w:t>
      </w:r>
      <w:r w:rsidR="00073C1F">
        <w:t>n</w:t>
      </w:r>
      <w:r w:rsidR="00073C1F" w:rsidRPr="000F24C2">
        <w:t>te</w:t>
      </w:r>
      <w:r w:rsidR="00073C1F">
        <w:t>r</w:t>
      </w:r>
      <w:r w:rsidR="00073C1F" w:rsidRPr="000F24C2">
        <w:t>net</w:t>
      </w:r>
      <w:r w:rsidRPr="000F24C2">
        <w:t xml:space="preserve"> P</w:t>
      </w:r>
      <w:r w:rsidR="00073C1F">
        <w:t>ú</w:t>
      </w:r>
      <w:r w:rsidR="00073C1F" w:rsidRPr="000F24C2">
        <w:t>blica</w:t>
      </w:r>
      <w:r w:rsidRPr="000F24C2">
        <w:t xml:space="preserve"> Internacional incluidos en la Resolución</w:t>
      </w:r>
      <w:r w:rsidR="00073C1F">
        <w:t xml:space="preserve"> 1305 de C</w:t>
      </w:r>
      <w:r w:rsidRPr="000F24C2">
        <w:t>onsejo;</w:t>
      </w:r>
    </w:p>
    <w:p w:rsidR="000F24C2" w:rsidRPr="000F24C2" w:rsidRDefault="000F24C2" w:rsidP="000F24C2">
      <w:r w:rsidRPr="000F24C2">
        <w:rPr>
          <w:i/>
          <w:iCs/>
        </w:rPr>
        <w:t>d)</w:t>
      </w:r>
      <w:r w:rsidRPr="000F24C2">
        <w:tab/>
      </w:r>
      <w:r w:rsidR="00073C1F">
        <w:t>q</w:t>
      </w:r>
      <w:r w:rsidRPr="000F24C2">
        <w:t xml:space="preserve">ue a fin de velar por la seguridad de los servicios </w:t>
      </w:r>
      <w:r w:rsidR="00937614">
        <w:t>de telecomunicaciones/TIC, los E</w:t>
      </w:r>
      <w:r w:rsidRPr="000F24C2">
        <w:t xml:space="preserve">stados </w:t>
      </w:r>
      <w:r w:rsidR="00937614">
        <w:t>M</w:t>
      </w:r>
      <w:r w:rsidRPr="000F24C2">
        <w:t>iembros deben form</w:t>
      </w:r>
      <w:r w:rsidR="009B571B">
        <w:t>ul</w:t>
      </w:r>
      <w:r w:rsidRPr="000F24C2">
        <w:t>ar unas medidas jurídicas</w:t>
      </w:r>
      <w:r w:rsidR="00937614">
        <w:t>,</w:t>
      </w:r>
      <w:r w:rsidRPr="000F24C2">
        <w:t xml:space="preserve"> de política y reglamentarias adecuadas que deben apoyarse en la capacidad técnica de las redes;</w:t>
      </w:r>
    </w:p>
    <w:p w:rsidR="000F24C2" w:rsidRPr="000F24C2" w:rsidRDefault="000F24C2" w:rsidP="000F24C2">
      <w:r w:rsidRPr="000F24C2">
        <w:rPr>
          <w:i/>
          <w:iCs/>
        </w:rPr>
        <w:t>e)</w:t>
      </w:r>
      <w:r w:rsidR="00937614">
        <w:tab/>
        <w:t>q</w:t>
      </w:r>
      <w:r w:rsidRPr="000F24C2">
        <w:t xml:space="preserve">ue el sector privado debe desempeñar un papel activo en las operaciones cotidianas, </w:t>
      </w:r>
      <w:r w:rsidR="00937614">
        <w:t xml:space="preserve">en </w:t>
      </w:r>
      <w:r w:rsidRPr="000F24C2">
        <w:t xml:space="preserve">la innovación y </w:t>
      </w:r>
      <w:r w:rsidR="00937614">
        <w:t xml:space="preserve">en </w:t>
      </w:r>
      <w:r w:rsidRPr="000F24C2">
        <w:t>la creación de valor;</w:t>
      </w:r>
    </w:p>
    <w:p w:rsidR="000F24C2" w:rsidRDefault="000F24C2" w:rsidP="000F24C2">
      <w:r w:rsidRPr="000F24C2">
        <w:rPr>
          <w:i/>
          <w:iCs/>
        </w:rPr>
        <w:t>f)</w:t>
      </w:r>
      <w:r w:rsidR="00937614">
        <w:tab/>
        <w:t>q</w:t>
      </w:r>
      <w:r w:rsidRPr="000F24C2">
        <w:t xml:space="preserve">ue debe adoptarse un enfoque </w:t>
      </w:r>
      <w:r w:rsidR="00937614">
        <w:t>multipartito</w:t>
      </w:r>
      <w:r w:rsidRPr="000F24C2">
        <w:t>, en la medida de lo posible, a todos los niveles para mejorar la coordinación de las actividades de las organizaciones internacionales e intergubernamentales, así como de otras instituciones implicadas en las redes de telecomunicacio</w:t>
      </w:r>
      <w:r w:rsidR="00937614">
        <w:t>nes basadas en la tecnología IP,</w:t>
      </w:r>
    </w:p>
    <w:p w:rsidR="006A03AB" w:rsidRPr="005550E3" w:rsidRDefault="00094A6C" w:rsidP="000F24C2">
      <w:pPr>
        <w:pStyle w:val="Call"/>
      </w:pPr>
      <w:r>
        <w:t>considerando</w:t>
      </w:r>
    </w:p>
    <w:p w:rsidR="00D365FA" w:rsidRPr="00D365FA" w:rsidRDefault="004B5F8F" w:rsidP="004B5F8F">
      <w:r w:rsidRPr="004B5F8F">
        <w:rPr>
          <w:i/>
          <w:iCs/>
        </w:rPr>
        <w:t>a)</w:t>
      </w:r>
      <w:r>
        <w:tab/>
        <w:t>q</w:t>
      </w:r>
      <w:r w:rsidR="00D365FA" w:rsidRPr="00D365FA">
        <w:t>ue probablemente en el futuro todas las redes sean redes de paquetes que entregan varios servicios de telecomunicaciones actualmente basados en tecnologías IP;</w:t>
      </w:r>
    </w:p>
    <w:p w:rsidR="00D365FA" w:rsidRPr="00D365FA" w:rsidRDefault="00D365FA" w:rsidP="00E9606A">
      <w:r w:rsidRPr="004B5F8F">
        <w:rPr>
          <w:i/>
          <w:iCs/>
        </w:rPr>
        <w:t>b)</w:t>
      </w:r>
      <w:r w:rsidR="00E9606A">
        <w:tab/>
        <w:t>q</w:t>
      </w:r>
      <w:r w:rsidRPr="00D365FA">
        <w:t xml:space="preserve">ue las redes de paquetes actuales presentan muchas deficiencias en términos de seguridad, incluidas las relativas a registros de </w:t>
      </w:r>
      <w:r w:rsidR="00E9606A">
        <w:t>las transacciones</w:t>
      </w:r>
      <w:r w:rsidRPr="00D365FA">
        <w:t xml:space="preserve"> en la red;</w:t>
      </w:r>
    </w:p>
    <w:p w:rsidR="00D365FA" w:rsidRPr="00D365FA" w:rsidRDefault="00D365FA" w:rsidP="00D365FA">
      <w:r w:rsidRPr="004B5F8F">
        <w:rPr>
          <w:i/>
          <w:iCs/>
        </w:rPr>
        <w:t>c)</w:t>
      </w:r>
      <w:r w:rsidR="00643AE1">
        <w:tab/>
        <w:t>q</w:t>
      </w:r>
      <w:r w:rsidRPr="00D365FA">
        <w:t xml:space="preserve">ue a veces, incluso para la </w:t>
      </w:r>
      <w:r w:rsidR="004B5F8F" w:rsidRPr="00D365FA">
        <w:t>resolución</w:t>
      </w:r>
      <w:r w:rsidRPr="00D365FA">
        <w:t xml:space="preserve"> de una dirección local, el sistema debe utilizar recursos fu</w:t>
      </w:r>
      <w:r w:rsidR="00643AE1">
        <w:t>era del país, lo cual</w:t>
      </w:r>
      <w:r w:rsidRPr="00D365FA">
        <w:t xml:space="preserve"> hace muy costosa dicha </w:t>
      </w:r>
      <w:r w:rsidR="004B5F8F" w:rsidRPr="00D365FA">
        <w:t>resolución</w:t>
      </w:r>
      <w:r w:rsidRPr="00D365FA">
        <w:t xml:space="preserve"> de dirección</w:t>
      </w:r>
      <w:r w:rsidR="00643AE1">
        <w:t>,</w:t>
      </w:r>
      <w:r w:rsidRPr="00D365FA">
        <w:t xml:space="preserve"> y en cierta medida </w:t>
      </w:r>
      <w:r w:rsidR="00F77C11" w:rsidRPr="00D365FA">
        <w:t>insegura</w:t>
      </w:r>
      <w:r w:rsidR="00643AE1">
        <w:t>,</w:t>
      </w:r>
      <w:r w:rsidRPr="00D365FA">
        <w:t xml:space="preserve"> y puede dar lugar a la violación de la </w:t>
      </w:r>
      <w:r w:rsidR="00F77C11" w:rsidRPr="00D365FA">
        <w:t>privacidad</w:t>
      </w:r>
      <w:r w:rsidRPr="00D365FA">
        <w:t xml:space="preserve"> por otro Estado, aun sin ningún recurso para </w:t>
      </w:r>
      <w:r w:rsidR="00643AE1">
        <w:t>a</w:t>
      </w:r>
      <w:r w:rsidRPr="00D365FA">
        <w:t>borda</w:t>
      </w:r>
      <w:r w:rsidR="00643AE1">
        <w:t xml:space="preserve">r </w:t>
      </w:r>
      <w:r w:rsidRPr="00D365FA">
        <w:t xml:space="preserve">el tema de la </w:t>
      </w:r>
      <w:r w:rsidR="00F77C11" w:rsidRPr="00D365FA">
        <w:t>violación</w:t>
      </w:r>
      <w:r w:rsidRPr="00D365FA">
        <w:t xml:space="preserve"> de </w:t>
      </w:r>
      <w:r w:rsidR="00F77C11" w:rsidRPr="00D365FA">
        <w:t>privacidad</w:t>
      </w:r>
      <w:r w:rsidRPr="00D365FA">
        <w:t xml:space="preserve"> citando la no aplicabilidad de las leyes de </w:t>
      </w:r>
      <w:r w:rsidR="00643AE1">
        <w:lastRenderedPageBreak/>
        <w:t xml:space="preserve">protección de la </w:t>
      </w:r>
      <w:r w:rsidR="00F77C11" w:rsidRPr="00D365FA">
        <w:t>privacidad</w:t>
      </w:r>
      <w:r w:rsidRPr="00D365FA">
        <w:t xml:space="preserve"> a </w:t>
      </w:r>
      <w:r w:rsidR="00643AE1">
        <w:t xml:space="preserve">los </w:t>
      </w:r>
      <w:r w:rsidRPr="00D365FA">
        <w:t xml:space="preserve">no ciudadanos o </w:t>
      </w:r>
      <w:r w:rsidR="00F77C11" w:rsidRPr="00D365FA">
        <w:t>estableciendo</w:t>
      </w:r>
      <w:r w:rsidRPr="00D365FA">
        <w:t xml:space="preserve"> leyes distintas </w:t>
      </w:r>
      <w:r w:rsidR="00643AE1">
        <w:t>para ciudadanos y no ciudadanos;</w:t>
      </w:r>
    </w:p>
    <w:p w:rsidR="00D365FA" w:rsidRPr="00D365FA" w:rsidRDefault="00D365FA" w:rsidP="00643AE1">
      <w:r w:rsidRPr="004B5F8F">
        <w:rPr>
          <w:i/>
          <w:iCs/>
        </w:rPr>
        <w:t>d)</w:t>
      </w:r>
      <w:r w:rsidR="00643AE1">
        <w:tab/>
        <w:t>q</w:t>
      </w:r>
      <w:r w:rsidRPr="00D365FA">
        <w:t xml:space="preserve">ue a veces, el </w:t>
      </w:r>
      <w:r w:rsidR="00F77C11" w:rsidRPr="00D365FA">
        <w:t>tráfico</w:t>
      </w:r>
      <w:r w:rsidRPr="00D365FA">
        <w:t xml:space="preserve"> de comunicación </w:t>
      </w:r>
      <w:r w:rsidR="00643AE1">
        <w:t>con origen</w:t>
      </w:r>
      <w:r w:rsidRPr="00D365FA">
        <w:t xml:space="preserve"> y </w:t>
      </w:r>
      <w:r w:rsidR="00643AE1">
        <w:t>destino en un país transcu</w:t>
      </w:r>
      <w:r w:rsidRPr="00D365FA">
        <w:t>rre igualmente fu</w:t>
      </w:r>
      <w:r w:rsidR="00643AE1">
        <w:t>e</w:t>
      </w:r>
      <w:r w:rsidRPr="00D365FA">
        <w:t>ra de la</w:t>
      </w:r>
      <w:r w:rsidR="00643AE1">
        <w:t>s fronteras del</w:t>
      </w:r>
      <w:r w:rsidRPr="00D365FA">
        <w:t xml:space="preserve"> país</w:t>
      </w:r>
      <w:r w:rsidR="00643AE1">
        <w:t>,</w:t>
      </w:r>
      <w:r w:rsidRPr="00D365FA">
        <w:t xml:space="preserve"> lo que hace muy costosa esa comunicación</w:t>
      </w:r>
      <w:r w:rsidR="00643AE1">
        <w:t>,</w:t>
      </w:r>
      <w:r w:rsidRPr="00D365FA">
        <w:t xml:space="preserve"> y en cierta medida insegura</w:t>
      </w:r>
      <w:r w:rsidR="00643AE1">
        <w:t>,</w:t>
      </w:r>
      <w:r w:rsidRPr="00D365FA">
        <w:t xml:space="preserve"> y puede </w:t>
      </w:r>
      <w:r w:rsidR="00F77C11" w:rsidRPr="00D365FA">
        <w:t>dar</w:t>
      </w:r>
      <w:r w:rsidRPr="00D365FA">
        <w:t xml:space="preserve"> lugar a la violación de la privacidad </w:t>
      </w:r>
      <w:r w:rsidR="00F77C11" w:rsidRPr="00D365FA">
        <w:t>incluso</w:t>
      </w:r>
      <w:r w:rsidRPr="00D365FA">
        <w:t xml:space="preserve"> sin </w:t>
      </w:r>
      <w:r w:rsidR="00F77C11" w:rsidRPr="00D365FA">
        <w:t>ningún</w:t>
      </w:r>
      <w:r w:rsidRPr="00D365FA">
        <w:t xml:space="preserve"> recurso para ab</w:t>
      </w:r>
      <w:r w:rsidR="00643AE1">
        <w:t>ordar el tema de violación de</w:t>
      </w:r>
      <w:r w:rsidRPr="00D365FA">
        <w:t xml:space="preserve"> </w:t>
      </w:r>
      <w:r w:rsidR="00F77C11" w:rsidRPr="00D365FA">
        <w:t>privacidad</w:t>
      </w:r>
      <w:r w:rsidRPr="00D365FA">
        <w:t xml:space="preserve"> citando la no aplicabilidad de las </w:t>
      </w:r>
      <w:r w:rsidR="00F77C11" w:rsidRPr="00D365FA">
        <w:t>leyes</w:t>
      </w:r>
      <w:r w:rsidRPr="00D365FA">
        <w:t xml:space="preserve"> de </w:t>
      </w:r>
      <w:r w:rsidR="00F77C11" w:rsidRPr="00D365FA">
        <w:t>protección</w:t>
      </w:r>
      <w:r w:rsidRPr="00D365FA">
        <w:t xml:space="preserve"> de la privacidad a los no ciudadanos o estableciendo leyes </w:t>
      </w:r>
      <w:r w:rsidR="00F77C11" w:rsidRPr="00D365FA">
        <w:t>distintas</w:t>
      </w:r>
      <w:r w:rsidRPr="00D365FA">
        <w:t xml:space="preserve"> para ciudadano</w:t>
      </w:r>
      <w:r w:rsidR="00643AE1">
        <w:t>s</w:t>
      </w:r>
      <w:r w:rsidRPr="00D365FA">
        <w:t xml:space="preserve"> y no ciudadanos;</w:t>
      </w:r>
    </w:p>
    <w:p w:rsidR="00151DF5" w:rsidRDefault="00D365FA" w:rsidP="00D365FA">
      <w:r w:rsidRPr="004B5F8F">
        <w:rPr>
          <w:i/>
          <w:iCs/>
        </w:rPr>
        <w:t>e)</w:t>
      </w:r>
      <w:r>
        <w:tab/>
      </w:r>
      <w:r w:rsidR="00643AE1">
        <w:t>q</w:t>
      </w:r>
      <w:r w:rsidRPr="00D365FA">
        <w:t xml:space="preserve">ue las direcciones IP no </w:t>
      </w:r>
      <w:r w:rsidR="00F77C11" w:rsidRPr="00D365FA">
        <w:t>es</w:t>
      </w:r>
      <w:r w:rsidR="00151DF5">
        <w:t>tán</w:t>
      </w:r>
      <w:r w:rsidRPr="00D365FA">
        <w:t xml:space="preserve"> </w:t>
      </w:r>
      <w:r w:rsidR="00F77C11" w:rsidRPr="00D365FA">
        <w:t>distribuidas</w:t>
      </w:r>
      <w:r w:rsidRPr="00D365FA">
        <w:t xml:space="preserve"> de </w:t>
      </w:r>
      <w:r w:rsidR="00F77C11" w:rsidRPr="00D365FA">
        <w:t>manera</w:t>
      </w:r>
      <w:r w:rsidRPr="00D365FA">
        <w:t xml:space="preserve"> contigua, lo que </w:t>
      </w:r>
      <w:r w:rsidR="00F77C11" w:rsidRPr="00D365FA">
        <w:t>dificulta</w:t>
      </w:r>
      <w:r w:rsidRPr="00D365FA">
        <w:t xml:space="preserve"> el </w:t>
      </w:r>
      <w:r w:rsidR="00F77C11" w:rsidRPr="00D365FA">
        <w:t>seguimiento</w:t>
      </w:r>
      <w:r w:rsidRPr="00D365FA">
        <w:t xml:space="preserve"> de la comunicación en caso de necesidad según las leyes </w:t>
      </w:r>
      <w:r w:rsidR="009B571B">
        <w:t>nacionales,</w:t>
      </w:r>
    </w:p>
    <w:p w:rsidR="00D365FA" w:rsidRDefault="00151DF5" w:rsidP="00151DF5">
      <w:pPr>
        <w:pStyle w:val="Call"/>
      </w:pPr>
      <w:r>
        <w:t>resuelve</w:t>
      </w:r>
    </w:p>
    <w:p w:rsidR="00151DF5" w:rsidRDefault="00151DF5" w:rsidP="00151DF5">
      <w:r>
        <w:t>a</w:t>
      </w:r>
      <w:r w:rsidRPr="00151DF5">
        <w:t xml:space="preserve">bordar </w:t>
      </w:r>
      <w:r>
        <w:t>de manera sistemá</w:t>
      </w:r>
      <w:r w:rsidRPr="00151DF5">
        <w:t xml:space="preserve">tica </w:t>
      </w:r>
      <w:r>
        <w:t xml:space="preserve">las cuestiones que figuran </w:t>
      </w:r>
      <w:r w:rsidRPr="00151DF5">
        <w:t xml:space="preserve">en el </w:t>
      </w:r>
      <w:r w:rsidRPr="00151DF5">
        <w:rPr>
          <w:i/>
          <w:iCs/>
        </w:rPr>
        <w:t>considerado</w:t>
      </w:r>
      <w:r w:rsidRPr="00151DF5">
        <w:t xml:space="preserve"> de esta </w:t>
      </w:r>
      <w:r>
        <w:t>R</w:t>
      </w:r>
      <w:r w:rsidRPr="00151DF5">
        <w:t>esolución observando su importancia para prestar servicios basados en TIC a través de redes de telecomunicaciones públicas, en vista de la función de la UIT en la creación de confianza y seguridad en la utilización de las TIC y que el cumplimiento de esta función es fundamental para hacer realidad la sociedad de la información,</w:t>
      </w:r>
    </w:p>
    <w:p w:rsidR="00151DF5" w:rsidRDefault="00151DF5" w:rsidP="00151DF5">
      <w:pPr>
        <w:pStyle w:val="Call"/>
      </w:pPr>
      <w:r>
        <w:t>encarga al Director de la Oficina de Normalización de las Telecomunicaciones</w:t>
      </w:r>
    </w:p>
    <w:p w:rsidR="009171A3" w:rsidRDefault="009171A3" w:rsidP="009171A3">
      <w:r>
        <w:t>1</w:t>
      </w:r>
      <w:r>
        <w:tab/>
        <w:t xml:space="preserve">que emprenda estudios en colaboración con las </w:t>
      </w:r>
      <w:r w:rsidR="00C026B5">
        <w:t>organizaciones</w:t>
      </w:r>
      <w:r>
        <w:t xml:space="preserve"> </w:t>
      </w:r>
      <w:r w:rsidR="00C026B5">
        <w:t>pertinentes</w:t>
      </w:r>
      <w:r w:rsidR="001F6AE2">
        <w:rPr>
          <w:rStyle w:val="FootnoteReference"/>
        </w:rPr>
        <w:footnoteReference w:id="1"/>
      </w:r>
      <w:r>
        <w:t xml:space="preserve"> </w:t>
      </w:r>
      <w:r w:rsidR="00C026B5">
        <w:t>implicadas</w:t>
      </w:r>
      <w:r>
        <w:t xml:space="preserve"> en el desarrollo de redes basadas en IP y redes futuras:</w:t>
      </w:r>
    </w:p>
    <w:p w:rsidR="009171A3" w:rsidRDefault="00D80F11" w:rsidP="00C026B5">
      <w:pPr>
        <w:pStyle w:val="enumlev2"/>
      </w:pPr>
      <w:r>
        <w:t>a)</w:t>
      </w:r>
      <w:r>
        <w:tab/>
      </w:r>
      <w:r w:rsidR="009171A3">
        <w:t xml:space="preserve">para investigar el desarrollo de un sistema de denominación y </w:t>
      </w:r>
      <w:r w:rsidR="00C026B5">
        <w:t>numeración</w:t>
      </w:r>
      <w:r w:rsidR="009171A3">
        <w:t xml:space="preserve"> a </w:t>
      </w:r>
      <w:r w:rsidR="00C026B5">
        <w:t>partir</w:t>
      </w:r>
      <w:r w:rsidR="009171A3">
        <w:t xml:space="preserve"> del cual sea </w:t>
      </w:r>
      <w:r w:rsidR="00C026B5">
        <w:t>fácilmente</w:t>
      </w:r>
      <w:r>
        <w:t xml:space="preserve"> distingu</w:t>
      </w:r>
      <w:r w:rsidR="009171A3">
        <w:t xml:space="preserve">ible la denominación y la </w:t>
      </w:r>
      <w:r w:rsidR="00C026B5">
        <w:t>numeración</w:t>
      </w:r>
      <w:r w:rsidR="009171A3">
        <w:t xml:space="preserve"> de diferentes </w:t>
      </w:r>
      <w:r w:rsidR="00C026B5">
        <w:t>países</w:t>
      </w:r>
      <w:r w:rsidR="009171A3">
        <w:t>;</w:t>
      </w:r>
    </w:p>
    <w:p w:rsidR="009171A3" w:rsidRDefault="00D80F11" w:rsidP="00C026B5">
      <w:pPr>
        <w:pStyle w:val="enumlev2"/>
      </w:pPr>
      <w:r>
        <w:t>b)</w:t>
      </w:r>
      <w:r>
        <w:tab/>
        <w:t>p</w:t>
      </w:r>
      <w:r w:rsidR="009171A3">
        <w:t xml:space="preserve">ara desarrollar los principios de atribución, asignación y </w:t>
      </w:r>
      <w:r w:rsidR="00C026B5">
        <w:t>gestión</w:t>
      </w:r>
      <w:r w:rsidR="009171A3">
        <w:t xml:space="preserve"> de los recursos de IP incluida la atribución de nombres, </w:t>
      </w:r>
      <w:r w:rsidR="000018DB">
        <w:t>números</w:t>
      </w:r>
      <w:r w:rsidR="009171A3">
        <w:t xml:space="preserve"> y direcciones de una manera </w:t>
      </w:r>
      <w:r w:rsidR="00C026B5">
        <w:t>sistemática</w:t>
      </w:r>
      <w:r w:rsidR="009171A3">
        <w:t xml:space="preserve">, </w:t>
      </w:r>
      <w:r w:rsidR="00C026B5">
        <w:t>equitativa</w:t>
      </w:r>
      <w:r w:rsidR="009171A3">
        <w:t xml:space="preserve">, imparcial, </w:t>
      </w:r>
      <w:r w:rsidR="000018DB">
        <w:t>j</w:t>
      </w:r>
      <w:r w:rsidR="009171A3">
        <w:t xml:space="preserve">usta, democrática y </w:t>
      </w:r>
      <w:r w:rsidR="00C026B5">
        <w:t>transparente</w:t>
      </w:r>
      <w:r w:rsidR="009171A3">
        <w:t>;</w:t>
      </w:r>
    </w:p>
    <w:p w:rsidR="009171A3" w:rsidRDefault="000018DB" w:rsidP="004D7FA3">
      <w:pPr>
        <w:pStyle w:val="enumlev2"/>
      </w:pPr>
      <w:r>
        <w:t>c)</w:t>
      </w:r>
      <w:r>
        <w:tab/>
        <w:t>para hacer recomendacio</w:t>
      </w:r>
      <w:r w:rsidR="009171A3">
        <w:t>n</w:t>
      </w:r>
      <w:r>
        <w:t>es</w:t>
      </w:r>
      <w:r w:rsidR="009171A3">
        <w:t xml:space="preserve"> sobre capacidad de la red que asegur</w:t>
      </w:r>
      <w:r>
        <w:t>e</w:t>
      </w:r>
      <w:r w:rsidR="009171A3">
        <w:t xml:space="preserve"> de manera efectiva que la resolución de dirección para el </w:t>
      </w:r>
      <w:r w:rsidR="00C026B5">
        <w:t>tráfico</w:t>
      </w:r>
      <w:r w:rsidR="009171A3">
        <w:t xml:space="preserve"> </w:t>
      </w:r>
      <w:r w:rsidR="004D7FA3">
        <w:t>con origen y</w:t>
      </w:r>
      <w:r w:rsidR="009171A3">
        <w:t xml:space="preserve"> destinado a ser terminado por el usuario en el mis</w:t>
      </w:r>
      <w:r w:rsidR="004D7FA3">
        <w:t>m</w:t>
      </w:r>
      <w:r w:rsidR="009171A3">
        <w:t>o país/región tiene lugar dentro del país/región;</w:t>
      </w:r>
    </w:p>
    <w:p w:rsidR="009171A3" w:rsidRDefault="009171A3" w:rsidP="000134E8">
      <w:r>
        <w:t>2</w:t>
      </w:r>
      <w:r>
        <w:tab/>
      </w:r>
      <w:r w:rsidR="004D7FA3">
        <w:t>que emprenda</w:t>
      </w:r>
      <w:r>
        <w:t xml:space="preserve"> estudios en colaboración con las organizaciones pertinentes</w:t>
      </w:r>
      <w:r w:rsidR="00D47D9C">
        <w:rPr>
          <w:vertAlign w:val="superscript"/>
        </w:rPr>
        <w:t>1</w:t>
      </w:r>
      <w:r w:rsidR="00D47D9C">
        <w:t xml:space="preserve"> </w:t>
      </w:r>
      <w:r>
        <w:t xml:space="preserve">implicadas en el desarrollo de redes basadas en IP para recomendar un sistema que </w:t>
      </w:r>
      <w:r w:rsidR="00C026B5">
        <w:t>garantice</w:t>
      </w:r>
      <w:r>
        <w:t xml:space="preserve"> </w:t>
      </w:r>
      <w:r w:rsidR="00C026B5">
        <w:t>efectivamente</w:t>
      </w:r>
      <w:r w:rsidR="000134E8">
        <w:t xml:space="preserve"> que el tráfico con origen</w:t>
      </w:r>
      <w:r>
        <w:t xml:space="preserve"> y terminación en el mismo país </w:t>
      </w:r>
      <w:r w:rsidR="00C026B5">
        <w:t>permanece</w:t>
      </w:r>
      <w:r>
        <w:t xml:space="preserve"> dentro del país;</w:t>
      </w:r>
    </w:p>
    <w:p w:rsidR="009171A3" w:rsidRDefault="009171A3" w:rsidP="000134E8">
      <w:r>
        <w:t>3</w:t>
      </w:r>
      <w:r>
        <w:tab/>
      </w:r>
      <w:r w:rsidR="000134E8">
        <w:t>que emprenda</w:t>
      </w:r>
      <w:r>
        <w:t xml:space="preserve"> estudios en colaboración con las organizaciones pertinente</w:t>
      </w:r>
      <w:r w:rsidR="00891505">
        <w:t>s</w:t>
      </w:r>
      <w:r w:rsidR="00891505">
        <w:rPr>
          <w:vertAlign w:val="superscript"/>
        </w:rPr>
        <w:t>1</w:t>
      </w:r>
      <w:r>
        <w:t xml:space="preserve"> </w:t>
      </w:r>
      <w:r w:rsidR="000134E8">
        <w:t>implicada</w:t>
      </w:r>
      <w:r w:rsidR="00C026B5">
        <w:t>s</w:t>
      </w:r>
      <w:r>
        <w:t xml:space="preserve"> en el desarrollo de redes basadas en IP para </w:t>
      </w:r>
      <w:r w:rsidR="000037C9">
        <w:t>recomendar</w:t>
      </w:r>
      <w:r>
        <w:t xml:space="preserve"> medios efectivos de mantener registros fiables de las </w:t>
      </w:r>
      <w:r w:rsidR="00C026B5">
        <w:t>transacciones</w:t>
      </w:r>
      <w:r>
        <w:t xml:space="preserve"> </w:t>
      </w:r>
      <w:r w:rsidR="000134E8">
        <w:t>en</w:t>
      </w:r>
      <w:r>
        <w:t xml:space="preserve"> la red;</w:t>
      </w:r>
    </w:p>
    <w:p w:rsidR="00151DF5" w:rsidRDefault="009171A3" w:rsidP="000134E8">
      <w:r>
        <w:t>4</w:t>
      </w:r>
      <w:r>
        <w:tab/>
      </w:r>
      <w:r w:rsidR="000134E8">
        <w:t>que emprenda</w:t>
      </w:r>
      <w:r>
        <w:t xml:space="preserve"> estudios en colaboración con todas las partes interesadas implica</w:t>
      </w:r>
      <w:r w:rsidR="00C21322">
        <w:t>da</w:t>
      </w:r>
      <w:r>
        <w:t>s en el estudio de la</w:t>
      </w:r>
      <w:r w:rsidR="00C21322">
        <w:t>s deficiencias de lo</w:t>
      </w:r>
      <w:r>
        <w:t xml:space="preserve">s actuales protocolos utilizados por las redes de </w:t>
      </w:r>
      <w:r w:rsidR="00C026B5">
        <w:t>telecomunicaciones</w:t>
      </w:r>
      <w:r w:rsidR="00C21322">
        <w:t xml:space="preserve"> y elabore</w:t>
      </w:r>
      <w:r>
        <w:t xml:space="preserve"> y </w:t>
      </w:r>
      <w:r w:rsidR="00C21322">
        <w:t>recomiende</w:t>
      </w:r>
      <w:r>
        <w:t xml:space="preserve"> unos protocolos seguros, robustos y que </w:t>
      </w:r>
      <w:r w:rsidR="00C026B5">
        <w:t>dispongan</w:t>
      </w:r>
      <w:r>
        <w:t xml:space="preserve"> de mecanismos de </w:t>
      </w:r>
      <w:r w:rsidR="00C026B5">
        <w:t>protección</w:t>
      </w:r>
      <w:r>
        <w:t xml:space="preserve"> contra las intrusiones que satisfagan los </w:t>
      </w:r>
      <w:r w:rsidR="00C026B5">
        <w:t>requisitos</w:t>
      </w:r>
      <w:r>
        <w:t xml:space="preserve"> de las </w:t>
      </w:r>
      <w:r w:rsidR="00C026B5">
        <w:t>redes</w:t>
      </w:r>
      <w:r>
        <w:t xml:space="preserve"> futuras </w:t>
      </w:r>
      <w:r w:rsidR="00C026B5">
        <w:t>teni</w:t>
      </w:r>
      <w:r w:rsidR="00C21322">
        <w:t>en</w:t>
      </w:r>
      <w:r w:rsidR="00C026B5">
        <w:t>do</w:t>
      </w:r>
      <w:r>
        <w:t xml:space="preserve"> en </w:t>
      </w:r>
      <w:r w:rsidR="00C21322">
        <w:t>cuen</w:t>
      </w:r>
      <w:r w:rsidR="00C026B5">
        <w:t>ta</w:t>
      </w:r>
      <w:r>
        <w:t xml:space="preserve"> que en un próximo futuro al </w:t>
      </w:r>
      <w:r w:rsidR="00C026B5">
        <w:t>tráfico</w:t>
      </w:r>
      <w:r>
        <w:t xml:space="preserve"> y el </w:t>
      </w:r>
      <w:r w:rsidR="00C026B5">
        <w:t>número</w:t>
      </w:r>
      <w:r>
        <w:t xml:space="preserve"> de </w:t>
      </w:r>
      <w:r w:rsidR="00C21322">
        <w:t>dis</w:t>
      </w:r>
      <w:r w:rsidR="00C026B5">
        <w:t>positivos</w:t>
      </w:r>
      <w:r>
        <w:t xml:space="preserve"> finales </w:t>
      </w:r>
      <w:r w:rsidR="00C21322">
        <w:t>aumentará</w:t>
      </w:r>
      <w:r>
        <w:t>n de manera considerable como co</w:t>
      </w:r>
      <w:r w:rsidR="00C21322">
        <w:t>nsecuencia del Internet de las C</w:t>
      </w:r>
      <w:r>
        <w:t>osas y de las ne</w:t>
      </w:r>
      <w:r w:rsidR="00C21322">
        <w:t>cesidad de las comunicaciones má</w:t>
      </w:r>
      <w:r>
        <w:t xml:space="preserve">quina a </w:t>
      </w:r>
      <w:r w:rsidR="00C026B5">
        <w:t>máquina</w:t>
      </w:r>
      <w:r>
        <w:t>,</w:t>
      </w:r>
    </w:p>
    <w:p w:rsidR="009171A3" w:rsidRDefault="00C21322" w:rsidP="00C21322">
      <w:pPr>
        <w:pStyle w:val="Call"/>
      </w:pPr>
      <w:r>
        <w:t>invita a los Estados Miembros y a los Miembros de Sector</w:t>
      </w:r>
    </w:p>
    <w:p w:rsidR="00C21322" w:rsidRPr="00C21322" w:rsidRDefault="00C21322" w:rsidP="00C21322">
      <w:r w:rsidRPr="00C21322">
        <w:t>a que participen activamente en los debates sobre estos temas y prese</w:t>
      </w:r>
      <w:r>
        <w:t>nten contribuciones al respecto.</w:t>
      </w:r>
    </w:p>
    <w:p w:rsidR="0034013C" w:rsidRDefault="0034013C" w:rsidP="0032202E">
      <w:pPr>
        <w:pStyle w:val="Reasons"/>
      </w:pPr>
    </w:p>
    <w:p w:rsidR="00CB5B1C" w:rsidRDefault="00CB5B1C">
      <w:pPr>
        <w:jc w:val="center"/>
      </w:pPr>
      <w:r>
        <w:t>______________</w:t>
      </w:r>
    </w:p>
    <w:sectPr w:rsidR="00CB5B1C" w:rsidSect="00A70E95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051" w:rsidRDefault="00CA3051">
      <w:r>
        <w:separator/>
      </w:r>
    </w:p>
  </w:endnote>
  <w:endnote w:type="continuationSeparator" w:id="0">
    <w:p w:rsidR="00CA3051" w:rsidRDefault="00CA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802" w:rsidRDefault="009B571B" w:rsidP="00834802">
    <w:pPr>
      <w:pStyle w:val="Footer"/>
    </w:pPr>
    <w:fldSimple w:instr=" FILENAME \p  \* MERGEFORMAT ">
      <w:r w:rsidR="003D4F43">
        <w:t>P:\ESP\SG\CONF-SG\PP14\000\098REV1S.docx</w:t>
      </w:r>
    </w:fldSimple>
    <w:r w:rsidR="00834802">
      <w:t xml:space="preserve"> (372062)</w:t>
    </w:r>
    <w:r w:rsidR="00834802">
      <w:tab/>
    </w:r>
    <w:r w:rsidR="00834802">
      <w:fldChar w:fldCharType="begin"/>
    </w:r>
    <w:r w:rsidR="00834802">
      <w:instrText xml:space="preserve"> SAVEDATE \@ DD.MM.YY </w:instrText>
    </w:r>
    <w:r w:rsidR="00834802">
      <w:fldChar w:fldCharType="separate"/>
    </w:r>
    <w:r w:rsidR="000901D0">
      <w:t>03.11.14</w:t>
    </w:r>
    <w:r w:rsidR="00834802">
      <w:fldChar w:fldCharType="end"/>
    </w:r>
    <w:r w:rsidR="00834802">
      <w:tab/>
    </w:r>
    <w:r w:rsidR="00834802">
      <w:fldChar w:fldCharType="begin"/>
    </w:r>
    <w:r w:rsidR="00834802">
      <w:instrText xml:space="preserve"> PRINTDATE \@ DD.MM.YY </w:instrText>
    </w:r>
    <w:r w:rsidR="00834802">
      <w:fldChar w:fldCharType="separate"/>
    </w:r>
    <w:r w:rsidR="003D4F43">
      <w:t>00.00.00</w:t>
    </w:r>
    <w:r w:rsidR="0083480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B07DB" w:rsidRPr="00255FA1" w:rsidRDefault="004B07DB" w:rsidP="004B07DB">
    <w:pPr>
      <w:pStyle w:val="Footer"/>
      <w:jc w:val="center"/>
      <w:rPr>
        <w:lang w:val="en-US"/>
      </w:rPr>
    </w:pPr>
  </w:p>
  <w:p w:rsidR="004A63A9" w:rsidRPr="00921706" w:rsidRDefault="00CB5B1C" w:rsidP="00CB5B1C">
    <w:pPr>
      <w:pStyle w:val="Footer"/>
      <w:rPr>
        <w:color w:val="FFFFFF" w:themeColor="background1"/>
        <w:szCs w:val="16"/>
        <w:lang w:val="en-US"/>
      </w:rPr>
    </w:pPr>
    <w:r w:rsidRPr="00921706">
      <w:rPr>
        <w:noProof w:val="0"/>
        <w:color w:val="FFFFFF" w:themeColor="background1"/>
        <w:szCs w:val="16"/>
      </w:rPr>
      <w:fldChar w:fldCharType="begin"/>
    </w:r>
    <w:r w:rsidRPr="00921706">
      <w:rPr>
        <w:color w:val="FFFFFF" w:themeColor="background1"/>
        <w:szCs w:val="16"/>
        <w:lang w:val="en-US"/>
      </w:rPr>
      <w:instrText xml:space="preserve"> FILENAME \p  \* MERGEFORMAT </w:instrText>
    </w:r>
    <w:r w:rsidRPr="00921706">
      <w:rPr>
        <w:noProof w:val="0"/>
        <w:color w:val="FFFFFF" w:themeColor="background1"/>
        <w:szCs w:val="16"/>
      </w:rPr>
      <w:fldChar w:fldCharType="separate"/>
    </w:r>
    <w:r w:rsidR="003D4F43">
      <w:rPr>
        <w:color w:val="FFFFFF" w:themeColor="background1"/>
        <w:szCs w:val="16"/>
        <w:lang w:val="en-US"/>
      </w:rPr>
      <w:t>P:\ESP\SG\CONF-SG\PP14\000\098REV1S.docx</w:t>
    </w:r>
    <w:r w:rsidRPr="00921706">
      <w:rPr>
        <w:color w:val="FFFFFF" w:themeColor="background1"/>
        <w:szCs w:val="16"/>
      </w:rPr>
      <w:fldChar w:fldCharType="end"/>
    </w:r>
    <w:r w:rsidRPr="00921706">
      <w:rPr>
        <w:color w:val="FFFFFF" w:themeColor="background1"/>
        <w:szCs w:val="16"/>
        <w:lang w:val="en-US"/>
      </w:rPr>
      <w:t xml:space="preserve"> (371083)</w:t>
    </w:r>
    <w:r w:rsidRPr="00921706">
      <w:rPr>
        <w:color w:val="FFFFFF" w:themeColor="background1"/>
        <w:szCs w:val="16"/>
        <w:lang w:val="en-US"/>
      </w:rPr>
      <w:tab/>
    </w:r>
    <w:r w:rsidRPr="00921706">
      <w:rPr>
        <w:color w:val="FFFFFF" w:themeColor="background1"/>
        <w:szCs w:val="16"/>
      </w:rPr>
      <w:fldChar w:fldCharType="begin"/>
    </w:r>
    <w:r w:rsidRPr="00921706">
      <w:rPr>
        <w:color w:val="FFFFFF" w:themeColor="background1"/>
        <w:szCs w:val="16"/>
      </w:rPr>
      <w:instrText xml:space="preserve"> SAVEDATE \@ DD.MM.YY </w:instrText>
    </w:r>
    <w:r w:rsidRPr="00921706">
      <w:rPr>
        <w:color w:val="FFFFFF" w:themeColor="background1"/>
        <w:szCs w:val="16"/>
      </w:rPr>
      <w:fldChar w:fldCharType="separate"/>
    </w:r>
    <w:r w:rsidR="000901D0">
      <w:rPr>
        <w:color w:val="FFFFFF" w:themeColor="background1"/>
        <w:szCs w:val="16"/>
      </w:rPr>
      <w:t>03.11.14</w:t>
    </w:r>
    <w:r w:rsidRPr="00921706">
      <w:rPr>
        <w:color w:val="FFFFFF" w:themeColor="background1"/>
        <w:szCs w:val="16"/>
      </w:rPr>
      <w:fldChar w:fldCharType="end"/>
    </w:r>
    <w:r w:rsidRPr="00921706">
      <w:rPr>
        <w:color w:val="FFFFFF" w:themeColor="background1"/>
        <w:szCs w:val="16"/>
        <w:lang w:val="en-US"/>
      </w:rPr>
      <w:tab/>
    </w:r>
    <w:r w:rsidRPr="00921706">
      <w:rPr>
        <w:color w:val="FFFFFF" w:themeColor="background1"/>
        <w:szCs w:val="16"/>
      </w:rPr>
      <w:fldChar w:fldCharType="begin"/>
    </w:r>
    <w:r w:rsidRPr="00921706">
      <w:rPr>
        <w:color w:val="FFFFFF" w:themeColor="background1"/>
        <w:szCs w:val="16"/>
      </w:rPr>
      <w:instrText xml:space="preserve"> PRINTDATE \@ DD.MM.YY </w:instrText>
    </w:r>
    <w:r w:rsidRPr="00921706">
      <w:rPr>
        <w:color w:val="FFFFFF" w:themeColor="background1"/>
        <w:szCs w:val="16"/>
      </w:rPr>
      <w:fldChar w:fldCharType="separate"/>
    </w:r>
    <w:r w:rsidR="003D4F43">
      <w:rPr>
        <w:color w:val="FFFFFF" w:themeColor="background1"/>
        <w:szCs w:val="16"/>
      </w:rPr>
      <w:t>00.00.00</w:t>
    </w:r>
    <w:r w:rsidRPr="00921706">
      <w:rPr>
        <w:color w:val="FFFFFF" w:themeColor="background1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051" w:rsidRDefault="00CA3051">
      <w:r>
        <w:t>____________________</w:t>
      </w:r>
    </w:p>
  </w:footnote>
  <w:footnote w:type="continuationSeparator" w:id="0">
    <w:p w:rsidR="00CA3051" w:rsidRDefault="00CA3051">
      <w:r>
        <w:continuationSeparator/>
      </w:r>
    </w:p>
  </w:footnote>
  <w:footnote w:id="1">
    <w:p w:rsidR="001F6AE2" w:rsidRDefault="001F6AE2">
      <w:pPr>
        <w:pStyle w:val="FootnoteText"/>
      </w:pPr>
      <w:r>
        <w:rPr>
          <w:rStyle w:val="FootnoteReference"/>
        </w:rPr>
        <w:footnoteRef/>
      </w:r>
      <w:r>
        <w:tab/>
      </w:r>
      <w:r w:rsidRPr="001F6AE2">
        <w:t>Incluidas, entre otras, la Corporación de Internet para la Asignación de Nombres y de Números (ICANN), los registros regionales de Internet (RIR), el Grupo Especial sobre Ingeniería de Internet (IETF), la Sociedad de Internet (ISOC) y el Consorcio WWW (W3C), sobre la base de la reciprocidad.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901D0">
      <w:rPr>
        <w:noProof/>
      </w:rPr>
      <w:t>2</w:t>
    </w:r>
    <w:r>
      <w:fldChar w:fldCharType="end"/>
    </w:r>
  </w:p>
  <w:p w:rsidR="00255FA1" w:rsidRDefault="00255FA1" w:rsidP="00255FA1">
    <w:pPr>
      <w:pStyle w:val="Header"/>
    </w:pPr>
    <w:r>
      <w:rPr>
        <w:lang w:val="en-US"/>
      </w:rPr>
      <w:t>PP14</w:t>
    </w:r>
    <w:r>
      <w:t>/98</w:t>
    </w:r>
    <w:r w:rsidR="00F47348">
      <w:t>(Rev.1)</w:t>
    </w:r>
    <w:r>
      <w:t>-</w:t>
    </w:r>
    <w:r w:rsidRPr="00010B43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E0"/>
    <w:rsid w:val="0000188C"/>
    <w:rsid w:val="000018DB"/>
    <w:rsid w:val="000037C9"/>
    <w:rsid w:val="000134E8"/>
    <w:rsid w:val="00073C1F"/>
    <w:rsid w:val="000863AB"/>
    <w:rsid w:val="000901D0"/>
    <w:rsid w:val="00094A6C"/>
    <w:rsid w:val="000A1523"/>
    <w:rsid w:val="000B1752"/>
    <w:rsid w:val="000F24C2"/>
    <w:rsid w:val="0010546D"/>
    <w:rsid w:val="00151DF5"/>
    <w:rsid w:val="001632E3"/>
    <w:rsid w:val="001D4983"/>
    <w:rsid w:val="001D6EC3"/>
    <w:rsid w:val="001D787B"/>
    <w:rsid w:val="001E3D06"/>
    <w:rsid w:val="001F6AE2"/>
    <w:rsid w:val="00225F6B"/>
    <w:rsid w:val="00237C17"/>
    <w:rsid w:val="00242376"/>
    <w:rsid w:val="00255FA1"/>
    <w:rsid w:val="00262FF4"/>
    <w:rsid w:val="002C6527"/>
    <w:rsid w:val="002E44FC"/>
    <w:rsid w:val="0030537F"/>
    <w:rsid w:val="0034013C"/>
    <w:rsid w:val="003707E5"/>
    <w:rsid w:val="00391611"/>
    <w:rsid w:val="003D0027"/>
    <w:rsid w:val="003D4F43"/>
    <w:rsid w:val="003E6E73"/>
    <w:rsid w:val="003E796B"/>
    <w:rsid w:val="00484B72"/>
    <w:rsid w:val="00491A25"/>
    <w:rsid w:val="004A346E"/>
    <w:rsid w:val="004A63A9"/>
    <w:rsid w:val="004B07DB"/>
    <w:rsid w:val="004B09D4"/>
    <w:rsid w:val="004B0BCB"/>
    <w:rsid w:val="004B5F8F"/>
    <w:rsid w:val="004C39C6"/>
    <w:rsid w:val="004D23BA"/>
    <w:rsid w:val="004D7FA3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76F03"/>
    <w:rsid w:val="00591F6F"/>
    <w:rsid w:val="005B213F"/>
    <w:rsid w:val="005D1164"/>
    <w:rsid w:val="005D6488"/>
    <w:rsid w:val="005F6278"/>
    <w:rsid w:val="00601280"/>
    <w:rsid w:val="00641DBD"/>
    <w:rsid w:val="00643AE1"/>
    <w:rsid w:val="006455D2"/>
    <w:rsid w:val="006537F3"/>
    <w:rsid w:val="006A03AB"/>
    <w:rsid w:val="006B5512"/>
    <w:rsid w:val="006C190D"/>
    <w:rsid w:val="006C454B"/>
    <w:rsid w:val="006C7D9B"/>
    <w:rsid w:val="00720686"/>
    <w:rsid w:val="00737EFF"/>
    <w:rsid w:val="00750806"/>
    <w:rsid w:val="00790414"/>
    <w:rsid w:val="007957DC"/>
    <w:rsid w:val="007F6EBC"/>
    <w:rsid w:val="00834802"/>
    <w:rsid w:val="00841117"/>
    <w:rsid w:val="00882773"/>
    <w:rsid w:val="00891505"/>
    <w:rsid w:val="008B4706"/>
    <w:rsid w:val="008B6676"/>
    <w:rsid w:val="008E51C5"/>
    <w:rsid w:val="008F7109"/>
    <w:rsid w:val="009107B0"/>
    <w:rsid w:val="009171A3"/>
    <w:rsid w:val="00921706"/>
    <w:rsid w:val="009220DE"/>
    <w:rsid w:val="00930E84"/>
    <w:rsid w:val="00937614"/>
    <w:rsid w:val="0099270D"/>
    <w:rsid w:val="0099551E"/>
    <w:rsid w:val="00997488"/>
    <w:rsid w:val="009A1A86"/>
    <w:rsid w:val="009B571B"/>
    <w:rsid w:val="009E0C42"/>
    <w:rsid w:val="00A70E95"/>
    <w:rsid w:val="00A72524"/>
    <w:rsid w:val="00AA1F73"/>
    <w:rsid w:val="00AB34CA"/>
    <w:rsid w:val="00AD1E2F"/>
    <w:rsid w:val="00AD400E"/>
    <w:rsid w:val="00AF0DC5"/>
    <w:rsid w:val="00AF1114"/>
    <w:rsid w:val="00B501AB"/>
    <w:rsid w:val="00B54FE6"/>
    <w:rsid w:val="00B73978"/>
    <w:rsid w:val="00B77C4D"/>
    <w:rsid w:val="00BB13FE"/>
    <w:rsid w:val="00BC7EE2"/>
    <w:rsid w:val="00BF5475"/>
    <w:rsid w:val="00C026B5"/>
    <w:rsid w:val="00C11C17"/>
    <w:rsid w:val="00C17A7C"/>
    <w:rsid w:val="00C21322"/>
    <w:rsid w:val="00C42D2D"/>
    <w:rsid w:val="00C61A48"/>
    <w:rsid w:val="00C80F8F"/>
    <w:rsid w:val="00C84355"/>
    <w:rsid w:val="00C900B2"/>
    <w:rsid w:val="00CA3051"/>
    <w:rsid w:val="00CA5C11"/>
    <w:rsid w:val="00CB5B1C"/>
    <w:rsid w:val="00CD20D9"/>
    <w:rsid w:val="00CD701A"/>
    <w:rsid w:val="00D05AAE"/>
    <w:rsid w:val="00D05E6B"/>
    <w:rsid w:val="00D111EF"/>
    <w:rsid w:val="00D254A6"/>
    <w:rsid w:val="00D365FA"/>
    <w:rsid w:val="00D42B55"/>
    <w:rsid w:val="00D47D9C"/>
    <w:rsid w:val="00D57D70"/>
    <w:rsid w:val="00D80F11"/>
    <w:rsid w:val="00E05D81"/>
    <w:rsid w:val="00E53DFC"/>
    <w:rsid w:val="00E66FC3"/>
    <w:rsid w:val="00E677DD"/>
    <w:rsid w:val="00E77F17"/>
    <w:rsid w:val="00E921EC"/>
    <w:rsid w:val="00E9606A"/>
    <w:rsid w:val="00EB23D0"/>
    <w:rsid w:val="00EC395A"/>
    <w:rsid w:val="00F01632"/>
    <w:rsid w:val="00F04858"/>
    <w:rsid w:val="00F0537D"/>
    <w:rsid w:val="00F3510D"/>
    <w:rsid w:val="00F43D44"/>
    <w:rsid w:val="00F47348"/>
    <w:rsid w:val="00F77C11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21200ef-dbb7-40da-8b0f-ce885a7a8a3e">Documents Proposals Manager (DPM)</DPM_x0020_Author>
    <DPM_x0020_File_x0020_name xmlns="821200ef-dbb7-40da-8b0f-ce885a7a8a3e">S14-PP-C-0098!!MSW-S</DPM_x0020_File_x0020_name>
    <DPM_x0020_Version xmlns="821200ef-dbb7-40da-8b0f-ce885a7a8a3e">DPM_v5.7.1.34_prod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21200ef-dbb7-40da-8b0f-ce885a7a8a3e" targetNamespace="http://schemas.microsoft.com/office/2006/metadata/properties" ma:root="true" ma:fieldsID="d41af5c836d734370eb92e7ee5f83852" ns2:_="" ns3:_="">
    <xsd:import namespace="996b2e75-67fd-4955-a3b0-5ab9934cb50b"/>
    <xsd:import namespace="821200ef-dbb7-40da-8b0f-ce885a7a8a3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200ef-dbb7-40da-8b0f-ce885a7a8a3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www.w3.org/XML/1998/namespace"/>
    <ds:schemaRef ds:uri="821200ef-dbb7-40da-8b0f-ce885a7a8a3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996b2e75-67fd-4955-a3b0-5ab9934cb50b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21200ef-dbb7-40da-8b0f-ce885a7a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24145-BC89-4CD5-A85C-BFE7D442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1277</Words>
  <Characters>6843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S14-PP-C-0098!!MSW-S</vt:lpstr>
    </vt:vector>
  </TitlesOfParts>
  <Manager/>
  <Company/>
  <LinksUpToDate>false</LinksUpToDate>
  <CharactersWithSpaces>8104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S14-PP-C-0098!!MSW-S</dc:title>
  <dc:subject>Plenipotentiary Conference (PP-14)</dc:subject>
  <dc:creator/>
  <cp:keywords>DPM_v5.7.1.34_prod</cp:keywords>
  <dc:description/>
  <cp:lastModifiedBy/>
  <cp:revision>1</cp:revision>
  <dcterms:created xsi:type="dcterms:W3CDTF">2014-11-03T08:55:00Z</dcterms:created>
  <dcterms:modified xsi:type="dcterms:W3CDTF">2014-11-03T08:55:00Z</dcterms:modified>
  <cp:category>Conference document</cp:category>
</cp:coreProperties>
</file>