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675"/>
        <w:tblW w:w="10031" w:type="dxa"/>
        <w:tblLayout w:type="fixed"/>
        <w:tblLook w:val="0000" w:firstRow="0" w:lastRow="0" w:firstColumn="0" w:lastColumn="0" w:noHBand="0" w:noVBand="0"/>
      </w:tblPr>
      <w:tblGrid>
        <w:gridCol w:w="6912"/>
        <w:gridCol w:w="3119"/>
      </w:tblGrid>
      <w:tr w:rsidR="00730B17" w:rsidRPr="007E2AD4" w:rsidTr="00827A0B">
        <w:trPr>
          <w:cantSplit/>
        </w:trPr>
        <w:tc>
          <w:tcPr>
            <w:tcW w:w="6912" w:type="dxa"/>
          </w:tcPr>
          <w:p w:rsidR="00730B17" w:rsidRPr="007E2AD4" w:rsidRDefault="00730B17" w:rsidP="00936145">
            <w:pPr>
              <w:spacing w:before="360" w:after="48"/>
              <w:rPr>
                <w:position w:val="6"/>
              </w:rPr>
            </w:pPr>
            <w:bookmarkStart w:id="0" w:name="dpp"/>
            <w:bookmarkEnd w:id="0"/>
            <w:r w:rsidRPr="00730B17">
              <w:rPr>
                <w:rFonts w:cs="Times"/>
                <w:b/>
                <w:position w:val="6"/>
                <w:sz w:val="30"/>
                <w:szCs w:val="30"/>
              </w:rPr>
              <w:t>P</w:t>
            </w:r>
            <w:r w:rsidR="0098003F">
              <w:rPr>
                <w:rFonts w:cs="Times"/>
                <w:b/>
                <w:position w:val="6"/>
                <w:sz w:val="30"/>
                <w:szCs w:val="30"/>
              </w:rPr>
              <w:t>lenipotentiary Conference (PP-14</w:t>
            </w:r>
            <w:r w:rsidRPr="00730B17">
              <w:rPr>
                <w:rFonts w:cs="Times"/>
                <w:b/>
                <w:position w:val="6"/>
                <w:sz w:val="30"/>
                <w:szCs w:val="30"/>
              </w:rPr>
              <w:t>)</w:t>
            </w:r>
            <w:r w:rsidRPr="00730B17">
              <w:rPr>
                <w:rFonts w:cs="Times"/>
                <w:b/>
                <w:position w:val="6"/>
                <w:sz w:val="26"/>
                <w:szCs w:val="26"/>
              </w:rPr>
              <w:br/>
            </w:r>
            <w:r w:rsidR="0098003F">
              <w:rPr>
                <w:b/>
                <w:bCs/>
                <w:position w:val="6"/>
                <w:szCs w:val="24"/>
              </w:rPr>
              <w:t>Busan</w:t>
            </w:r>
            <w:r w:rsidRPr="00730B17">
              <w:rPr>
                <w:b/>
                <w:bCs/>
                <w:position w:val="6"/>
                <w:szCs w:val="24"/>
              </w:rPr>
              <w:t>, 2</w:t>
            </w:r>
            <w:r w:rsidR="0098003F">
              <w:rPr>
                <w:b/>
                <w:bCs/>
                <w:position w:val="6"/>
                <w:szCs w:val="24"/>
              </w:rPr>
              <w:t>0</w:t>
            </w:r>
            <w:r w:rsidRPr="00730B17">
              <w:rPr>
                <w:b/>
                <w:bCs/>
                <w:position w:val="6"/>
                <w:szCs w:val="24"/>
              </w:rPr>
              <w:t xml:space="preserve"> October</w:t>
            </w:r>
            <w:r w:rsidR="0098003F">
              <w:rPr>
                <w:b/>
                <w:bCs/>
                <w:position w:val="6"/>
                <w:szCs w:val="24"/>
              </w:rPr>
              <w:t xml:space="preserve"> – 7 November</w:t>
            </w:r>
            <w:r w:rsidRPr="00730B17">
              <w:rPr>
                <w:b/>
                <w:bCs/>
                <w:position w:val="6"/>
                <w:szCs w:val="24"/>
              </w:rPr>
              <w:t xml:space="preserve"> 201</w:t>
            </w:r>
            <w:r w:rsidR="0098003F">
              <w:rPr>
                <w:b/>
                <w:bCs/>
                <w:position w:val="6"/>
                <w:szCs w:val="24"/>
              </w:rPr>
              <w:t>4</w:t>
            </w:r>
          </w:p>
        </w:tc>
        <w:tc>
          <w:tcPr>
            <w:tcW w:w="3119" w:type="dxa"/>
          </w:tcPr>
          <w:p w:rsidR="00730B17" w:rsidRPr="007E2AD4" w:rsidRDefault="00730B17" w:rsidP="00936145">
            <w:pPr>
              <w:spacing w:before="0"/>
            </w:pPr>
            <w:bookmarkStart w:id="1" w:name="ditulogo"/>
            <w:bookmarkEnd w:id="1"/>
            <w:r>
              <w:rPr>
                <w:noProof/>
                <w:lang w:val="en-US" w:eastAsia="zh-CN"/>
              </w:rPr>
              <w:drawing>
                <wp:inline distT="0" distB="0" distL="0" distR="0" wp14:anchorId="13950536" wp14:editId="56F5A53C">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30B17" w:rsidRPr="007E2AD4" w:rsidTr="00827A0B">
        <w:trPr>
          <w:cantSplit/>
        </w:trPr>
        <w:tc>
          <w:tcPr>
            <w:tcW w:w="6912" w:type="dxa"/>
            <w:tcBorders>
              <w:bottom w:val="single" w:sz="12" w:space="0" w:color="auto"/>
            </w:tcBorders>
          </w:tcPr>
          <w:p w:rsidR="00730B17" w:rsidRPr="007E2AD4" w:rsidRDefault="00730B17" w:rsidP="00936145">
            <w:pPr>
              <w:spacing w:before="0" w:after="48"/>
              <w:rPr>
                <w:b/>
                <w:smallCaps/>
                <w:szCs w:val="24"/>
              </w:rPr>
            </w:pPr>
          </w:p>
        </w:tc>
        <w:tc>
          <w:tcPr>
            <w:tcW w:w="3119" w:type="dxa"/>
            <w:tcBorders>
              <w:bottom w:val="single" w:sz="12" w:space="0" w:color="auto"/>
            </w:tcBorders>
          </w:tcPr>
          <w:p w:rsidR="00730B17" w:rsidRPr="007E2AD4" w:rsidRDefault="00730B17" w:rsidP="00936145">
            <w:pPr>
              <w:spacing w:before="0"/>
              <w:rPr>
                <w:szCs w:val="24"/>
              </w:rPr>
            </w:pPr>
          </w:p>
        </w:tc>
      </w:tr>
      <w:tr w:rsidR="00730B17" w:rsidRPr="007E2AD4" w:rsidTr="00827A0B">
        <w:trPr>
          <w:cantSplit/>
        </w:trPr>
        <w:tc>
          <w:tcPr>
            <w:tcW w:w="6912" w:type="dxa"/>
            <w:tcBorders>
              <w:top w:val="single" w:sz="12" w:space="0" w:color="auto"/>
            </w:tcBorders>
          </w:tcPr>
          <w:p w:rsidR="00730B17" w:rsidRPr="007E2AD4" w:rsidRDefault="00730B17" w:rsidP="00936145">
            <w:pPr>
              <w:spacing w:before="0" w:after="48"/>
              <w:rPr>
                <w:b/>
                <w:smallCaps/>
                <w:szCs w:val="24"/>
              </w:rPr>
            </w:pPr>
          </w:p>
        </w:tc>
        <w:tc>
          <w:tcPr>
            <w:tcW w:w="3119" w:type="dxa"/>
            <w:tcBorders>
              <w:top w:val="single" w:sz="12" w:space="0" w:color="auto"/>
            </w:tcBorders>
          </w:tcPr>
          <w:p w:rsidR="00730B17" w:rsidRPr="007E2AD4" w:rsidRDefault="00730B17" w:rsidP="00936145">
            <w:pPr>
              <w:spacing w:before="0"/>
              <w:rPr>
                <w:szCs w:val="24"/>
              </w:rPr>
            </w:pPr>
          </w:p>
        </w:tc>
      </w:tr>
      <w:tr w:rsidR="00730B17" w:rsidRPr="007E2AD4" w:rsidTr="00827A0B">
        <w:trPr>
          <w:cantSplit/>
          <w:trHeight w:val="23"/>
        </w:trPr>
        <w:tc>
          <w:tcPr>
            <w:tcW w:w="6912" w:type="dxa"/>
            <w:vMerge w:val="restart"/>
          </w:tcPr>
          <w:p w:rsidR="00730B17" w:rsidRPr="00730B17" w:rsidRDefault="00730B17" w:rsidP="00936145">
            <w:pPr>
              <w:tabs>
                <w:tab w:val="left" w:pos="851"/>
              </w:tabs>
              <w:rPr>
                <w:b/>
              </w:rPr>
            </w:pPr>
            <w:bookmarkStart w:id="2" w:name="dmeeting" w:colFirst="0" w:colLast="0"/>
            <w:bookmarkStart w:id="3" w:name="dnum" w:colFirst="1" w:colLast="1"/>
            <w:r>
              <w:rPr>
                <w:b/>
              </w:rPr>
              <w:t>PLENARY MEETING</w:t>
            </w:r>
          </w:p>
        </w:tc>
        <w:tc>
          <w:tcPr>
            <w:tcW w:w="3119" w:type="dxa"/>
          </w:tcPr>
          <w:p w:rsidR="00730B17" w:rsidRPr="00936145" w:rsidRDefault="00730B17" w:rsidP="00EA49C6">
            <w:pPr>
              <w:tabs>
                <w:tab w:val="left" w:pos="851"/>
              </w:tabs>
              <w:spacing w:before="0"/>
              <w:rPr>
                <w:b/>
              </w:rPr>
            </w:pPr>
            <w:r w:rsidRPr="00936145">
              <w:rPr>
                <w:b/>
              </w:rPr>
              <w:t xml:space="preserve">Document </w:t>
            </w:r>
            <w:r w:rsidR="00082440">
              <w:rPr>
                <w:b/>
              </w:rPr>
              <w:t>112</w:t>
            </w:r>
            <w:r w:rsidR="00EA49C6">
              <w:rPr>
                <w:b/>
              </w:rPr>
              <w:t>-</w:t>
            </w:r>
            <w:r w:rsidRPr="00936145">
              <w:rPr>
                <w:b/>
              </w:rPr>
              <w:t>E</w:t>
            </w:r>
          </w:p>
        </w:tc>
      </w:tr>
      <w:tr w:rsidR="00730B17" w:rsidRPr="007E2AD4" w:rsidTr="00827A0B">
        <w:trPr>
          <w:cantSplit/>
          <w:trHeight w:val="23"/>
        </w:trPr>
        <w:tc>
          <w:tcPr>
            <w:tcW w:w="6912" w:type="dxa"/>
            <w:vMerge/>
          </w:tcPr>
          <w:p w:rsidR="00730B17" w:rsidRPr="007E2AD4" w:rsidRDefault="00730B17" w:rsidP="00936145">
            <w:pPr>
              <w:tabs>
                <w:tab w:val="left" w:pos="851"/>
              </w:tabs>
              <w:rPr>
                <w:b/>
              </w:rPr>
            </w:pPr>
            <w:bookmarkStart w:id="4" w:name="ddate" w:colFirst="1" w:colLast="1"/>
            <w:bookmarkEnd w:id="2"/>
            <w:bookmarkEnd w:id="3"/>
          </w:p>
        </w:tc>
        <w:tc>
          <w:tcPr>
            <w:tcW w:w="3119" w:type="dxa"/>
          </w:tcPr>
          <w:p w:rsidR="00730B17" w:rsidRPr="00936145" w:rsidRDefault="00082440" w:rsidP="00936145">
            <w:pPr>
              <w:tabs>
                <w:tab w:val="left" w:pos="993"/>
              </w:tabs>
              <w:spacing w:before="0"/>
              <w:rPr>
                <w:b/>
              </w:rPr>
            </w:pPr>
            <w:r>
              <w:rPr>
                <w:b/>
              </w:rPr>
              <w:t>27</w:t>
            </w:r>
            <w:r w:rsidR="00EA49C6">
              <w:rPr>
                <w:b/>
              </w:rPr>
              <w:t xml:space="preserve"> </w:t>
            </w:r>
            <w:r w:rsidR="00730B17" w:rsidRPr="00936145">
              <w:rPr>
                <w:b/>
              </w:rPr>
              <w:t>October 201</w:t>
            </w:r>
            <w:r w:rsidR="0098003F" w:rsidRPr="00936145">
              <w:rPr>
                <w:b/>
              </w:rPr>
              <w:t>4</w:t>
            </w:r>
          </w:p>
        </w:tc>
      </w:tr>
      <w:tr w:rsidR="00730B17" w:rsidRPr="007E2AD4" w:rsidTr="00827A0B">
        <w:trPr>
          <w:cantSplit/>
          <w:trHeight w:val="23"/>
        </w:trPr>
        <w:tc>
          <w:tcPr>
            <w:tcW w:w="6912" w:type="dxa"/>
            <w:vMerge/>
          </w:tcPr>
          <w:p w:rsidR="00730B17" w:rsidRPr="007E2AD4" w:rsidRDefault="00730B17" w:rsidP="00936145">
            <w:pPr>
              <w:tabs>
                <w:tab w:val="left" w:pos="851"/>
              </w:tabs>
              <w:rPr>
                <w:b/>
              </w:rPr>
            </w:pPr>
            <w:bookmarkStart w:id="5" w:name="dorlang" w:colFirst="1" w:colLast="1"/>
            <w:bookmarkEnd w:id="4"/>
          </w:p>
        </w:tc>
        <w:tc>
          <w:tcPr>
            <w:tcW w:w="3119" w:type="dxa"/>
          </w:tcPr>
          <w:p w:rsidR="00730B17" w:rsidRPr="00730B17" w:rsidRDefault="00730B17" w:rsidP="00936145">
            <w:pPr>
              <w:tabs>
                <w:tab w:val="left" w:pos="993"/>
              </w:tabs>
              <w:spacing w:before="0"/>
              <w:rPr>
                <w:b/>
              </w:rPr>
            </w:pPr>
            <w:r>
              <w:rPr>
                <w:b/>
              </w:rPr>
              <w:t>Original: English</w:t>
            </w:r>
          </w:p>
        </w:tc>
      </w:tr>
    </w:tbl>
    <w:tbl>
      <w:tblPr>
        <w:tblW w:w="5144" w:type="pct"/>
        <w:tblLook w:val="0000" w:firstRow="0" w:lastRow="0" w:firstColumn="0" w:lastColumn="0" w:noHBand="0" w:noVBand="0"/>
      </w:tblPr>
      <w:tblGrid>
        <w:gridCol w:w="9812"/>
        <w:gridCol w:w="111"/>
      </w:tblGrid>
      <w:tr w:rsidR="00730B17" w:rsidTr="00EA49C6">
        <w:trPr>
          <w:cantSplit/>
        </w:trPr>
        <w:tc>
          <w:tcPr>
            <w:tcW w:w="5000" w:type="pct"/>
            <w:gridSpan w:val="2"/>
          </w:tcPr>
          <w:bookmarkEnd w:id="5"/>
          <w:p w:rsidR="00730B17" w:rsidRDefault="009817C1" w:rsidP="00936145">
            <w:pPr>
              <w:pStyle w:val="Title1"/>
              <w:spacing w:before="720"/>
            </w:pPr>
            <w:r>
              <w:t>MINUTES</w:t>
            </w:r>
          </w:p>
          <w:p w:rsidR="00730B17" w:rsidRDefault="00730B17" w:rsidP="00936145">
            <w:pPr>
              <w:pStyle w:val="Title1"/>
            </w:pPr>
            <w:r>
              <w:t>OF THE</w:t>
            </w:r>
          </w:p>
          <w:p w:rsidR="00730B17" w:rsidRDefault="00082440" w:rsidP="00936145">
            <w:pPr>
              <w:pStyle w:val="Title1"/>
            </w:pPr>
            <w:r>
              <w:t>third</w:t>
            </w:r>
            <w:r w:rsidR="009817C1">
              <w:t xml:space="preserve"> PLENARY MEETING</w:t>
            </w:r>
          </w:p>
        </w:tc>
      </w:tr>
      <w:tr w:rsidR="00730B17" w:rsidTr="00EA49C6">
        <w:trPr>
          <w:gridAfter w:val="1"/>
          <w:wAfter w:w="56" w:type="pct"/>
          <w:cantSplit/>
        </w:trPr>
        <w:tc>
          <w:tcPr>
            <w:tcW w:w="4944" w:type="pct"/>
          </w:tcPr>
          <w:p w:rsidR="00730B17" w:rsidRDefault="00082440" w:rsidP="00082440">
            <w:pPr>
              <w:pStyle w:val="Normalaftertitle"/>
              <w:jc w:val="center"/>
            </w:pPr>
            <w:r>
              <w:rPr>
                <w:rFonts w:asciiTheme="minorHAnsi" w:hAnsiTheme="minorHAnsi"/>
                <w:szCs w:val="24"/>
              </w:rPr>
              <w:t>Tuesday</w:t>
            </w:r>
            <w:r w:rsidR="00490372">
              <w:rPr>
                <w:rFonts w:asciiTheme="minorHAnsi" w:hAnsiTheme="minorHAnsi"/>
                <w:szCs w:val="24"/>
              </w:rPr>
              <w:t>, 2</w:t>
            </w:r>
            <w:r>
              <w:rPr>
                <w:rFonts w:asciiTheme="minorHAnsi" w:hAnsiTheme="minorHAnsi"/>
                <w:szCs w:val="24"/>
              </w:rPr>
              <w:t>1</w:t>
            </w:r>
            <w:r w:rsidR="009817C1">
              <w:rPr>
                <w:rFonts w:asciiTheme="minorHAnsi" w:hAnsiTheme="minorHAnsi"/>
                <w:szCs w:val="24"/>
              </w:rPr>
              <w:t xml:space="preserve"> Octo</w:t>
            </w:r>
            <w:r>
              <w:rPr>
                <w:rFonts w:asciiTheme="minorHAnsi" w:hAnsiTheme="minorHAnsi"/>
                <w:szCs w:val="24"/>
              </w:rPr>
              <w:t>ber 2014, at 1440</w:t>
            </w:r>
            <w:r w:rsidR="009817C1">
              <w:rPr>
                <w:rFonts w:asciiTheme="minorHAnsi" w:hAnsiTheme="minorHAnsi"/>
                <w:szCs w:val="24"/>
              </w:rPr>
              <w:t xml:space="preserve"> hours</w:t>
            </w:r>
          </w:p>
        </w:tc>
      </w:tr>
      <w:tr w:rsidR="00730B17" w:rsidTr="00EA49C6">
        <w:trPr>
          <w:gridAfter w:val="1"/>
          <w:wAfter w:w="56" w:type="pct"/>
          <w:cantSplit/>
        </w:trPr>
        <w:tc>
          <w:tcPr>
            <w:tcW w:w="4944" w:type="pct"/>
          </w:tcPr>
          <w:p w:rsidR="00730B17" w:rsidRDefault="00730B17" w:rsidP="00936145">
            <w:pPr>
              <w:jc w:val="center"/>
            </w:pPr>
            <w:r>
              <w:rPr>
                <w:b/>
                <w:bCs/>
              </w:rPr>
              <w:t>Chairman:</w:t>
            </w:r>
            <w:r>
              <w:t xml:space="preserve"> </w:t>
            </w:r>
            <w:r w:rsidR="0084503B">
              <w:t xml:space="preserve">Mr </w:t>
            </w:r>
            <w:r w:rsidR="00220823">
              <w:t>W.</w:t>
            </w:r>
            <w:r w:rsidR="009817C1">
              <w:t xml:space="preserve"> </w:t>
            </w:r>
            <w:r w:rsidR="0084503B">
              <w:t>MIN</w:t>
            </w:r>
            <w:r w:rsidR="009817C1" w:rsidRPr="00015DC2">
              <w:rPr>
                <w:rFonts w:asciiTheme="minorHAnsi" w:hAnsiTheme="minorHAnsi"/>
                <w:szCs w:val="24"/>
              </w:rPr>
              <w:t xml:space="preserve"> (</w:t>
            </w:r>
            <w:r w:rsidR="0084503B">
              <w:rPr>
                <w:rFonts w:asciiTheme="minorHAnsi" w:hAnsiTheme="minorHAnsi"/>
                <w:szCs w:val="24"/>
              </w:rPr>
              <w:t>Republic of Korea</w:t>
            </w:r>
            <w:r w:rsidR="009817C1" w:rsidRPr="00015DC2">
              <w:rPr>
                <w:rFonts w:asciiTheme="minorHAnsi" w:hAnsiTheme="minorHAnsi"/>
                <w:szCs w:val="24"/>
              </w:rPr>
              <w:t>)</w:t>
            </w:r>
          </w:p>
        </w:tc>
      </w:tr>
    </w:tbl>
    <w:p w:rsidR="009817C1" w:rsidRPr="00015DC2" w:rsidRDefault="009817C1" w:rsidP="00936145">
      <w:pPr>
        <w:rPr>
          <w:rFonts w:asciiTheme="minorHAnsi" w:hAnsiTheme="minorHAnsi"/>
          <w:szCs w:val="24"/>
        </w:rPr>
      </w:pPr>
    </w:p>
    <w:tbl>
      <w:tblPr>
        <w:tblW w:w="10031" w:type="dxa"/>
        <w:tblLook w:val="0000" w:firstRow="0" w:lastRow="0" w:firstColumn="0" w:lastColumn="0" w:noHBand="0" w:noVBand="0"/>
      </w:tblPr>
      <w:tblGrid>
        <w:gridCol w:w="534"/>
        <w:gridCol w:w="7164"/>
        <w:gridCol w:w="2333"/>
      </w:tblGrid>
      <w:tr w:rsidR="009817C1" w:rsidRPr="00015DC2" w:rsidTr="00827A0B">
        <w:tc>
          <w:tcPr>
            <w:tcW w:w="534" w:type="dxa"/>
          </w:tcPr>
          <w:p w:rsidR="009817C1" w:rsidRPr="00015DC2" w:rsidRDefault="009817C1" w:rsidP="00936145">
            <w:pPr>
              <w:pStyle w:val="toc0"/>
              <w:rPr>
                <w:rFonts w:asciiTheme="minorHAnsi" w:hAnsiTheme="minorHAnsi"/>
                <w:szCs w:val="24"/>
              </w:rPr>
            </w:pPr>
          </w:p>
        </w:tc>
        <w:tc>
          <w:tcPr>
            <w:tcW w:w="7164" w:type="dxa"/>
          </w:tcPr>
          <w:p w:rsidR="009817C1" w:rsidRPr="00015DC2" w:rsidRDefault="009817C1" w:rsidP="00936145">
            <w:pPr>
              <w:pStyle w:val="toc0"/>
              <w:rPr>
                <w:rFonts w:asciiTheme="minorHAnsi" w:hAnsiTheme="minorHAnsi"/>
                <w:szCs w:val="24"/>
              </w:rPr>
            </w:pPr>
            <w:r w:rsidRPr="00015DC2">
              <w:rPr>
                <w:rFonts w:asciiTheme="minorHAnsi" w:hAnsiTheme="minorHAnsi"/>
                <w:szCs w:val="24"/>
              </w:rPr>
              <w:t>Subjects discussed</w:t>
            </w:r>
          </w:p>
        </w:tc>
        <w:tc>
          <w:tcPr>
            <w:tcW w:w="2333" w:type="dxa"/>
          </w:tcPr>
          <w:p w:rsidR="009817C1" w:rsidRPr="00015DC2" w:rsidRDefault="009817C1" w:rsidP="00936145">
            <w:pPr>
              <w:pStyle w:val="toc0"/>
              <w:jc w:val="center"/>
              <w:rPr>
                <w:rFonts w:asciiTheme="minorHAnsi" w:hAnsiTheme="minorHAnsi"/>
                <w:szCs w:val="24"/>
              </w:rPr>
            </w:pPr>
            <w:r w:rsidRPr="00015DC2">
              <w:rPr>
                <w:rFonts w:asciiTheme="minorHAnsi" w:hAnsiTheme="minorHAnsi"/>
                <w:szCs w:val="24"/>
              </w:rPr>
              <w:t>Documents</w:t>
            </w:r>
          </w:p>
        </w:tc>
      </w:tr>
      <w:tr w:rsidR="009817C1" w:rsidRPr="00015DC2" w:rsidTr="00827A0B">
        <w:tc>
          <w:tcPr>
            <w:tcW w:w="534" w:type="dxa"/>
          </w:tcPr>
          <w:p w:rsidR="009817C1" w:rsidRPr="00015DC2" w:rsidRDefault="009817C1" w:rsidP="00936145">
            <w:r w:rsidRPr="00015DC2">
              <w:t>1</w:t>
            </w:r>
          </w:p>
        </w:tc>
        <w:tc>
          <w:tcPr>
            <w:tcW w:w="7164" w:type="dxa"/>
          </w:tcPr>
          <w:p w:rsidR="009817C1" w:rsidRPr="00015DC2" w:rsidRDefault="00082440" w:rsidP="00936145">
            <w:r w:rsidRPr="00015DC2">
              <w:t>General policy statements</w:t>
            </w:r>
            <w:r>
              <w:t xml:space="preserve"> (continued)</w:t>
            </w:r>
          </w:p>
        </w:tc>
        <w:tc>
          <w:tcPr>
            <w:tcW w:w="2333" w:type="dxa"/>
          </w:tcPr>
          <w:p w:rsidR="009817C1" w:rsidRPr="00015DC2" w:rsidRDefault="009817C1" w:rsidP="00936145">
            <w:pPr>
              <w:jc w:val="center"/>
            </w:pPr>
            <w:r w:rsidRPr="00015DC2">
              <w:t>–</w:t>
            </w:r>
          </w:p>
        </w:tc>
      </w:tr>
      <w:tr w:rsidR="009817C1" w:rsidRPr="00015DC2" w:rsidTr="00827A0B">
        <w:tc>
          <w:tcPr>
            <w:tcW w:w="534" w:type="dxa"/>
          </w:tcPr>
          <w:p w:rsidR="009817C1" w:rsidRPr="00015DC2" w:rsidRDefault="009817C1" w:rsidP="00936145">
            <w:r w:rsidRPr="00015DC2">
              <w:t>2</w:t>
            </w:r>
          </w:p>
        </w:tc>
        <w:tc>
          <w:tcPr>
            <w:tcW w:w="7164" w:type="dxa"/>
          </w:tcPr>
          <w:p w:rsidR="009817C1" w:rsidRPr="00015DC2" w:rsidRDefault="00082440" w:rsidP="00936145">
            <w:r>
              <w:t>Launch of ITU’s 150</w:t>
            </w:r>
            <w:r w:rsidRPr="005D223D">
              <w:rPr>
                <w:vertAlign w:val="superscript"/>
              </w:rPr>
              <w:t>th</w:t>
            </w:r>
            <w:r>
              <w:t xml:space="preserve"> anniversary celebrations</w:t>
            </w:r>
          </w:p>
        </w:tc>
        <w:tc>
          <w:tcPr>
            <w:tcW w:w="2333" w:type="dxa"/>
          </w:tcPr>
          <w:p w:rsidR="009817C1" w:rsidRPr="00015DC2" w:rsidRDefault="009817C1" w:rsidP="00936145">
            <w:pPr>
              <w:jc w:val="center"/>
            </w:pPr>
            <w:r w:rsidRPr="00015DC2">
              <w:t>–</w:t>
            </w:r>
          </w:p>
        </w:tc>
      </w:tr>
    </w:tbl>
    <w:p w:rsidR="00082440" w:rsidRPr="00082440" w:rsidRDefault="000736F6" w:rsidP="00082440">
      <w:pPr>
        <w:tabs>
          <w:tab w:val="clear" w:pos="567"/>
          <w:tab w:val="clear" w:pos="1134"/>
          <w:tab w:val="clear" w:pos="1701"/>
          <w:tab w:val="clear" w:pos="2268"/>
          <w:tab w:val="clear" w:pos="2835"/>
        </w:tabs>
        <w:snapToGrid w:val="0"/>
        <w:spacing w:after="120"/>
        <w:rPr>
          <w:b/>
          <w:bCs/>
          <w:sz w:val="28"/>
          <w:szCs w:val="28"/>
        </w:rPr>
      </w:pPr>
      <w:r>
        <w:br w:type="page"/>
      </w:r>
      <w:r w:rsidR="00082440" w:rsidRPr="00082440">
        <w:rPr>
          <w:b/>
          <w:bCs/>
          <w:sz w:val="28"/>
          <w:szCs w:val="28"/>
        </w:rPr>
        <w:lastRenderedPageBreak/>
        <w:t>1</w:t>
      </w:r>
      <w:r w:rsidR="00082440" w:rsidRPr="00082440">
        <w:rPr>
          <w:b/>
          <w:bCs/>
          <w:sz w:val="28"/>
          <w:szCs w:val="28"/>
        </w:rPr>
        <w:tab/>
        <w:t>General policy statements (continued</w:t>
      </w:r>
      <w:bookmarkStart w:id="6" w:name="_GoBack"/>
      <w:bookmarkEnd w:id="6"/>
      <w:r w:rsidR="00082440" w:rsidRPr="00082440">
        <w:rPr>
          <w:b/>
          <w:bCs/>
          <w:sz w:val="28"/>
          <w:szCs w:val="28"/>
        </w:rPr>
        <w:t>)</w:t>
      </w:r>
      <w:r w:rsidR="00082440" w:rsidRPr="00082440">
        <w:rPr>
          <w:rStyle w:val="FootnoteReference"/>
          <w:b/>
          <w:bCs/>
          <w:sz w:val="28"/>
          <w:szCs w:val="28"/>
        </w:rPr>
        <w:footnoteReference w:id="1"/>
      </w:r>
    </w:p>
    <w:p w:rsidR="00082440" w:rsidRDefault="00082440" w:rsidP="00082440">
      <w:pPr>
        <w:tabs>
          <w:tab w:val="clear" w:pos="567"/>
          <w:tab w:val="clear" w:pos="1134"/>
          <w:tab w:val="clear" w:pos="1701"/>
          <w:tab w:val="clear" w:pos="2268"/>
          <w:tab w:val="clear" w:pos="2835"/>
        </w:tabs>
        <w:snapToGrid w:val="0"/>
        <w:spacing w:after="120"/>
      </w:pPr>
      <w:r>
        <w:t>1.1</w:t>
      </w:r>
      <w:r>
        <w:tab/>
        <w:t xml:space="preserve">The following speakers made general policy statements: </w:t>
      </w:r>
    </w:p>
    <w:p w:rsidR="00082440" w:rsidRPr="004354CA"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Marius-</w:t>
      </w:r>
      <w:proofErr w:type="spellStart"/>
      <w:r w:rsidRPr="001E0F09">
        <w:t>Catalin</w:t>
      </w:r>
      <w:proofErr w:type="spellEnd"/>
      <w:r w:rsidRPr="001E0F09">
        <w:t xml:space="preserve"> MARINESCU</w:t>
      </w:r>
      <w:r>
        <w:t xml:space="preserve">, </w:t>
      </w:r>
      <w:r w:rsidRPr="001E0F09">
        <w:t>President, National Authority for Management and Regulation in Communications (ANCOM</w:t>
      </w:r>
      <w:r>
        <w:t>) (Romania</w:t>
      </w:r>
      <w:r w:rsidRPr="001E0F09">
        <w:t>)</w:t>
      </w:r>
      <w:r>
        <w:t>;</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t>Ms</w:t>
      </w:r>
      <w:r w:rsidRPr="001E0F09">
        <w:t xml:space="preserve"> Monika KARAS</w:t>
      </w:r>
      <w:r>
        <w:t xml:space="preserve">, </w:t>
      </w:r>
      <w:r w:rsidRPr="001E0F09">
        <w:t xml:space="preserve">President, National Media and </w:t>
      </w:r>
      <w:proofErr w:type="spellStart"/>
      <w:r w:rsidRPr="001E0F09">
        <w:t>Infocommunications</w:t>
      </w:r>
      <w:proofErr w:type="spellEnd"/>
      <w:r w:rsidRPr="001E0F09">
        <w:t xml:space="preserve"> Authority</w:t>
      </w:r>
      <w:r>
        <w:t xml:space="preserve"> (Hungary);</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Mohamed </w:t>
      </w:r>
      <w:proofErr w:type="spellStart"/>
      <w:r w:rsidRPr="001E0F09">
        <w:t>Lemine</w:t>
      </w:r>
      <w:proofErr w:type="spellEnd"/>
      <w:r w:rsidRPr="001E0F09">
        <w:t xml:space="preserve"> EL MAMY</w:t>
      </w:r>
      <w:r>
        <w:t xml:space="preserve">, </w:t>
      </w:r>
      <w:r w:rsidRPr="001E0F09">
        <w:t xml:space="preserve">Minister, Ministry of Employment, Professional Training, New </w:t>
      </w:r>
      <w:r>
        <w:t>T</w:t>
      </w:r>
      <w:r w:rsidRPr="001E0F09">
        <w:t>echnologies and Telecommunications</w:t>
      </w:r>
      <w:r>
        <w:t xml:space="preserve"> (Mauritania);</w:t>
      </w:r>
    </w:p>
    <w:p w:rsidR="00082440"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w:t>
      </w:r>
      <w:proofErr w:type="spellStart"/>
      <w:r w:rsidRPr="001E0F09">
        <w:t>Koulidiati</w:t>
      </w:r>
      <w:proofErr w:type="spellEnd"/>
      <w:r w:rsidRPr="001E0F09">
        <w:t xml:space="preserve"> JEAN</w:t>
      </w:r>
      <w:r>
        <w:t xml:space="preserve">, </w:t>
      </w:r>
      <w:r w:rsidRPr="001E0F09">
        <w:t>Minister, Ministry of Development, Digital Economy and Posts</w:t>
      </w:r>
      <w:r>
        <w:t xml:space="preserve"> (Burkina Faso); at the end of his statement, the speaker announced that his country was making a symbolic contribution of USD 100 000 to ITU.</w:t>
      </w:r>
    </w:p>
    <w:p w:rsidR="00082440" w:rsidRDefault="00082440" w:rsidP="00082440">
      <w:pPr>
        <w:tabs>
          <w:tab w:val="clear" w:pos="567"/>
          <w:tab w:val="clear" w:pos="1134"/>
          <w:tab w:val="clear" w:pos="1701"/>
          <w:tab w:val="clear" w:pos="2268"/>
          <w:tab w:val="clear" w:pos="2835"/>
        </w:tabs>
        <w:snapToGrid w:val="0"/>
        <w:spacing w:after="120"/>
        <w:ind w:left="720" w:hanging="720"/>
      </w:pPr>
      <w:r>
        <w:t>1.2</w:t>
      </w:r>
      <w:r>
        <w:tab/>
        <w:t xml:space="preserve">The </w:t>
      </w:r>
      <w:r>
        <w:rPr>
          <w:b/>
          <w:bCs/>
        </w:rPr>
        <w:t xml:space="preserve">Chairman </w:t>
      </w:r>
      <w:r>
        <w:t>thanked Burkina Faso for its generosity.</w:t>
      </w:r>
    </w:p>
    <w:p w:rsidR="00082440" w:rsidRPr="005E4C29" w:rsidRDefault="00082440" w:rsidP="00082440">
      <w:pPr>
        <w:tabs>
          <w:tab w:val="clear" w:pos="567"/>
          <w:tab w:val="clear" w:pos="1134"/>
          <w:tab w:val="clear" w:pos="1701"/>
          <w:tab w:val="clear" w:pos="2268"/>
          <w:tab w:val="clear" w:pos="2835"/>
        </w:tabs>
        <w:snapToGrid w:val="0"/>
        <w:spacing w:after="120"/>
        <w:ind w:left="720" w:hanging="720"/>
      </w:pPr>
      <w:r>
        <w:t>1.3</w:t>
      </w:r>
      <w:r>
        <w:tab/>
        <w:t>General policy statements (continued)</w:t>
      </w:r>
    </w:p>
    <w:p w:rsidR="00082440"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Mohammad AL GHANIM</w:t>
      </w:r>
      <w:r>
        <w:t xml:space="preserve">, </w:t>
      </w:r>
      <w:r w:rsidRPr="001E0F09">
        <w:t>Director General, Telecommunications Regulatory Authority</w:t>
      </w:r>
      <w:r>
        <w:t xml:space="preserve"> (United Arab Emirates); at the end of his statement, the speaker declared that the United Arab Emirates was proposing to host the 2018 plenipotentiary conference and sought delegates’ support in that regard.</w:t>
      </w:r>
    </w:p>
    <w:p w:rsidR="00082440" w:rsidRDefault="00082440" w:rsidP="00082440">
      <w:pPr>
        <w:tabs>
          <w:tab w:val="clear" w:pos="567"/>
          <w:tab w:val="clear" w:pos="1134"/>
          <w:tab w:val="clear" w:pos="1701"/>
          <w:tab w:val="clear" w:pos="2268"/>
          <w:tab w:val="clear" w:pos="2835"/>
        </w:tabs>
        <w:snapToGrid w:val="0"/>
        <w:spacing w:after="120"/>
        <w:ind w:left="720" w:hanging="720"/>
      </w:pPr>
      <w:r>
        <w:t>1.4</w:t>
      </w:r>
      <w:r>
        <w:tab/>
        <w:t xml:space="preserve">The proposal was </w:t>
      </w:r>
      <w:r>
        <w:rPr>
          <w:b/>
          <w:bCs/>
        </w:rPr>
        <w:t>approved</w:t>
      </w:r>
      <w:r>
        <w:t xml:space="preserve"> by acclamation.</w:t>
      </w:r>
    </w:p>
    <w:p w:rsidR="00082440" w:rsidRDefault="00082440" w:rsidP="00082440">
      <w:pPr>
        <w:tabs>
          <w:tab w:val="clear" w:pos="567"/>
          <w:tab w:val="clear" w:pos="1134"/>
          <w:tab w:val="clear" w:pos="1701"/>
          <w:tab w:val="clear" w:pos="2268"/>
          <w:tab w:val="clear" w:pos="2835"/>
        </w:tabs>
        <w:snapToGrid w:val="0"/>
        <w:spacing w:after="120"/>
        <w:ind w:left="720" w:hanging="720"/>
      </w:pPr>
      <w:r>
        <w:t>1.5</w:t>
      </w:r>
      <w:r>
        <w:tab/>
        <w:t xml:space="preserve">The </w:t>
      </w:r>
      <w:r>
        <w:rPr>
          <w:b/>
          <w:bCs/>
        </w:rPr>
        <w:t>Chairman</w:t>
      </w:r>
      <w:r>
        <w:t xml:space="preserve"> said that the United Arab Emirates would thus be the host country of the 2018 plenipotentiary conference, and that this would be reflected in a revision of Resolution 77 (Rev. Guadalajara, 2010). He thanked and congratulated the United Arab Emirates.</w:t>
      </w:r>
    </w:p>
    <w:p w:rsidR="00082440" w:rsidRPr="00C40385" w:rsidRDefault="00082440" w:rsidP="00082440">
      <w:pPr>
        <w:tabs>
          <w:tab w:val="clear" w:pos="567"/>
          <w:tab w:val="clear" w:pos="1134"/>
          <w:tab w:val="clear" w:pos="1701"/>
          <w:tab w:val="clear" w:pos="2268"/>
          <w:tab w:val="clear" w:pos="2835"/>
        </w:tabs>
        <w:snapToGrid w:val="0"/>
        <w:spacing w:after="120"/>
        <w:ind w:left="720" w:hanging="720"/>
      </w:pPr>
      <w:r>
        <w:t>1.6</w:t>
      </w:r>
      <w:r>
        <w:tab/>
        <w:t xml:space="preserve">The </w:t>
      </w:r>
      <w:r>
        <w:rPr>
          <w:b/>
          <w:bCs/>
        </w:rPr>
        <w:t>Secretary-General</w:t>
      </w:r>
      <w:r>
        <w:t xml:space="preserve"> thanked the United Arab Emirates for its offer to host PP-18. He greatly appreciated the constant support that the United Arab Emirates had provided to him personally throughout his tenure at ITU, and to ITU itself, by hosting virtually each type of major ITU conference over the past several years, including the GSR, and by helping to fund ITU’s ICT Discovery museum.</w:t>
      </w:r>
    </w:p>
    <w:p w:rsidR="00082440" w:rsidRPr="005E4C29" w:rsidRDefault="00082440" w:rsidP="00082440">
      <w:pPr>
        <w:tabs>
          <w:tab w:val="clear" w:pos="567"/>
          <w:tab w:val="clear" w:pos="1134"/>
          <w:tab w:val="clear" w:pos="1701"/>
          <w:tab w:val="clear" w:pos="2268"/>
          <w:tab w:val="clear" w:pos="2835"/>
        </w:tabs>
        <w:snapToGrid w:val="0"/>
        <w:spacing w:after="120"/>
        <w:ind w:left="720" w:hanging="720"/>
      </w:pPr>
      <w:r>
        <w:t>1.7</w:t>
      </w:r>
      <w:r>
        <w:tab/>
        <w:t>General policy statements (continued):</w:t>
      </w:r>
    </w:p>
    <w:p w:rsidR="00082440" w:rsidRPr="005C38B1"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Ms </w:t>
      </w:r>
      <w:proofErr w:type="spellStart"/>
      <w:r w:rsidRPr="001E0F09">
        <w:t>Zohra</w:t>
      </w:r>
      <w:proofErr w:type="spellEnd"/>
      <w:r w:rsidRPr="001E0F09">
        <w:t xml:space="preserve"> DERDOURI</w:t>
      </w:r>
      <w:r w:rsidRPr="005C38B1">
        <w:t xml:space="preserve">, </w:t>
      </w:r>
      <w:r w:rsidRPr="001E0F09">
        <w:t>Minister, Ministry of Post, Information and Communication Technologies</w:t>
      </w:r>
      <w:r>
        <w:t xml:space="preserve"> (Algeria);</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w:t>
      </w:r>
      <w:proofErr w:type="spellStart"/>
      <w:r w:rsidRPr="001E0F09">
        <w:t>Makame</w:t>
      </w:r>
      <w:proofErr w:type="spellEnd"/>
      <w:r w:rsidRPr="001E0F09">
        <w:t xml:space="preserve"> </w:t>
      </w:r>
      <w:proofErr w:type="spellStart"/>
      <w:r w:rsidRPr="001E0F09">
        <w:t>Mnyaa</w:t>
      </w:r>
      <w:proofErr w:type="spellEnd"/>
      <w:r w:rsidRPr="001E0F09">
        <w:t xml:space="preserve"> MARAWA</w:t>
      </w:r>
      <w:r>
        <w:t xml:space="preserve">, </w:t>
      </w:r>
      <w:r w:rsidRPr="001E0F09">
        <w:t>Minister of Communi</w:t>
      </w:r>
      <w:r>
        <w:t>cations, Science and Technology</w:t>
      </w:r>
      <w:r w:rsidRPr="001E0F09">
        <w:t xml:space="preserve"> </w:t>
      </w:r>
      <w:r>
        <w:t>(Tanzania);</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w:t>
      </w:r>
      <w:proofErr w:type="spellStart"/>
      <w:r w:rsidRPr="001E0F09">
        <w:t>Amirzai</w:t>
      </w:r>
      <w:proofErr w:type="spellEnd"/>
      <w:r w:rsidRPr="001E0F09">
        <w:t xml:space="preserve"> SANGIN</w:t>
      </w:r>
      <w:r>
        <w:t xml:space="preserve">, Minister, </w:t>
      </w:r>
      <w:r w:rsidRPr="001E0F09">
        <w:t>Ministry of Communications and Information Technology (MCIT</w:t>
      </w:r>
      <w:r>
        <w:t>) (Afghanistan);</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Bruno </w:t>
      </w:r>
      <w:proofErr w:type="spellStart"/>
      <w:r w:rsidRPr="001E0F09">
        <w:t>Nabagné</w:t>
      </w:r>
      <w:proofErr w:type="spellEnd"/>
      <w:r w:rsidRPr="001E0F09">
        <w:t xml:space="preserve"> KONE</w:t>
      </w:r>
      <w:r>
        <w:t xml:space="preserve">, </w:t>
      </w:r>
      <w:r w:rsidRPr="001E0F09">
        <w:t>Minister, Ministry of Post and Information</w:t>
      </w:r>
      <w:r>
        <w:t xml:space="preserve"> and</w:t>
      </w:r>
      <w:r w:rsidRPr="001E0F09">
        <w:t xml:space="preserve"> Communication Technologies</w:t>
      </w:r>
      <w:r>
        <w:t xml:space="preserve"> (Côte d’Ivoire);</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w:t>
      </w:r>
      <w:proofErr w:type="spellStart"/>
      <w:r w:rsidRPr="001E0F09">
        <w:t>Panji</w:t>
      </w:r>
      <w:proofErr w:type="spellEnd"/>
      <w:r w:rsidRPr="001E0F09">
        <w:t xml:space="preserve"> KAUNDA</w:t>
      </w:r>
      <w:r>
        <w:t xml:space="preserve">, </w:t>
      </w:r>
      <w:r w:rsidRPr="001E0F09">
        <w:t xml:space="preserve">Deputy Minister, Ministry of </w:t>
      </w:r>
      <w:r>
        <w:t>T</w:t>
      </w:r>
      <w:r w:rsidRPr="001E0F09">
        <w:t xml:space="preserve">ransport, </w:t>
      </w:r>
      <w:r>
        <w:t>W</w:t>
      </w:r>
      <w:r w:rsidRPr="001E0F09">
        <w:t xml:space="preserve">orks, </w:t>
      </w:r>
      <w:r>
        <w:t>S</w:t>
      </w:r>
      <w:r w:rsidRPr="001E0F09">
        <w:t xml:space="preserve">upply and </w:t>
      </w:r>
      <w:r>
        <w:t>C</w:t>
      </w:r>
      <w:r w:rsidRPr="001E0F09">
        <w:t>ommunications</w:t>
      </w:r>
      <w:r>
        <w:t xml:space="preserve"> (Zambia);</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Rakesh GARG</w:t>
      </w:r>
      <w:r>
        <w:t xml:space="preserve">, </w:t>
      </w:r>
      <w:r w:rsidRPr="001E0F09">
        <w:t xml:space="preserve">Vice Minister, Ministry of Communications </w:t>
      </w:r>
      <w:r>
        <w:t>and</w:t>
      </w:r>
      <w:r w:rsidRPr="001E0F09">
        <w:t xml:space="preserve"> Information Technol</w:t>
      </w:r>
      <w:r>
        <w:t>o</w:t>
      </w:r>
      <w:r w:rsidRPr="001E0F09">
        <w:t>gy</w:t>
      </w:r>
      <w:r>
        <w:t xml:space="preserve"> (India);</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w:t>
      </w:r>
      <w:proofErr w:type="spellStart"/>
      <w:r w:rsidRPr="001E0F09">
        <w:t>Myat</w:t>
      </w:r>
      <w:proofErr w:type="spellEnd"/>
      <w:r w:rsidRPr="001E0F09">
        <w:t xml:space="preserve"> HEIN</w:t>
      </w:r>
      <w:r>
        <w:t xml:space="preserve">, </w:t>
      </w:r>
      <w:r w:rsidRPr="001E0F09">
        <w:t>Union Minister, Ministry of Communications and Information Technology</w:t>
      </w:r>
      <w:r>
        <w:t xml:space="preserve"> (Myanmar);</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Mahmoud VAEZ</w:t>
      </w:r>
      <w:r>
        <w:t xml:space="preserve">I, </w:t>
      </w:r>
      <w:r w:rsidRPr="001E0F09">
        <w:t>Minister, Ministry of Communication and Infor</w:t>
      </w:r>
      <w:r>
        <w:t>ma</w:t>
      </w:r>
      <w:r w:rsidRPr="001E0F09">
        <w:t>tion Technology</w:t>
      </w:r>
      <w:r>
        <w:t xml:space="preserve"> (Islamic Republic of Iran);</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w:t>
      </w:r>
      <w:proofErr w:type="spellStart"/>
      <w:r w:rsidRPr="001E0F09">
        <w:t>Raúl</w:t>
      </w:r>
      <w:proofErr w:type="spellEnd"/>
      <w:r w:rsidRPr="001E0F09">
        <w:t xml:space="preserve"> Pérez-Reyes ESPEJO, Vice-Minister of Communications, Minist</w:t>
      </w:r>
      <w:r>
        <w:t>ry of Transport</w:t>
      </w:r>
      <w:r w:rsidRPr="001E0F09">
        <w:t xml:space="preserve"> and Communication</w:t>
      </w:r>
      <w:r>
        <w:t>s (Peru);</w:t>
      </w:r>
    </w:p>
    <w:p w:rsidR="00082440" w:rsidRPr="001E0F09"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 xml:space="preserve">Mr José </w:t>
      </w:r>
      <w:proofErr w:type="spellStart"/>
      <w:r w:rsidRPr="001E0F09">
        <w:t>Carvalho</w:t>
      </w:r>
      <w:proofErr w:type="spellEnd"/>
      <w:r w:rsidRPr="001E0F09">
        <w:t xml:space="preserve"> da ROCHA</w:t>
      </w:r>
      <w:r>
        <w:t>,</w:t>
      </w:r>
      <w:r w:rsidRPr="001E0F09">
        <w:t xml:space="preserve"> Minister, Ministry of Telecommunications and Information Technologies</w:t>
      </w:r>
      <w:r>
        <w:t xml:space="preserve"> (Angola);</w:t>
      </w:r>
    </w:p>
    <w:p w:rsidR="00082440" w:rsidRPr="005C38B1"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Alejandro JIMENEZ, Executive Director, Institute of Telecommunication (INDOTEL)</w:t>
      </w:r>
      <w:r>
        <w:t xml:space="preserve"> (Dominican Republic)</w:t>
      </w:r>
    </w:p>
    <w:p w:rsidR="00082440" w:rsidRPr="005C38B1"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Ms Karen PIERCE</w:t>
      </w:r>
      <w:r>
        <w:t xml:space="preserve">, </w:t>
      </w:r>
      <w:r w:rsidRPr="001E0F09">
        <w:t xml:space="preserve">Ambassador and Permanent Representative to </w:t>
      </w:r>
      <w:r>
        <w:t>the United Kingdom</w:t>
      </w:r>
      <w:r w:rsidRPr="001E0F09">
        <w:t xml:space="preserve"> Mission to the U</w:t>
      </w:r>
      <w:r>
        <w:t>nited Nations</w:t>
      </w:r>
      <w:r w:rsidRPr="001E0F09">
        <w:t xml:space="preserve"> and other</w:t>
      </w:r>
      <w:r>
        <w:t xml:space="preserve"> i</w:t>
      </w:r>
      <w:r w:rsidRPr="001E0F09">
        <w:t xml:space="preserve">nternational </w:t>
      </w:r>
      <w:r>
        <w:t>o</w:t>
      </w:r>
      <w:r w:rsidRPr="001E0F09">
        <w:t>rganisations, Foreign and Commonwealth Office (FCO)</w:t>
      </w:r>
      <w:r>
        <w:t xml:space="preserve"> (United Kingdom);</w:t>
      </w:r>
    </w:p>
    <w:p w:rsidR="00082440"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Jorge JURAIDINI</w:t>
      </w:r>
      <w:r>
        <w:t>,</w:t>
      </w:r>
      <w:r w:rsidRPr="005C38B1">
        <w:t xml:space="preserve"> </w:t>
      </w:r>
      <w:r w:rsidRPr="001E0F09">
        <w:t>Head, Telecommunication Agency</w:t>
      </w:r>
      <w:r>
        <w:t xml:space="preserve"> (Mexico); at the end of his statement, the speaker announced his country’s intention to increase its contribution to ITU from one to three contributory units.</w:t>
      </w:r>
    </w:p>
    <w:p w:rsidR="00082440" w:rsidRDefault="00082440" w:rsidP="00082440">
      <w:pPr>
        <w:tabs>
          <w:tab w:val="clear" w:pos="567"/>
          <w:tab w:val="clear" w:pos="1134"/>
          <w:tab w:val="clear" w:pos="1701"/>
          <w:tab w:val="clear" w:pos="2268"/>
          <w:tab w:val="clear" w:pos="2835"/>
        </w:tabs>
        <w:snapToGrid w:val="0"/>
        <w:spacing w:after="120"/>
      </w:pPr>
      <w:r>
        <w:t>1.8</w:t>
      </w:r>
      <w:r>
        <w:tab/>
        <w:t xml:space="preserve">The </w:t>
      </w:r>
      <w:r>
        <w:rPr>
          <w:b/>
          <w:bCs/>
        </w:rPr>
        <w:t>Secretary-General</w:t>
      </w:r>
      <w:r>
        <w:t xml:space="preserve"> and the </w:t>
      </w:r>
      <w:r>
        <w:rPr>
          <w:b/>
          <w:bCs/>
        </w:rPr>
        <w:t>Chairman</w:t>
      </w:r>
      <w:r>
        <w:t xml:space="preserve"> thanked Mexico for its generous commitment to ITU.</w:t>
      </w:r>
    </w:p>
    <w:p w:rsidR="00082440" w:rsidRPr="00875C4D" w:rsidRDefault="00082440" w:rsidP="00082440">
      <w:pPr>
        <w:tabs>
          <w:tab w:val="clear" w:pos="567"/>
          <w:tab w:val="clear" w:pos="1134"/>
          <w:tab w:val="clear" w:pos="1701"/>
          <w:tab w:val="clear" w:pos="2268"/>
          <w:tab w:val="clear" w:pos="2835"/>
        </w:tabs>
        <w:snapToGrid w:val="0"/>
        <w:spacing w:after="120"/>
      </w:pPr>
      <w:r>
        <w:t>1.9</w:t>
      </w:r>
      <w:r>
        <w:tab/>
        <w:t>General policy statements (continued):</w:t>
      </w:r>
    </w:p>
    <w:p w:rsidR="00082440" w:rsidRPr="005C38B1" w:rsidRDefault="00082440" w:rsidP="00082440">
      <w:pPr>
        <w:tabs>
          <w:tab w:val="clear" w:pos="567"/>
          <w:tab w:val="clear" w:pos="1134"/>
          <w:tab w:val="clear" w:pos="1701"/>
          <w:tab w:val="clear" w:pos="2268"/>
          <w:tab w:val="clear" w:pos="2835"/>
        </w:tabs>
        <w:snapToGrid w:val="0"/>
        <w:spacing w:after="120"/>
        <w:ind w:left="1276" w:hanging="567"/>
      </w:pPr>
      <w:r>
        <w:t>−</w:t>
      </w:r>
      <w:r>
        <w:tab/>
      </w:r>
      <w:r w:rsidRPr="001E0F09">
        <w:t>Mr Georgios KOMODROMOS</w:t>
      </w:r>
      <w:r>
        <w:t xml:space="preserve">, </w:t>
      </w:r>
      <w:r w:rsidRPr="001E0F09">
        <w:t xml:space="preserve">Acting Director, Ministry of Communications </w:t>
      </w:r>
      <w:r>
        <w:t>and</w:t>
      </w:r>
      <w:r w:rsidRPr="001E0F09">
        <w:t xml:space="preserve"> Works</w:t>
      </w:r>
      <w:r>
        <w:t xml:space="preserve"> (Cyprus);</w:t>
      </w:r>
    </w:p>
    <w:p w:rsidR="00082440" w:rsidRDefault="00082440" w:rsidP="00082440">
      <w:pPr>
        <w:tabs>
          <w:tab w:val="clear" w:pos="567"/>
          <w:tab w:val="clear" w:pos="1134"/>
          <w:tab w:val="clear" w:pos="1701"/>
          <w:tab w:val="clear" w:pos="2268"/>
          <w:tab w:val="clear" w:pos="2835"/>
        </w:tabs>
        <w:snapToGrid w:val="0"/>
        <w:spacing w:after="120"/>
        <w:ind w:left="1276" w:hanging="567"/>
      </w:pPr>
      <w:r>
        <w:t>−</w:t>
      </w:r>
      <w:r>
        <w:tab/>
        <w:t xml:space="preserve">Mr </w:t>
      </w:r>
      <w:proofErr w:type="spellStart"/>
      <w:r>
        <w:t>Feliksas</w:t>
      </w:r>
      <w:proofErr w:type="spellEnd"/>
      <w:r>
        <w:t xml:space="preserve"> DOBROVOLSKIS, </w:t>
      </w:r>
      <w:r w:rsidRPr="001E0F09">
        <w:t>Director-General of RRT, Chairman of RRT Board, Communications Regulatory Authority (RRT)</w:t>
      </w:r>
      <w:r>
        <w:t xml:space="preserve"> (Lithuania).</w:t>
      </w:r>
    </w:p>
    <w:p w:rsidR="00082440" w:rsidRPr="00082440" w:rsidRDefault="00082440" w:rsidP="00082440">
      <w:pPr>
        <w:tabs>
          <w:tab w:val="clear" w:pos="567"/>
          <w:tab w:val="clear" w:pos="1134"/>
          <w:tab w:val="clear" w:pos="1701"/>
          <w:tab w:val="clear" w:pos="2268"/>
          <w:tab w:val="clear" w:pos="2835"/>
        </w:tabs>
        <w:snapToGrid w:val="0"/>
        <w:spacing w:before="360" w:after="120"/>
        <w:rPr>
          <w:b/>
          <w:bCs/>
          <w:sz w:val="28"/>
          <w:szCs w:val="28"/>
        </w:rPr>
      </w:pPr>
      <w:r w:rsidRPr="00082440">
        <w:rPr>
          <w:b/>
          <w:bCs/>
          <w:sz w:val="28"/>
          <w:szCs w:val="28"/>
        </w:rPr>
        <w:t>2</w:t>
      </w:r>
      <w:r w:rsidRPr="00082440">
        <w:rPr>
          <w:b/>
          <w:bCs/>
          <w:sz w:val="28"/>
          <w:szCs w:val="28"/>
        </w:rPr>
        <w:tab/>
        <w:t>Launch of ITU’s 150</w:t>
      </w:r>
      <w:r w:rsidRPr="00082440">
        <w:rPr>
          <w:b/>
          <w:bCs/>
          <w:sz w:val="28"/>
          <w:szCs w:val="28"/>
          <w:vertAlign w:val="superscript"/>
        </w:rPr>
        <w:t>th</w:t>
      </w:r>
      <w:r w:rsidRPr="00082440">
        <w:rPr>
          <w:b/>
          <w:bCs/>
          <w:sz w:val="28"/>
          <w:szCs w:val="28"/>
        </w:rPr>
        <w:t xml:space="preserve"> anniversary celebrations</w:t>
      </w:r>
    </w:p>
    <w:p w:rsidR="00082440" w:rsidRDefault="00082440" w:rsidP="00082440">
      <w:pPr>
        <w:tabs>
          <w:tab w:val="clear" w:pos="567"/>
          <w:tab w:val="clear" w:pos="1134"/>
          <w:tab w:val="clear" w:pos="1701"/>
          <w:tab w:val="clear" w:pos="2268"/>
          <w:tab w:val="clear" w:pos="2835"/>
        </w:tabs>
        <w:snapToGrid w:val="0"/>
        <w:spacing w:after="120"/>
      </w:pPr>
      <w:r>
        <w:t>2.1</w:t>
      </w:r>
      <w:r>
        <w:tab/>
        <w:t xml:space="preserve">The </w:t>
      </w:r>
      <w:r>
        <w:rPr>
          <w:b/>
          <w:bCs/>
        </w:rPr>
        <w:t>Chairman of the Council Working Group on ITU’s 150</w:t>
      </w:r>
      <w:r w:rsidRPr="00A3729D">
        <w:rPr>
          <w:b/>
          <w:bCs/>
          <w:vertAlign w:val="superscript"/>
        </w:rPr>
        <w:t>th</w:t>
      </w:r>
      <w:r>
        <w:rPr>
          <w:b/>
          <w:bCs/>
        </w:rPr>
        <w:t xml:space="preserve"> Anniversary </w:t>
      </w:r>
      <w:r>
        <w:t xml:space="preserve">congratulated ITU and wished ITU all the best for the next 150 years, calling on the entire membership to keep up their support. He hoped that the Union would remain strong and continue to pursue its work in a spirit of solidarity. </w:t>
      </w:r>
    </w:p>
    <w:p w:rsidR="00082440" w:rsidRDefault="00082440" w:rsidP="00082440">
      <w:pPr>
        <w:tabs>
          <w:tab w:val="clear" w:pos="567"/>
          <w:tab w:val="clear" w:pos="1134"/>
          <w:tab w:val="clear" w:pos="1701"/>
          <w:tab w:val="clear" w:pos="2268"/>
          <w:tab w:val="clear" w:pos="2835"/>
        </w:tabs>
        <w:snapToGrid w:val="0"/>
        <w:spacing w:after="120"/>
        <w:rPr>
          <w:b/>
          <w:bCs/>
        </w:rPr>
      </w:pPr>
      <w:r>
        <w:rPr>
          <w:b/>
          <w:bCs/>
        </w:rPr>
        <w:t>2.2</w:t>
      </w:r>
      <w:r>
        <w:rPr>
          <w:b/>
          <w:bCs/>
        </w:rPr>
        <w:tab/>
      </w:r>
      <w:r w:rsidRPr="009B2F61">
        <w:rPr>
          <w:b/>
          <w:bCs/>
        </w:rPr>
        <w:t>A 4-minute video entitled “ITU turns 150 in 2015” was screened.</w:t>
      </w:r>
    </w:p>
    <w:p w:rsidR="00082440" w:rsidRPr="00640EA6" w:rsidRDefault="00082440" w:rsidP="00082440">
      <w:pPr>
        <w:tabs>
          <w:tab w:val="clear" w:pos="567"/>
          <w:tab w:val="clear" w:pos="1134"/>
          <w:tab w:val="clear" w:pos="1701"/>
          <w:tab w:val="clear" w:pos="2268"/>
          <w:tab w:val="clear" w:pos="2835"/>
        </w:tabs>
        <w:snapToGrid w:val="0"/>
        <w:spacing w:after="120"/>
      </w:pPr>
      <w:r>
        <w:t>2.3</w:t>
      </w:r>
      <w:r>
        <w:tab/>
        <w:t>Addressing the meeting against a projected background of the ITU’s 150</w:t>
      </w:r>
      <w:r w:rsidRPr="00640EA6">
        <w:rPr>
          <w:vertAlign w:val="superscript"/>
        </w:rPr>
        <w:t>th</w:t>
      </w:r>
      <w:r>
        <w:t xml:space="preserve"> anniversary logo, the </w:t>
      </w:r>
      <w:r w:rsidRPr="00640EA6">
        <w:rPr>
          <w:b/>
          <w:bCs/>
        </w:rPr>
        <w:t>Secretary-General</w:t>
      </w:r>
      <w:r>
        <w:rPr>
          <w:b/>
          <w:bCs/>
        </w:rPr>
        <w:t xml:space="preserve"> </w:t>
      </w:r>
      <w:r>
        <w:t xml:space="preserve">said that on 17 May 2015, ITU would celebrate the 150th anniversary of the first International Telegraph Convention and the creation of the International Telegraph Union, the forerunner of ITU. The work of ITU was recognized worldwide, not least for example by an </w:t>
      </w:r>
      <w:proofErr w:type="spellStart"/>
      <w:r>
        <w:t>Emmy</w:t>
      </w:r>
      <w:proofErr w:type="spellEnd"/>
      <w:r>
        <w:t xml:space="preserve"> award for the H.264 coding standard used by more than 80 per cent of all web videos. He invited the Union’s membership to celebrate the anniversary each in their own way, to complement the key celebratory event in Geneva under the theme “Telecommunications and ICTs – Drivers of Innovation”. He especially thanked the following partners for their support to the celebration: Gold partners – Azerbaijan’s Ministry of Communications and High Technologies, Saudi Arabia’s Ministry of Communications and Information Technology, and the United Arab Emirates’ Telecommunications Regulatory Authority; Silver partners – Ghana’s Ministry of Communications, and Zimbabwe’s Postal and Telecommunications Regulatory Authority; and Bronze partners – the Central African Republic’s Telecommunications Regulatory Agency, CJSC National Radio Technical Bureau, Inmarsat Global Limited,  Rohde &amp; Schwarz GmbH &amp; Co. KG, OJSC </w:t>
      </w:r>
      <w:proofErr w:type="spellStart"/>
      <w:r>
        <w:t>Rostelecom</w:t>
      </w:r>
      <w:proofErr w:type="spellEnd"/>
      <w:r>
        <w:t xml:space="preserve">, and NTT Group.   </w:t>
      </w:r>
    </w:p>
    <w:p w:rsidR="00082440" w:rsidRDefault="00082440" w:rsidP="00082440">
      <w:pPr>
        <w:tabs>
          <w:tab w:val="clear" w:pos="567"/>
          <w:tab w:val="clear" w:pos="1134"/>
          <w:tab w:val="clear" w:pos="1701"/>
          <w:tab w:val="clear" w:pos="2268"/>
          <w:tab w:val="clear" w:pos="2835"/>
        </w:tabs>
        <w:snapToGrid w:val="0"/>
        <w:spacing w:after="120"/>
      </w:pPr>
      <w:r>
        <w:t>2.4</w:t>
      </w:r>
      <w:r>
        <w:tab/>
        <w:t xml:space="preserve">The </w:t>
      </w:r>
      <w:r>
        <w:rPr>
          <w:b/>
          <w:bCs/>
        </w:rPr>
        <w:t>Director of TSB</w:t>
      </w:r>
      <w:r>
        <w:t xml:space="preserve"> displayed the </w:t>
      </w:r>
      <w:proofErr w:type="spellStart"/>
      <w:r>
        <w:t>Emmy</w:t>
      </w:r>
      <w:proofErr w:type="spellEnd"/>
      <w:r>
        <w:t xml:space="preserve"> award received for the H.264 audio broadcast standard developed by ITU-T. He noted that ITU-T had in 2014 adopted an improved standard (H.265) that was 50 per cent more efficient than the previous standard. </w:t>
      </w:r>
    </w:p>
    <w:p w:rsidR="00082440" w:rsidRDefault="00082440" w:rsidP="00082440">
      <w:pPr>
        <w:tabs>
          <w:tab w:val="clear" w:pos="567"/>
          <w:tab w:val="clear" w:pos="1134"/>
          <w:tab w:val="clear" w:pos="1701"/>
          <w:tab w:val="clear" w:pos="2268"/>
          <w:tab w:val="clear" w:pos="2835"/>
        </w:tabs>
        <w:snapToGrid w:val="0"/>
        <w:spacing w:after="120"/>
      </w:pPr>
      <w:r>
        <w:t>2.5</w:t>
      </w:r>
      <w:r>
        <w:tab/>
        <w:t xml:space="preserve">The </w:t>
      </w:r>
      <w:r>
        <w:rPr>
          <w:b/>
          <w:bCs/>
        </w:rPr>
        <w:t xml:space="preserve">Chairman </w:t>
      </w:r>
      <w:r>
        <w:t>invited the Gold and Silver partners in turn to speak from the lectern.</w:t>
      </w:r>
    </w:p>
    <w:p w:rsidR="00082440" w:rsidRDefault="00082440" w:rsidP="00082440">
      <w:pPr>
        <w:tabs>
          <w:tab w:val="clear" w:pos="567"/>
          <w:tab w:val="clear" w:pos="1134"/>
          <w:tab w:val="clear" w:pos="1701"/>
          <w:tab w:val="clear" w:pos="2268"/>
          <w:tab w:val="clear" w:pos="2835"/>
        </w:tabs>
        <w:snapToGrid w:val="0"/>
        <w:spacing w:after="120"/>
      </w:pPr>
      <w:r>
        <w:t>2.6</w:t>
      </w:r>
      <w:r>
        <w:tab/>
      </w:r>
      <w:r w:rsidRPr="001251F0">
        <w:rPr>
          <w:b/>
          <w:bCs/>
        </w:rPr>
        <w:t xml:space="preserve">Mr </w:t>
      </w:r>
      <w:proofErr w:type="spellStart"/>
      <w:r w:rsidRPr="001251F0">
        <w:rPr>
          <w:b/>
          <w:bCs/>
        </w:rPr>
        <w:t>Elmir</w:t>
      </w:r>
      <w:proofErr w:type="spellEnd"/>
      <w:r w:rsidRPr="001251F0">
        <w:rPr>
          <w:b/>
          <w:bCs/>
        </w:rPr>
        <w:t xml:space="preserve"> </w:t>
      </w:r>
      <w:proofErr w:type="spellStart"/>
      <w:r w:rsidRPr="001251F0">
        <w:rPr>
          <w:b/>
          <w:bCs/>
        </w:rPr>
        <w:t>Velizadeh</w:t>
      </w:r>
      <w:proofErr w:type="spellEnd"/>
      <w:r>
        <w:t xml:space="preserve">, Deputy Minister, representing Azerbaijan’s Ministry of Communications and High Technologies (Gold partner), said that as an oil producing country Azerbaijan had for two centuries relied on telecommunications, from the early days of the telegraph, through a telephone line installed in Baku in 1881 by the Nobel </w:t>
      </w:r>
      <w:proofErr w:type="gramStart"/>
      <w:r>
        <w:t>company</w:t>
      </w:r>
      <w:proofErr w:type="gramEnd"/>
      <w:r>
        <w:t>, to modern technologies nowadays. Having joined the Union in 1992, Azerbaijan hoped to continue cooperating with ITU for 150 years in support of the Union’s tremendous role in internationalism, telecommunication and unity.</w:t>
      </w:r>
    </w:p>
    <w:p w:rsidR="00082440" w:rsidRDefault="00082440" w:rsidP="00082440">
      <w:pPr>
        <w:tabs>
          <w:tab w:val="clear" w:pos="567"/>
          <w:tab w:val="clear" w:pos="1134"/>
          <w:tab w:val="clear" w:pos="1701"/>
          <w:tab w:val="clear" w:pos="2268"/>
          <w:tab w:val="clear" w:pos="2835"/>
        </w:tabs>
        <w:snapToGrid w:val="0"/>
        <w:spacing w:after="120"/>
      </w:pPr>
      <w:r>
        <w:t>2.7</w:t>
      </w:r>
      <w:r>
        <w:tab/>
      </w:r>
      <w:r w:rsidRPr="00A430E9">
        <w:rPr>
          <w:b/>
          <w:bCs/>
        </w:rPr>
        <w:t xml:space="preserve">Mr Mohamed Jamil Ahmed </w:t>
      </w:r>
      <w:proofErr w:type="spellStart"/>
      <w:r w:rsidRPr="00A430E9">
        <w:rPr>
          <w:b/>
          <w:bCs/>
        </w:rPr>
        <w:t>Mulla</w:t>
      </w:r>
      <w:proofErr w:type="spellEnd"/>
      <w:r>
        <w:t>, Minister, representing Saudi Arabia’s Ministry of Communications and Information Technology (Gold partner), recognized that ITU played a leading role in the ICT sector, a key sector for achieving economic growth and social progress, encouraging cultural activities and bringing people together. Saudi Arabia had joined the Union in 1949, become a Council Member State in 1965, and would continue to provide support to enable the Union to reach its objectives. He thanked Mr Touré for his excellent work as Secretary-General and wished ITU a happy anniversary.</w:t>
      </w:r>
    </w:p>
    <w:p w:rsidR="00082440" w:rsidRDefault="00082440" w:rsidP="00082440">
      <w:pPr>
        <w:tabs>
          <w:tab w:val="clear" w:pos="567"/>
          <w:tab w:val="clear" w:pos="1134"/>
          <w:tab w:val="clear" w:pos="1701"/>
          <w:tab w:val="clear" w:pos="2268"/>
          <w:tab w:val="clear" w:pos="2835"/>
        </w:tabs>
        <w:snapToGrid w:val="0"/>
        <w:spacing w:after="120"/>
      </w:pPr>
      <w:r>
        <w:t>2.8</w:t>
      </w:r>
      <w:r>
        <w:tab/>
      </w:r>
      <w:r>
        <w:rPr>
          <w:b/>
          <w:bCs/>
        </w:rPr>
        <w:t>Mr Mohame</w:t>
      </w:r>
      <w:r w:rsidRPr="00212CDD">
        <w:rPr>
          <w:b/>
          <w:bCs/>
        </w:rPr>
        <w:t xml:space="preserve">d Nasser Al  </w:t>
      </w:r>
      <w:proofErr w:type="spellStart"/>
      <w:r w:rsidRPr="00212CDD">
        <w:rPr>
          <w:b/>
          <w:bCs/>
        </w:rPr>
        <w:t>Ghanim</w:t>
      </w:r>
      <w:proofErr w:type="spellEnd"/>
      <w:r>
        <w:t>, Director General of the United Arab Emirates’ Telecommunications Regulatory Authority (Gold partner), said that, living in an era of breakthroughs in information and communication technologies, his country was involved in all of the Union’s activities and would enthusiastically celebrate ITU’s 150</w:t>
      </w:r>
      <w:r w:rsidRPr="00212CDD">
        <w:rPr>
          <w:vertAlign w:val="superscript"/>
        </w:rPr>
        <w:t>th</w:t>
      </w:r>
      <w:r>
        <w:t xml:space="preserve"> anniversary. He introduced Mr </w:t>
      </w:r>
      <w:proofErr w:type="spellStart"/>
      <w:r>
        <w:t>Adeeb</w:t>
      </w:r>
      <w:proofErr w:type="spellEnd"/>
      <w:r>
        <w:t xml:space="preserve"> Al </w:t>
      </w:r>
      <w:proofErr w:type="spellStart"/>
      <w:r>
        <w:t>Blooshi</w:t>
      </w:r>
      <w:proofErr w:type="spellEnd"/>
      <w:r>
        <w:t>, a very young innovator from the United Arab Emirates.</w:t>
      </w:r>
    </w:p>
    <w:p w:rsidR="00082440" w:rsidRDefault="00082440" w:rsidP="00082440">
      <w:pPr>
        <w:tabs>
          <w:tab w:val="clear" w:pos="567"/>
          <w:tab w:val="clear" w:pos="1134"/>
          <w:tab w:val="clear" w:pos="1701"/>
          <w:tab w:val="clear" w:pos="2268"/>
          <w:tab w:val="clear" w:pos="2835"/>
        </w:tabs>
        <w:snapToGrid w:val="0"/>
        <w:spacing w:after="120"/>
      </w:pPr>
      <w:r>
        <w:t>2.9</w:t>
      </w:r>
      <w:r>
        <w:tab/>
      </w:r>
      <w:r w:rsidRPr="00212CDD">
        <w:rPr>
          <w:b/>
          <w:bCs/>
        </w:rPr>
        <w:t xml:space="preserve">Mr </w:t>
      </w:r>
      <w:proofErr w:type="spellStart"/>
      <w:r w:rsidRPr="00212CDD">
        <w:rPr>
          <w:b/>
          <w:bCs/>
        </w:rPr>
        <w:t>Adeeb</w:t>
      </w:r>
      <w:proofErr w:type="spellEnd"/>
      <w:r>
        <w:rPr>
          <w:b/>
          <w:bCs/>
        </w:rPr>
        <w:t xml:space="preserve"> Al </w:t>
      </w:r>
      <w:proofErr w:type="spellStart"/>
      <w:r>
        <w:rPr>
          <w:b/>
          <w:bCs/>
        </w:rPr>
        <w:t>Blooshi</w:t>
      </w:r>
      <w:proofErr w:type="spellEnd"/>
      <w:r>
        <w:rPr>
          <w:b/>
          <w:bCs/>
        </w:rPr>
        <w:t xml:space="preserve"> </w:t>
      </w:r>
      <w:r>
        <w:t>said that it was a pleasure and a privilege to be present at PP-14. He recognized that it was thanks to the work of ITU that young people could benefit from mobile phones, television and the Internet. Young people were not only technology users and innovators, but also the channel through which their parents could learn about the digital world. For that reason, it was important to reach out to the many young people who currently lacked access to modern technologies. He thanked his country, his parents and ITU for their support.</w:t>
      </w:r>
    </w:p>
    <w:p w:rsidR="00082440" w:rsidRDefault="00082440" w:rsidP="00082440">
      <w:pPr>
        <w:tabs>
          <w:tab w:val="clear" w:pos="567"/>
          <w:tab w:val="clear" w:pos="1134"/>
          <w:tab w:val="clear" w:pos="1701"/>
          <w:tab w:val="clear" w:pos="2268"/>
          <w:tab w:val="clear" w:pos="2835"/>
        </w:tabs>
        <w:snapToGrid w:val="0"/>
        <w:spacing w:after="120"/>
      </w:pPr>
      <w:r>
        <w:t>2.10</w:t>
      </w:r>
      <w:r>
        <w:tab/>
        <w:t xml:space="preserve">The </w:t>
      </w:r>
      <w:r w:rsidRPr="00A30E9D">
        <w:rPr>
          <w:b/>
          <w:bCs/>
        </w:rPr>
        <w:t>Chairman</w:t>
      </w:r>
      <w:r>
        <w:t xml:space="preserve"> said that, as an inspiring 11 year old, Mr </w:t>
      </w:r>
      <w:proofErr w:type="spellStart"/>
      <w:r>
        <w:t>Adeeb</w:t>
      </w:r>
      <w:proofErr w:type="spellEnd"/>
      <w:r>
        <w:t xml:space="preserve"> Al </w:t>
      </w:r>
      <w:proofErr w:type="spellStart"/>
      <w:r>
        <w:t>Blooshi</w:t>
      </w:r>
      <w:proofErr w:type="spellEnd"/>
      <w:r>
        <w:t xml:space="preserve"> had set a record as the youngest person to address the conference.</w:t>
      </w:r>
    </w:p>
    <w:p w:rsidR="00082440" w:rsidRDefault="00082440" w:rsidP="00082440">
      <w:pPr>
        <w:tabs>
          <w:tab w:val="clear" w:pos="567"/>
          <w:tab w:val="clear" w:pos="1134"/>
          <w:tab w:val="clear" w:pos="1701"/>
          <w:tab w:val="clear" w:pos="2268"/>
          <w:tab w:val="clear" w:pos="2835"/>
        </w:tabs>
        <w:snapToGrid w:val="0"/>
        <w:spacing w:after="120"/>
      </w:pPr>
      <w:r>
        <w:t>2.11</w:t>
      </w:r>
      <w:r>
        <w:tab/>
      </w:r>
      <w:r w:rsidRPr="00DC2F7E">
        <w:rPr>
          <w:b/>
          <w:bCs/>
        </w:rPr>
        <w:t xml:space="preserve">Mr Edward Kofi </w:t>
      </w:r>
      <w:proofErr w:type="spellStart"/>
      <w:r w:rsidRPr="00DC2F7E">
        <w:rPr>
          <w:b/>
          <w:bCs/>
        </w:rPr>
        <w:t>Omane</w:t>
      </w:r>
      <w:proofErr w:type="spellEnd"/>
      <w:r w:rsidRPr="00DC2F7E">
        <w:rPr>
          <w:b/>
          <w:bCs/>
        </w:rPr>
        <w:t xml:space="preserve"> </w:t>
      </w:r>
      <w:proofErr w:type="spellStart"/>
      <w:r w:rsidRPr="00DC2F7E">
        <w:rPr>
          <w:b/>
          <w:bCs/>
        </w:rPr>
        <w:t>Boamah</w:t>
      </w:r>
      <w:proofErr w:type="spellEnd"/>
      <w:r>
        <w:t>, Minister, representing Ghana’s Ministry of Communications (Silver partner) said that by 2013 the ICT and telecommunication sector in Ghana accounted for 24 per cent of gross domestic product, and the aim was to further scale up the sector. He welcomed ITU’s pursuit of cooperation, connectivity and consensus in the past and at present, and expressed continuing support for those ideals, which would form a firm basis on which to build the unknown future.</w:t>
      </w:r>
    </w:p>
    <w:p w:rsidR="00082440" w:rsidRDefault="00082440" w:rsidP="00082440">
      <w:pPr>
        <w:tabs>
          <w:tab w:val="clear" w:pos="567"/>
          <w:tab w:val="clear" w:pos="1134"/>
          <w:tab w:val="clear" w:pos="1701"/>
          <w:tab w:val="clear" w:pos="2268"/>
          <w:tab w:val="clear" w:pos="2835"/>
        </w:tabs>
        <w:snapToGrid w:val="0"/>
        <w:spacing w:after="120"/>
      </w:pPr>
      <w:r>
        <w:t>2.12</w:t>
      </w:r>
      <w:r>
        <w:tab/>
      </w:r>
      <w:r w:rsidRPr="00DC2F7E">
        <w:rPr>
          <w:b/>
          <w:bCs/>
        </w:rPr>
        <w:t xml:space="preserve">Mr Win </w:t>
      </w:r>
      <w:proofErr w:type="spellStart"/>
      <w:r w:rsidRPr="00DC2F7E">
        <w:rPr>
          <w:b/>
          <w:bCs/>
        </w:rPr>
        <w:t>Busayi</w:t>
      </w:r>
      <w:proofErr w:type="spellEnd"/>
      <w:r w:rsidRPr="00DC2F7E">
        <w:rPr>
          <w:b/>
          <w:bCs/>
        </w:rPr>
        <w:t xml:space="preserve"> </w:t>
      </w:r>
      <w:proofErr w:type="spellStart"/>
      <w:r w:rsidRPr="00DC2F7E">
        <w:rPr>
          <w:b/>
          <w:bCs/>
        </w:rPr>
        <w:t>Juyana</w:t>
      </w:r>
      <w:proofErr w:type="spellEnd"/>
      <w:r w:rsidRPr="00DC2F7E">
        <w:rPr>
          <w:b/>
          <w:bCs/>
        </w:rPr>
        <w:t xml:space="preserve"> </w:t>
      </w:r>
      <w:proofErr w:type="spellStart"/>
      <w:r w:rsidRPr="00DC2F7E">
        <w:rPr>
          <w:b/>
          <w:bCs/>
        </w:rPr>
        <w:t>Mlambo</w:t>
      </w:r>
      <w:proofErr w:type="spellEnd"/>
      <w:r>
        <w:t>, Deputy Minister, representing Zimbabwe’s Ministry of Information and Communication Technology (Silver partner), said that the founders of the International Telegraph Union, the forerunner of ITU, would be astounded at the phenomenal impact of information and communication technologies on humanity. The Union had promoted those technologies, bringing them into people’s daily lives. He recognized the unique nature of ITU as a public-private organization, with a membership encompassing 193 countries and some 700 private institutions. ITU worked to make telecommunications accessible, available and adaptable globally, but more still needed to be done to help developing countries keep pace with technological innovation.  He saluted the work of the Secretary-General and his team.</w:t>
      </w:r>
    </w:p>
    <w:p w:rsidR="00082440" w:rsidRDefault="00082440" w:rsidP="00082440">
      <w:pPr>
        <w:tabs>
          <w:tab w:val="clear" w:pos="567"/>
          <w:tab w:val="clear" w:pos="1134"/>
          <w:tab w:val="clear" w:pos="1701"/>
          <w:tab w:val="clear" w:pos="2268"/>
          <w:tab w:val="clear" w:pos="2835"/>
        </w:tabs>
        <w:snapToGrid w:val="0"/>
        <w:spacing w:after="120"/>
      </w:pPr>
      <w:r>
        <w:t>2.13</w:t>
      </w:r>
      <w:r>
        <w:tab/>
        <w:t xml:space="preserve">The </w:t>
      </w:r>
      <w:r w:rsidRPr="00341CFA">
        <w:rPr>
          <w:b/>
          <w:bCs/>
        </w:rPr>
        <w:t>Deputy Secreta</w:t>
      </w:r>
      <w:r>
        <w:rPr>
          <w:b/>
          <w:bCs/>
        </w:rPr>
        <w:t>r</w:t>
      </w:r>
      <w:r w:rsidRPr="00341CFA">
        <w:rPr>
          <w:b/>
          <w:bCs/>
        </w:rPr>
        <w:t>y-General</w:t>
      </w:r>
      <w:r>
        <w:t xml:space="preserve"> presented ITU 150</w:t>
      </w:r>
      <w:r w:rsidRPr="00341CFA">
        <w:rPr>
          <w:vertAlign w:val="superscript"/>
        </w:rPr>
        <w:t>th</w:t>
      </w:r>
      <w:r>
        <w:t xml:space="preserve"> anniversary certificates to the Gold, Silver and Bronze partners.</w:t>
      </w:r>
    </w:p>
    <w:p w:rsidR="00082440" w:rsidRDefault="00082440" w:rsidP="00082440">
      <w:pPr>
        <w:tabs>
          <w:tab w:val="clear" w:pos="567"/>
          <w:tab w:val="clear" w:pos="1134"/>
          <w:tab w:val="clear" w:pos="1701"/>
          <w:tab w:val="clear" w:pos="2268"/>
          <w:tab w:val="clear" w:pos="2835"/>
        </w:tabs>
        <w:snapToGrid w:val="0"/>
        <w:spacing w:after="120"/>
      </w:pPr>
      <w:r>
        <w:t>2.14</w:t>
      </w:r>
      <w:r>
        <w:tab/>
        <w:t xml:space="preserve">The </w:t>
      </w:r>
      <w:r w:rsidRPr="00341CFA">
        <w:rPr>
          <w:b/>
          <w:bCs/>
        </w:rPr>
        <w:t>Chairman</w:t>
      </w:r>
      <w:r>
        <w:t xml:space="preserve"> congratulated all recipients of certificates.</w:t>
      </w:r>
    </w:p>
    <w:p w:rsidR="00082440" w:rsidRDefault="00082440" w:rsidP="00082440">
      <w:pPr>
        <w:tabs>
          <w:tab w:val="clear" w:pos="567"/>
          <w:tab w:val="clear" w:pos="1134"/>
          <w:tab w:val="clear" w:pos="1701"/>
          <w:tab w:val="clear" w:pos="2268"/>
          <w:tab w:val="clear" w:pos="2835"/>
        </w:tabs>
        <w:snapToGrid w:val="0"/>
        <w:spacing w:before="360" w:after="120"/>
        <w:rPr>
          <w:b/>
          <w:bCs/>
        </w:rPr>
      </w:pPr>
      <w:r w:rsidRPr="00341CFA">
        <w:rPr>
          <w:b/>
          <w:bCs/>
        </w:rPr>
        <w:t>The meeting rose at 1755 hours.</w:t>
      </w:r>
    </w:p>
    <w:p w:rsidR="00082440" w:rsidRDefault="00082440" w:rsidP="00082440">
      <w:pPr>
        <w:snapToGrid w:val="0"/>
        <w:spacing w:after="120"/>
      </w:pPr>
      <w:r>
        <w:t>The Secretary-General:</w:t>
      </w:r>
      <w:r>
        <w:tab/>
      </w:r>
      <w:r>
        <w:tab/>
      </w:r>
      <w:r>
        <w:tab/>
      </w:r>
      <w:r>
        <w:tab/>
      </w:r>
      <w:r>
        <w:tab/>
      </w:r>
      <w:r>
        <w:tab/>
      </w:r>
      <w:r>
        <w:tab/>
        <w:t>The Chairman:</w:t>
      </w:r>
    </w:p>
    <w:p w:rsidR="00082440" w:rsidRDefault="00082440" w:rsidP="00082440">
      <w:pPr>
        <w:snapToGrid w:val="0"/>
        <w:spacing w:after="120"/>
      </w:pPr>
      <w:r>
        <w:t>H. TOURÉ</w:t>
      </w:r>
      <w:r>
        <w:tab/>
      </w:r>
      <w:r>
        <w:tab/>
      </w:r>
      <w:r>
        <w:tab/>
      </w:r>
      <w:r>
        <w:tab/>
      </w:r>
      <w:r>
        <w:tab/>
      </w:r>
      <w:r>
        <w:tab/>
      </w:r>
      <w:r>
        <w:tab/>
      </w:r>
      <w:r>
        <w:tab/>
      </w:r>
      <w:r>
        <w:tab/>
      </w:r>
      <w:r>
        <w:t>W. MIN</w:t>
      </w:r>
    </w:p>
    <w:p w:rsidR="00320CD0" w:rsidRPr="00015DC2" w:rsidRDefault="00082440" w:rsidP="00082440">
      <w:pPr>
        <w:snapToGrid w:val="0"/>
        <w:spacing w:before="840"/>
        <w:jc w:val="center"/>
        <w:rPr>
          <w:color w:val="000000"/>
        </w:rPr>
      </w:pPr>
      <w:r>
        <w:t>__________________</w:t>
      </w:r>
    </w:p>
    <w:sectPr w:rsidR="00320CD0" w:rsidRPr="00015DC2" w:rsidSect="00361097">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50" w:rsidRDefault="00C56B50">
      <w:r>
        <w:separator/>
      </w:r>
    </w:p>
  </w:endnote>
  <w:endnote w:type="continuationSeparator" w:id="0">
    <w:p w:rsidR="00C56B50" w:rsidRDefault="00C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7D" w:rsidRPr="00082440" w:rsidRDefault="00DF2A6F" w:rsidP="00323106">
    <w:pPr>
      <w:pStyle w:val="Footer"/>
      <w:rPr>
        <w:color w:val="FFFFFF" w:themeColor="background1"/>
      </w:rPr>
    </w:pPr>
    <w:r w:rsidRPr="00082440">
      <w:rPr>
        <w:color w:val="FFFFFF" w:themeColor="background1"/>
      </w:rPr>
      <w:fldChar w:fldCharType="begin"/>
    </w:r>
    <w:r w:rsidRPr="00082440">
      <w:rPr>
        <w:color w:val="FFFFFF" w:themeColor="background1"/>
      </w:rPr>
      <w:instrText xml:space="preserve"> FILENAME  \* Upper \p  \* MERGEFORMAT </w:instrText>
    </w:r>
    <w:r w:rsidRPr="00082440">
      <w:rPr>
        <w:color w:val="FFFFFF" w:themeColor="background1"/>
      </w:rPr>
      <w:fldChar w:fldCharType="separate"/>
    </w:r>
    <w:r w:rsidR="00B4198B" w:rsidRPr="00082440">
      <w:rPr>
        <w:caps w:val="0"/>
        <w:color w:val="FFFFFF" w:themeColor="background1"/>
      </w:rPr>
      <w:t>P:\TRAD\E\SG\CONF-SG\PP14\PRW DRAFTS\PLENARY1.DOCX</w:t>
    </w:r>
    <w:r w:rsidRPr="00082440">
      <w:rPr>
        <w:caps w:val="0"/>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7D" w:rsidRDefault="00D14C7D" w:rsidP="00EA49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w:t>
    </w:r>
    <w:hyperlink r:id="rId1" w:history="1">
      <w:r w:rsidR="00EA49C6" w:rsidRPr="00282239">
        <w:rPr>
          <w:rStyle w:val="Hyperlink"/>
          <w:sz w:val="20"/>
          <w:szCs w:val="20"/>
          <w:lang w:val="en-GB"/>
        </w:rPr>
        <w:t>www.itu.int/plenipotentiary</w:t>
      </w:r>
    </w:hyperlink>
    <w:r w:rsidR="00EA49C6">
      <w:rPr>
        <w:sz w:val="20"/>
        <w:szCs w:val="20"/>
        <w:lang w:val="en-GB"/>
      </w:rPr>
      <w:t xml:space="preserve"> </w:t>
    </w:r>
    <w:r>
      <w:rPr>
        <w:rFonts w:ascii="Symbol" w:hAnsi="Symbol"/>
        <w:sz w:val="22"/>
        <w:szCs w:val="20"/>
        <w:lang w:val="en-GB"/>
      </w:rPr>
      <w:t></w:t>
    </w:r>
  </w:p>
  <w:p w:rsidR="00D14C7D" w:rsidRDefault="00D14C7D">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50" w:rsidRDefault="00C56B50">
      <w:r>
        <w:t>____________________</w:t>
      </w:r>
    </w:p>
  </w:footnote>
  <w:footnote w:type="continuationSeparator" w:id="0">
    <w:p w:rsidR="00C56B50" w:rsidRDefault="00C56B50">
      <w:r>
        <w:continuationSeparator/>
      </w:r>
    </w:p>
  </w:footnote>
  <w:footnote w:id="1">
    <w:p w:rsidR="00082440" w:rsidRDefault="00082440" w:rsidP="00082440">
      <w:pPr>
        <w:pStyle w:val="FootnoteText"/>
      </w:pPr>
      <w:r>
        <w:rPr>
          <w:rStyle w:val="FootnoteReference"/>
        </w:rPr>
        <w:footnoteRef/>
      </w:r>
      <w:r>
        <w:t xml:space="preserve"> The texts of general policy statements submitted to the secretariat may be consulted at: </w:t>
      </w:r>
      <w:hyperlink r:id="rId1" w:history="1">
        <w:r w:rsidRPr="0009788C">
          <w:rPr>
            <w:rStyle w:val="Hyperlink"/>
          </w:rPr>
          <w:t>http://www.itu.int/en/plenipotentiary/2014/statements/Pages/default.aspx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7D" w:rsidRDefault="00D14C7D" w:rsidP="0008244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50C53">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50C53">
      <w:rPr>
        <w:rStyle w:val="PageNumber"/>
        <w:noProof/>
      </w:rPr>
      <w:t>5</w:t>
    </w:r>
    <w:r>
      <w:rPr>
        <w:rStyle w:val="PageNumber"/>
      </w:rPr>
      <w:fldChar w:fldCharType="end"/>
    </w:r>
    <w:r w:rsidR="00EA49C6">
      <w:rPr>
        <w:rStyle w:val="PageNumber"/>
      </w:rPr>
      <w:br/>
      <w:t>PP-14/1</w:t>
    </w:r>
    <w:r w:rsidR="00082440">
      <w:rPr>
        <w:rStyle w:val="PageNumber"/>
      </w:rPr>
      <w:t>12</w:t>
    </w:r>
    <w:r w:rsidR="00EA49C6">
      <w:rPr>
        <w:rStyle w:val="PageNumber"/>
      </w:rPr>
      <w:t>-E</w:t>
    </w:r>
  </w:p>
  <w:p w:rsidR="00EA49C6" w:rsidRPr="00082440" w:rsidRDefault="00EA49C6" w:rsidP="00494797">
    <w:pPr>
      <w:pStyle w:val="Header"/>
      <w:rPr>
        <w:rStyle w:val="PageNumbe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42E6C8"/>
    <w:lvl w:ilvl="0">
      <w:start w:val="1"/>
      <w:numFmt w:val="decimal"/>
      <w:lvlText w:val="%1."/>
      <w:lvlJc w:val="left"/>
      <w:pPr>
        <w:tabs>
          <w:tab w:val="num" w:pos="1492"/>
        </w:tabs>
        <w:ind w:left="1492" w:hanging="360"/>
      </w:pPr>
    </w:lvl>
  </w:abstractNum>
  <w:abstractNum w:abstractNumId="1">
    <w:nsid w:val="FFFFFF7D"/>
    <w:multiLevelType w:val="singleLevel"/>
    <w:tmpl w:val="F1A25C9A"/>
    <w:lvl w:ilvl="0">
      <w:start w:val="1"/>
      <w:numFmt w:val="decimal"/>
      <w:lvlText w:val="%1."/>
      <w:lvlJc w:val="left"/>
      <w:pPr>
        <w:tabs>
          <w:tab w:val="num" w:pos="1209"/>
        </w:tabs>
        <w:ind w:left="1209" w:hanging="360"/>
      </w:pPr>
    </w:lvl>
  </w:abstractNum>
  <w:abstractNum w:abstractNumId="2">
    <w:nsid w:val="FFFFFF7E"/>
    <w:multiLevelType w:val="singleLevel"/>
    <w:tmpl w:val="8B7C86C0"/>
    <w:lvl w:ilvl="0">
      <w:start w:val="1"/>
      <w:numFmt w:val="decimal"/>
      <w:lvlText w:val="%1."/>
      <w:lvlJc w:val="left"/>
      <w:pPr>
        <w:tabs>
          <w:tab w:val="num" w:pos="926"/>
        </w:tabs>
        <w:ind w:left="926" w:hanging="360"/>
      </w:pPr>
    </w:lvl>
  </w:abstractNum>
  <w:abstractNum w:abstractNumId="3">
    <w:nsid w:val="FFFFFF7F"/>
    <w:multiLevelType w:val="singleLevel"/>
    <w:tmpl w:val="FC4440D4"/>
    <w:lvl w:ilvl="0">
      <w:start w:val="1"/>
      <w:numFmt w:val="decimal"/>
      <w:lvlText w:val="%1."/>
      <w:lvlJc w:val="left"/>
      <w:pPr>
        <w:tabs>
          <w:tab w:val="num" w:pos="643"/>
        </w:tabs>
        <w:ind w:left="643" w:hanging="360"/>
      </w:pPr>
    </w:lvl>
  </w:abstractNum>
  <w:abstractNum w:abstractNumId="4">
    <w:nsid w:val="FFFFFF80"/>
    <w:multiLevelType w:val="singleLevel"/>
    <w:tmpl w:val="D02E1C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C7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24A8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14B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52EC82"/>
    <w:lvl w:ilvl="0">
      <w:start w:val="1"/>
      <w:numFmt w:val="decimal"/>
      <w:lvlText w:val="%1."/>
      <w:lvlJc w:val="left"/>
      <w:pPr>
        <w:tabs>
          <w:tab w:val="num" w:pos="360"/>
        </w:tabs>
        <w:ind w:left="360" w:hanging="360"/>
      </w:pPr>
    </w:lvl>
  </w:abstractNum>
  <w:abstractNum w:abstractNumId="9">
    <w:nsid w:val="FFFFFF89"/>
    <w:multiLevelType w:val="singleLevel"/>
    <w:tmpl w:val="2138BAA6"/>
    <w:lvl w:ilvl="0">
      <w:start w:val="1"/>
      <w:numFmt w:val="bullet"/>
      <w:lvlText w:val=""/>
      <w:lvlJc w:val="left"/>
      <w:pPr>
        <w:tabs>
          <w:tab w:val="num" w:pos="360"/>
        </w:tabs>
        <w:ind w:left="360" w:hanging="360"/>
      </w:pPr>
      <w:rPr>
        <w:rFonts w:ascii="Symbol" w:hAnsi="Symbol" w:hint="default"/>
      </w:rPr>
    </w:lvl>
  </w:abstractNum>
  <w:abstractNum w:abstractNumId="10">
    <w:nsid w:val="1A561571"/>
    <w:multiLevelType w:val="hybridMultilevel"/>
    <w:tmpl w:val="68CCE4E8"/>
    <w:lvl w:ilvl="0" w:tplc="897250FA">
      <w:start w:val="1"/>
      <w:numFmt w:val="bullet"/>
      <w:lvlText w:val=""/>
      <w:lvlJc w:val="left"/>
      <w:pPr>
        <w:tabs>
          <w:tab w:val="num" w:pos="360"/>
        </w:tabs>
        <w:ind w:left="360" w:hanging="360"/>
      </w:pPr>
      <w:rPr>
        <w:rFonts w:ascii="Symbol" w:hAnsi="Symbol" w:hint="default"/>
      </w:rPr>
    </w:lvl>
    <w:lvl w:ilvl="1" w:tplc="11B24AB8">
      <w:start w:val="1"/>
      <w:numFmt w:val="bullet"/>
      <w:lvlText w:val="o"/>
      <w:lvlJc w:val="left"/>
      <w:pPr>
        <w:tabs>
          <w:tab w:val="num" w:pos="-720"/>
        </w:tabs>
        <w:ind w:left="-720" w:hanging="360"/>
      </w:pPr>
      <w:rPr>
        <w:rFonts w:ascii="Courier New" w:hAnsi="Courier New" w:hint="default"/>
      </w:rPr>
    </w:lvl>
    <w:lvl w:ilvl="2" w:tplc="C896D236">
      <w:start w:val="1"/>
      <w:numFmt w:val="bullet"/>
      <w:lvlText w:val=""/>
      <w:lvlJc w:val="left"/>
      <w:pPr>
        <w:tabs>
          <w:tab w:val="num" w:pos="0"/>
        </w:tabs>
        <w:ind w:left="0" w:hanging="360"/>
      </w:pPr>
      <w:rPr>
        <w:rFonts w:ascii="Wingdings" w:hAnsi="Wingdings" w:hint="default"/>
      </w:rPr>
    </w:lvl>
    <w:lvl w:ilvl="3" w:tplc="EA3ECA86">
      <w:start w:val="1"/>
      <w:numFmt w:val="bullet"/>
      <w:lvlText w:val=""/>
      <w:lvlJc w:val="left"/>
      <w:pPr>
        <w:tabs>
          <w:tab w:val="num" w:pos="720"/>
        </w:tabs>
        <w:ind w:left="720" w:hanging="360"/>
      </w:pPr>
      <w:rPr>
        <w:rFonts w:ascii="Symbol" w:hAnsi="Symbol" w:hint="default"/>
      </w:rPr>
    </w:lvl>
    <w:lvl w:ilvl="4" w:tplc="2DCEB11E">
      <w:start w:val="1"/>
      <w:numFmt w:val="bullet"/>
      <w:lvlText w:val="o"/>
      <w:lvlJc w:val="left"/>
      <w:pPr>
        <w:tabs>
          <w:tab w:val="num" w:pos="1440"/>
        </w:tabs>
        <w:ind w:left="1440" w:hanging="360"/>
      </w:pPr>
      <w:rPr>
        <w:rFonts w:ascii="Courier New" w:hAnsi="Courier New" w:hint="default"/>
      </w:rPr>
    </w:lvl>
    <w:lvl w:ilvl="5" w:tplc="64E075FC" w:tentative="1">
      <w:start w:val="1"/>
      <w:numFmt w:val="bullet"/>
      <w:lvlText w:val=""/>
      <w:lvlJc w:val="left"/>
      <w:pPr>
        <w:tabs>
          <w:tab w:val="num" w:pos="2160"/>
        </w:tabs>
        <w:ind w:left="2160" w:hanging="360"/>
      </w:pPr>
      <w:rPr>
        <w:rFonts w:ascii="Wingdings" w:hAnsi="Wingdings" w:hint="default"/>
      </w:rPr>
    </w:lvl>
    <w:lvl w:ilvl="6" w:tplc="D156705C" w:tentative="1">
      <w:start w:val="1"/>
      <w:numFmt w:val="bullet"/>
      <w:lvlText w:val=""/>
      <w:lvlJc w:val="left"/>
      <w:pPr>
        <w:tabs>
          <w:tab w:val="num" w:pos="2880"/>
        </w:tabs>
        <w:ind w:left="2880" w:hanging="360"/>
      </w:pPr>
      <w:rPr>
        <w:rFonts w:ascii="Symbol" w:hAnsi="Symbol" w:hint="default"/>
      </w:rPr>
    </w:lvl>
    <w:lvl w:ilvl="7" w:tplc="02AE0BD0" w:tentative="1">
      <w:start w:val="1"/>
      <w:numFmt w:val="bullet"/>
      <w:lvlText w:val="o"/>
      <w:lvlJc w:val="left"/>
      <w:pPr>
        <w:tabs>
          <w:tab w:val="num" w:pos="3600"/>
        </w:tabs>
        <w:ind w:left="3600" w:hanging="360"/>
      </w:pPr>
      <w:rPr>
        <w:rFonts w:ascii="Courier New" w:hAnsi="Courier New" w:hint="default"/>
      </w:rPr>
    </w:lvl>
    <w:lvl w:ilvl="8" w:tplc="6E460D2A" w:tentative="1">
      <w:start w:val="1"/>
      <w:numFmt w:val="bullet"/>
      <w:lvlText w:val=""/>
      <w:lvlJc w:val="left"/>
      <w:pPr>
        <w:tabs>
          <w:tab w:val="num" w:pos="4320"/>
        </w:tabs>
        <w:ind w:left="43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C1"/>
    <w:rsid w:val="00000AF8"/>
    <w:rsid w:val="00001935"/>
    <w:rsid w:val="000048E4"/>
    <w:rsid w:val="00010B2A"/>
    <w:rsid w:val="00011208"/>
    <w:rsid w:val="000143FA"/>
    <w:rsid w:val="00014808"/>
    <w:rsid w:val="000152A6"/>
    <w:rsid w:val="00015E97"/>
    <w:rsid w:val="00025A68"/>
    <w:rsid w:val="00047772"/>
    <w:rsid w:val="00056C86"/>
    <w:rsid w:val="00071C74"/>
    <w:rsid w:val="000736F6"/>
    <w:rsid w:val="00073F1A"/>
    <w:rsid w:val="00076F7D"/>
    <w:rsid w:val="00082440"/>
    <w:rsid w:val="00082EB9"/>
    <w:rsid w:val="000877C6"/>
    <w:rsid w:val="00092177"/>
    <w:rsid w:val="00093D92"/>
    <w:rsid w:val="00094B4F"/>
    <w:rsid w:val="00095230"/>
    <w:rsid w:val="000A1015"/>
    <w:rsid w:val="000A4318"/>
    <w:rsid w:val="000B0237"/>
    <w:rsid w:val="000B03F9"/>
    <w:rsid w:val="000B0A77"/>
    <w:rsid w:val="000B0D6C"/>
    <w:rsid w:val="000B5BB9"/>
    <w:rsid w:val="000B7152"/>
    <w:rsid w:val="000C4701"/>
    <w:rsid w:val="000E0898"/>
    <w:rsid w:val="000E0ADA"/>
    <w:rsid w:val="000E4C7A"/>
    <w:rsid w:val="000E5E15"/>
    <w:rsid w:val="000F5A9A"/>
    <w:rsid w:val="000F5BDF"/>
    <w:rsid w:val="000F73D1"/>
    <w:rsid w:val="001001C5"/>
    <w:rsid w:val="00105EFE"/>
    <w:rsid w:val="00107F75"/>
    <w:rsid w:val="00114BA3"/>
    <w:rsid w:val="00115DEC"/>
    <w:rsid w:val="00123F09"/>
    <w:rsid w:val="00127C36"/>
    <w:rsid w:val="00135A23"/>
    <w:rsid w:val="00136175"/>
    <w:rsid w:val="00140FF0"/>
    <w:rsid w:val="00146057"/>
    <w:rsid w:val="001541AF"/>
    <w:rsid w:val="00162D29"/>
    <w:rsid w:val="0016633C"/>
    <w:rsid w:val="00171990"/>
    <w:rsid w:val="001A0EEB"/>
    <w:rsid w:val="001A21BA"/>
    <w:rsid w:val="001B70D1"/>
    <w:rsid w:val="001C3804"/>
    <w:rsid w:val="001C6B6E"/>
    <w:rsid w:val="001D3322"/>
    <w:rsid w:val="001D73A1"/>
    <w:rsid w:val="001E01A5"/>
    <w:rsid w:val="001E1C8F"/>
    <w:rsid w:val="001F1F3B"/>
    <w:rsid w:val="00203F1F"/>
    <w:rsid w:val="00206D0C"/>
    <w:rsid w:val="00220823"/>
    <w:rsid w:val="0022332D"/>
    <w:rsid w:val="0023097C"/>
    <w:rsid w:val="002313BA"/>
    <w:rsid w:val="00232B31"/>
    <w:rsid w:val="00235A3B"/>
    <w:rsid w:val="00243BE4"/>
    <w:rsid w:val="00257188"/>
    <w:rsid w:val="002578B4"/>
    <w:rsid w:val="00261E9E"/>
    <w:rsid w:val="0026642B"/>
    <w:rsid w:val="00267D12"/>
    <w:rsid w:val="00275803"/>
    <w:rsid w:val="00281792"/>
    <w:rsid w:val="00286534"/>
    <w:rsid w:val="0028799E"/>
    <w:rsid w:val="002962A8"/>
    <w:rsid w:val="002B6F26"/>
    <w:rsid w:val="002C34BC"/>
    <w:rsid w:val="002D5F50"/>
    <w:rsid w:val="002E723E"/>
    <w:rsid w:val="002F36B9"/>
    <w:rsid w:val="002F5FA2"/>
    <w:rsid w:val="00305E14"/>
    <w:rsid w:val="003126B0"/>
    <w:rsid w:val="00314127"/>
    <w:rsid w:val="00314C12"/>
    <w:rsid w:val="00320CD0"/>
    <w:rsid w:val="00323106"/>
    <w:rsid w:val="003261C3"/>
    <w:rsid w:val="003278BB"/>
    <w:rsid w:val="00350B1A"/>
    <w:rsid w:val="00357754"/>
    <w:rsid w:val="003578E4"/>
    <w:rsid w:val="00360728"/>
    <w:rsid w:val="00361097"/>
    <w:rsid w:val="00364A5D"/>
    <w:rsid w:val="003655A6"/>
    <w:rsid w:val="00373A0D"/>
    <w:rsid w:val="00375076"/>
    <w:rsid w:val="00375BBA"/>
    <w:rsid w:val="00377D92"/>
    <w:rsid w:val="00395CE4"/>
    <w:rsid w:val="003A5FFB"/>
    <w:rsid w:val="003A7FB6"/>
    <w:rsid w:val="003B3751"/>
    <w:rsid w:val="003E0DA7"/>
    <w:rsid w:val="003F5771"/>
    <w:rsid w:val="004014B0"/>
    <w:rsid w:val="004060D7"/>
    <w:rsid w:val="0042245E"/>
    <w:rsid w:val="00426AC1"/>
    <w:rsid w:val="00435AA4"/>
    <w:rsid w:val="004360BB"/>
    <w:rsid w:val="0043747F"/>
    <w:rsid w:val="00442B1D"/>
    <w:rsid w:val="00450C53"/>
    <w:rsid w:val="0045533C"/>
    <w:rsid w:val="004606DA"/>
    <w:rsid w:val="00463092"/>
    <w:rsid w:val="004676C0"/>
    <w:rsid w:val="0047357A"/>
    <w:rsid w:val="00474E00"/>
    <w:rsid w:val="00474E0A"/>
    <w:rsid w:val="0047548A"/>
    <w:rsid w:val="00481A78"/>
    <w:rsid w:val="004835DB"/>
    <w:rsid w:val="00490372"/>
    <w:rsid w:val="00491D2D"/>
    <w:rsid w:val="00493557"/>
    <w:rsid w:val="004939E1"/>
    <w:rsid w:val="00494797"/>
    <w:rsid w:val="004A1AD1"/>
    <w:rsid w:val="004A258B"/>
    <w:rsid w:val="004B0C10"/>
    <w:rsid w:val="004C19D7"/>
    <w:rsid w:val="004C297B"/>
    <w:rsid w:val="004E01FA"/>
    <w:rsid w:val="004E3AA4"/>
    <w:rsid w:val="004E6764"/>
    <w:rsid w:val="004F041D"/>
    <w:rsid w:val="004F5006"/>
    <w:rsid w:val="00504FE5"/>
    <w:rsid w:val="00507348"/>
    <w:rsid w:val="00511731"/>
    <w:rsid w:val="00522C97"/>
    <w:rsid w:val="00522DF6"/>
    <w:rsid w:val="005240D3"/>
    <w:rsid w:val="00530EEB"/>
    <w:rsid w:val="005356FD"/>
    <w:rsid w:val="00546C25"/>
    <w:rsid w:val="00547D75"/>
    <w:rsid w:val="00551C8B"/>
    <w:rsid w:val="00554E24"/>
    <w:rsid w:val="00555A0F"/>
    <w:rsid w:val="005572FF"/>
    <w:rsid w:val="00567130"/>
    <w:rsid w:val="0057034B"/>
    <w:rsid w:val="00581E05"/>
    <w:rsid w:val="00581E8F"/>
    <w:rsid w:val="00586A98"/>
    <w:rsid w:val="005927A4"/>
    <w:rsid w:val="005C3315"/>
    <w:rsid w:val="005D07F7"/>
    <w:rsid w:val="005D2559"/>
    <w:rsid w:val="005E1CC3"/>
    <w:rsid w:val="005F05C8"/>
    <w:rsid w:val="00604079"/>
    <w:rsid w:val="00605DD6"/>
    <w:rsid w:val="00617BE4"/>
    <w:rsid w:val="006404B0"/>
    <w:rsid w:val="0064361B"/>
    <w:rsid w:val="00655DD0"/>
    <w:rsid w:val="0066499C"/>
    <w:rsid w:val="006809AF"/>
    <w:rsid w:val="00693309"/>
    <w:rsid w:val="0069688D"/>
    <w:rsid w:val="006A7108"/>
    <w:rsid w:val="006B40DA"/>
    <w:rsid w:val="006B4E43"/>
    <w:rsid w:val="006C5D5D"/>
    <w:rsid w:val="006E215D"/>
    <w:rsid w:val="006E57C8"/>
    <w:rsid w:val="006E70E1"/>
    <w:rsid w:val="006F7291"/>
    <w:rsid w:val="00701ABB"/>
    <w:rsid w:val="007130ED"/>
    <w:rsid w:val="0071582A"/>
    <w:rsid w:val="00722595"/>
    <w:rsid w:val="00730B17"/>
    <w:rsid w:val="0073319E"/>
    <w:rsid w:val="00733C8A"/>
    <w:rsid w:val="007355CD"/>
    <w:rsid w:val="00745A37"/>
    <w:rsid w:val="00750829"/>
    <w:rsid w:val="007538C9"/>
    <w:rsid w:val="00753F63"/>
    <w:rsid w:val="007542C4"/>
    <w:rsid w:val="00755050"/>
    <w:rsid w:val="00755067"/>
    <w:rsid w:val="007561B6"/>
    <w:rsid w:val="0076258C"/>
    <w:rsid w:val="007649DA"/>
    <w:rsid w:val="00765553"/>
    <w:rsid w:val="007779ED"/>
    <w:rsid w:val="00785C45"/>
    <w:rsid w:val="00794795"/>
    <w:rsid w:val="007949EA"/>
    <w:rsid w:val="00796849"/>
    <w:rsid w:val="007A59C3"/>
    <w:rsid w:val="007B0E06"/>
    <w:rsid w:val="007B30FC"/>
    <w:rsid w:val="007C3643"/>
    <w:rsid w:val="007D5F3D"/>
    <w:rsid w:val="007E2AD4"/>
    <w:rsid w:val="0081146D"/>
    <w:rsid w:val="00815A92"/>
    <w:rsid w:val="0082780C"/>
    <w:rsid w:val="00827A0B"/>
    <w:rsid w:val="00833E0F"/>
    <w:rsid w:val="008404FD"/>
    <w:rsid w:val="0084503B"/>
    <w:rsid w:val="00850AEF"/>
    <w:rsid w:val="0085588A"/>
    <w:rsid w:val="00860C6A"/>
    <w:rsid w:val="00875048"/>
    <w:rsid w:val="00875BE1"/>
    <w:rsid w:val="00877715"/>
    <w:rsid w:val="00882835"/>
    <w:rsid w:val="00895CE3"/>
    <w:rsid w:val="0089603F"/>
    <w:rsid w:val="00897970"/>
    <w:rsid w:val="008A55D7"/>
    <w:rsid w:val="008A5D21"/>
    <w:rsid w:val="008A7751"/>
    <w:rsid w:val="008B075C"/>
    <w:rsid w:val="008B5A71"/>
    <w:rsid w:val="008C2244"/>
    <w:rsid w:val="008D3BE2"/>
    <w:rsid w:val="008D4D98"/>
    <w:rsid w:val="008E2A7B"/>
    <w:rsid w:val="008E6E9B"/>
    <w:rsid w:val="008F2C56"/>
    <w:rsid w:val="008F39C5"/>
    <w:rsid w:val="008F3C99"/>
    <w:rsid w:val="008F5779"/>
    <w:rsid w:val="008F5F10"/>
    <w:rsid w:val="008F73D8"/>
    <w:rsid w:val="00900D5B"/>
    <w:rsid w:val="009021B7"/>
    <w:rsid w:val="009236FE"/>
    <w:rsid w:val="009325B3"/>
    <w:rsid w:val="00936145"/>
    <w:rsid w:val="00940E00"/>
    <w:rsid w:val="0094164F"/>
    <w:rsid w:val="00945D4B"/>
    <w:rsid w:val="00947A81"/>
    <w:rsid w:val="00950E0F"/>
    <w:rsid w:val="009630FA"/>
    <w:rsid w:val="00967670"/>
    <w:rsid w:val="00970996"/>
    <w:rsid w:val="00972DA1"/>
    <w:rsid w:val="0098003F"/>
    <w:rsid w:val="009800CC"/>
    <w:rsid w:val="009817C1"/>
    <w:rsid w:val="0098652B"/>
    <w:rsid w:val="009A078E"/>
    <w:rsid w:val="009A2B30"/>
    <w:rsid w:val="009A4211"/>
    <w:rsid w:val="009A47A2"/>
    <w:rsid w:val="009E425E"/>
    <w:rsid w:val="009E4322"/>
    <w:rsid w:val="009F4384"/>
    <w:rsid w:val="009F442D"/>
    <w:rsid w:val="00A06D56"/>
    <w:rsid w:val="00A314A2"/>
    <w:rsid w:val="00A54734"/>
    <w:rsid w:val="00A619C5"/>
    <w:rsid w:val="00A750F5"/>
    <w:rsid w:val="00A75EDD"/>
    <w:rsid w:val="00A8262F"/>
    <w:rsid w:val="00A84B32"/>
    <w:rsid w:val="00A84B3A"/>
    <w:rsid w:val="00A93B71"/>
    <w:rsid w:val="00A95517"/>
    <w:rsid w:val="00AA27B7"/>
    <w:rsid w:val="00AA4019"/>
    <w:rsid w:val="00AB0B32"/>
    <w:rsid w:val="00AB1D7A"/>
    <w:rsid w:val="00AB5C39"/>
    <w:rsid w:val="00AB6DB5"/>
    <w:rsid w:val="00AB72E0"/>
    <w:rsid w:val="00AC3705"/>
    <w:rsid w:val="00AD1C5C"/>
    <w:rsid w:val="00AD566F"/>
    <w:rsid w:val="00AE288B"/>
    <w:rsid w:val="00AE607B"/>
    <w:rsid w:val="00B00DAC"/>
    <w:rsid w:val="00B114D8"/>
    <w:rsid w:val="00B1733E"/>
    <w:rsid w:val="00B25A86"/>
    <w:rsid w:val="00B26E80"/>
    <w:rsid w:val="00B304B9"/>
    <w:rsid w:val="00B36D28"/>
    <w:rsid w:val="00B4198B"/>
    <w:rsid w:val="00B55E1A"/>
    <w:rsid w:val="00B62032"/>
    <w:rsid w:val="00B65F8C"/>
    <w:rsid w:val="00B7263B"/>
    <w:rsid w:val="00B73F47"/>
    <w:rsid w:val="00B7638A"/>
    <w:rsid w:val="00B80DF9"/>
    <w:rsid w:val="00B840D8"/>
    <w:rsid w:val="00B96467"/>
    <w:rsid w:val="00BA154E"/>
    <w:rsid w:val="00BA37CE"/>
    <w:rsid w:val="00BA4692"/>
    <w:rsid w:val="00BB3784"/>
    <w:rsid w:val="00BC6FDB"/>
    <w:rsid w:val="00BC7DE8"/>
    <w:rsid w:val="00BD61D9"/>
    <w:rsid w:val="00BF43BA"/>
    <w:rsid w:val="00BF5722"/>
    <w:rsid w:val="00BF5C7B"/>
    <w:rsid w:val="00BF6268"/>
    <w:rsid w:val="00BF720B"/>
    <w:rsid w:val="00C012F5"/>
    <w:rsid w:val="00C04511"/>
    <w:rsid w:val="00C06CA4"/>
    <w:rsid w:val="00C13453"/>
    <w:rsid w:val="00C16846"/>
    <w:rsid w:val="00C17A42"/>
    <w:rsid w:val="00C32F7D"/>
    <w:rsid w:val="00C34851"/>
    <w:rsid w:val="00C56B50"/>
    <w:rsid w:val="00C57691"/>
    <w:rsid w:val="00C66834"/>
    <w:rsid w:val="00C72664"/>
    <w:rsid w:val="00C727FB"/>
    <w:rsid w:val="00C86F24"/>
    <w:rsid w:val="00C95360"/>
    <w:rsid w:val="00CA38C9"/>
    <w:rsid w:val="00CB4984"/>
    <w:rsid w:val="00CB77D5"/>
    <w:rsid w:val="00CC14F0"/>
    <w:rsid w:val="00CC7C7F"/>
    <w:rsid w:val="00CE3B0F"/>
    <w:rsid w:val="00CE40BB"/>
    <w:rsid w:val="00CE52E3"/>
    <w:rsid w:val="00CF1C71"/>
    <w:rsid w:val="00CF7D42"/>
    <w:rsid w:val="00D05E6C"/>
    <w:rsid w:val="00D07696"/>
    <w:rsid w:val="00D11956"/>
    <w:rsid w:val="00D14C7D"/>
    <w:rsid w:val="00D15A98"/>
    <w:rsid w:val="00D500DC"/>
    <w:rsid w:val="00D64FF3"/>
    <w:rsid w:val="00D657A2"/>
    <w:rsid w:val="00D7095F"/>
    <w:rsid w:val="00D74FCD"/>
    <w:rsid w:val="00D760C8"/>
    <w:rsid w:val="00D83FFD"/>
    <w:rsid w:val="00D8617D"/>
    <w:rsid w:val="00D92563"/>
    <w:rsid w:val="00DB2A47"/>
    <w:rsid w:val="00DC7C10"/>
    <w:rsid w:val="00DD26B1"/>
    <w:rsid w:val="00DE0095"/>
    <w:rsid w:val="00DE243E"/>
    <w:rsid w:val="00DE4CC2"/>
    <w:rsid w:val="00DF23FC"/>
    <w:rsid w:val="00DF2A6F"/>
    <w:rsid w:val="00DF39CD"/>
    <w:rsid w:val="00E0094D"/>
    <w:rsid w:val="00E13427"/>
    <w:rsid w:val="00E1374D"/>
    <w:rsid w:val="00E20134"/>
    <w:rsid w:val="00E24CB2"/>
    <w:rsid w:val="00E2547A"/>
    <w:rsid w:val="00E3187D"/>
    <w:rsid w:val="00E3536D"/>
    <w:rsid w:val="00E44456"/>
    <w:rsid w:val="00E553B9"/>
    <w:rsid w:val="00E56E1D"/>
    <w:rsid w:val="00E56E57"/>
    <w:rsid w:val="00E6599B"/>
    <w:rsid w:val="00E676B9"/>
    <w:rsid w:val="00E67B59"/>
    <w:rsid w:val="00E726DE"/>
    <w:rsid w:val="00E871C2"/>
    <w:rsid w:val="00E903FD"/>
    <w:rsid w:val="00EA1BAA"/>
    <w:rsid w:val="00EA49C6"/>
    <w:rsid w:val="00EC06F6"/>
    <w:rsid w:val="00EC64C4"/>
    <w:rsid w:val="00ED401C"/>
    <w:rsid w:val="00EE333B"/>
    <w:rsid w:val="00EF2642"/>
    <w:rsid w:val="00EF3681"/>
    <w:rsid w:val="00F10790"/>
    <w:rsid w:val="00F10E7C"/>
    <w:rsid w:val="00F13C1E"/>
    <w:rsid w:val="00F20BC2"/>
    <w:rsid w:val="00F342E4"/>
    <w:rsid w:val="00F35330"/>
    <w:rsid w:val="00F4014A"/>
    <w:rsid w:val="00F41C91"/>
    <w:rsid w:val="00F433A4"/>
    <w:rsid w:val="00F4421A"/>
    <w:rsid w:val="00F47316"/>
    <w:rsid w:val="00F55173"/>
    <w:rsid w:val="00F55DA5"/>
    <w:rsid w:val="00F716B2"/>
    <w:rsid w:val="00F91DAC"/>
    <w:rsid w:val="00F95ABE"/>
    <w:rsid w:val="00F9756D"/>
    <w:rsid w:val="00FB5F12"/>
    <w:rsid w:val="00FD417F"/>
    <w:rsid w:val="00FD7B1D"/>
    <w:rsid w:val="00FE1526"/>
    <w:rsid w:val="00FE1E22"/>
    <w:rsid w:val="00FF0FF0"/>
    <w:rsid w:val="00FF3240"/>
    <w:rsid w:val="00FF3F83"/>
    <w:rsid w:val="00FF602C"/>
    <w:rsid w:val="00FF7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1F0B87-EE65-45F7-ACE3-35198855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A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2F5FA2"/>
    <w:rPr>
      <w:rFonts w:ascii="Calibri" w:hAnsi="Calibri"/>
      <w:position w:val="6"/>
      <w:sz w:val="16"/>
    </w:rPr>
  </w:style>
  <w:style w:type="paragraph" w:styleId="FootnoteText">
    <w:name w:val="footnote tex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character" w:customStyle="1" w:styleId="Heading1Char">
    <w:name w:val="Heading 1 Char"/>
    <w:basedOn w:val="DefaultParagraphFont"/>
    <w:link w:val="Heading1"/>
    <w:rsid w:val="009817C1"/>
    <w:rPr>
      <w:rFonts w:ascii="Calibri" w:hAnsi="Calibri"/>
      <w:b/>
      <w:sz w:val="28"/>
      <w:lang w:val="en-GB" w:eastAsia="en-US"/>
    </w:rPr>
  </w:style>
  <w:style w:type="paragraph" w:styleId="ListParagraph">
    <w:name w:val="List Paragraph"/>
    <w:basedOn w:val="Normal"/>
    <w:uiPriority w:val="34"/>
    <w:qFormat/>
    <w:rsid w:val="009817C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HPMbodytext">
    <w:name w:val="HPMbodytext"/>
    <w:basedOn w:val="Normal"/>
    <w:rsid w:val="009817C1"/>
    <w:pPr>
      <w:tabs>
        <w:tab w:val="clear" w:pos="567"/>
        <w:tab w:val="clear" w:pos="1134"/>
        <w:tab w:val="clear" w:pos="1701"/>
        <w:tab w:val="clear" w:pos="2268"/>
        <w:tab w:val="clear" w:pos="2835"/>
      </w:tabs>
      <w:overflowPunct/>
      <w:autoSpaceDE/>
      <w:autoSpaceDN/>
      <w:adjustRightInd/>
      <w:spacing w:after="120"/>
      <w:textAlignment w:val="auto"/>
    </w:pPr>
    <w:rPr>
      <w:rFonts w:ascii="Arial" w:hAnsi="Arial"/>
      <w:lang w:val="en-US" w:eastAsia="zh-CN"/>
    </w:rPr>
  </w:style>
  <w:style w:type="character" w:customStyle="1" w:styleId="HeaderChar">
    <w:name w:val="Header Char"/>
    <w:basedOn w:val="DefaultParagraphFont"/>
    <w:link w:val="Header"/>
    <w:rsid w:val="00092177"/>
    <w:rPr>
      <w:rFonts w:ascii="Calibri" w:hAnsi="Calibri"/>
      <w:sz w:val="18"/>
      <w:lang w:val="en-GB" w:eastAsia="en-US"/>
    </w:rPr>
  </w:style>
  <w:style w:type="table" w:styleId="TableGrid">
    <w:name w:val="Table Grid"/>
    <w:basedOn w:val="TableNormal"/>
    <w:rsid w:val="00FE1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05DD6"/>
    <w:pPr>
      <w:spacing w:before="0"/>
    </w:pPr>
    <w:rPr>
      <w:rFonts w:ascii="Tahoma" w:hAnsi="Tahoma" w:cs="Tahoma"/>
      <w:sz w:val="16"/>
      <w:szCs w:val="16"/>
    </w:rPr>
  </w:style>
  <w:style w:type="character" w:customStyle="1" w:styleId="BalloonTextChar">
    <w:name w:val="Balloon Text Char"/>
    <w:basedOn w:val="DefaultParagraphFont"/>
    <w:link w:val="BalloonText"/>
    <w:rsid w:val="00605DD6"/>
    <w:rPr>
      <w:rFonts w:ascii="Tahoma" w:hAnsi="Tahoma" w:cs="Tahoma"/>
      <w:sz w:val="16"/>
      <w:szCs w:val="16"/>
      <w:lang w:val="en-GB" w:eastAsia="en-US"/>
    </w:rPr>
  </w:style>
  <w:style w:type="character" w:styleId="CommentReference">
    <w:name w:val="annotation reference"/>
    <w:basedOn w:val="DefaultParagraphFont"/>
    <w:rsid w:val="00605DD6"/>
    <w:rPr>
      <w:sz w:val="16"/>
      <w:szCs w:val="16"/>
    </w:rPr>
  </w:style>
  <w:style w:type="paragraph" w:styleId="CommentText">
    <w:name w:val="annotation text"/>
    <w:basedOn w:val="Normal"/>
    <w:link w:val="CommentTextChar"/>
    <w:rsid w:val="00605DD6"/>
    <w:rPr>
      <w:sz w:val="20"/>
    </w:rPr>
  </w:style>
  <w:style w:type="character" w:customStyle="1" w:styleId="CommentTextChar">
    <w:name w:val="Comment Text Char"/>
    <w:basedOn w:val="DefaultParagraphFont"/>
    <w:link w:val="CommentText"/>
    <w:rsid w:val="00605DD6"/>
    <w:rPr>
      <w:rFonts w:ascii="Calibri" w:hAnsi="Calibri"/>
      <w:lang w:val="en-GB" w:eastAsia="en-US"/>
    </w:rPr>
  </w:style>
  <w:style w:type="paragraph" w:styleId="CommentSubject">
    <w:name w:val="annotation subject"/>
    <w:basedOn w:val="CommentText"/>
    <w:next w:val="CommentText"/>
    <w:link w:val="CommentSubjectChar"/>
    <w:rsid w:val="00605DD6"/>
    <w:rPr>
      <w:b/>
      <w:bCs/>
    </w:rPr>
  </w:style>
  <w:style w:type="character" w:customStyle="1" w:styleId="CommentSubjectChar">
    <w:name w:val="Comment Subject Char"/>
    <w:basedOn w:val="CommentTextChar"/>
    <w:link w:val="CommentSubject"/>
    <w:rsid w:val="00605DD6"/>
    <w:rPr>
      <w:rFonts w:ascii="Calibri" w:hAnsi="Calibri"/>
      <w:b/>
      <w:bCs/>
      <w:lang w:val="en-GB" w:eastAsia="en-US"/>
    </w:rPr>
  </w:style>
  <w:style w:type="character" w:customStyle="1" w:styleId="FootnoteTextChar">
    <w:name w:val="Footnote Text Char"/>
    <w:basedOn w:val="DefaultParagraphFont"/>
    <w:link w:val="FootnoteText"/>
    <w:uiPriority w:val="99"/>
    <w:rsid w:val="0008244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e\Application%20Data\Microsoft\Templates\POOL%20E%20-%20ITU\PE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8145-434F-47C1-929A-C4053A6B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8</TotalTime>
  <Pages>5</Pages>
  <Words>1491</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10124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(PP-14)</dc:subject>
  <dc:creator/>
  <cp:keywords>PP-14</cp:keywords>
  <cp:lastModifiedBy>Brouard, Ricarda</cp:lastModifiedBy>
  <cp:revision>4</cp:revision>
  <cp:lastPrinted>2014-10-23T06:41:00Z</cp:lastPrinted>
  <dcterms:created xsi:type="dcterms:W3CDTF">2014-10-27T04:25:00Z</dcterms:created>
  <dcterms:modified xsi:type="dcterms:W3CDTF">2014-10-27T04:34:00Z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95-E</vt:lpwstr>
  </property>
  <property fmtid="{D5CDD505-2E9C-101B-9397-08002B2CF9AE}" pid="3" name="Docdate">
    <vt:lpwstr>6 October 2010</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
  </property>
</Properties>
</file>