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14D4D" w:rsidRPr="00906C76" w:rsidTr="00D24301">
        <w:trPr>
          <w:cantSplit/>
        </w:trPr>
        <w:tc>
          <w:tcPr>
            <w:tcW w:w="6911" w:type="dxa"/>
          </w:tcPr>
          <w:p w:rsidR="00314D4D" w:rsidRPr="00906C76" w:rsidRDefault="00314D4D" w:rsidP="00D2430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6C76">
              <w:rPr>
                <w:rStyle w:val="PageNumber"/>
                <w:rFonts w:asciiTheme="minorHAnsi" w:hAnsiTheme="minorHAnsi" w:cs="Times"/>
                <w:b/>
                <w:szCs w:val="24"/>
              </w:rPr>
              <w:t>Conferencia de Plenipotenciarios (PP-14)</w:t>
            </w:r>
            <w:r w:rsidRPr="00906C76">
              <w:rPr>
                <w:rStyle w:val="PageNumber"/>
                <w:rFonts w:asciiTheme="minorHAnsi" w:hAnsiTheme="minorHAnsi" w:cs="Times"/>
                <w:szCs w:val="24"/>
              </w:rPr>
              <w:br/>
            </w:r>
            <w:proofErr w:type="spellStart"/>
            <w:r w:rsidRPr="00906C76">
              <w:rPr>
                <w:rStyle w:val="PageNumber"/>
                <w:rFonts w:asciiTheme="minorHAnsi" w:hAnsiTheme="minorHAnsi"/>
                <w:b/>
                <w:bCs/>
                <w:szCs w:val="24"/>
              </w:rPr>
              <w:t>Busán</w:t>
            </w:r>
            <w:proofErr w:type="spellEnd"/>
            <w:r w:rsidRPr="00906C76">
              <w:rPr>
                <w:rStyle w:val="PageNumber"/>
                <w:rFonts w:asciiTheme="minorHAnsi" w:hAnsiTheme="minorHAnsi"/>
                <w:b/>
                <w:bCs/>
                <w:szCs w:val="24"/>
              </w:rPr>
              <w:t xml:space="preserve">, </w:t>
            </w:r>
            <w:r w:rsidRPr="00906C76">
              <w:rPr>
                <w:rStyle w:val="PageNumber"/>
                <w:rFonts w:asciiTheme="minorHAnsi" w:hAnsiTheme="minorHAnsi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314D4D" w:rsidRPr="00906C76" w:rsidRDefault="00314D4D" w:rsidP="00D24301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6755B32" wp14:editId="2F384D27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4D" w:rsidRPr="00906C76" w:rsidTr="00D2430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14D4D" w:rsidRPr="00906C76" w:rsidRDefault="00314D4D" w:rsidP="00D24301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14D4D" w:rsidRPr="00906C76" w:rsidRDefault="00314D4D" w:rsidP="00D24301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4D4D" w:rsidRPr="00906C76" w:rsidTr="00D2430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14D4D" w:rsidRPr="00906C76" w:rsidRDefault="00314D4D" w:rsidP="00D24301">
            <w:pPr>
              <w:spacing w:before="0" w:after="48" w:line="240" w:lineRule="atLeast"/>
              <w:ind w:firstLine="72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14D4D" w:rsidRPr="00906C76" w:rsidRDefault="00314D4D" w:rsidP="00D24301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4D4D" w:rsidRPr="00906C76" w:rsidTr="00D24301">
        <w:trPr>
          <w:cantSplit/>
        </w:trPr>
        <w:tc>
          <w:tcPr>
            <w:tcW w:w="6911" w:type="dxa"/>
          </w:tcPr>
          <w:p w:rsidR="00314D4D" w:rsidRPr="00906C76" w:rsidRDefault="00314D4D" w:rsidP="00D24301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906C76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314D4D" w:rsidRPr="00906C76" w:rsidRDefault="00314D4D" w:rsidP="00BC4629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szCs w:val="24"/>
              </w:rPr>
              <w:t>Documento 1</w:t>
            </w:r>
            <w:r w:rsidR="00BC4629">
              <w:rPr>
                <w:rFonts w:asciiTheme="minorHAnsi" w:hAnsiTheme="minorHAnsi" w:cstheme="minorHAnsi"/>
                <w:b/>
                <w:szCs w:val="24"/>
              </w:rPr>
              <w:t>28</w:t>
            </w:r>
            <w:r w:rsidRPr="00906C76">
              <w:rPr>
                <w:rFonts w:asciiTheme="minorHAnsi" w:hAnsiTheme="minorHAnsi" w:cstheme="minorHAnsi"/>
                <w:b/>
                <w:szCs w:val="24"/>
              </w:rPr>
              <w:t>-S</w:t>
            </w:r>
          </w:p>
        </w:tc>
      </w:tr>
      <w:tr w:rsidR="00314D4D" w:rsidRPr="00906C76" w:rsidTr="00D24301">
        <w:trPr>
          <w:cantSplit/>
        </w:trPr>
        <w:tc>
          <w:tcPr>
            <w:tcW w:w="6911" w:type="dxa"/>
          </w:tcPr>
          <w:p w:rsidR="00314D4D" w:rsidRPr="00906C76" w:rsidRDefault="00314D4D" w:rsidP="00D24301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314D4D" w:rsidRPr="00906C76" w:rsidRDefault="00314D4D" w:rsidP="00BC4629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BC4629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906C76">
              <w:rPr>
                <w:rFonts w:asciiTheme="minorHAnsi" w:hAnsiTheme="minorHAnsi" w:cstheme="minorHAnsi"/>
                <w:b/>
                <w:szCs w:val="24"/>
              </w:rPr>
              <w:t xml:space="preserve"> de octubre de 2014</w:t>
            </w:r>
          </w:p>
        </w:tc>
      </w:tr>
      <w:tr w:rsidR="00314D4D" w:rsidRPr="00906C76" w:rsidTr="00D24301">
        <w:trPr>
          <w:cantSplit/>
        </w:trPr>
        <w:tc>
          <w:tcPr>
            <w:tcW w:w="6911" w:type="dxa"/>
          </w:tcPr>
          <w:p w:rsidR="00314D4D" w:rsidRPr="00906C76" w:rsidRDefault="00314D4D" w:rsidP="00D24301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314D4D" w:rsidRPr="00906C76" w:rsidRDefault="00314D4D" w:rsidP="00D24301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szCs w:val="24"/>
              </w:rPr>
              <w:t>Original: inglés</w:t>
            </w:r>
          </w:p>
        </w:tc>
      </w:tr>
      <w:tr w:rsidR="00314D4D" w:rsidRPr="00906C76" w:rsidTr="00D24301">
        <w:trPr>
          <w:cantSplit/>
        </w:trPr>
        <w:tc>
          <w:tcPr>
            <w:tcW w:w="10031" w:type="dxa"/>
            <w:gridSpan w:val="2"/>
          </w:tcPr>
          <w:p w:rsidR="00314D4D" w:rsidRPr="00906C76" w:rsidRDefault="00314D4D" w:rsidP="00D24301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14D4D" w:rsidRPr="00906C76" w:rsidTr="00D24301">
        <w:trPr>
          <w:cantSplit/>
        </w:trPr>
        <w:tc>
          <w:tcPr>
            <w:tcW w:w="10031" w:type="dxa"/>
            <w:gridSpan w:val="2"/>
          </w:tcPr>
          <w:p w:rsidR="00752524" w:rsidRPr="00752524" w:rsidRDefault="00314D4D" w:rsidP="00B41C01">
            <w:pPr>
              <w:pStyle w:val="Title1"/>
              <w:rPr>
                <w:rFonts w:asciiTheme="minorHAnsi" w:hAnsiTheme="minorHAnsi"/>
                <w:sz w:val="24"/>
                <w:szCs w:val="24"/>
              </w:rPr>
            </w:pPr>
            <w:r w:rsidRPr="00906C76">
              <w:rPr>
                <w:rFonts w:asciiTheme="minorHAnsi" w:hAnsiTheme="minorHAnsi"/>
                <w:sz w:val="24"/>
                <w:szCs w:val="24"/>
              </w:rPr>
              <w:t>ACTA</w:t>
            </w:r>
            <w:r w:rsidR="00B41C01">
              <w:rPr>
                <w:rFonts w:asciiTheme="minorHAnsi" w:hAnsiTheme="minorHAnsi"/>
                <w:sz w:val="24"/>
                <w:szCs w:val="24"/>
              </w:rPr>
              <w:br/>
            </w:r>
            <w:r w:rsidR="00B41C01">
              <w:rPr>
                <w:rFonts w:asciiTheme="minorHAnsi" w:hAnsiTheme="minorHAnsi"/>
                <w:sz w:val="24"/>
                <w:szCs w:val="24"/>
              </w:rPr>
              <w:br/>
            </w:r>
            <w:r w:rsidRPr="00906C76">
              <w:rPr>
                <w:rFonts w:asciiTheme="minorHAnsi" w:hAnsiTheme="minorHAnsi"/>
                <w:sz w:val="24"/>
                <w:szCs w:val="24"/>
              </w:rPr>
              <w:t xml:space="preserve">DE LA </w:t>
            </w:r>
            <w:r w:rsidR="00B41C01">
              <w:rPr>
                <w:rFonts w:asciiTheme="minorHAnsi" w:hAnsiTheme="minorHAnsi"/>
                <w:sz w:val="24"/>
                <w:szCs w:val="24"/>
              </w:rPr>
              <w:br/>
            </w:r>
            <w:r w:rsidR="00B41C01">
              <w:rPr>
                <w:rFonts w:asciiTheme="minorHAnsi" w:hAnsiTheme="minorHAnsi"/>
                <w:sz w:val="24"/>
                <w:szCs w:val="24"/>
              </w:rPr>
              <w:br/>
            </w:r>
            <w:r w:rsidR="00BC4629">
              <w:rPr>
                <w:rFonts w:asciiTheme="minorHAnsi" w:hAnsiTheme="minorHAnsi"/>
                <w:sz w:val="24"/>
                <w:szCs w:val="24"/>
              </w:rPr>
              <w:t>OCTAVA</w:t>
            </w:r>
            <w:r w:rsidRPr="00906C76">
              <w:rPr>
                <w:rFonts w:asciiTheme="minorHAnsi" w:hAnsiTheme="minorHAnsi"/>
                <w:sz w:val="24"/>
                <w:szCs w:val="24"/>
              </w:rPr>
              <w:t xml:space="preserve"> SESIÓN PLENARIA</w:t>
            </w:r>
          </w:p>
        </w:tc>
      </w:tr>
      <w:tr w:rsidR="00314D4D" w:rsidRPr="00906C76" w:rsidTr="00D24301">
        <w:trPr>
          <w:cantSplit/>
        </w:trPr>
        <w:tc>
          <w:tcPr>
            <w:tcW w:w="10031" w:type="dxa"/>
            <w:gridSpan w:val="2"/>
          </w:tcPr>
          <w:p w:rsidR="00314D4D" w:rsidRPr="00906C76" w:rsidRDefault="00314D4D" w:rsidP="00752524">
            <w:pPr>
              <w:pStyle w:val="Normalaftertitle"/>
              <w:jc w:val="center"/>
              <w:rPr>
                <w:rFonts w:asciiTheme="minorHAnsi" w:hAnsiTheme="minorHAnsi"/>
                <w:szCs w:val="24"/>
              </w:rPr>
            </w:pPr>
          </w:p>
          <w:p w:rsidR="00314D4D" w:rsidRDefault="00752524" w:rsidP="00752524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Viernes 24</w:t>
            </w:r>
            <w:r w:rsidRPr="00906C76">
              <w:rPr>
                <w:rFonts w:asciiTheme="minorHAnsi" w:hAnsiTheme="minorHAnsi"/>
                <w:szCs w:val="24"/>
              </w:rPr>
              <w:t xml:space="preserve"> de octubre de 2014, a las </w:t>
            </w:r>
            <w:r>
              <w:rPr>
                <w:rFonts w:asciiTheme="minorHAnsi" w:hAnsiTheme="minorHAnsi"/>
                <w:szCs w:val="24"/>
              </w:rPr>
              <w:t>08.3</w:t>
            </w:r>
            <w:r w:rsidRPr="00906C76">
              <w:rPr>
                <w:rFonts w:asciiTheme="minorHAnsi" w:hAnsiTheme="minorHAnsi"/>
                <w:szCs w:val="24"/>
              </w:rPr>
              <w:t>5 horas</w:t>
            </w:r>
          </w:p>
          <w:p w:rsidR="00752524" w:rsidRDefault="00752524" w:rsidP="00752524">
            <w:pPr>
              <w:jc w:val="center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b/>
                <w:bCs/>
                <w:szCs w:val="24"/>
              </w:rPr>
              <w:t>Presidente</w:t>
            </w:r>
            <w:r w:rsidRPr="00906C76">
              <w:rPr>
                <w:rFonts w:asciiTheme="minorHAnsi" w:hAnsiTheme="minorHAnsi"/>
                <w:szCs w:val="24"/>
              </w:rPr>
              <w:t>: Sr. W. MIN (República de Corea)</w:t>
            </w:r>
          </w:p>
          <w:p w:rsidR="00A2190C" w:rsidRPr="00906C76" w:rsidRDefault="00A2190C" w:rsidP="00752524">
            <w:pPr>
              <w:rPr>
                <w:rFonts w:asciiTheme="minorHAnsi" w:hAnsiTheme="minorHAnsi"/>
                <w:szCs w:val="24"/>
              </w:rPr>
            </w:pPr>
          </w:p>
        </w:tc>
      </w:tr>
    </w:tbl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314D4D" w:rsidRPr="00906C76" w:rsidTr="00D24301">
        <w:tc>
          <w:tcPr>
            <w:tcW w:w="534" w:type="dxa"/>
          </w:tcPr>
          <w:p w:rsidR="00314D4D" w:rsidRPr="00906C76" w:rsidRDefault="00314D4D" w:rsidP="00D24301">
            <w:pPr>
              <w:pStyle w:val="toc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64" w:type="dxa"/>
          </w:tcPr>
          <w:p w:rsidR="00314D4D" w:rsidRPr="00906C76" w:rsidRDefault="00314D4D" w:rsidP="00D2430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6C76">
              <w:rPr>
                <w:rFonts w:asciiTheme="minorHAnsi" w:hAnsiTheme="minorHAnsi"/>
                <w:b/>
                <w:bCs/>
                <w:szCs w:val="24"/>
              </w:rPr>
              <w:t>Asuntos tratados</w:t>
            </w:r>
          </w:p>
        </w:tc>
        <w:tc>
          <w:tcPr>
            <w:tcW w:w="2333" w:type="dxa"/>
          </w:tcPr>
          <w:p w:rsidR="00314D4D" w:rsidRPr="00906C76" w:rsidRDefault="00314D4D" w:rsidP="00D24301">
            <w:pPr>
              <w:pStyle w:val="toc0"/>
              <w:jc w:val="center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Document</w:t>
            </w:r>
            <w:r w:rsidR="003D51FD" w:rsidRPr="00906C76">
              <w:rPr>
                <w:rFonts w:asciiTheme="minorHAnsi" w:hAnsiTheme="minorHAnsi"/>
                <w:szCs w:val="24"/>
              </w:rPr>
              <w:t>o</w:t>
            </w:r>
            <w:r w:rsidRPr="00906C76">
              <w:rPr>
                <w:rFonts w:asciiTheme="minorHAnsi" w:hAnsiTheme="minorHAnsi"/>
                <w:szCs w:val="24"/>
              </w:rPr>
              <w:t>s</w:t>
            </w:r>
          </w:p>
        </w:tc>
      </w:tr>
      <w:tr w:rsidR="00B41C01" w:rsidRPr="00906C76" w:rsidTr="00D24301">
        <w:tc>
          <w:tcPr>
            <w:tcW w:w="534" w:type="dxa"/>
          </w:tcPr>
          <w:p w:rsidR="00B41C01" w:rsidRDefault="00B41C01" w:rsidP="00B41C01">
            <w:r>
              <w:t>1</w:t>
            </w:r>
          </w:p>
        </w:tc>
        <w:tc>
          <w:tcPr>
            <w:tcW w:w="7164" w:type="dxa"/>
          </w:tcPr>
          <w:p w:rsidR="00B41C01" w:rsidRPr="00906C76" w:rsidRDefault="00B41C01" w:rsidP="00B41C01">
            <w:r w:rsidRPr="00906C76">
              <w:t>Elección del Vicesecretario General</w:t>
            </w:r>
            <w:r>
              <w:t>: tercera votación</w:t>
            </w:r>
          </w:p>
        </w:tc>
        <w:tc>
          <w:tcPr>
            <w:tcW w:w="2333" w:type="dxa"/>
          </w:tcPr>
          <w:p w:rsidR="00B41C01" w:rsidRDefault="002C337A" w:rsidP="00D24301">
            <w:pPr>
              <w:jc w:val="center"/>
            </w:pPr>
            <w:hyperlink r:id="rId8" w:history="1">
              <w:r w:rsidR="00B41C01" w:rsidRPr="00906C76">
                <w:rPr>
                  <w:rStyle w:val="Hyperlink"/>
                  <w:rFonts w:asciiTheme="minorHAnsi" w:hAnsiTheme="minorHAnsi"/>
                  <w:szCs w:val="24"/>
                </w:rPr>
                <w:t>99</w:t>
              </w:r>
            </w:hyperlink>
            <w:r w:rsidR="00B41C01" w:rsidRPr="00906C76">
              <w:rPr>
                <w:rFonts w:asciiTheme="minorHAnsi" w:hAnsiTheme="minorHAnsi"/>
                <w:szCs w:val="24"/>
              </w:rPr>
              <w:t xml:space="preserve">, </w:t>
            </w:r>
            <w:hyperlink r:id="rId9" w:history="1">
              <w:r w:rsidR="00B41C01" w:rsidRPr="00906C76">
                <w:rPr>
                  <w:rStyle w:val="Hyperlink"/>
                  <w:rFonts w:asciiTheme="minorHAnsi" w:hAnsiTheme="minorHAnsi"/>
                  <w:szCs w:val="24"/>
                </w:rPr>
                <w:t>100</w:t>
              </w:r>
            </w:hyperlink>
            <w:r w:rsidR="00B41C01" w:rsidRPr="00906C76">
              <w:rPr>
                <w:rFonts w:asciiTheme="minorHAnsi" w:hAnsiTheme="minorHAnsi"/>
                <w:szCs w:val="24"/>
              </w:rPr>
              <w:t xml:space="preserve">, </w:t>
            </w:r>
            <w:r w:rsidR="00B41C01" w:rsidRPr="00906C76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B41C01" w:rsidRPr="00906C76">
                <w:rPr>
                  <w:rStyle w:val="Hyperlink"/>
                  <w:rFonts w:asciiTheme="minorHAnsi" w:hAnsiTheme="minorHAnsi"/>
                  <w:szCs w:val="24"/>
                </w:rPr>
                <w:t>102</w:t>
              </w:r>
              <w:r w:rsidR="00B41C01">
                <w:rPr>
                  <w:rStyle w:val="Hyperlink"/>
                  <w:rFonts w:asciiTheme="minorHAnsi" w:hAnsiTheme="minorHAnsi"/>
                  <w:szCs w:val="24"/>
                </w:rPr>
                <w:t xml:space="preserve"> </w:t>
              </w:r>
              <w:r w:rsidR="00B41C01" w:rsidRPr="00906C76">
                <w:rPr>
                  <w:rStyle w:val="Hyperlink"/>
                  <w:rFonts w:asciiTheme="minorHAnsi" w:hAnsiTheme="minorHAnsi"/>
                  <w:szCs w:val="24"/>
                </w:rPr>
                <w:t>(Rev.1)</w:t>
              </w:r>
            </w:hyperlink>
            <w:r w:rsidR="00B41C01" w:rsidRPr="00906C76">
              <w:rPr>
                <w:rFonts w:asciiTheme="minorHAnsi" w:hAnsiTheme="minorHAnsi"/>
                <w:szCs w:val="24"/>
              </w:rPr>
              <w:t xml:space="preserve">, </w:t>
            </w:r>
            <w:hyperlink r:id="rId11" w:history="1">
              <w:r w:rsidR="00B41C01" w:rsidRPr="00906C76">
                <w:rPr>
                  <w:rStyle w:val="Hyperlink"/>
                  <w:rFonts w:asciiTheme="minorHAnsi" w:hAnsiTheme="minorHAnsi"/>
                  <w:szCs w:val="24"/>
                </w:rPr>
                <w:t>105</w:t>
              </w:r>
            </w:hyperlink>
          </w:p>
        </w:tc>
      </w:tr>
      <w:tr w:rsidR="00314D4D" w:rsidRPr="00906C76" w:rsidTr="00D24301">
        <w:tc>
          <w:tcPr>
            <w:tcW w:w="534" w:type="dxa"/>
          </w:tcPr>
          <w:p w:rsidR="00BC4629" w:rsidRPr="00906C76" w:rsidRDefault="00BC4629" w:rsidP="00B41C01">
            <w:r>
              <w:t>2</w:t>
            </w:r>
          </w:p>
        </w:tc>
        <w:tc>
          <w:tcPr>
            <w:tcW w:w="7164" w:type="dxa"/>
          </w:tcPr>
          <w:p w:rsidR="00BC4629" w:rsidRPr="00906C76" w:rsidRDefault="00BC4629" w:rsidP="00B41C01">
            <w:r>
              <w:t>Anuncio del delegado de Zambia</w:t>
            </w:r>
          </w:p>
        </w:tc>
        <w:tc>
          <w:tcPr>
            <w:tcW w:w="2333" w:type="dxa"/>
          </w:tcPr>
          <w:p w:rsidR="00314D4D" w:rsidRPr="00906C76" w:rsidRDefault="00B41C01" w:rsidP="00D24301">
            <w:pPr>
              <w:jc w:val="center"/>
              <w:rPr>
                <w:rFonts w:asciiTheme="minorHAnsi" w:hAnsiTheme="minorHAnsi"/>
                <w:szCs w:val="24"/>
              </w:rPr>
            </w:pPr>
            <w:r>
              <w:t>–</w:t>
            </w:r>
          </w:p>
        </w:tc>
      </w:tr>
      <w:tr w:rsidR="00B41C01" w:rsidRPr="00906C76" w:rsidTr="00D24301">
        <w:tc>
          <w:tcPr>
            <w:tcW w:w="534" w:type="dxa"/>
          </w:tcPr>
          <w:p w:rsidR="00B41C01" w:rsidRDefault="00B41C01" w:rsidP="00B41C01">
            <w:r>
              <w:t>3</w:t>
            </w:r>
          </w:p>
        </w:tc>
        <w:tc>
          <w:tcPr>
            <w:tcW w:w="7164" w:type="dxa"/>
          </w:tcPr>
          <w:p w:rsidR="00B41C01" w:rsidRDefault="00B41C01" w:rsidP="00B41C01">
            <w:r w:rsidRPr="00906C76">
              <w:t>Declaraciones de política general (continuación)</w:t>
            </w:r>
          </w:p>
        </w:tc>
        <w:tc>
          <w:tcPr>
            <w:tcW w:w="2333" w:type="dxa"/>
          </w:tcPr>
          <w:p w:rsidR="00B41C01" w:rsidRDefault="00B41C01" w:rsidP="00D24301">
            <w:pPr>
              <w:jc w:val="center"/>
            </w:pPr>
            <w:r w:rsidRPr="00B41C01">
              <w:rPr>
                <w:rFonts w:asciiTheme="minorHAnsi" w:hAnsiTheme="minorHAnsi"/>
                <w:szCs w:val="24"/>
              </w:rPr>
              <w:t>–</w:t>
            </w:r>
          </w:p>
        </w:tc>
      </w:tr>
    </w:tbl>
    <w:p w:rsidR="00314D4D" w:rsidRPr="00906C76" w:rsidRDefault="00314D4D" w:rsidP="00B41C01">
      <w:r w:rsidRPr="00906C76">
        <w:br w:type="page"/>
      </w:r>
    </w:p>
    <w:p w:rsidR="00314D4D" w:rsidRPr="002B7C5C" w:rsidRDefault="00D24301" w:rsidP="00C40EC7">
      <w:pPr>
        <w:pStyle w:val="Heading1"/>
      </w:pPr>
      <w:r w:rsidRPr="002B7C5C">
        <w:lastRenderedPageBreak/>
        <w:t>1</w:t>
      </w:r>
      <w:r w:rsidR="00314D4D" w:rsidRPr="002B7C5C">
        <w:tab/>
        <w:t xml:space="preserve">Elección del Vicesecretario General: </w:t>
      </w:r>
      <w:r w:rsidRPr="002B7C5C">
        <w:t>tercera</w:t>
      </w:r>
      <w:r w:rsidR="00314D4D" w:rsidRPr="002B7C5C">
        <w:t xml:space="preserve"> votación</w:t>
      </w:r>
      <w:r w:rsidR="00C40EC7">
        <w:t xml:space="preserve"> </w:t>
      </w:r>
      <w:r w:rsidR="00314D4D" w:rsidRPr="002B7C5C">
        <w:t>(Documentos 99, 100, 102 (Rev.1) y</w:t>
      </w:r>
      <w:r w:rsidR="009A4B65" w:rsidRPr="002B7C5C">
        <w:t> </w:t>
      </w:r>
      <w:r w:rsidR="00314D4D" w:rsidRPr="002B7C5C">
        <w:t>105)</w:t>
      </w:r>
    </w:p>
    <w:p w:rsidR="00314D4D" w:rsidRPr="00B41C01" w:rsidRDefault="00D24301" w:rsidP="00B41C01">
      <w:r w:rsidRPr="00B41C01">
        <w:t>1</w:t>
      </w:r>
      <w:r w:rsidR="00E46298" w:rsidRPr="00B41C01">
        <w:t>.1</w:t>
      </w:r>
      <w:r w:rsidR="00314D4D" w:rsidRPr="00B41C01">
        <w:tab/>
        <w:t xml:space="preserve">El </w:t>
      </w:r>
      <w:r w:rsidR="00314D4D" w:rsidRPr="00B41C01">
        <w:rPr>
          <w:b/>
          <w:bCs/>
        </w:rPr>
        <w:t>Presidente</w:t>
      </w:r>
      <w:r w:rsidR="00314D4D" w:rsidRPr="00B41C01">
        <w:t xml:space="preserve"> anuncia que </w:t>
      </w:r>
      <w:r w:rsidR="00314D4D" w:rsidRPr="00906C76">
        <w:t>se procederá</w:t>
      </w:r>
      <w:r w:rsidR="00314D4D" w:rsidRPr="00B41C01">
        <w:t xml:space="preserve"> a la </w:t>
      </w:r>
      <w:r w:rsidRPr="00B41C01">
        <w:t>tercera</w:t>
      </w:r>
      <w:r w:rsidR="00314D4D" w:rsidRPr="00B41C01">
        <w:t xml:space="preserve"> votación en las elecciones para el cargo de Vicesecretario General.</w:t>
      </w:r>
      <w:r w:rsidRPr="00B41C01">
        <w:t xml:space="preserve"> Recuerda que en la sexta sesión plenaria se tomó nota de que se han depositado tres instrumentos de delegación de poderes: Malta ha delegado sus poderes a los Países </w:t>
      </w:r>
      <w:r w:rsidRPr="00906C76">
        <w:t>Bajos (Documento</w:t>
      </w:r>
      <w:r w:rsidRPr="00B41C01">
        <w:t xml:space="preserve"> 99), Islandia a Dinamarca (Documento 1</w:t>
      </w:r>
      <w:r w:rsidR="002B7C5C" w:rsidRPr="00B41C01">
        <w:t>00), y Guinea a Malí (Documento </w:t>
      </w:r>
      <w:r w:rsidRPr="00B41C01">
        <w:t>105).</w:t>
      </w:r>
    </w:p>
    <w:p w:rsidR="00D24301" w:rsidRPr="00906C76" w:rsidRDefault="00D24301" w:rsidP="009F36D7">
      <w:r w:rsidRPr="00B15182">
        <w:t>1.2</w:t>
      </w:r>
      <w:r w:rsidRPr="00B15182">
        <w:tab/>
        <w:t xml:space="preserve">El </w:t>
      </w:r>
      <w:r w:rsidRPr="00B15182">
        <w:rPr>
          <w:b/>
          <w:bCs/>
        </w:rPr>
        <w:t>Presidente de la Comisión 2</w:t>
      </w:r>
      <w:r w:rsidRPr="00B15182">
        <w:t xml:space="preserve"> dice que no se han recibido nuevas delegaciones de poderes.</w:t>
      </w:r>
    </w:p>
    <w:p w:rsidR="00D24301" w:rsidRPr="00906C76" w:rsidRDefault="00D24301" w:rsidP="009F36D7">
      <w:r w:rsidRPr="00B15182">
        <w:t>1.3</w:t>
      </w:r>
      <w:r w:rsidRPr="00B15182">
        <w:tab/>
        <w:t xml:space="preserve">El </w:t>
      </w:r>
      <w:r w:rsidRPr="00B15182">
        <w:rPr>
          <w:b/>
          <w:bCs/>
        </w:rPr>
        <w:t>Presidente</w:t>
      </w:r>
      <w:r w:rsidRPr="00B15182">
        <w:t xml:space="preserve"> anuncia que los delegados de </w:t>
      </w:r>
      <w:proofErr w:type="spellStart"/>
      <w:r w:rsidRPr="00B15182">
        <w:t>Suriname</w:t>
      </w:r>
      <w:proofErr w:type="spellEnd"/>
      <w:r w:rsidRPr="00B15182">
        <w:t xml:space="preserve">, Dinamarca, la Federación de Rusia, Camerún y </w:t>
      </w:r>
      <w:proofErr w:type="spellStart"/>
      <w:r w:rsidRPr="00B15182">
        <w:t>Papua</w:t>
      </w:r>
      <w:proofErr w:type="spellEnd"/>
      <w:r w:rsidRPr="00B15182">
        <w:t xml:space="preserve"> Nueva Guinea, que fueron designados escrutadores para supervisar la primera </w:t>
      </w:r>
      <w:r w:rsidR="00FD6BA9" w:rsidRPr="00B15182">
        <w:t xml:space="preserve">y la segunda </w:t>
      </w:r>
      <w:r w:rsidRPr="00B15182">
        <w:t>votación, continuarán</w:t>
      </w:r>
      <w:r w:rsidRPr="00906C76">
        <w:t xml:space="preserve"> des</w:t>
      </w:r>
      <w:r w:rsidRPr="00B15182">
        <w:t>empeñando esa función</w:t>
      </w:r>
      <w:r w:rsidR="00B41C01">
        <w:t>.</w:t>
      </w:r>
    </w:p>
    <w:p w:rsidR="00314D4D" w:rsidRPr="00906C76" w:rsidRDefault="00D24301" w:rsidP="009F36D7">
      <w:r w:rsidRPr="00B15182">
        <w:t>1</w:t>
      </w:r>
      <w:r w:rsidR="00E46298" w:rsidRPr="00B15182">
        <w:t>.</w:t>
      </w:r>
      <w:r w:rsidRPr="00B15182">
        <w:t>4</w:t>
      </w:r>
      <w:r w:rsidR="00314D4D" w:rsidRPr="00B15182">
        <w:tab/>
        <w:t xml:space="preserve">El </w:t>
      </w:r>
      <w:r w:rsidR="00314D4D" w:rsidRPr="00B15182">
        <w:rPr>
          <w:b/>
          <w:bCs/>
        </w:rPr>
        <w:t>Secretario de la Plenaria</w:t>
      </w:r>
      <w:r w:rsidR="00314D4D" w:rsidRPr="00B15182">
        <w:t xml:space="preserve"> da lectura a la lista de las delegaciones con derecho de voto (Documento 102 (Rev.1)</w:t>
      </w:r>
      <w:r w:rsidR="00314D4D" w:rsidRPr="00906C76">
        <w:t xml:space="preserve">) </w:t>
      </w:r>
      <w:r w:rsidR="00314D4D" w:rsidRPr="00B15182">
        <w:t>y las invita a depositar sus papeletas en las urnas previstas a tal efecto.</w:t>
      </w:r>
      <w:r w:rsidR="00314D4D" w:rsidRPr="00906C76">
        <w:rPr>
          <w:rStyle w:val="goog-gtc-translatable"/>
          <w:rFonts w:asciiTheme="minorHAnsi" w:hAnsiTheme="minorHAnsi"/>
        </w:rPr>
        <w:t xml:space="preserve"> </w:t>
      </w:r>
    </w:p>
    <w:p w:rsidR="00314D4D" w:rsidRPr="00906C76" w:rsidRDefault="00D24301" w:rsidP="009F36D7">
      <w:r w:rsidRPr="00B15182">
        <w:t>1</w:t>
      </w:r>
      <w:r w:rsidR="00E46298" w:rsidRPr="00B15182">
        <w:t>.</w:t>
      </w:r>
      <w:r w:rsidRPr="00B15182">
        <w:t>5</w:t>
      </w:r>
      <w:r w:rsidR="00314D4D" w:rsidRPr="00B15182">
        <w:tab/>
        <w:t xml:space="preserve">Candidatos al puesto de Vicesecretario General: Sra. M. </w:t>
      </w:r>
      <w:proofErr w:type="spellStart"/>
      <w:r w:rsidR="00314D4D" w:rsidRPr="00B15182">
        <w:t>Gaj</w:t>
      </w:r>
      <w:proofErr w:type="spellEnd"/>
      <w:r w:rsidR="00314D4D" w:rsidRPr="00B15182">
        <w:t xml:space="preserve"> (Polonia), Sr. M. Johnson (Reino</w:t>
      </w:r>
      <w:r w:rsidR="002B7C5C" w:rsidRPr="00B15182">
        <w:t> </w:t>
      </w:r>
      <w:r w:rsidR="00314D4D" w:rsidRPr="00906C76">
        <w:t>Uni</w:t>
      </w:r>
      <w:r w:rsidR="00314D4D" w:rsidRPr="00B15182">
        <w:t>do) y Sr. S. Taylor (Nigeria).</w:t>
      </w:r>
    </w:p>
    <w:p w:rsidR="00314D4D" w:rsidRPr="00906C76" w:rsidRDefault="00D24301" w:rsidP="00FB62E2">
      <w:r w:rsidRPr="00B41C01">
        <w:t>1</w:t>
      </w:r>
      <w:r w:rsidR="00E46298" w:rsidRPr="00B41C01">
        <w:t>.</w:t>
      </w:r>
      <w:r w:rsidRPr="00B41C01">
        <w:t>6</w:t>
      </w:r>
      <w:r w:rsidR="00314D4D" w:rsidRPr="00B41C01">
        <w:tab/>
        <w:t>Resulta</w:t>
      </w:r>
      <w:r w:rsidR="00314D4D" w:rsidRPr="00906C76">
        <w:t>dos</w:t>
      </w:r>
      <w:r w:rsidR="00314D4D" w:rsidRPr="00B41C01">
        <w:t xml:space="preserve"> de la votación: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438"/>
      </w:tblGrid>
      <w:tr w:rsidR="00314D4D" w:rsidRPr="00906C76" w:rsidTr="00C40EC7">
        <w:tc>
          <w:tcPr>
            <w:tcW w:w="7030" w:type="dxa"/>
          </w:tcPr>
          <w:p w:rsidR="00314D4D" w:rsidRPr="00906C76" w:rsidRDefault="00314D4D" w:rsidP="00D77EB6">
            <w:pPr>
              <w:pStyle w:val="enumlev1"/>
            </w:pPr>
            <w:r w:rsidRPr="00906C76">
              <w:t>–</w:t>
            </w:r>
            <w:r w:rsidRPr="00906C76">
              <w:tab/>
              <w:t>Número de boletines depositados:</w:t>
            </w:r>
          </w:p>
        </w:tc>
        <w:tc>
          <w:tcPr>
            <w:tcW w:w="2438" w:type="dxa"/>
          </w:tcPr>
          <w:p w:rsidR="00314D4D" w:rsidRPr="00906C76" w:rsidRDefault="00314D4D" w:rsidP="00FD6BA9">
            <w:pPr>
              <w:pStyle w:val="enumlev1"/>
              <w:jc w:val="right"/>
            </w:pPr>
            <w:r w:rsidRPr="00906C76">
              <w:t>1</w:t>
            </w:r>
            <w:r w:rsidR="00D24301">
              <w:t>69</w:t>
            </w: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Número de boletines nulos:</w:t>
            </w:r>
          </w:p>
        </w:tc>
        <w:tc>
          <w:tcPr>
            <w:tcW w:w="2438" w:type="dxa"/>
          </w:tcPr>
          <w:p w:rsidR="00314D4D" w:rsidRPr="00906C76" w:rsidRDefault="00314D4D" w:rsidP="00FD6BA9">
            <w:pPr>
              <w:pStyle w:val="enumlev1"/>
              <w:jc w:val="right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0</w:t>
            </w: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Abstenciones:</w:t>
            </w:r>
          </w:p>
        </w:tc>
        <w:tc>
          <w:tcPr>
            <w:tcW w:w="2438" w:type="dxa"/>
          </w:tcPr>
          <w:p w:rsidR="00314D4D" w:rsidRPr="00906C76" w:rsidRDefault="00D24301" w:rsidP="00FD6BA9">
            <w:pPr>
              <w:pStyle w:val="enumlev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Número de delegaciones presentes y votantes (número de boletines que sirven para determinar la mayoría requerida)</w:t>
            </w:r>
          </w:p>
        </w:tc>
        <w:tc>
          <w:tcPr>
            <w:tcW w:w="2438" w:type="dxa"/>
          </w:tcPr>
          <w:p w:rsidR="00314D4D" w:rsidRPr="00906C76" w:rsidRDefault="00314D4D" w:rsidP="00FD6BA9">
            <w:pPr>
              <w:pStyle w:val="enumlev1"/>
              <w:jc w:val="right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1</w:t>
            </w:r>
            <w:r w:rsidR="00D24301">
              <w:rPr>
                <w:rFonts w:asciiTheme="minorHAnsi" w:hAnsiTheme="minorHAnsi"/>
              </w:rPr>
              <w:t>69</w:t>
            </w: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Mayoría requerida</w:t>
            </w:r>
          </w:p>
        </w:tc>
        <w:tc>
          <w:tcPr>
            <w:tcW w:w="2438" w:type="dxa"/>
          </w:tcPr>
          <w:p w:rsidR="00314D4D" w:rsidRPr="00906C76" w:rsidRDefault="00314D4D" w:rsidP="00FD6BA9">
            <w:pPr>
              <w:pStyle w:val="enumlev1"/>
              <w:jc w:val="right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8</w:t>
            </w:r>
            <w:r w:rsidR="00D24301">
              <w:rPr>
                <w:rFonts w:asciiTheme="minorHAnsi" w:hAnsiTheme="minorHAnsi"/>
              </w:rPr>
              <w:t>5</w:t>
            </w: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2818E5" w:rsidP="00D77EB6">
            <w:pPr>
              <w:pStyle w:val="enumlev1"/>
              <w:rPr>
                <w:rFonts w:asciiTheme="minorHAnsi" w:hAnsiTheme="minorHAnsi"/>
              </w:rPr>
            </w:pPr>
            <w:r w:rsidRPr="002818E5">
              <w:rPr>
                <w:rFonts w:asciiTheme="minorHAnsi" w:hAnsiTheme="minorHAnsi"/>
              </w:rPr>
              <w:t>–</w:t>
            </w:r>
            <w:r w:rsidR="00314D4D" w:rsidRPr="00906C76">
              <w:rPr>
                <w:rFonts w:asciiTheme="minorHAnsi" w:hAnsiTheme="minorHAnsi"/>
              </w:rPr>
              <w:tab/>
            </w:r>
            <w:r w:rsidR="00314D4D" w:rsidRPr="00906C76">
              <w:rPr>
                <w:rFonts w:asciiTheme="minorHAnsi" w:hAnsiTheme="minorHAnsi"/>
                <w:bCs/>
              </w:rPr>
              <w:t>Número de votos obtenidos</w:t>
            </w:r>
            <w:r w:rsidR="00314D4D" w:rsidRPr="00906C76">
              <w:rPr>
                <w:rFonts w:asciiTheme="minorHAnsi" w:hAnsiTheme="minorHAnsi"/>
              </w:rPr>
              <w:t>:</w:t>
            </w:r>
          </w:p>
        </w:tc>
        <w:tc>
          <w:tcPr>
            <w:tcW w:w="2438" w:type="dxa"/>
          </w:tcPr>
          <w:p w:rsidR="00314D4D" w:rsidRPr="00906C76" w:rsidRDefault="00314D4D" w:rsidP="00FD6BA9">
            <w:pPr>
              <w:pStyle w:val="enumlev1"/>
              <w:jc w:val="right"/>
              <w:rPr>
                <w:rFonts w:asciiTheme="minorHAnsi" w:hAnsiTheme="minorHAnsi"/>
              </w:rPr>
            </w:pP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–</w:t>
            </w:r>
            <w:r w:rsidRPr="00906C76">
              <w:tab/>
              <w:t xml:space="preserve">Sra. M. </w:t>
            </w:r>
            <w:proofErr w:type="spellStart"/>
            <w:r w:rsidRPr="00906C76">
              <w:t>Gaj</w:t>
            </w:r>
            <w:proofErr w:type="spellEnd"/>
            <w:r w:rsidRPr="00906C76">
              <w:t>:</w:t>
            </w:r>
          </w:p>
        </w:tc>
        <w:tc>
          <w:tcPr>
            <w:tcW w:w="2438" w:type="dxa"/>
          </w:tcPr>
          <w:p w:rsidR="00314D4D" w:rsidRPr="00906C76" w:rsidRDefault="00314D4D" w:rsidP="00FD6BA9">
            <w:pPr>
              <w:pStyle w:val="enumlev2"/>
              <w:jc w:val="right"/>
            </w:pPr>
            <w:r w:rsidRPr="00906C76">
              <w:t>4</w:t>
            </w:r>
            <w:r w:rsidR="00D24301">
              <w:t>7</w:t>
            </w:r>
            <w:r w:rsidRPr="00906C76">
              <w:t xml:space="preserve"> votos</w:t>
            </w: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–</w:t>
            </w:r>
            <w:r w:rsidRPr="00906C76">
              <w:tab/>
              <w:t>Sr. S. Taylor</w:t>
            </w:r>
            <w:r w:rsidR="00D24301">
              <w:t>:</w:t>
            </w:r>
          </w:p>
        </w:tc>
        <w:tc>
          <w:tcPr>
            <w:tcW w:w="2438" w:type="dxa"/>
          </w:tcPr>
          <w:p w:rsidR="00314D4D" w:rsidRPr="00906C76" w:rsidRDefault="00D24301" w:rsidP="00FD6BA9">
            <w:pPr>
              <w:pStyle w:val="enumlev2"/>
              <w:jc w:val="right"/>
            </w:pPr>
            <w:r>
              <w:t>51</w:t>
            </w:r>
            <w:r w:rsidR="00314D4D" w:rsidRPr="00906C76">
              <w:t xml:space="preserve"> votos</w:t>
            </w:r>
          </w:p>
        </w:tc>
      </w:tr>
      <w:tr w:rsidR="00314D4D" w:rsidRPr="00906C76" w:rsidTr="00C40EC7">
        <w:tc>
          <w:tcPr>
            <w:tcW w:w="7030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–</w:t>
            </w:r>
            <w:r w:rsidRPr="00906C76">
              <w:tab/>
              <w:t>Sr. M. Johnson:</w:t>
            </w:r>
          </w:p>
        </w:tc>
        <w:tc>
          <w:tcPr>
            <w:tcW w:w="2438" w:type="dxa"/>
          </w:tcPr>
          <w:p w:rsidR="00314D4D" w:rsidRPr="00906C76" w:rsidRDefault="00D24301" w:rsidP="00FD6BA9">
            <w:pPr>
              <w:pStyle w:val="enumlev2"/>
              <w:jc w:val="right"/>
            </w:pPr>
            <w:r>
              <w:t>71</w:t>
            </w:r>
            <w:r w:rsidR="00314D4D" w:rsidRPr="00906C76">
              <w:t xml:space="preserve"> votos</w:t>
            </w:r>
          </w:p>
        </w:tc>
      </w:tr>
    </w:tbl>
    <w:p w:rsidR="00314D4D" w:rsidRPr="00906C76" w:rsidRDefault="00FD6BA9" w:rsidP="00C40EC7">
      <w:r w:rsidRPr="00441337">
        <w:t>1</w:t>
      </w:r>
      <w:r w:rsidR="00E46298" w:rsidRPr="00441337">
        <w:t>.</w:t>
      </w:r>
      <w:r w:rsidRPr="00441337">
        <w:t>7</w:t>
      </w:r>
      <w:r w:rsidR="00314D4D" w:rsidRPr="00441337">
        <w:tab/>
        <w:t>E</w:t>
      </w:r>
      <w:r w:rsidR="00441337">
        <w:t>l</w:t>
      </w:r>
      <w:r w:rsidR="00314D4D" w:rsidRPr="00441337">
        <w:t xml:space="preserve"> </w:t>
      </w:r>
      <w:r w:rsidR="00314D4D" w:rsidRPr="00441337">
        <w:rPr>
          <w:b/>
          <w:bCs/>
        </w:rPr>
        <w:t>Presidente</w:t>
      </w:r>
      <w:r w:rsidR="00314D4D" w:rsidRPr="00441337">
        <w:t xml:space="preserve">, tras observar que ningún candidato ha obtenido la mayoría requerida, dice que </w:t>
      </w:r>
      <w:r w:rsidR="007C4B3A" w:rsidRPr="00441337">
        <w:t xml:space="preserve">con arreglo al número </w:t>
      </w:r>
      <w:r w:rsidR="00C40EC7">
        <w:t>192</w:t>
      </w:r>
      <w:r w:rsidR="007C4B3A" w:rsidRPr="00441337">
        <w:t xml:space="preserve"> del Reglamento General de conferencias, asambleas y reuniones de la Unión, </w:t>
      </w:r>
      <w:r w:rsidR="00314D4D" w:rsidRPr="00441337">
        <w:t xml:space="preserve">procederá a </w:t>
      </w:r>
      <w:r w:rsidR="00314D4D" w:rsidRPr="00906C76">
        <w:t xml:space="preserve">una </w:t>
      </w:r>
      <w:r w:rsidR="007C4B3A">
        <w:t>cuarta</w:t>
      </w:r>
      <w:r w:rsidR="00314D4D" w:rsidRPr="00906C76">
        <w:t xml:space="preserve"> votación </w:t>
      </w:r>
      <w:r w:rsidR="007C4B3A">
        <w:t>ese mismo día, por la tarde</w:t>
      </w:r>
      <w:r w:rsidR="002C7D29">
        <w:t xml:space="preserve"> a las 14.00 horas</w:t>
      </w:r>
      <w:r w:rsidR="007C4B3A">
        <w:t xml:space="preserve">, entre los dos candidatos que </w:t>
      </w:r>
      <w:r>
        <w:t>han obtenido</w:t>
      </w:r>
      <w:r w:rsidR="007C4B3A">
        <w:t xml:space="preserve"> el mayor número de votos en la tercera votación</w:t>
      </w:r>
      <w:r w:rsidR="00314D4D" w:rsidRPr="00906C76">
        <w:t>.</w:t>
      </w:r>
      <w:r w:rsidR="00017B7C" w:rsidRPr="00906C76">
        <w:t xml:space="preserve"> </w:t>
      </w:r>
      <w:r w:rsidR="007C4B3A" w:rsidRPr="00441337">
        <w:t>Expresa su agradecim</w:t>
      </w:r>
      <w:r w:rsidR="007C4B3A" w:rsidRPr="00906C76">
        <w:t>ie</w:t>
      </w:r>
      <w:r w:rsidR="007C4B3A" w:rsidRPr="00441337">
        <w:t xml:space="preserve">nto a la Sra. </w:t>
      </w:r>
      <w:proofErr w:type="spellStart"/>
      <w:r w:rsidR="007C4B3A" w:rsidRPr="00441337">
        <w:t>Gaj</w:t>
      </w:r>
      <w:proofErr w:type="spellEnd"/>
      <w:r w:rsidR="007C4B3A" w:rsidRPr="00441337">
        <w:t xml:space="preserve"> </w:t>
      </w:r>
      <w:r w:rsidR="0040625E" w:rsidRPr="00441337">
        <w:t xml:space="preserve">por su excelente campaña </w:t>
      </w:r>
      <w:r w:rsidRPr="00441337">
        <w:t>en</w:t>
      </w:r>
      <w:r w:rsidR="0040625E" w:rsidRPr="00441337">
        <w:t xml:space="preserve"> las elecciones y</w:t>
      </w:r>
      <w:r w:rsidR="007C4B3A" w:rsidRPr="00441337">
        <w:t xml:space="preserve"> su contribución a la labor de la Unión</w:t>
      </w:r>
      <w:r w:rsidR="0040625E" w:rsidRPr="00441337">
        <w:t>.</w:t>
      </w:r>
    </w:p>
    <w:p w:rsidR="00314D4D" w:rsidRDefault="0004163E" w:rsidP="002B7C5C">
      <w:pPr>
        <w:pStyle w:val="Heading1"/>
      </w:pPr>
      <w:r w:rsidRPr="0004163E">
        <w:t>2</w:t>
      </w:r>
      <w:r w:rsidRPr="0004163E">
        <w:tab/>
        <w:t>Anuncio del delegado de Zambia</w:t>
      </w:r>
    </w:p>
    <w:p w:rsidR="0004163E" w:rsidRPr="0004163E" w:rsidRDefault="000A51FD" w:rsidP="009F36D7">
      <w:r>
        <w:t>2.1</w:t>
      </w:r>
      <w:r w:rsidR="0004163E" w:rsidRPr="0004163E">
        <w:tab/>
        <w:t xml:space="preserve">El </w:t>
      </w:r>
      <w:r w:rsidR="0004163E" w:rsidRPr="009D740B">
        <w:rPr>
          <w:b/>
          <w:bCs/>
        </w:rPr>
        <w:t>delegado de Zambia</w:t>
      </w:r>
      <w:r w:rsidR="0004163E" w:rsidRPr="0004163E">
        <w:t xml:space="preserve"> anunci</w:t>
      </w:r>
      <w:r w:rsidR="0004163E">
        <w:t>a</w:t>
      </w:r>
      <w:r w:rsidR="0004163E" w:rsidRPr="0004163E">
        <w:t xml:space="preserve"> que Zambia celebra</w:t>
      </w:r>
      <w:r w:rsidR="0004163E">
        <w:t xml:space="preserve"> el</w:t>
      </w:r>
      <w:r w:rsidR="0004163E" w:rsidRPr="0004163E">
        <w:t xml:space="preserve"> 50</w:t>
      </w:r>
      <w:r w:rsidR="0004163E">
        <w:t>º</w:t>
      </w:r>
      <w:r w:rsidR="0004163E" w:rsidRPr="0004163E">
        <w:t xml:space="preserve"> aniversario de su independencia el 24 de octubre de 2014. La fecha de su independencia coincid</w:t>
      </w:r>
      <w:r w:rsidR="0004163E">
        <w:t>e</w:t>
      </w:r>
      <w:r w:rsidR="0004163E" w:rsidRPr="0004163E">
        <w:t xml:space="preserve"> con el Día de las Naciones Unidas, </w:t>
      </w:r>
      <w:r w:rsidR="0004163E">
        <w:t xml:space="preserve">para </w:t>
      </w:r>
      <w:r w:rsidR="0004163E" w:rsidRPr="0004163E">
        <w:t>recorda</w:t>
      </w:r>
      <w:r w:rsidR="0004163E">
        <w:t>r</w:t>
      </w:r>
      <w:r w:rsidR="0004163E" w:rsidRPr="0004163E">
        <w:t xml:space="preserve"> a los líderes de la necesidad de trabajar juntos para mejorar </w:t>
      </w:r>
      <w:r w:rsidR="009D740B">
        <w:t>el destino</w:t>
      </w:r>
      <w:r w:rsidR="0004163E" w:rsidRPr="0004163E">
        <w:t xml:space="preserve"> de los pueblos del mundo. </w:t>
      </w:r>
    </w:p>
    <w:p w:rsidR="0004163E" w:rsidRPr="0004163E" w:rsidRDefault="0004163E" w:rsidP="000A51FD">
      <w:r w:rsidRPr="0004163E">
        <w:t>2.2</w:t>
      </w:r>
      <w:r w:rsidRPr="0004163E">
        <w:tab/>
        <w:t xml:space="preserve">El </w:t>
      </w:r>
      <w:r w:rsidRPr="009D740B">
        <w:rPr>
          <w:b/>
          <w:bCs/>
        </w:rPr>
        <w:t>Presidente</w:t>
      </w:r>
      <w:r w:rsidRPr="0004163E">
        <w:t xml:space="preserve"> felicit</w:t>
      </w:r>
      <w:r>
        <w:t>a</w:t>
      </w:r>
      <w:r w:rsidRPr="0004163E">
        <w:t xml:space="preserve"> a la delegación de Zambia</w:t>
      </w:r>
      <w:r>
        <w:t>,</w:t>
      </w:r>
      <w:r w:rsidRPr="0004163E">
        <w:t xml:space="preserve"> en nombre de todos los participantes presentes.</w:t>
      </w:r>
    </w:p>
    <w:p w:rsidR="00314D4D" w:rsidRPr="002B7C5C" w:rsidRDefault="00E46298" w:rsidP="002B7C5C">
      <w:pPr>
        <w:pStyle w:val="Heading1"/>
      </w:pPr>
      <w:r w:rsidRPr="00B41C01">
        <w:lastRenderedPageBreak/>
        <w:t>3</w:t>
      </w:r>
      <w:r w:rsidR="00314D4D" w:rsidRPr="00B41C01">
        <w:tab/>
      </w:r>
      <w:r w:rsidR="00314D4D" w:rsidRPr="002B7C5C">
        <w:t>Declaraciones</w:t>
      </w:r>
      <w:r w:rsidR="00314D4D" w:rsidRPr="00B41C01">
        <w:t xml:space="preserve"> de política general (continuación)</w:t>
      </w:r>
      <w:r w:rsidR="00314D4D" w:rsidRPr="00B41C01">
        <w:rPr>
          <w:vertAlign w:val="superscript"/>
        </w:rPr>
        <w:footnoteReference w:id="1"/>
      </w:r>
      <w:bookmarkStart w:id="0" w:name="_ftnref1"/>
      <w:bookmarkEnd w:id="0"/>
    </w:p>
    <w:p w:rsidR="00314D4D" w:rsidRPr="00906C76" w:rsidRDefault="00E46298" w:rsidP="009F36D7">
      <w:r w:rsidRPr="00B15182">
        <w:t>3.1</w:t>
      </w:r>
      <w:r w:rsidR="00314D4D" w:rsidRPr="00B15182">
        <w:tab/>
        <w:t>Los siguient</w:t>
      </w:r>
      <w:r w:rsidR="00314D4D" w:rsidRPr="00906C76">
        <w:t xml:space="preserve">es </w:t>
      </w:r>
      <w:r w:rsidR="00314D4D" w:rsidRPr="00B15182">
        <w:t>oradores hacen una declaración de política general:</w:t>
      </w:r>
    </w:p>
    <w:p w:rsidR="0004163E" w:rsidRPr="009F36D7" w:rsidRDefault="009F36D7" w:rsidP="0004163E">
      <w:pPr>
        <w:pStyle w:val="enumlev1"/>
      </w:pPr>
      <w:r>
        <w:t>–</w:t>
      </w:r>
      <w:r w:rsidR="0004163E" w:rsidRPr="009F36D7">
        <w:tab/>
        <w:t xml:space="preserve">Sr. </w:t>
      </w:r>
      <w:proofErr w:type="spellStart"/>
      <w:r w:rsidR="0004163E" w:rsidRPr="009F36D7">
        <w:t>Darcy</w:t>
      </w:r>
      <w:proofErr w:type="spellEnd"/>
      <w:r w:rsidR="0004163E" w:rsidRPr="009F36D7">
        <w:t xml:space="preserve"> </w:t>
      </w:r>
      <w:r w:rsidR="005E1885" w:rsidRPr="009F36D7">
        <w:t>BOYCE</w:t>
      </w:r>
      <w:r w:rsidR="0004163E" w:rsidRPr="009F36D7">
        <w:t xml:space="preserve">, Ministro responsable de Telecomunicaciones, Oficina del Primer Ministro (Barbados); </w:t>
      </w:r>
    </w:p>
    <w:p w:rsidR="0004163E" w:rsidRPr="0004163E" w:rsidRDefault="009F36D7" w:rsidP="00B41C01">
      <w:pPr>
        <w:pStyle w:val="enumlev1"/>
        <w:rPr>
          <w:rStyle w:val="goog-gtc-translatable"/>
          <w:rFonts w:asciiTheme="minorHAnsi" w:hAnsiTheme="minorHAnsi"/>
        </w:rPr>
      </w:pPr>
      <w:r>
        <w:t>–</w:t>
      </w:r>
      <w:r w:rsidR="0004163E" w:rsidRPr="009F36D7">
        <w:tab/>
        <w:t xml:space="preserve">Sra. </w:t>
      </w:r>
      <w:proofErr w:type="spellStart"/>
      <w:r w:rsidR="0004163E" w:rsidRPr="009F36D7">
        <w:t>Nerida</w:t>
      </w:r>
      <w:proofErr w:type="spellEnd"/>
      <w:r w:rsidR="0004163E" w:rsidRPr="009F36D7">
        <w:t xml:space="preserve"> </w:t>
      </w:r>
      <w:r w:rsidR="005E1885" w:rsidRPr="009F36D7">
        <w:t>O'LOUGHLIN</w:t>
      </w:r>
      <w:r w:rsidR="0004163E" w:rsidRPr="009F36D7">
        <w:t>, Secretaria Adjunta</w:t>
      </w:r>
      <w:r w:rsidR="009D740B" w:rsidRPr="009F36D7">
        <w:t>,</w:t>
      </w:r>
      <w:r w:rsidR="0004163E" w:rsidRPr="009F36D7">
        <w:t xml:space="preserve"> Departamento de Comunicaciones (Australia); al final de su declaración, la oradora recuerda la contribución de su Gobierno, de</w:t>
      </w:r>
      <w:r w:rsidR="00B41C01">
        <w:t> </w:t>
      </w:r>
      <w:r w:rsidR="0004163E" w:rsidRPr="009F36D7">
        <w:t>2,4</w:t>
      </w:r>
      <w:r w:rsidR="00B41C01">
        <w:t> </w:t>
      </w:r>
      <w:r w:rsidR="0004163E" w:rsidRPr="009F36D7">
        <w:t xml:space="preserve">millones </w:t>
      </w:r>
      <w:r w:rsidR="00B41C01">
        <w:t>CHF</w:t>
      </w:r>
      <w:r w:rsidR="0004163E" w:rsidRPr="009F36D7">
        <w:t>, para financiar las actividades de desarrollo de la UIT durante el per</w:t>
      </w:r>
      <w:r w:rsidR="00B41C01">
        <w:t>i</w:t>
      </w:r>
      <w:r w:rsidR="0004163E" w:rsidRPr="009F36D7">
        <w:t>odo de 2011</w:t>
      </w:r>
      <w:r w:rsidR="009D740B" w:rsidRPr="009F36D7">
        <w:t>-</w:t>
      </w:r>
      <w:r w:rsidR="0004163E" w:rsidRPr="009F36D7">
        <w:t>2014, y afirma la intención de su Gobierno de renovar</w:t>
      </w:r>
      <w:r>
        <w:t xml:space="preserve"> ese compromiso en </w:t>
      </w:r>
      <w:r w:rsidR="0004163E" w:rsidRPr="009F36D7">
        <w:t>2015</w:t>
      </w:r>
      <w:r w:rsidR="00B41C01">
        <w:noBreakHyphen/>
      </w:r>
      <w:r w:rsidR="0004163E" w:rsidRPr="009F36D7">
        <w:t>2018.</w:t>
      </w:r>
      <w:r w:rsidR="0004163E" w:rsidRPr="0004163E">
        <w:rPr>
          <w:rStyle w:val="goog-gtc-translatable"/>
          <w:rFonts w:asciiTheme="minorHAnsi" w:hAnsiTheme="minorHAnsi"/>
        </w:rPr>
        <w:t xml:space="preserve"> </w:t>
      </w:r>
    </w:p>
    <w:p w:rsidR="0004163E" w:rsidRPr="00B15182" w:rsidRDefault="0004163E" w:rsidP="00B15182">
      <w:r w:rsidRPr="00B15182">
        <w:t>3.2</w:t>
      </w:r>
      <w:r w:rsidRPr="00B15182">
        <w:tab/>
        <w:t xml:space="preserve">El </w:t>
      </w:r>
      <w:r w:rsidRPr="00B15182">
        <w:rPr>
          <w:b/>
          <w:bCs/>
        </w:rPr>
        <w:t>Presidente</w:t>
      </w:r>
      <w:r w:rsidRPr="00B15182">
        <w:t xml:space="preserve"> agradece la contribución de Australia a las actividades de desarrollo de la Unión. </w:t>
      </w:r>
    </w:p>
    <w:p w:rsidR="0004163E" w:rsidRPr="0004163E" w:rsidRDefault="00B15182" w:rsidP="009F36D7">
      <w:pPr>
        <w:rPr>
          <w:rStyle w:val="goog-gtc-translatable"/>
          <w:rFonts w:asciiTheme="minorHAnsi" w:hAnsiTheme="minorHAnsi"/>
        </w:rPr>
      </w:pPr>
      <w:r>
        <w:t>3.3</w:t>
      </w:r>
      <w:r w:rsidR="0004163E" w:rsidRPr="00B15182">
        <w:tab/>
        <w:t>Declaraciones de política general (continuación):</w:t>
      </w:r>
      <w:r w:rsidR="0004163E" w:rsidRPr="0004163E">
        <w:rPr>
          <w:rStyle w:val="goog-gtc-translatable"/>
          <w:rFonts w:asciiTheme="minorHAnsi" w:hAnsiTheme="minorHAnsi"/>
        </w:rPr>
        <w:t xml:space="preserve"> </w:t>
      </w:r>
    </w:p>
    <w:p w:rsidR="0004163E" w:rsidRPr="009F36D7" w:rsidRDefault="009F36D7" w:rsidP="009F36D7">
      <w:pPr>
        <w:pStyle w:val="enumlev1"/>
      </w:pPr>
      <w:r>
        <w:t>–</w:t>
      </w:r>
      <w:r w:rsidR="0004163E" w:rsidRPr="009F36D7">
        <w:tab/>
        <w:t xml:space="preserve">Sr. </w:t>
      </w:r>
      <w:proofErr w:type="spellStart"/>
      <w:r w:rsidR="0004163E" w:rsidRPr="009F36D7">
        <w:t>Jadambaa</w:t>
      </w:r>
      <w:proofErr w:type="spellEnd"/>
      <w:r w:rsidR="0004163E" w:rsidRPr="009F36D7">
        <w:t xml:space="preserve"> TSAGAAN-UVGUN, Presidente, </w:t>
      </w:r>
      <w:r w:rsidR="005E1885" w:rsidRPr="009F36D7">
        <w:t xml:space="preserve">Autoridad de </w:t>
      </w:r>
      <w:r w:rsidR="0004163E" w:rsidRPr="009F36D7">
        <w:t xml:space="preserve">Tecnología de la Información, Correos y Telecomunicaciones (Mongolia); </w:t>
      </w:r>
    </w:p>
    <w:p w:rsidR="0004163E" w:rsidRPr="009F36D7" w:rsidRDefault="009F36D7" w:rsidP="00783D67">
      <w:pPr>
        <w:pStyle w:val="enumlev1"/>
      </w:pPr>
      <w:r>
        <w:t>–</w:t>
      </w:r>
      <w:r w:rsidR="0004163E" w:rsidRPr="009F36D7">
        <w:tab/>
        <w:t xml:space="preserve">Sr. </w:t>
      </w:r>
      <w:proofErr w:type="spellStart"/>
      <w:r w:rsidR="005E1885" w:rsidRPr="009F36D7">
        <w:t>Thari</w:t>
      </w:r>
      <w:proofErr w:type="spellEnd"/>
      <w:r w:rsidR="005E1885" w:rsidRPr="009F36D7">
        <w:t xml:space="preserve"> </w:t>
      </w:r>
      <w:r w:rsidR="0004163E" w:rsidRPr="009F36D7">
        <w:t xml:space="preserve">G. </w:t>
      </w:r>
      <w:r w:rsidR="005E1885" w:rsidRPr="009F36D7">
        <w:t>PHEKO</w:t>
      </w:r>
      <w:r w:rsidR="0004163E" w:rsidRPr="009F36D7">
        <w:t xml:space="preserve">, Director Ejecutivo, Autoridad Reguladora de las Comunicaciones </w:t>
      </w:r>
      <w:r w:rsidR="009D740B" w:rsidRPr="009F36D7">
        <w:t xml:space="preserve">de </w:t>
      </w:r>
      <w:proofErr w:type="spellStart"/>
      <w:r w:rsidR="005E1885" w:rsidRPr="009F36D7">
        <w:t>Botswana</w:t>
      </w:r>
      <w:proofErr w:type="spellEnd"/>
      <w:r w:rsidR="005E1885" w:rsidRPr="009F36D7">
        <w:t xml:space="preserve"> </w:t>
      </w:r>
      <w:r w:rsidR="0004163E" w:rsidRPr="009F36D7">
        <w:t>(</w:t>
      </w:r>
      <w:proofErr w:type="spellStart"/>
      <w:r w:rsidR="0004163E" w:rsidRPr="009F36D7">
        <w:t>Botswana</w:t>
      </w:r>
      <w:proofErr w:type="spellEnd"/>
      <w:r w:rsidR="0004163E" w:rsidRPr="009F36D7">
        <w:t xml:space="preserve">); </w:t>
      </w:r>
    </w:p>
    <w:p w:rsidR="0004163E" w:rsidRPr="009F36D7" w:rsidRDefault="009F36D7" w:rsidP="009F36D7">
      <w:pPr>
        <w:pStyle w:val="enumlev1"/>
      </w:pPr>
      <w:r>
        <w:t>–</w:t>
      </w:r>
      <w:r w:rsidR="0004163E" w:rsidRPr="009F36D7">
        <w:tab/>
        <w:t>Sra</w:t>
      </w:r>
      <w:r w:rsidR="005E1885" w:rsidRPr="009F36D7">
        <w:t>.</w:t>
      </w:r>
      <w:r w:rsidR="0004163E" w:rsidRPr="009F36D7">
        <w:t xml:space="preserve"> Julieta TENCHEVA, Jef</w:t>
      </w:r>
      <w:r w:rsidR="005E1885" w:rsidRPr="009F36D7">
        <w:t>a</w:t>
      </w:r>
      <w:r w:rsidR="009D740B" w:rsidRPr="009F36D7">
        <w:t>,</w:t>
      </w:r>
      <w:r w:rsidR="0004163E" w:rsidRPr="009F36D7">
        <w:t xml:space="preserve"> Departamento de Relaciones Internacionales del Ministerio de Transportes, Tecnología de la Información y Comunicaciones (Bulgaria); </w:t>
      </w:r>
    </w:p>
    <w:p w:rsidR="0004163E" w:rsidRPr="0004163E" w:rsidRDefault="009F36D7" w:rsidP="009F36D7">
      <w:pPr>
        <w:pStyle w:val="enumlev1"/>
        <w:rPr>
          <w:rStyle w:val="goog-gtc-translatable"/>
          <w:rFonts w:asciiTheme="minorHAnsi" w:hAnsiTheme="minorHAnsi"/>
        </w:rPr>
      </w:pPr>
      <w:r>
        <w:t>–</w:t>
      </w:r>
      <w:r w:rsidR="005E1885" w:rsidRPr="009F36D7">
        <w:tab/>
      </w:r>
      <w:r w:rsidR="0004163E" w:rsidRPr="009F36D7">
        <w:t xml:space="preserve">Sr. </w:t>
      </w:r>
      <w:proofErr w:type="spellStart"/>
      <w:r w:rsidR="0004163E" w:rsidRPr="009F36D7">
        <w:t>Mohamad</w:t>
      </w:r>
      <w:proofErr w:type="spellEnd"/>
      <w:r w:rsidR="0004163E" w:rsidRPr="009F36D7">
        <w:t xml:space="preserve"> Riza MOHAMAD </w:t>
      </w:r>
      <w:r w:rsidR="005E1885" w:rsidRPr="009F36D7">
        <w:t>YUNOS</w:t>
      </w:r>
      <w:r w:rsidR="0004163E" w:rsidRPr="009F36D7">
        <w:t>, Secretario Permanente Adjunto</w:t>
      </w:r>
      <w:r w:rsidR="009D740B" w:rsidRPr="009F36D7">
        <w:t>,</w:t>
      </w:r>
      <w:r w:rsidR="0004163E" w:rsidRPr="009F36D7">
        <w:t xml:space="preserve"> Ministerio de Comunicaciones (Brunei Darussalam).</w:t>
      </w:r>
      <w:r w:rsidR="0004163E" w:rsidRPr="009F36D7">
        <w:rPr>
          <w:rStyle w:val="goog-gtc-translatable"/>
        </w:rPr>
        <w:t xml:space="preserve"> </w:t>
      </w:r>
    </w:p>
    <w:p w:rsidR="00314D4D" w:rsidRPr="00B41C01" w:rsidRDefault="0004163E" w:rsidP="00B41C01">
      <w:pPr>
        <w:rPr>
          <w:b/>
          <w:bCs/>
        </w:rPr>
      </w:pPr>
      <w:r w:rsidRPr="00B41C01">
        <w:rPr>
          <w:b/>
          <w:bCs/>
        </w:rPr>
        <w:t xml:space="preserve">Se levanta la sesión a </w:t>
      </w:r>
      <w:r w:rsidR="009D740B" w:rsidRPr="00B41C01">
        <w:rPr>
          <w:b/>
          <w:bCs/>
        </w:rPr>
        <w:t xml:space="preserve">las </w:t>
      </w:r>
      <w:r w:rsidRPr="00B41C01">
        <w:rPr>
          <w:b/>
          <w:bCs/>
        </w:rPr>
        <w:t>09</w:t>
      </w:r>
      <w:r w:rsidR="005E1885" w:rsidRPr="00B41C01">
        <w:rPr>
          <w:b/>
          <w:bCs/>
        </w:rPr>
        <w:t>.</w:t>
      </w:r>
      <w:r w:rsidRPr="00B41C01">
        <w:rPr>
          <w:b/>
          <w:bCs/>
        </w:rPr>
        <w:t>55 horas.</w:t>
      </w:r>
    </w:p>
    <w:p w:rsidR="00314D4D" w:rsidRPr="00B41C01" w:rsidRDefault="00B41C01" w:rsidP="00B41C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117"/>
        </w:tabs>
        <w:spacing w:before="1560"/>
      </w:pPr>
      <w:r>
        <w:t>El Secretario General:</w:t>
      </w:r>
      <w:r>
        <w:tab/>
      </w:r>
      <w:r w:rsidR="00314D4D" w:rsidRPr="00B41C01">
        <w:t>El Presidente:</w:t>
      </w:r>
      <w:r w:rsidR="00314D4D" w:rsidRPr="00B41C01">
        <w:br/>
      </w:r>
      <w:r>
        <w:t xml:space="preserve">H. TOURÉ </w:t>
      </w:r>
      <w:r>
        <w:tab/>
      </w:r>
      <w:r w:rsidR="00314D4D" w:rsidRPr="00B41C01">
        <w:t>W. MIN</w:t>
      </w:r>
    </w:p>
    <w:sectPr w:rsidR="00314D4D" w:rsidRPr="00B41C01" w:rsidSect="00A70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A9" w:rsidRDefault="00FD6BA9">
      <w:r>
        <w:separator/>
      </w:r>
    </w:p>
  </w:endnote>
  <w:endnote w:type="continuationSeparator" w:id="0">
    <w:p w:rsidR="00FD6BA9" w:rsidRDefault="00F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7A" w:rsidRDefault="002C337A" w:rsidP="002C3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7A" w:rsidRDefault="002C337A">
    <w:pPr>
      <w:pStyle w:val="Footer"/>
    </w:pPr>
    <w:fldSimple w:instr=" FILENAME \p  \* MERGEFORMAT ">
      <w:r>
        <w:t>P:\ESP\SG\CONF-SG\PP14\100\128V2S.docx</w:t>
      </w:r>
    </w:fldSimple>
    <w:r>
      <w:t xml:space="preserve"> </w:t>
    </w:r>
    <w:r>
      <w:t>(371707)</w:t>
    </w:r>
    <w:bookmarkStart w:id="1" w:name="_GoBack"/>
    <w:bookmarkEnd w:id="1"/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30.10.14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A9" w:rsidRDefault="00FD6BA9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A9" w:rsidRDefault="00FD6BA9">
      <w:r>
        <w:t>____________________</w:t>
      </w:r>
    </w:p>
  </w:footnote>
  <w:footnote w:type="continuationSeparator" w:id="0">
    <w:p w:rsidR="00FD6BA9" w:rsidRDefault="00FD6BA9">
      <w:r>
        <w:continuationSeparator/>
      </w:r>
    </w:p>
  </w:footnote>
  <w:footnote w:id="1">
    <w:p w:rsidR="00FD6BA9" w:rsidRPr="008957CA" w:rsidRDefault="00FD6BA9" w:rsidP="0063214F">
      <w:pPr>
        <w:pStyle w:val="FootnoteText"/>
        <w:spacing w:before="60"/>
      </w:pPr>
      <w:r>
        <w:rPr>
          <w:rStyle w:val="FootnoteReference"/>
        </w:rPr>
        <w:footnoteRef/>
      </w:r>
      <w:r>
        <w:tab/>
      </w:r>
      <w:r w:rsidRPr="00350404">
        <w:t xml:space="preserve">Los textos de las declaraciones de política general presentadas a la </w:t>
      </w:r>
      <w:r w:rsidR="0063214F">
        <w:t>S</w:t>
      </w:r>
      <w:r w:rsidRPr="00350404">
        <w:t>ecretaría pueden consultarse e</w:t>
      </w:r>
      <w:r>
        <w:t>n</w:t>
      </w:r>
      <w:r w:rsidRPr="00350404">
        <w:t xml:space="preserve">: </w:t>
      </w:r>
      <w:hyperlink r:id="rId1" w:history="1">
        <w:r w:rsidRPr="002B7C5C">
          <w:rPr>
            <w:rStyle w:val="Hyperlink"/>
          </w:rPr>
          <w:t>http://www.itu.int/en/plenipotentiary/2014/statements/Pages/default.aspx</w:t>
        </w:r>
      </w:hyperlink>
      <w:r w:rsidRPr="00C40EC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7A" w:rsidRDefault="002C3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A9" w:rsidRDefault="00FD6BA9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C337A">
      <w:rPr>
        <w:noProof/>
      </w:rPr>
      <w:t>2</w:t>
    </w:r>
    <w:r>
      <w:fldChar w:fldCharType="end"/>
    </w:r>
  </w:p>
  <w:p w:rsidR="00FD6BA9" w:rsidRDefault="00FD6BA9" w:rsidP="00803772">
    <w:pPr>
      <w:pStyle w:val="Header"/>
    </w:pPr>
    <w:r>
      <w:rPr>
        <w:lang w:val="en-US"/>
      </w:rPr>
      <w:t>PP14</w:t>
    </w:r>
    <w:r>
      <w:t>/1</w:t>
    </w:r>
    <w:r w:rsidR="00803772">
      <w:t>28</w:t>
    </w:r>
    <w:r>
      <w:t>-</w:t>
    </w:r>
    <w:r w:rsidRPr="00010B43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7A" w:rsidRDefault="002C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4D"/>
    <w:rsid w:val="0000188C"/>
    <w:rsid w:val="00017B7C"/>
    <w:rsid w:val="0004163E"/>
    <w:rsid w:val="000863AB"/>
    <w:rsid w:val="000A1523"/>
    <w:rsid w:val="000A51FD"/>
    <w:rsid w:val="000B1752"/>
    <w:rsid w:val="0010546D"/>
    <w:rsid w:val="001D6EC3"/>
    <w:rsid w:val="001D787B"/>
    <w:rsid w:val="001E3D06"/>
    <w:rsid w:val="0020222D"/>
    <w:rsid w:val="00237C17"/>
    <w:rsid w:val="00242376"/>
    <w:rsid w:val="002535DD"/>
    <w:rsid w:val="00255FA1"/>
    <w:rsid w:val="00263E13"/>
    <w:rsid w:val="002818E5"/>
    <w:rsid w:val="002B7C5C"/>
    <w:rsid w:val="002C337A"/>
    <w:rsid w:val="002C6527"/>
    <w:rsid w:val="002C7D29"/>
    <w:rsid w:val="002D7815"/>
    <w:rsid w:val="002E44FC"/>
    <w:rsid w:val="00314D4D"/>
    <w:rsid w:val="00350404"/>
    <w:rsid w:val="003707E5"/>
    <w:rsid w:val="00391D06"/>
    <w:rsid w:val="003D51FD"/>
    <w:rsid w:val="003E6E73"/>
    <w:rsid w:val="0040625E"/>
    <w:rsid w:val="00441337"/>
    <w:rsid w:val="00484B72"/>
    <w:rsid w:val="004A346E"/>
    <w:rsid w:val="004A63A9"/>
    <w:rsid w:val="004B07DB"/>
    <w:rsid w:val="004B0BCB"/>
    <w:rsid w:val="004C39C6"/>
    <w:rsid w:val="004D23BA"/>
    <w:rsid w:val="004E08E0"/>
    <w:rsid w:val="004E5BC7"/>
    <w:rsid w:val="00507662"/>
    <w:rsid w:val="00523448"/>
    <w:rsid w:val="005359B6"/>
    <w:rsid w:val="00550FCF"/>
    <w:rsid w:val="00567ED5"/>
    <w:rsid w:val="00586703"/>
    <w:rsid w:val="005C000A"/>
    <w:rsid w:val="005D1164"/>
    <w:rsid w:val="005D6488"/>
    <w:rsid w:val="005E1885"/>
    <w:rsid w:val="005F6278"/>
    <w:rsid w:val="00601280"/>
    <w:rsid w:val="00605474"/>
    <w:rsid w:val="0063214F"/>
    <w:rsid w:val="006455D2"/>
    <w:rsid w:val="006B5512"/>
    <w:rsid w:val="006B6D52"/>
    <w:rsid w:val="006C190D"/>
    <w:rsid w:val="006D19B8"/>
    <w:rsid w:val="00720686"/>
    <w:rsid w:val="00737EFF"/>
    <w:rsid w:val="00750806"/>
    <w:rsid w:val="00752524"/>
    <w:rsid w:val="00783D67"/>
    <w:rsid w:val="007C4B3A"/>
    <w:rsid w:val="007F6EBC"/>
    <w:rsid w:val="00803772"/>
    <w:rsid w:val="00882773"/>
    <w:rsid w:val="008B4706"/>
    <w:rsid w:val="008B6676"/>
    <w:rsid w:val="008E51C5"/>
    <w:rsid w:val="008F7109"/>
    <w:rsid w:val="00905107"/>
    <w:rsid w:val="00906C76"/>
    <w:rsid w:val="009107B0"/>
    <w:rsid w:val="009220DE"/>
    <w:rsid w:val="0099270D"/>
    <w:rsid w:val="009A1A86"/>
    <w:rsid w:val="009A4B65"/>
    <w:rsid w:val="009D740B"/>
    <w:rsid w:val="009E0C42"/>
    <w:rsid w:val="009F36D7"/>
    <w:rsid w:val="00A2190C"/>
    <w:rsid w:val="00A242E9"/>
    <w:rsid w:val="00A70E95"/>
    <w:rsid w:val="00AA1F73"/>
    <w:rsid w:val="00AA52FF"/>
    <w:rsid w:val="00AD400E"/>
    <w:rsid w:val="00AF0DC5"/>
    <w:rsid w:val="00B15182"/>
    <w:rsid w:val="00B41C01"/>
    <w:rsid w:val="00B73978"/>
    <w:rsid w:val="00B77C4D"/>
    <w:rsid w:val="00BB13FE"/>
    <w:rsid w:val="00BC4629"/>
    <w:rsid w:val="00BC7EE2"/>
    <w:rsid w:val="00C40EC7"/>
    <w:rsid w:val="00C42D2D"/>
    <w:rsid w:val="00C61A48"/>
    <w:rsid w:val="00C80F8F"/>
    <w:rsid w:val="00C84355"/>
    <w:rsid w:val="00CC18D3"/>
    <w:rsid w:val="00CD20D9"/>
    <w:rsid w:val="00CD701A"/>
    <w:rsid w:val="00D05AAE"/>
    <w:rsid w:val="00D05E6B"/>
    <w:rsid w:val="00D24301"/>
    <w:rsid w:val="00D254A6"/>
    <w:rsid w:val="00D4219C"/>
    <w:rsid w:val="00D42B55"/>
    <w:rsid w:val="00D57D70"/>
    <w:rsid w:val="00D76BD5"/>
    <w:rsid w:val="00D77EB6"/>
    <w:rsid w:val="00DE67DB"/>
    <w:rsid w:val="00E05D81"/>
    <w:rsid w:val="00E46298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B62E2"/>
    <w:rsid w:val="00FC3B08"/>
    <w:rsid w:val="00FD6BA9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BF3AF416-5214-4C46-82A9-CCE4228D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314D4D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314D4D"/>
    <w:rPr>
      <w:rFonts w:ascii="Calibri" w:hAnsi="Calibri"/>
      <w:b/>
      <w:sz w:val="28"/>
      <w:lang w:val="es-ES_tradnl" w:eastAsia="en-US"/>
    </w:rPr>
  </w:style>
  <w:style w:type="table" w:styleId="TableGrid">
    <w:name w:val="Table Grid"/>
    <w:basedOn w:val="TableNormal"/>
    <w:rsid w:val="00314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-gtc-translatable">
    <w:name w:val="goog-gtc-translatable"/>
    <w:basedOn w:val="DefaultParagraphFont"/>
    <w:rsid w:val="00314D4D"/>
  </w:style>
  <w:style w:type="paragraph" w:styleId="NormalWeb">
    <w:name w:val="Normal (Web)"/>
    <w:basedOn w:val="Normal"/>
    <w:uiPriority w:val="99"/>
    <w:unhideWhenUsed/>
    <w:rsid w:val="00314D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C4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099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0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02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00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feli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E83F-AF9E-4236-9152-3EA0AD79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3</Pages>
  <Words>657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4535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Haefeli, Monica</dc:creator>
  <cp:keywords>PP-06</cp:keywords>
  <dc:description>PS_PP14.dotx  For: _x000d_Document date: _x000d_Saved by ITU51009317 at 10:37:49 on 19/03/2013</dc:description>
  <cp:lastModifiedBy>Urquizu, Luisa </cp:lastModifiedBy>
  <cp:revision>4</cp:revision>
  <cp:lastPrinted>2014-10-29T13:20:00Z</cp:lastPrinted>
  <dcterms:created xsi:type="dcterms:W3CDTF">2014-10-30T06:00:00Z</dcterms:created>
  <dcterms:modified xsi:type="dcterms:W3CDTF">2014-10-30T06:02:00Z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