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34" w:tblpY="-675"/>
        <w:tblW w:w="10031" w:type="dxa"/>
        <w:tblLayout w:type="fixed"/>
        <w:tblLook w:val="0000" w:firstRow="0" w:lastRow="0" w:firstColumn="0" w:lastColumn="0" w:noHBand="0" w:noVBand="0"/>
      </w:tblPr>
      <w:tblGrid>
        <w:gridCol w:w="6804"/>
        <w:gridCol w:w="3227"/>
      </w:tblGrid>
      <w:tr w:rsidR="00BD1F95" w:rsidRPr="00E658D3" w14:paraId="75F86705" w14:textId="77777777" w:rsidTr="00663617">
        <w:trPr>
          <w:cantSplit/>
        </w:trPr>
        <w:tc>
          <w:tcPr>
            <w:tcW w:w="6804" w:type="dxa"/>
          </w:tcPr>
          <w:p w14:paraId="1B21D24B" w14:textId="77777777" w:rsidR="00BD1F95" w:rsidRPr="00E658D3" w:rsidRDefault="00F611B7" w:rsidP="00F611B7">
            <w:pPr>
              <w:spacing w:before="360" w:after="48" w:line="240" w:lineRule="atLeast"/>
              <w:rPr>
                <w:position w:val="6"/>
                <w:szCs w:val="24"/>
                <w:lang w:val="fr-FR"/>
              </w:rPr>
            </w:pPr>
            <w:bookmarkStart w:id="0" w:name="dbreak"/>
            <w:bookmarkStart w:id="1" w:name="dpp"/>
            <w:bookmarkEnd w:id="0"/>
            <w:bookmarkEnd w:id="1"/>
            <w:r w:rsidRPr="00E658D3">
              <w:rPr>
                <w:rFonts w:cs="Times"/>
                <w:b/>
                <w:position w:val="6"/>
                <w:szCs w:val="24"/>
                <w:lang w:val="fr-FR"/>
              </w:rPr>
              <w:t>Conférence de plénipotentiaires (PP-14)</w:t>
            </w:r>
            <w:r w:rsidR="00BD1F95" w:rsidRPr="00E658D3">
              <w:rPr>
                <w:rFonts w:cs="Times"/>
                <w:b/>
                <w:position w:val="6"/>
                <w:szCs w:val="24"/>
                <w:lang w:val="fr-FR"/>
              </w:rPr>
              <w:br/>
            </w:r>
            <w:r w:rsidRPr="00E658D3">
              <w:rPr>
                <w:b/>
                <w:bCs/>
                <w:position w:val="6"/>
                <w:szCs w:val="24"/>
                <w:lang w:val="fr-FR"/>
              </w:rPr>
              <w:t>Busan, 20 o</w:t>
            </w:r>
            <w:r w:rsidR="00BD1F95" w:rsidRPr="00E658D3">
              <w:rPr>
                <w:b/>
                <w:bCs/>
                <w:position w:val="6"/>
                <w:szCs w:val="24"/>
                <w:lang w:val="fr-FR"/>
              </w:rPr>
              <w:t>ctob</w:t>
            </w:r>
            <w:r w:rsidRPr="00E658D3">
              <w:rPr>
                <w:b/>
                <w:bCs/>
                <w:position w:val="6"/>
                <w:szCs w:val="24"/>
                <w:lang w:val="fr-FR"/>
              </w:rPr>
              <w:t>r</w:t>
            </w:r>
            <w:r w:rsidR="00BD1F95" w:rsidRPr="00E658D3">
              <w:rPr>
                <w:b/>
                <w:bCs/>
                <w:position w:val="6"/>
                <w:szCs w:val="24"/>
                <w:lang w:val="fr-FR"/>
              </w:rPr>
              <w:t xml:space="preserve">e – 7 </w:t>
            </w:r>
            <w:r w:rsidRPr="00E658D3">
              <w:rPr>
                <w:b/>
                <w:bCs/>
                <w:position w:val="6"/>
                <w:szCs w:val="24"/>
                <w:lang w:val="fr-FR"/>
              </w:rPr>
              <w:t>n</w:t>
            </w:r>
            <w:r w:rsidR="00BD1F95" w:rsidRPr="00E658D3">
              <w:rPr>
                <w:b/>
                <w:bCs/>
                <w:position w:val="6"/>
                <w:szCs w:val="24"/>
                <w:lang w:val="fr-FR"/>
              </w:rPr>
              <w:t>ovemb</w:t>
            </w:r>
            <w:r w:rsidRPr="00E658D3">
              <w:rPr>
                <w:b/>
                <w:bCs/>
                <w:position w:val="6"/>
                <w:szCs w:val="24"/>
                <w:lang w:val="fr-FR"/>
              </w:rPr>
              <w:t>r</w:t>
            </w:r>
            <w:r w:rsidR="00BD1F95" w:rsidRPr="00E658D3">
              <w:rPr>
                <w:b/>
                <w:bCs/>
                <w:position w:val="6"/>
                <w:szCs w:val="24"/>
                <w:lang w:val="fr-FR"/>
              </w:rPr>
              <w:t>e 2014</w:t>
            </w:r>
          </w:p>
        </w:tc>
        <w:tc>
          <w:tcPr>
            <w:tcW w:w="3227" w:type="dxa"/>
          </w:tcPr>
          <w:p w14:paraId="7B8D4762" w14:textId="77777777" w:rsidR="00BD1F95" w:rsidRPr="00E658D3" w:rsidRDefault="00BD1F95" w:rsidP="003256D8">
            <w:pPr>
              <w:spacing w:line="240" w:lineRule="atLeast"/>
              <w:rPr>
                <w:szCs w:val="24"/>
                <w:lang w:val="fr-FR"/>
              </w:rPr>
            </w:pPr>
            <w:r w:rsidRPr="00E658D3">
              <w:rPr>
                <w:noProof/>
                <w:szCs w:val="24"/>
                <w:lang w:val="en-US" w:eastAsia="zh-CN"/>
              </w:rPr>
              <w:drawing>
                <wp:inline distT="0" distB="0" distL="0" distR="0" wp14:anchorId="3B95377E" wp14:editId="667EB350">
                  <wp:extent cx="1760220" cy="7467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BD1F95" w:rsidRPr="00E658D3" w14:paraId="2B5925DB" w14:textId="77777777" w:rsidTr="00663617">
        <w:trPr>
          <w:cantSplit/>
        </w:trPr>
        <w:tc>
          <w:tcPr>
            <w:tcW w:w="6804" w:type="dxa"/>
            <w:tcBorders>
              <w:bottom w:val="single" w:sz="12" w:space="0" w:color="auto"/>
            </w:tcBorders>
          </w:tcPr>
          <w:p w14:paraId="559524B9" w14:textId="77777777" w:rsidR="00BD1F95" w:rsidRPr="00E658D3" w:rsidRDefault="00BD1F95" w:rsidP="00663617">
            <w:pPr>
              <w:spacing w:before="0"/>
              <w:rPr>
                <w:b/>
                <w:smallCaps/>
                <w:szCs w:val="24"/>
                <w:lang w:val="fr-FR"/>
              </w:rPr>
            </w:pPr>
          </w:p>
        </w:tc>
        <w:tc>
          <w:tcPr>
            <w:tcW w:w="3227" w:type="dxa"/>
            <w:tcBorders>
              <w:bottom w:val="single" w:sz="12" w:space="0" w:color="auto"/>
            </w:tcBorders>
          </w:tcPr>
          <w:p w14:paraId="55AEBB6D" w14:textId="77777777" w:rsidR="00BD1F95" w:rsidRPr="00E658D3" w:rsidRDefault="00BD1F95" w:rsidP="00663617">
            <w:pPr>
              <w:spacing w:before="0"/>
              <w:rPr>
                <w:szCs w:val="24"/>
                <w:lang w:val="fr-FR"/>
              </w:rPr>
            </w:pPr>
          </w:p>
        </w:tc>
      </w:tr>
      <w:tr w:rsidR="00BD1F95" w:rsidRPr="00E658D3" w14:paraId="6B8557DC" w14:textId="77777777" w:rsidTr="00663617">
        <w:trPr>
          <w:cantSplit/>
        </w:trPr>
        <w:tc>
          <w:tcPr>
            <w:tcW w:w="6804" w:type="dxa"/>
            <w:tcBorders>
              <w:top w:val="single" w:sz="12" w:space="0" w:color="auto"/>
            </w:tcBorders>
          </w:tcPr>
          <w:p w14:paraId="160E138F" w14:textId="77777777" w:rsidR="00BD1F95" w:rsidRPr="00E658D3" w:rsidRDefault="00BD1F95" w:rsidP="00663617">
            <w:pPr>
              <w:spacing w:before="0"/>
              <w:rPr>
                <w:b/>
                <w:smallCaps/>
                <w:szCs w:val="24"/>
                <w:lang w:val="fr-FR"/>
              </w:rPr>
            </w:pPr>
          </w:p>
        </w:tc>
        <w:tc>
          <w:tcPr>
            <w:tcW w:w="3227" w:type="dxa"/>
            <w:tcBorders>
              <w:top w:val="single" w:sz="12" w:space="0" w:color="auto"/>
            </w:tcBorders>
          </w:tcPr>
          <w:p w14:paraId="351115FD" w14:textId="77777777" w:rsidR="00BD1F95" w:rsidRPr="00E658D3" w:rsidRDefault="00BD1F95" w:rsidP="00663617">
            <w:pPr>
              <w:spacing w:before="0"/>
              <w:rPr>
                <w:szCs w:val="24"/>
                <w:lang w:val="fr-FR"/>
              </w:rPr>
            </w:pPr>
          </w:p>
        </w:tc>
      </w:tr>
      <w:tr w:rsidR="00BD1F95" w:rsidRPr="00E658D3" w14:paraId="797E104A" w14:textId="77777777" w:rsidTr="00663617">
        <w:trPr>
          <w:cantSplit/>
          <w:trHeight w:val="23"/>
        </w:trPr>
        <w:tc>
          <w:tcPr>
            <w:tcW w:w="6804" w:type="dxa"/>
            <w:vMerge w:val="restart"/>
          </w:tcPr>
          <w:p w14:paraId="758881AA" w14:textId="77777777" w:rsidR="00BD1F95" w:rsidRPr="00E658D3" w:rsidRDefault="00F611B7" w:rsidP="00F611B7">
            <w:pPr>
              <w:tabs>
                <w:tab w:val="left" w:pos="851"/>
              </w:tabs>
              <w:spacing w:before="0"/>
              <w:rPr>
                <w:b/>
                <w:szCs w:val="24"/>
                <w:lang w:val="fr-FR"/>
              </w:rPr>
            </w:pPr>
            <w:r w:rsidRPr="00E658D3">
              <w:rPr>
                <w:b/>
                <w:szCs w:val="24"/>
                <w:lang w:val="fr-FR"/>
              </w:rPr>
              <w:t>SÉANCE PLÉNIÈRE</w:t>
            </w:r>
          </w:p>
        </w:tc>
        <w:tc>
          <w:tcPr>
            <w:tcW w:w="3227" w:type="dxa"/>
          </w:tcPr>
          <w:p w14:paraId="10E34295" w14:textId="77777777" w:rsidR="00BD1F95" w:rsidRPr="00E658D3" w:rsidRDefault="00BD1F95" w:rsidP="00F611B7">
            <w:pPr>
              <w:tabs>
                <w:tab w:val="left" w:pos="851"/>
              </w:tabs>
              <w:spacing w:before="0"/>
              <w:rPr>
                <w:b/>
                <w:szCs w:val="24"/>
                <w:lang w:val="fr-FR"/>
              </w:rPr>
            </w:pPr>
            <w:r w:rsidRPr="00E658D3">
              <w:rPr>
                <w:b/>
                <w:szCs w:val="24"/>
                <w:lang w:val="fr-FR"/>
              </w:rPr>
              <w:t xml:space="preserve">Document </w:t>
            </w:r>
            <w:r w:rsidR="00663617" w:rsidRPr="00E658D3">
              <w:rPr>
                <w:b/>
                <w:szCs w:val="24"/>
                <w:lang w:val="fr-FR"/>
              </w:rPr>
              <w:t>176</w:t>
            </w:r>
            <w:r w:rsidRPr="00E658D3">
              <w:rPr>
                <w:b/>
                <w:szCs w:val="24"/>
                <w:lang w:val="fr-FR"/>
              </w:rPr>
              <w:t>-</w:t>
            </w:r>
            <w:r w:rsidR="00F611B7" w:rsidRPr="00E658D3">
              <w:rPr>
                <w:b/>
                <w:szCs w:val="24"/>
                <w:lang w:val="fr-FR"/>
              </w:rPr>
              <w:t>F</w:t>
            </w:r>
          </w:p>
        </w:tc>
      </w:tr>
      <w:tr w:rsidR="00BD1F95" w:rsidRPr="00E658D3" w14:paraId="44188330" w14:textId="77777777" w:rsidTr="00663617">
        <w:trPr>
          <w:cantSplit/>
          <w:trHeight w:val="23"/>
        </w:trPr>
        <w:tc>
          <w:tcPr>
            <w:tcW w:w="6804" w:type="dxa"/>
            <w:vMerge/>
          </w:tcPr>
          <w:p w14:paraId="7443CFA1" w14:textId="77777777" w:rsidR="00BD1F95" w:rsidRPr="00E658D3" w:rsidRDefault="00BD1F95" w:rsidP="00663617">
            <w:pPr>
              <w:tabs>
                <w:tab w:val="left" w:pos="851"/>
              </w:tabs>
              <w:spacing w:before="0"/>
              <w:rPr>
                <w:b/>
                <w:szCs w:val="24"/>
                <w:lang w:val="fr-FR"/>
              </w:rPr>
            </w:pPr>
          </w:p>
        </w:tc>
        <w:tc>
          <w:tcPr>
            <w:tcW w:w="3227" w:type="dxa"/>
          </w:tcPr>
          <w:p w14:paraId="6881514A" w14:textId="77777777" w:rsidR="00BD1F95" w:rsidRPr="00E658D3" w:rsidRDefault="00663617" w:rsidP="00F611B7">
            <w:pPr>
              <w:tabs>
                <w:tab w:val="left" w:pos="993"/>
              </w:tabs>
              <w:spacing w:before="0"/>
              <w:rPr>
                <w:b/>
                <w:szCs w:val="24"/>
                <w:lang w:val="fr-FR"/>
              </w:rPr>
            </w:pPr>
            <w:r w:rsidRPr="00E658D3">
              <w:rPr>
                <w:b/>
                <w:szCs w:val="24"/>
                <w:lang w:val="fr-FR"/>
              </w:rPr>
              <w:t xml:space="preserve">3 </w:t>
            </w:r>
            <w:r w:rsidR="00F611B7" w:rsidRPr="00E658D3">
              <w:rPr>
                <w:b/>
                <w:szCs w:val="24"/>
                <w:lang w:val="fr-FR"/>
              </w:rPr>
              <w:t>dé</w:t>
            </w:r>
            <w:r w:rsidRPr="00E658D3">
              <w:rPr>
                <w:b/>
                <w:szCs w:val="24"/>
                <w:lang w:val="fr-FR"/>
              </w:rPr>
              <w:t>cemb</w:t>
            </w:r>
            <w:r w:rsidR="00F611B7" w:rsidRPr="00E658D3">
              <w:rPr>
                <w:b/>
                <w:szCs w:val="24"/>
                <w:lang w:val="fr-FR"/>
              </w:rPr>
              <w:t>r</w:t>
            </w:r>
            <w:r w:rsidRPr="00E658D3">
              <w:rPr>
                <w:b/>
                <w:szCs w:val="24"/>
                <w:lang w:val="fr-FR"/>
              </w:rPr>
              <w:t>e 2014</w:t>
            </w:r>
          </w:p>
        </w:tc>
      </w:tr>
      <w:tr w:rsidR="00BD1F95" w:rsidRPr="00B92A7D" w14:paraId="10673DAD" w14:textId="77777777" w:rsidTr="00663617">
        <w:trPr>
          <w:cantSplit/>
          <w:trHeight w:val="23"/>
        </w:trPr>
        <w:tc>
          <w:tcPr>
            <w:tcW w:w="6804" w:type="dxa"/>
            <w:vMerge/>
          </w:tcPr>
          <w:p w14:paraId="7B6D9336" w14:textId="77777777" w:rsidR="00BD1F95" w:rsidRPr="00E658D3" w:rsidRDefault="00BD1F95" w:rsidP="00663617">
            <w:pPr>
              <w:tabs>
                <w:tab w:val="left" w:pos="851"/>
              </w:tabs>
              <w:spacing w:before="0"/>
              <w:rPr>
                <w:b/>
                <w:szCs w:val="24"/>
                <w:lang w:val="fr-FR"/>
              </w:rPr>
            </w:pPr>
          </w:p>
        </w:tc>
        <w:tc>
          <w:tcPr>
            <w:tcW w:w="3227" w:type="dxa"/>
          </w:tcPr>
          <w:p w14:paraId="35B58976" w14:textId="2E37D20E" w:rsidR="00BD1F95" w:rsidRPr="00B92A7D" w:rsidRDefault="00BD1F95" w:rsidP="00B92A7D">
            <w:pPr>
              <w:tabs>
                <w:tab w:val="left" w:pos="993"/>
              </w:tabs>
              <w:spacing w:before="0"/>
              <w:rPr>
                <w:b/>
                <w:szCs w:val="24"/>
                <w:lang w:val="fr-FR"/>
              </w:rPr>
            </w:pPr>
            <w:r w:rsidRPr="00B92A7D">
              <w:rPr>
                <w:b/>
                <w:szCs w:val="24"/>
                <w:lang w:val="fr-FR"/>
              </w:rPr>
              <w:t>Original:</w:t>
            </w:r>
            <w:r w:rsidR="00B92A7D">
              <w:rPr>
                <w:b/>
                <w:szCs w:val="24"/>
                <w:lang w:val="fr-FR"/>
              </w:rPr>
              <w:tab/>
            </w:r>
            <w:r w:rsidR="00F611B7" w:rsidRPr="00B92A7D">
              <w:rPr>
                <w:b/>
                <w:szCs w:val="24"/>
                <w:lang w:val="fr-FR"/>
              </w:rPr>
              <w:t>a</w:t>
            </w:r>
            <w:r w:rsidRPr="00B92A7D">
              <w:rPr>
                <w:b/>
                <w:szCs w:val="24"/>
                <w:lang w:val="fr-FR"/>
              </w:rPr>
              <w:t>ngl</w:t>
            </w:r>
            <w:r w:rsidR="00F611B7" w:rsidRPr="00B92A7D">
              <w:rPr>
                <w:b/>
                <w:szCs w:val="24"/>
                <w:lang w:val="fr-FR"/>
              </w:rPr>
              <w:t>ais</w:t>
            </w:r>
            <w:r w:rsidR="00057439" w:rsidRPr="00B92A7D">
              <w:rPr>
                <w:b/>
                <w:szCs w:val="24"/>
                <w:lang w:val="fr-FR"/>
              </w:rPr>
              <w:t>/</w:t>
            </w:r>
            <w:r w:rsidR="00445A64" w:rsidRPr="00B92A7D">
              <w:rPr>
                <w:b/>
                <w:szCs w:val="24"/>
                <w:lang w:val="fr-FR"/>
              </w:rPr>
              <w:br/>
            </w:r>
            <w:r w:rsidR="00B92A7D">
              <w:rPr>
                <w:b/>
                <w:szCs w:val="24"/>
                <w:lang w:val="fr-FR"/>
              </w:rPr>
              <w:tab/>
            </w:r>
            <w:r w:rsidR="00B92A7D">
              <w:rPr>
                <w:b/>
                <w:szCs w:val="24"/>
                <w:lang w:val="fr-FR"/>
              </w:rPr>
              <w:tab/>
            </w:r>
            <w:r w:rsidR="00F611B7" w:rsidRPr="00B92A7D">
              <w:rPr>
                <w:b/>
                <w:szCs w:val="24"/>
                <w:lang w:val="fr-FR"/>
              </w:rPr>
              <w:t>espagnol/</w:t>
            </w:r>
            <w:r w:rsidR="00B92A7D">
              <w:rPr>
                <w:b/>
                <w:szCs w:val="24"/>
                <w:lang w:val="fr-FR"/>
              </w:rPr>
              <w:br/>
            </w:r>
            <w:r w:rsidR="00B92A7D">
              <w:rPr>
                <w:b/>
                <w:szCs w:val="24"/>
                <w:lang w:val="fr-FR"/>
              </w:rPr>
              <w:tab/>
            </w:r>
            <w:r w:rsidR="00B92A7D">
              <w:rPr>
                <w:b/>
                <w:szCs w:val="24"/>
                <w:lang w:val="fr-FR"/>
              </w:rPr>
              <w:tab/>
            </w:r>
            <w:r w:rsidR="00F611B7" w:rsidRPr="00B92A7D">
              <w:rPr>
                <w:b/>
                <w:szCs w:val="24"/>
                <w:lang w:val="fr-FR"/>
              </w:rPr>
              <w:t>français</w:t>
            </w:r>
          </w:p>
        </w:tc>
      </w:tr>
    </w:tbl>
    <w:tbl>
      <w:tblPr>
        <w:tblW w:w="5144" w:type="pct"/>
        <w:tblLook w:val="0000" w:firstRow="0" w:lastRow="0" w:firstColumn="0" w:lastColumn="0" w:noHBand="0" w:noVBand="0"/>
      </w:tblPr>
      <w:tblGrid>
        <w:gridCol w:w="9923"/>
      </w:tblGrid>
      <w:tr w:rsidR="00BD1F95" w:rsidRPr="00B92A7D" w14:paraId="139A8981" w14:textId="77777777" w:rsidTr="009827B9">
        <w:trPr>
          <w:cantSplit/>
        </w:trPr>
        <w:tc>
          <w:tcPr>
            <w:tcW w:w="5000" w:type="pct"/>
          </w:tcPr>
          <w:p w14:paraId="63B5C61A" w14:textId="77777777" w:rsidR="00BD1F95" w:rsidRPr="00445A64" w:rsidRDefault="00F611B7" w:rsidP="00F611B7">
            <w:pPr>
              <w:pStyle w:val="Title1"/>
              <w:spacing w:before="720"/>
              <w:rPr>
                <w:rFonts w:asciiTheme="minorHAnsi" w:hAnsiTheme="minorHAnsi"/>
                <w:szCs w:val="28"/>
                <w:lang w:val="fr-FR"/>
              </w:rPr>
            </w:pPr>
            <w:r w:rsidRPr="00445A64">
              <w:rPr>
                <w:rFonts w:asciiTheme="minorHAnsi" w:hAnsiTheme="minorHAnsi"/>
                <w:szCs w:val="28"/>
                <w:lang w:val="fr-FR"/>
              </w:rPr>
              <w:t>PROCÈS-VERBAL</w:t>
            </w:r>
          </w:p>
          <w:p w14:paraId="4F7DAC62" w14:textId="77777777" w:rsidR="00BD1F95" w:rsidRPr="00445A64" w:rsidRDefault="00F611B7" w:rsidP="003256D8">
            <w:pPr>
              <w:pStyle w:val="Title1"/>
              <w:rPr>
                <w:rFonts w:asciiTheme="minorHAnsi" w:hAnsiTheme="minorHAnsi"/>
                <w:szCs w:val="28"/>
                <w:lang w:val="fr-FR"/>
              </w:rPr>
            </w:pPr>
            <w:r w:rsidRPr="00445A64">
              <w:rPr>
                <w:rFonts w:asciiTheme="minorHAnsi" w:hAnsiTheme="minorHAnsi"/>
                <w:szCs w:val="28"/>
                <w:lang w:val="fr-FR"/>
              </w:rPr>
              <w:t>D</w:t>
            </w:r>
            <w:r w:rsidR="00BD1F95" w:rsidRPr="00445A64">
              <w:rPr>
                <w:rFonts w:asciiTheme="minorHAnsi" w:hAnsiTheme="minorHAnsi"/>
                <w:szCs w:val="28"/>
                <w:lang w:val="fr-FR"/>
              </w:rPr>
              <w:t>E</w:t>
            </w:r>
            <w:r w:rsidRPr="00445A64">
              <w:rPr>
                <w:rFonts w:asciiTheme="minorHAnsi" w:hAnsiTheme="minorHAnsi"/>
                <w:szCs w:val="28"/>
                <w:lang w:val="fr-FR"/>
              </w:rPr>
              <w:t xml:space="preserve"> LA</w:t>
            </w:r>
          </w:p>
          <w:p w14:paraId="234B1CBF" w14:textId="77777777" w:rsidR="00BD1F95" w:rsidRPr="00E658D3" w:rsidRDefault="00F611B7" w:rsidP="003256D8">
            <w:pPr>
              <w:pStyle w:val="Title1"/>
              <w:rPr>
                <w:rFonts w:asciiTheme="minorHAnsi" w:hAnsiTheme="minorHAnsi"/>
                <w:sz w:val="24"/>
                <w:szCs w:val="24"/>
                <w:lang w:val="fr-FR"/>
              </w:rPr>
            </w:pPr>
            <w:r w:rsidRPr="00445A64">
              <w:rPr>
                <w:rFonts w:asciiTheme="minorHAnsi" w:hAnsiTheme="minorHAnsi"/>
                <w:szCs w:val="28"/>
                <w:lang w:val="fr-FR"/>
              </w:rPr>
              <w:t>DIX-HUITIÈME</w:t>
            </w:r>
            <w:r w:rsidR="00BD1F95" w:rsidRPr="00445A64">
              <w:rPr>
                <w:rFonts w:asciiTheme="minorHAnsi" w:hAnsiTheme="minorHAnsi"/>
                <w:szCs w:val="28"/>
                <w:lang w:val="fr-FR"/>
              </w:rPr>
              <w:t xml:space="preserve"> </w:t>
            </w:r>
            <w:r w:rsidRPr="00445A64">
              <w:rPr>
                <w:rFonts w:asciiTheme="minorHAnsi" w:hAnsiTheme="minorHAnsi"/>
                <w:szCs w:val="28"/>
                <w:lang w:val="fr-FR"/>
              </w:rPr>
              <w:t>SÉANCE PLÉNIÈRE</w:t>
            </w:r>
          </w:p>
        </w:tc>
      </w:tr>
      <w:tr w:rsidR="00BD1F95" w:rsidRPr="00B92A7D" w14:paraId="6CBD0DDD" w14:textId="77777777" w:rsidTr="009827B9">
        <w:trPr>
          <w:cantSplit/>
        </w:trPr>
        <w:tc>
          <w:tcPr>
            <w:tcW w:w="5000" w:type="pct"/>
          </w:tcPr>
          <w:p w14:paraId="2A99E398" w14:textId="63F9A81A" w:rsidR="00BD1F95" w:rsidRPr="00E658D3" w:rsidRDefault="00F611B7" w:rsidP="00134EC9">
            <w:pPr>
              <w:pStyle w:val="Normalaftertitle"/>
              <w:jc w:val="center"/>
              <w:rPr>
                <w:lang w:val="fr-FR"/>
              </w:rPr>
            </w:pPr>
            <w:r w:rsidRPr="00E658D3">
              <w:rPr>
                <w:rFonts w:asciiTheme="minorHAnsi" w:hAnsiTheme="minorHAnsi"/>
                <w:szCs w:val="24"/>
                <w:lang w:val="fr-FR"/>
              </w:rPr>
              <w:t>Jeudi</w:t>
            </w:r>
            <w:r w:rsidR="007F32F6" w:rsidRPr="00E658D3">
              <w:rPr>
                <w:rFonts w:asciiTheme="minorHAnsi" w:hAnsiTheme="minorHAnsi"/>
                <w:szCs w:val="24"/>
                <w:lang w:val="fr-FR"/>
              </w:rPr>
              <w:t xml:space="preserve"> 6</w:t>
            </w:r>
            <w:r w:rsidR="00BD1F95" w:rsidRPr="00E658D3">
              <w:rPr>
                <w:rFonts w:asciiTheme="minorHAnsi" w:hAnsiTheme="minorHAnsi"/>
                <w:szCs w:val="24"/>
                <w:lang w:val="fr-FR"/>
              </w:rPr>
              <w:t xml:space="preserve"> </w:t>
            </w:r>
            <w:r w:rsidRPr="00E658D3">
              <w:rPr>
                <w:rFonts w:asciiTheme="minorHAnsi" w:hAnsiTheme="minorHAnsi"/>
                <w:szCs w:val="24"/>
                <w:lang w:val="fr-FR"/>
              </w:rPr>
              <w:t>n</w:t>
            </w:r>
            <w:r w:rsidR="00BD1F95" w:rsidRPr="00E658D3">
              <w:rPr>
                <w:rFonts w:asciiTheme="minorHAnsi" w:hAnsiTheme="minorHAnsi"/>
                <w:szCs w:val="24"/>
                <w:lang w:val="fr-FR"/>
              </w:rPr>
              <w:t>ovemb</w:t>
            </w:r>
            <w:r w:rsidRPr="00E658D3">
              <w:rPr>
                <w:rFonts w:asciiTheme="minorHAnsi" w:hAnsiTheme="minorHAnsi"/>
                <w:szCs w:val="24"/>
                <w:lang w:val="fr-FR"/>
              </w:rPr>
              <w:t>r</w:t>
            </w:r>
            <w:r w:rsidR="00BD1F95" w:rsidRPr="00E658D3">
              <w:rPr>
                <w:rFonts w:asciiTheme="minorHAnsi" w:hAnsiTheme="minorHAnsi"/>
                <w:szCs w:val="24"/>
                <w:lang w:val="fr-FR"/>
              </w:rPr>
              <w:t xml:space="preserve">e 2014, </w:t>
            </w:r>
            <w:r w:rsidRPr="00E658D3">
              <w:rPr>
                <w:rFonts w:asciiTheme="minorHAnsi" w:hAnsiTheme="minorHAnsi"/>
                <w:szCs w:val="24"/>
                <w:lang w:val="fr-FR"/>
              </w:rPr>
              <w:t>à</w:t>
            </w:r>
            <w:r w:rsidR="00BD1F95" w:rsidRPr="00E658D3">
              <w:rPr>
                <w:rFonts w:asciiTheme="minorHAnsi" w:hAnsiTheme="minorHAnsi"/>
                <w:szCs w:val="24"/>
                <w:lang w:val="fr-FR"/>
              </w:rPr>
              <w:t xml:space="preserve"> </w:t>
            </w:r>
            <w:r w:rsidR="00134EC9" w:rsidRPr="00E658D3">
              <w:rPr>
                <w:rFonts w:asciiTheme="minorHAnsi" w:hAnsiTheme="minorHAnsi"/>
                <w:szCs w:val="24"/>
                <w:lang w:val="fr-FR"/>
              </w:rPr>
              <w:t>14</w:t>
            </w:r>
            <w:r w:rsidR="00FC0913" w:rsidRPr="00E658D3">
              <w:rPr>
                <w:rFonts w:asciiTheme="minorHAnsi" w:hAnsiTheme="minorHAnsi"/>
                <w:szCs w:val="24"/>
                <w:lang w:val="fr-FR"/>
              </w:rPr>
              <w:t xml:space="preserve"> </w:t>
            </w:r>
            <w:r w:rsidR="00BD1F95" w:rsidRPr="00E658D3">
              <w:rPr>
                <w:rFonts w:asciiTheme="minorHAnsi" w:hAnsiTheme="minorHAnsi"/>
                <w:szCs w:val="24"/>
                <w:lang w:val="fr-FR"/>
              </w:rPr>
              <w:t>h</w:t>
            </w:r>
            <w:r w:rsidR="00FC0913" w:rsidRPr="00E658D3">
              <w:rPr>
                <w:rFonts w:asciiTheme="minorHAnsi" w:hAnsiTheme="minorHAnsi"/>
                <w:szCs w:val="24"/>
                <w:lang w:val="fr-FR"/>
              </w:rPr>
              <w:t xml:space="preserve"> </w:t>
            </w:r>
            <w:r w:rsidR="00CF0703" w:rsidRPr="00E658D3">
              <w:rPr>
                <w:rFonts w:asciiTheme="minorHAnsi" w:hAnsiTheme="minorHAnsi"/>
                <w:szCs w:val="24"/>
                <w:lang w:val="fr-FR"/>
              </w:rPr>
              <w:t>30</w:t>
            </w:r>
          </w:p>
        </w:tc>
      </w:tr>
      <w:tr w:rsidR="00BD1F95" w:rsidRPr="00B92A7D" w14:paraId="79D842AB" w14:textId="77777777" w:rsidTr="009827B9">
        <w:trPr>
          <w:cantSplit/>
        </w:trPr>
        <w:tc>
          <w:tcPr>
            <w:tcW w:w="5000" w:type="pct"/>
          </w:tcPr>
          <w:p w14:paraId="2BC9DAB6" w14:textId="77777777" w:rsidR="00BD1F95" w:rsidRPr="00E658D3" w:rsidRDefault="00F611B7" w:rsidP="00F611B7">
            <w:pPr>
              <w:jc w:val="center"/>
              <w:rPr>
                <w:szCs w:val="24"/>
                <w:lang w:val="fr-FR"/>
              </w:rPr>
            </w:pPr>
            <w:r w:rsidRPr="00E658D3">
              <w:rPr>
                <w:b/>
                <w:bCs/>
                <w:szCs w:val="24"/>
                <w:lang w:val="fr-FR"/>
              </w:rPr>
              <w:t>Pr</w:t>
            </w:r>
            <w:bookmarkStart w:id="2" w:name="_GoBack"/>
            <w:bookmarkEnd w:id="2"/>
            <w:r w:rsidRPr="00E658D3">
              <w:rPr>
                <w:b/>
                <w:bCs/>
                <w:szCs w:val="24"/>
                <w:lang w:val="fr-FR"/>
              </w:rPr>
              <w:t>ésident</w:t>
            </w:r>
            <w:r w:rsidR="00BD1F95" w:rsidRPr="00E658D3">
              <w:rPr>
                <w:b/>
                <w:bCs/>
                <w:szCs w:val="24"/>
                <w:lang w:val="fr-FR"/>
              </w:rPr>
              <w:t>:</w:t>
            </w:r>
            <w:r w:rsidR="00BD1F95" w:rsidRPr="00E658D3">
              <w:rPr>
                <w:szCs w:val="24"/>
                <w:lang w:val="fr-FR"/>
              </w:rPr>
              <w:t xml:space="preserve"> M. W. MIN (R</w:t>
            </w:r>
            <w:r w:rsidRPr="00E658D3">
              <w:rPr>
                <w:szCs w:val="24"/>
                <w:lang w:val="fr-FR"/>
              </w:rPr>
              <w:t>é</w:t>
            </w:r>
            <w:r w:rsidR="00BD1F95" w:rsidRPr="00E658D3">
              <w:rPr>
                <w:szCs w:val="24"/>
                <w:lang w:val="fr-FR"/>
              </w:rPr>
              <w:t>publi</w:t>
            </w:r>
            <w:r w:rsidRPr="00E658D3">
              <w:rPr>
                <w:szCs w:val="24"/>
                <w:lang w:val="fr-FR"/>
              </w:rPr>
              <w:t>que</w:t>
            </w:r>
            <w:r w:rsidR="00BD1F95" w:rsidRPr="00E658D3">
              <w:rPr>
                <w:szCs w:val="24"/>
                <w:lang w:val="fr-FR"/>
              </w:rPr>
              <w:t xml:space="preserve"> </w:t>
            </w:r>
            <w:r w:rsidRPr="00E658D3">
              <w:rPr>
                <w:szCs w:val="24"/>
                <w:lang w:val="fr-FR"/>
              </w:rPr>
              <w:t>de</w:t>
            </w:r>
            <w:r w:rsidR="00BD1F95" w:rsidRPr="00E658D3">
              <w:rPr>
                <w:szCs w:val="24"/>
                <w:lang w:val="fr-FR"/>
              </w:rPr>
              <w:t xml:space="preserve"> </w:t>
            </w:r>
            <w:r w:rsidRPr="00E658D3">
              <w:rPr>
                <w:szCs w:val="24"/>
                <w:lang w:val="fr-FR"/>
              </w:rPr>
              <w:t>C</w:t>
            </w:r>
            <w:r w:rsidR="00BD1F95" w:rsidRPr="00E658D3">
              <w:rPr>
                <w:szCs w:val="24"/>
                <w:lang w:val="fr-FR"/>
              </w:rPr>
              <w:t>or</w:t>
            </w:r>
            <w:r w:rsidRPr="00E658D3">
              <w:rPr>
                <w:szCs w:val="24"/>
                <w:lang w:val="fr-FR"/>
              </w:rPr>
              <w:t>ée</w:t>
            </w:r>
            <w:r w:rsidR="00BD1F95" w:rsidRPr="00E658D3">
              <w:rPr>
                <w:szCs w:val="24"/>
                <w:lang w:val="fr-FR"/>
              </w:rPr>
              <w:t>)</w:t>
            </w:r>
          </w:p>
        </w:tc>
      </w:tr>
    </w:tbl>
    <w:p w14:paraId="7882900E" w14:textId="77777777" w:rsidR="00BD1F95" w:rsidRPr="00E658D3" w:rsidRDefault="00BD1F95" w:rsidP="00BD1F95">
      <w:pPr>
        <w:rPr>
          <w:szCs w:val="24"/>
          <w:lang w:val="fr-FR"/>
        </w:rPr>
      </w:pPr>
    </w:p>
    <w:tbl>
      <w:tblPr>
        <w:tblW w:w="10031" w:type="dxa"/>
        <w:tblLook w:val="0000" w:firstRow="0" w:lastRow="0" w:firstColumn="0" w:lastColumn="0" w:noHBand="0" w:noVBand="0"/>
      </w:tblPr>
      <w:tblGrid>
        <w:gridCol w:w="534"/>
        <w:gridCol w:w="7164"/>
        <w:gridCol w:w="2333"/>
      </w:tblGrid>
      <w:tr w:rsidR="00BD1F95" w:rsidRPr="00E658D3" w14:paraId="33B77A34" w14:textId="77777777" w:rsidTr="003256D8">
        <w:trPr>
          <w:trHeight w:val="170"/>
        </w:trPr>
        <w:tc>
          <w:tcPr>
            <w:tcW w:w="534" w:type="dxa"/>
          </w:tcPr>
          <w:p w14:paraId="43DD65B1" w14:textId="77777777" w:rsidR="00BD1F95" w:rsidRPr="00E658D3" w:rsidRDefault="00BD1F95" w:rsidP="003256D8">
            <w:pPr>
              <w:pStyle w:val="toc0"/>
              <w:rPr>
                <w:rFonts w:asciiTheme="minorHAnsi" w:hAnsiTheme="minorHAnsi"/>
                <w:szCs w:val="24"/>
                <w:lang w:val="fr-FR"/>
              </w:rPr>
            </w:pPr>
          </w:p>
        </w:tc>
        <w:tc>
          <w:tcPr>
            <w:tcW w:w="7164" w:type="dxa"/>
          </w:tcPr>
          <w:p w14:paraId="1F9313D7" w14:textId="77777777" w:rsidR="00BD1F95" w:rsidRPr="00E658D3" w:rsidRDefault="00BD1F95" w:rsidP="00F611B7">
            <w:pPr>
              <w:pStyle w:val="toc0"/>
              <w:rPr>
                <w:rFonts w:asciiTheme="minorHAnsi" w:hAnsiTheme="minorHAnsi"/>
                <w:szCs w:val="24"/>
                <w:lang w:val="fr-FR"/>
              </w:rPr>
            </w:pPr>
            <w:r w:rsidRPr="00E658D3">
              <w:rPr>
                <w:rFonts w:asciiTheme="minorHAnsi" w:hAnsiTheme="minorHAnsi"/>
                <w:szCs w:val="24"/>
                <w:lang w:val="fr-FR"/>
              </w:rPr>
              <w:t xml:space="preserve">Sujets </w:t>
            </w:r>
            <w:r w:rsidR="00F611B7" w:rsidRPr="00E658D3">
              <w:rPr>
                <w:rFonts w:asciiTheme="minorHAnsi" w:hAnsiTheme="minorHAnsi"/>
                <w:szCs w:val="24"/>
                <w:lang w:val="fr-FR"/>
              </w:rPr>
              <w:t>traités</w:t>
            </w:r>
          </w:p>
        </w:tc>
        <w:tc>
          <w:tcPr>
            <w:tcW w:w="2333" w:type="dxa"/>
          </w:tcPr>
          <w:p w14:paraId="686CDF18" w14:textId="77777777" w:rsidR="00BD1F95" w:rsidRPr="00E658D3" w:rsidRDefault="00BD1F95" w:rsidP="003256D8">
            <w:pPr>
              <w:pStyle w:val="toc0"/>
              <w:jc w:val="center"/>
              <w:rPr>
                <w:rFonts w:asciiTheme="minorHAnsi" w:hAnsiTheme="minorHAnsi"/>
                <w:szCs w:val="24"/>
                <w:lang w:val="fr-FR"/>
              </w:rPr>
            </w:pPr>
            <w:r w:rsidRPr="00E658D3">
              <w:rPr>
                <w:rFonts w:asciiTheme="minorHAnsi" w:hAnsiTheme="minorHAnsi"/>
                <w:szCs w:val="24"/>
                <w:lang w:val="fr-FR"/>
              </w:rPr>
              <w:t>Documents</w:t>
            </w:r>
          </w:p>
        </w:tc>
      </w:tr>
      <w:tr w:rsidR="00BD1F95" w:rsidRPr="00E658D3" w14:paraId="25BBFA53" w14:textId="77777777" w:rsidTr="003256D8">
        <w:trPr>
          <w:trHeight w:val="170"/>
        </w:trPr>
        <w:tc>
          <w:tcPr>
            <w:tcW w:w="534" w:type="dxa"/>
          </w:tcPr>
          <w:p w14:paraId="20D7F89B" w14:textId="77777777" w:rsidR="00BD1F95" w:rsidRPr="00E658D3" w:rsidRDefault="00BD1F95" w:rsidP="003256D8">
            <w:pPr>
              <w:rPr>
                <w:szCs w:val="24"/>
                <w:lang w:val="fr-FR"/>
              </w:rPr>
            </w:pPr>
            <w:r w:rsidRPr="00E658D3">
              <w:rPr>
                <w:szCs w:val="24"/>
                <w:lang w:val="fr-FR"/>
              </w:rPr>
              <w:t>1</w:t>
            </w:r>
          </w:p>
        </w:tc>
        <w:tc>
          <w:tcPr>
            <w:tcW w:w="7164" w:type="dxa"/>
          </w:tcPr>
          <w:p w14:paraId="18691260" w14:textId="77777777" w:rsidR="00BD1F95" w:rsidRPr="00E658D3" w:rsidRDefault="00A50A38" w:rsidP="00A50A38">
            <w:pPr>
              <w:rPr>
                <w:szCs w:val="24"/>
                <w:lang w:val="fr-FR"/>
              </w:rPr>
            </w:pPr>
            <w:r w:rsidRPr="00E658D3">
              <w:rPr>
                <w:szCs w:val="24"/>
                <w:lang w:val="fr-FR"/>
              </w:rPr>
              <w:t>Projet de Résolution</w:t>
            </w:r>
            <w:r w:rsidR="007F32F6" w:rsidRPr="00E658D3">
              <w:rPr>
                <w:szCs w:val="24"/>
                <w:lang w:val="fr-FR"/>
              </w:rPr>
              <w:t xml:space="preserve"> 99 (R</w:t>
            </w:r>
            <w:r w:rsidRPr="00E658D3">
              <w:rPr>
                <w:szCs w:val="24"/>
                <w:lang w:val="fr-FR"/>
              </w:rPr>
              <w:t>é</w:t>
            </w:r>
            <w:r w:rsidR="007F32F6" w:rsidRPr="00E658D3">
              <w:rPr>
                <w:szCs w:val="24"/>
                <w:lang w:val="fr-FR"/>
              </w:rPr>
              <w:t xml:space="preserve">v. Busan, 2014) </w:t>
            </w:r>
            <w:r w:rsidRPr="00E658D3">
              <w:rPr>
                <w:szCs w:val="24"/>
                <w:lang w:val="fr-FR"/>
              </w:rPr>
              <w:t>et</w:t>
            </w:r>
            <w:r w:rsidR="007F32F6" w:rsidRPr="00E658D3">
              <w:rPr>
                <w:szCs w:val="24"/>
                <w:lang w:val="fr-FR"/>
              </w:rPr>
              <w:t xml:space="preserve"> 125 (R</w:t>
            </w:r>
            <w:r w:rsidRPr="00E658D3">
              <w:rPr>
                <w:szCs w:val="24"/>
                <w:lang w:val="fr-FR"/>
              </w:rPr>
              <w:t>é</w:t>
            </w:r>
            <w:r w:rsidR="007F32F6" w:rsidRPr="00E658D3">
              <w:rPr>
                <w:szCs w:val="24"/>
                <w:lang w:val="fr-FR"/>
              </w:rPr>
              <w:t>v. Busan, 2014)</w:t>
            </w:r>
            <w:r w:rsidR="001A5E36" w:rsidRPr="00E658D3">
              <w:rPr>
                <w:szCs w:val="24"/>
                <w:lang w:val="fr-FR"/>
              </w:rPr>
              <w:t xml:space="preserve"> (</w:t>
            </w:r>
            <w:r w:rsidRPr="00E658D3">
              <w:rPr>
                <w:szCs w:val="24"/>
                <w:lang w:val="fr-FR"/>
              </w:rPr>
              <w:t>suite</w:t>
            </w:r>
            <w:r w:rsidR="001A5E36" w:rsidRPr="00E658D3">
              <w:rPr>
                <w:szCs w:val="24"/>
                <w:lang w:val="fr-FR"/>
              </w:rPr>
              <w:t>)</w:t>
            </w:r>
          </w:p>
        </w:tc>
        <w:tc>
          <w:tcPr>
            <w:tcW w:w="2333" w:type="dxa"/>
          </w:tcPr>
          <w:p w14:paraId="11F2ABF8" w14:textId="77777777" w:rsidR="00BD1F95" w:rsidRPr="00E658D3" w:rsidRDefault="00B92A7D" w:rsidP="003256D8">
            <w:pPr>
              <w:jc w:val="center"/>
              <w:rPr>
                <w:szCs w:val="24"/>
                <w:lang w:val="fr-FR"/>
              </w:rPr>
            </w:pPr>
            <w:hyperlink r:id="rId9" w:history="1">
              <w:r w:rsidR="007F32F6" w:rsidRPr="00E658D3">
                <w:rPr>
                  <w:rStyle w:val="Hyperlink"/>
                  <w:szCs w:val="24"/>
                  <w:lang w:val="fr-FR"/>
                </w:rPr>
                <w:t>DT/83</w:t>
              </w:r>
            </w:hyperlink>
          </w:p>
        </w:tc>
      </w:tr>
      <w:tr w:rsidR="00BD1F95" w:rsidRPr="00E658D3" w14:paraId="55D302D2" w14:textId="77777777" w:rsidTr="003256D8">
        <w:trPr>
          <w:trHeight w:val="170"/>
        </w:trPr>
        <w:tc>
          <w:tcPr>
            <w:tcW w:w="534" w:type="dxa"/>
          </w:tcPr>
          <w:p w14:paraId="377F0297" w14:textId="77777777" w:rsidR="00BD1F95" w:rsidRPr="00E658D3" w:rsidRDefault="00BD1F95" w:rsidP="003256D8">
            <w:pPr>
              <w:rPr>
                <w:szCs w:val="24"/>
                <w:lang w:val="fr-FR"/>
              </w:rPr>
            </w:pPr>
            <w:r w:rsidRPr="00E658D3">
              <w:rPr>
                <w:szCs w:val="24"/>
                <w:lang w:val="fr-FR"/>
              </w:rPr>
              <w:t>2</w:t>
            </w:r>
          </w:p>
        </w:tc>
        <w:tc>
          <w:tcPr>
            <w:tcW w:w="7164" w:type="dxa"/>
          </w:tcPr>
          <w:p w14:paraId="1E933CCA" w14:textId="77777777" w:rsidR="00BD1F95" w:rsidRPr="00E658D3" w:rsidRDefault="00A50A38" w:rsidP="003256D8">
            <w:pPr>
              <w:rPr>
                <w:szCs w:val="24"/>
                <w:lang w:val="fr-FR"/>
              </w:rPr>
            </w:pPr>
            <w:r w:rsidRPr="00E658D3">
              <w:rPr>
                <w:szCs w:val="24"/>
                <w:lang w:val="fr-FR"/>
              </w:rPr>
              <w:t>Rapport de la Présidente de la Commission</w:t>
            </w:r>
            <w:r w:rsidR="007F32F6" w:rsidRPr="00E658D3">
              <w:rPr>
                <w:szCs w:val="24"/>
                <w:lang w:val="fr-FR"/>
              </w:rPr>
              <w:t xml:space="preserve"> 6</w:t>
            </w:r>
          </w:p>
        </w:tc>
        <w:tc>
          <w:tcPr>
            <w:tcW w:w="2333" w:type="dxa"/>
          </w:tcPr>
          <w:p w14:paraId="118FD45F" w14:textId="77777777" w:rsidR="00BD1F95" w:rsidRPr="00E658D3" w:rsidRDefault="00B92A7D" w:rsidP="003256D8">
            <w:pPr>
              <w:jc w:val="center"/>
              <w:rPr>
                <w:szCs w:val="24"/>
                <w:lang w:val="fr-FR"/>
              </w:rPr>
            </w:pPr>
            <w:hyperlink r:id="rId10" w:history="1">
              <w:r w:rsidR="007F32F6" w:rsidRPr="00E658D3">
                <w:rPr>
                  <w:rStyle w:val="Hyperlink"/>
                  <w:szCs w:val="24"/>
                  <w:lang w:val="fr-FR"/>
                </w:rPr>
                <w:t>150</w:t>
              </w:r>
            </w:hyperlink>
          </w:p>
        </w:tc>
      </w:tr>
      <w:tr w:rsidR="007F32F6" w:rsidRPr="00E658D3" w14:paraId="683EDE4F" w14:textId="77777777" w:rsidTr="003256D8">
        <w:trPr>
          <w:trHeight w:val="170"/>
        </w:trPr>
        <w:tc>
          <w:tcPr>
            <w:tcW w:w="534" w:type="dxa"/>
          </w:tcPr>
          <w:p w14:paraId="1B2028FA" w14:textId="77777777" w:rsidR="007F32F6" w:rsidRPr="00E658D3" w:rsidRDefault="007F32F6" w:rsidP="003256D8">
            <w:pPr>
              <w:rPr>
                <w:szCs w:val="24"/>
                <w:lang w:val="fr-FR"/>
              </w:rPr>
            </w:pPr>
            <w:r w:rsidRPr="00E658D3">
              <w:rPr>
                <w:szCs w:val="24"/>
                <w:lang w:val="fr-FR"/>
              </w:rPr>
              <w:t>3</w:t>
            </w:r>
          </w:p>
        </w:tc>
        <w:tc>
          <w:tcPr>
            <w:tcW w:w="7164" w:type="dxa"/>
          </w:tcPr>
          <w:p w14:paraId="3BD0CDDF" w14:textId="77777777" w:rsidR="007F32F6" w:rsidRPr="00E658D3" w:rsidRDefault="007F32F6" w:rsidP="00A50A38">
            <w:pPr>
              <w:rPr>
                <w:szCs w:val="24"/>
                <w:lang w:val="fr-FR"/>
              </w:rPr>
            </w:pPr>
            <w:r w:rsidRPr="00E658D3">
              <w:rPr>
                <w:szCs w:val="24"/>
                <w:lang w:val="fr-FR"/>
              </w:rPr>
              <w:t>R</w:t>
            </w:r>
            <w:r w:rsidR="00A50A38" w:rsidRPr="00E658D3">
              <w:rPr>
                <w:szCs w:val="24"/>
                <w:lang w:val="fr-FR"/>
              </w:rPr>
              <w:t>app</w:t>
            </w:r>
            <w:r w:rsidRPr="00E658D3">
              <w:rPr>
                <w:szCs w:val="24"/>
                <w:lang w:val="fr-FR"/>
              </w:rPr>
              <w:t xml:space="preserve">ort </w:t>
            </w:r>
            <w:r w:rsidR="00A50A38" w:rsidRPr="00E658D3">
              <w:rPr>
                <w:szCs w:val="24"/>
                <w:lang w:val="fr-FR"/>
              </w:rPr>
              <w:t>du Président</w:t>
            </w:r>
            <w:r w:rsidRPr="00E658D3">
              <w:rPr>
                <w:szCs w:val="24"/>
                <w:lang w:val="fr-FR"/>
              </w:rPr>
              <w:t xml:space="preserve"> </w:t>
            </w:r>
            <w:r w:rsidR="00A50A38" w:rsidRPr="00E658D3">
              <w:rPr>
                <w:szCs w:val="24"/>
                <w:lang w:val="fr-FR"/>
              </w:rPr>
              <w:t>du</w:t>
            </w:r>
            <w:r w:rsidRPr="00E658D3">
              <w:rPr>
                <w:szCs w:val="24"/>
                <w:lang w:val="fr-FR"/>
              </w:rPr>
              <w:t xml:space="preserve"> </w:t>
            </w:r>
            <w:r w:rsidR="00A50A38" w:rsidRPr="00E658D3">
              <w:rPr>
                <w:szCs w:val="24"/>
                <w:lang w:val="fr-FR"/>
              </w:rPr>
              <w:t>Groupe de travail de la plénière</w:t>
            </w:r>
          </w:p>
        </w:tc>
        <w:tc>
          <w:tcPr>
            <w:tcW w:w="2333" w:type="dxa"/>
          </w:tcPr>
          <w:p w14:paraId="5476AFB0" w14:textId="77777777" w:rsidR="007F32F6" w:rsidRPr="00E658D3" w:rsidRDefault="00B92A7D" w:rsidP="00D13990">
            <w:pPr>
              <w:jc w:val="center"/>
              <w:rPr>
                <w:szCs w:val="24"/>
                <w:lang w:val="fr-FR"/>
              </w:rPr>
            </w:pPr>
            <w:hyperlink r:id="rId11" w:history="1">
              <w:r w:rsidR="007F32F6" w:rsidRPr="00E658D3">
                <w:rPr>
                  <w:rStyle w:val="Hyperlink"/>
                  <w:szCs w:val="24"/>
                  <w:lang w:val="fr-FR"/>
                </w:rPr>
                <w:t>164(R</w:t>
              </w:r>
              <w:r w:rsidR="00D13990" w:rsidRPr="00E658D3">
                <w:rPr>
                  <w:rStyle w:val="Hyperlink"/>
                  <w:szCs w:val="24"/>
                  <w:lang w:val="fr-FR"/>
                </w:rPr>
                <w:t>é</w:t>
              </w:r>
              <w:r w:rsidR="007F32F6" w:rsidRPr="00E658D3">
                <w:rPr>
                  <w:rStyle w:val="Hyperlink"/>
                  <w:szCs w:val="24"/>
                  <w:lang w:val="fr-FR"/>
                </w:rPr>
                <w:t>v.1)</w:t>
              </w:r>
            </w:hyperlink>
          </w:p>
        </w:tc>
      </w:tr>
      <w:tr w:rsidR="007F32F6" w:rsidRPr="00E658D3" w14:paraId="33626A82" w14:textId="77777777" w:rsidTr="003256D8">
        <w:trPr>
          <w:trHeight w:val="170"/>
        </w:trPr>
        <w:tc>
          <w:tcPr>
            <w:tcW w:w="534" w:type="dxa"/>
          </w:tcPr>
          <w:p w14:paraId="4EE361B4" w14:textId="77777777" w:rsidR="007F32F6" w:rsidRPr="00E658D3" w:rsidRDefault="007F32F6" w:rsidP="003256D8">
            <w:pPr>
              <w:rPr>
                <w:szCs w:val="24"/>
                <w:lang w:val="fr-FR"/>
              </w:rPr>
            </w:pPr>
            <w:r w:rsidRPr="00E658D3">
              <w:rPr>
                <w:szCs w:val="24"/>
                <w:lang w:val="fr-FR"/>
              </w:rPr>
              <w:t>4</w:t>
            </w:r>
          </w:p>
        </w:tc>
        <w:tc>
          <w:tcPr>
            <w:tcW w:w="7164" w:type="dxa"/>
          </w:tcPr>
          <w:p w14:paraId="04280A8A" w14:textId="74E8DE93" w:rsidR="007F32F6" w:rsidRPr="00E658D3" w:rsidRDefault="00C42F57" w:rsidP="00D13990">
            <w:pPr>
              <w:rPr>
                <w:szCs w:val="24"/>
                <w:lang w:val="fr-FR"/>
              </w:rPr>
            </w:pPr>
            <w:r w:rsidRPr="00C42F57">
              <w:rPr>
                <w:szCs w:val="24"/>
                <w:lang w:val="fr-FR"/>
              </w:rPr>
              <w:t>Suppression de la Résolution 163 (Guadalajara, 2010) en première et deuxième lecture</w:t>
            </w:r>
          </w:p>
        </w:tc>
        <w:tc>
          <w:tcPr>
            <w:tcW w:w="2333" w:type="dxa"/>
          </w:tcPr>
          <w:p w14:paraId="0F2902F0" w14:textId="77777777" w:rsidR="007F32F6" w:rsidRPr="00E658D3" w:rsidRDefault="00B92A7D" w:rsidP="003256D8">
            <w:pPr>
              <w:jc w:val="center"/>
              <w:rPr>
                <w:szCs w:val="24"/>
                <w:lang w:val="fr-FR"/>
              </w:rPr>
            </w:pPr>
            <w:hyperlink r:id="rId12" w:history="1">
              <w:r w:rsidR="007F32F6" w:rsidRPr="00E658D3">
                <w:rPr>
                  <w:rStyle w:val="Hyperlink"/>
                  <w:szCs w:val="24"/>
                  <w:lang w:val="fr-FR"/>
                </w:rPr>
                <w:t>126</w:t>
              </w:r>
            </w:hyperlink>
          </w:p>
        </w:tc>
      </w:tr>
      <w:tr w:rsidR="007F32F6" w:rsidRPr="00E658D3" w14:paraId="096A8246" w14:textId="77777777" w:rsidTr="003256D8">
        <w:trPr>
          <w:trHeight w:val="170"/>
        </w:trPr>
        <w:tc>
          <w:tcPr>
            <w:tcW w:w="534" w:type="dxa"/>
          </w:tcPr>
          <w:p w14:paraId="619CD557" w14:textId="77777777" w:rsidR="007F32F6" w:rsidRPr="00E658D3" w:rsidRDefault="007F32F6" w:rsidP="003256D8">
            <w:pPr>
              <w:rPr>
                <w:szCs w:val="24"/>
                <w:lang w:val="fr-FR"/>
              </w:rPr>
            </w:pPr>
            <w:r w:rsidRPr="00E658D3">
              <w:rPr>
                <w:szCs w:val="24"/>
                <w:lang w:val="fr-FR"/>
              </w:rPr>
              <w:t>5</w:t>
            </w:r>
          </w:p>
        </w:tc>
        <w:tc>
          <w:tcPr>
            <w:tcW w:w="7164" w:type="dxa"/>
          </w:tcPr>
          <w:p w14:paraId="58B15BD2" w14:textId="1A1C9E92" w:rsidR="007F32F6" w:rsidRPr="00E658D3" w:rsidRDefault="00C42F57" w:rsidP="00C452CB">
            <w:pPr>
              <w:rPr>
                <w:szCs w:val="24"/>
                <w:lang w:val="fr-FR"/>
              </w:rPr>
            </w:pPr>
            <w:r w:rsidRPr="00C42F57">
              <w:rPr>
                <w:szCs w:val="24"/>
                <w:lang w:val="fr-FR"/>
              </w:rPr>
              <w:t xml:space="preserve">Projet de Décision 5 (Rév. Busan, 2014) </w:t>
            </w:r>
            <w:r w:rsidR="00445A64" w:rsidRPr="00445A64">
              <w:rPr>
                <w:lang w:val="fr-FR"/>
              </w:rPr>
              <w:t>–</w:t>
            </w:r>
            <w:r w:rsidRPr="00C42F57">
              <w:rPr>
                <w:szCs w:val="24"/>
                <w:lang w:val="fr-FR"/>
              </w:rPr>
              <w:t xml:space="preserve"> Produits et charges de l'Union pour la période 2016-2019 – première et deuxième lecture</w:t>
            </w:r>
          </w:p>
        </w:tc>
        <w:tc>
          <w:tcPr>
            <w:tcW w:w="2333" w:type="dxa"/>
          </w:tcPr>
          <w:p w14:paraId="271C72BD" w14:textId="77777777" w:rsidR="007F32F6" w:rsidRPr="00E658D3" w:rsidRDefault="00B92A7D" w:rsidP="003256D8">
            <w:pPr>
              <w:jc w:val="center"/>
              <w:rPr>
                <w:szCs w:val="24"/>
                <w:lang w:val="fr-FR"/>
              </w:rPr>
            </w:pPr>
            <w:hyperlink r:id="rId13" w:history="1">
              <w:r w:rsidR="007F32F6" w:rsidRPr="00E658D3">
                <w:rPr>
                  <w:rStyle w:val="Hyperlink"/>
                  <w:szCs w:val="24"/>
                  <w:lang w:val="fr-FR"/>
                </w:rPr>
                <w:t>156(Corr.1)</w:t>
              </w:r>
            </w:hyperlink>
          </w:p>
        </w:tc>
      </w:tr>
      <w:tr w:rsidR="007F32F6" w:rsidRPr="00E658D3" w14:paraId="45438792" w14:textId="77777777" w:rsidTr="003256D8">
        <w:trPr>
          <w:trHeight w:val="170"/>
        </w:trPr>
        <w:tc>
          <w:tcPr>
            <w:tcW w:w="534" w:type="dxa"/>
          </w:tcPr>
          <w:p w14:paraId="56146117" w14:textId="77777777" w:rsidR="007F32F6" w:rsidRPr="00E658D3" w:rsidRDefault="007F32F6" w:rsidP="003256D8">
            <w:pPr>
              <w:rPr>
                <w:szCs w:val="24"/>
                <w:lang w:val="fr-FR"/>
              </w:rPr>
            </w:pPr>
            <w:r w:rsidRPr="00E658D3">
              <w:rPr>
                <w:szCs w:val="24"/>
                <w:lang w:val="fr-FR"/>
              </w:rPr>
              <w:t>6</w:t>
            </w:r>
          </w:p>
        </w:tc>
        <w:tc>
          <w:tcPr>
            <w:tcW w:w="7164" w:type="dxa"/>
          </w:tcPr>
          <w:p w14:paraId="66DD88E5" w14:textId="77777777" w:rsidR="007F32F6" w:rsidRPr="00E658D3" w:rsidRDefault="00D13990" w:rsidP="003256D8">
            <w:pPr>
              <w:rPr>
                <w:szCs w:val="24"/>
                <w:lang w:val="fr-FR"/>
              </w:rPr>
            </w:pPr>
            <w:r w:rsidRPr="00E658D3">
              <w:rPr>
                <w:szCs w:val="24"/>
                <w:lang w:val="fr-FR"/>
              </w:rPr>
              <w:t>Approbation des procès-verbaux</w:t>
            </w:r>
          </w:p>
        </w:tc>
        <w:tc>
          <w:tcPr>
            <w:tcW w:w="2333" w:type="dxa"/>
          </w:tcPr>
          <w:p w14:paraId="5BD9955A" w14:textId="77777777" w:rsidR="007F32F6" w:rsidRPr="00E658D3" w:rsidRDefault="00B92A7D" w:rsidP="003256D8">
            <w:pPr>
              <w:jc w:val="center"/>
              <w:rPr>
                <w:szCs w:val="24"/>
                <w:lang w:val="fr-FR"/>
              </w:rPr>
            </w:pPr>
            <w:hyperlink r:id="rId14" w:history="1">
              <w:r w:rsidR="007F32F6" w:rsidRPr="00E658D3">
                <w:rPr>
                  <w:rStyle w:val="Hyperlink"/>
                  <w:szCs w:val="24"/>
                  <w:lang w:val="fr-FR"/>
                </w:rPr>
                <w:t>145</w:t>
              </w:r>
            </w:hyperlink>
            <w:r w:rsidR="007F32F6" w:rsidRPr="00E658D3">
              <w:rPr>
                <w:szCs w:val="24"/>
                <w:lang w:val="fr-FR"/>
              </w:rPr>
              <w:t>,</w:t>
            </w:r>
            <w:r w:rsidR="00FD08BB" w:rsidRPr="00E658D3">
              <w:rPr>
                <w:szCs w:val="24"/>
                <w:lang w:val="fr-FR"/>
              </w:rPr>
              <w:t xml:space="preserve"> </w:t>
            </w:r>
            <w:hyperlink r:id="rId15" w:history="1">
              <w:r w:rsidR="007F32F6" w:rsidRPr="00E658D3">
                <w:rPr>
                  <w:rStyle w:val="Hyperlink"/>
                  <w:szCs w:val="24"/>
                  <w:lang w:val="fr-FR"/>
                </w:rPr>
                <w:t>146</w:t>
              </w:r>
            </w:hyperlink>
          </w:p>
        </w:tc>
      </w:tr>
      <w:tr w:rsidR="007F32F6" w:rsidRPr="00E658D3" w14:paraId="69950D82" w14:textId="77777777" w:rsidTr="003256D8">
        <w:trPr>
          <w:trHeight w:val="170"/>
        </w:trPr>
        <w:tc>
          <w:tcPr>
            <w:tcW w:w="534" w:type="dxa"/>
          </w:tcPr>
          <w:p w14:paraId="4AB4B8C4" w14:textId="77777777" w:rsidR="007F32F6" w:rsidRPr="00E658D3" w:rsidRDefault="007F32F6" w:rsidP="003256D8">
            <w:pPr>
              <w:rPr>
                <w:lang w:val="fr-FR"/>
              </w:rPr>
            </w:pPr>
            <w:r w:rsidRPr="00E658D3">
              <w:rPr>
                <w:lang w:val="fr-FR"/>
              </w:rPr>
              <w:t>7</w:t>
            </w:r>
          </w:p>
        </w:tc>
        <w:tc>
          <w:tcPr>
            <w:tcW w:w="7164" w:type="dxa"/>
          </w:tcPr>
          <w:p w14:paraId="1221110C" w14:textId="77777777" w:rsidR="007F32F6" w:rsidRPr="00E658D3" w:rsidRDefault="00D13990" w:rsidP="002B2D30">
            <w:pPr>
              <w:rPr>
                <w:lang w:val="fr-FR"/>
              </w:rPr>
            </w:pPr>
            <w:r w:rsidRPr="00E658D3">
              <w:rPr>
                <w:lang w:val="fr-FR"/>
              </w:rPr>
              <w:t>Délais pour le dépôt de déclarations</w:t>
            </w:r>
            <w:r w:rsidR="007F32F6" w:rsidRPr="00E658D3">
              <w:rPr>
                <w:lang w:val="fr-FR"/>
              </w:rPr>
              <w:t xml:space="preserve"> </w:t>
            </w:r>
            <w:r w:rsidRPr="00E658D3">
              <w:rPr>
                <w:lang w:val="fr-FR"/>
              </w:rPr>
              <w:t xml:space="preserve">et de déclarations </w:t>
            </w:r>
            <w:r w:rsidR="002B2D30" w:rsidRPr="00E658D3">
              <w:rPr>
                <w:lang w:val="fr-FR"/>
              </w:rPr>
              <w:t>additionnell</w:t>
            </w:r>
            <w:r w:rsidRPr="00E658D3">
              <w:rPr>
                <w:lang w:val="fr-FR"/>
              </w:rPr>
              <w:t>es</w:t>
            </w:r>
            <w:r w:rsidR="007F32F6" w:rsidRPr="00E658D3">
              <w:rPr>
                <w:lang w:val="fr-FR"/>
              </w:rPr>
              <w:t xml:space="preserve"> </w:t>
            </w:r>
          </w:p>
        </w:tc>
        <w:tc>
          <w:tcPr>
            <w:tcW w:w="2333" w:type="dxa"/>
          </w:tcPr>
          <w:p w14:paraId="1997A4AC" w14:textId="39274E8B" w:rsidR="007F32F6" w:rsidRPr="00E658D3" w:rsidRDefault="00445A64" w:rsidP="003256D8">
            <w:pPr>
              <w:jc w:val="center"/>
              <w:rPr>
                <w:lang w:val="fr-FR"/>
              </w:rPr>
            </w:pPr>
            <w:r w:rsidRPr="00445A64">
              <w:rPr>
                <w:lang w:val="fr-FR"/>
              </w:rPr>
              <w:t>–</w:t>
            </w:r>
          </w:p>
        </w:tc>
      </w:tr>
      <w:tr w:rsidR="007F32F6" w:rsidRPr="00E658D3" w14:paraId="6D9DA251" w14:textId="77777777" w:rsidTr="003256D8">
        <w:trPr>
          <w:trHeight w:val="170"/>
        </w:trPr>
        <w:tc>
          <w:tcPr>
            <w:tcW w:w="534" w:type="dxa"/>
          </w:tcPr>
          <w:p w14:paraId="163428D1" w14:textId="77777777" w:rsidR="007F32F6" w:rsidRPr="00E658D3" w:rsidRDefault="007F32F6" w:rsidP="003256D8">
            <w:pPr>
              <w:rPr>
                <w:lang w:val="fr-FR"/>
              </w:rPr>
            </w:pPr>
            <w:r w:rsidRPr="00E658D3">
              <w:rPr>
                <w:lang w:val="fr-FR"/>
              </w:rPr>
              <w:t>8</w:t>
            </w:r>
          </w:p>
        </w:tc>
        <w:tc>
          <w:tcPr>
            <w:tcW w:w="7164" w:type="dxa"/>
          </w:tcPr>
          <w:p w14:paraId="6A0EA5AD" w14:textId="77777777" w:rsidR="007F32F6" w:rsidRPr="00E658D3" w:rsidRDefault="002B2D30" w:rsidP="003256D8">
            <w:pPr>
              <w:rPr>
                <w:lang w:val="fr-FR"/>
              </w:rPr>
            </w:pPr>
            <w:r w:rsidRPr="00E658D3">
              <w:rPr>
                <w:lang w:val="fr-FR"/>
              </w:rPr>
              <w:t>Résultats de la</w:t>
            </w:r>
            <w:r w:rsidR="007F32F6" w:rsidRPr="00E658D3">
              <w:rPr>
                <w:lang w:val="fr-FR"/>
              </w:rPr>
              <w:t xml:space="preserve"> PP-14</w:t>
            </w:r>
          </w:p>
        </w:tc>
        <w:tc>
          <w:tcPr>
            <w:tcW w:w="2333" w:type="dxa"/>
          </w:tcPr>
          <w:p w14:paraId="4EF6D030" w14:textId="6FD242B8" w:rsidR="007F32F6" w:rsidRPr="00E658D3" w:rsidRDefault="00445A64" w:rsidP="003256D8">
            <w:pPr>
              <w:jc w:val="center"/>
              <w:rPr>
                <w:lang w:val="fr-FR"/>
              </w:rPr>
            </w:pPr>
            <w:r w:rsidRPr="00445A64">
              <w:rPr>
                <w:lang w:val="fr-FR"/>
              </w:rPr>
              <w:t>–</w:t>
            </w:r>
          </w:p>
        </w:tc>
      </w:tr>
      <w:tr w:rsidR="007F32F6" w:rsidRPr="00E658D3" w14:paraId="2AE8B980" w14:textId="77777777" w:rsidTr="003256D8">
        <w:trPr>
          <w:trHeight w:val="170"/>
        </w:trPr>
        <w:tc>
          <w:tcPr>
            <w:tcW w:w="534" w:type="dxa"/>
          </w:tcPr>
          <w:p w14:paraId="5368F84F" w14:textId="77777777" w:rsidR="007F32F6" w:rsidRPr="00E658D3" w:rsidRDefault="007F32F6" w:rsidP="003256D8">
            <w:pPr>
              <w:rPr>
                <w:lang w:val="fr-FR"/>
              </w:rPr>
            </w:pPr>
            <w:r w:rsidRPr="00E658D3">
              <w:rPr>
                <w:lang w:val="fr-FR"/>
              </w:rPr>
              <w:t>9</w:t>
            </w:r>
          </w:p>
        </w:tc>
        <w:tc>
          <w:tcPr>
            <w:tcW w:w="7164" w:type="dxa"/>
          </w:tcPr>
          <w:p w14:paraId="7D0AC457" w14:textId="7532F4A7" w:rsidR="007F32F6" w:rsidRPr="00E658D3" w:rsidRDefault="002B2D30" w:rsidP="005053ED">
            <w:pPr>
              <w:rPr>
                <w:lang w:val="fr-FR"/>
              </w:rPr>
            </w:pPr>
            <w:r w:rsidRPr="00E658D3">
              <w:rPr>
                <w:lang w:val="fr-FR"/>
              </w:rPr>
              <w:t>Remise de médailles d</w:t>
            </w:r>
            <w:r w:rsidR="00FD45FE" w:rsidRPr="00E658D3">
              <w:rPr>
                <w:lang w:val="fr-FR"/>
              </w:rPr>
              <w:t>'</w:t>
            </w:r>
            <w:r w:rsidRPr="00E658D3">
              <w:rPr>
                <w:lang w:val="fr-FR"/>
              </w:rPr>
              <w:t>or et de certificat</w:t>
            </w:r>
            <w:r w:rsidR="00CF06A8" w:rsidRPr="00E658D3">
              <w:rPr>
                <w:lang w:val="fr-FR"/>
              </w:rPr>
              <w:t>s</w:t>
            </w:r>
            <w:r w:rsidR="00BA2BB3" w:rsidRPr="00E658D3">
              <w:rPr>
                <w:lang w:val="fr-FR"/>
              </w:rPr>
              <w:t xml:space="preserve"> honorifiques</w:t>
            </w:r>
            <w:r w:rsidR="005053ED" w:rsidRPr="00E658D3">
              <w:rPr>
                <w:lang w:val="fr-FR"/>
              </w:rPr>
              <w:t xml:space="preserve"> de l</w:t>
            </w:r>
            <w:r w:rsidR="00FD45FE" w:rsidRPr="00E658D3">
              <w:rPr>
                <w:lang w:val="fr-FR"/>
              </w:rPr>
              <w:t>'</w:t>
            </w:r>
            <w:r w:rsidR="005053ED" w:rsidRPr="00E658D3">
              <w:rPr>
                <w:lang w:val="fr-FR"/>
              </w:rPr>
              <w:t>UIT</w:t>
            </w:r>
          </w:p>
        </w:tc>
        <w:tc>
          <w:tcPr>
            <w:tcW w:w="2333" w:type="dxa"/>
          </w:tcPr>
          <w:p w14:paraId="211B2F0D" w14:textId="40153DA5" w:rsidR="007F32F6" w:rsidRPr="00E658D3" w:rsidRDefault="00445A64" w:rsidP="007F32F6">
            <w:pPr>
              <w:jc w:val="center"/>
              <w:rPr>
                <w:lang w:val="fr-FR"/>
              </w:rPr>
            </w:pPr>
            <w:r w:rsidRPr="00445A64">
              <w:rPr>
                <w:lang w:val="fr-FR"/>
              </w:rPr>
              <w:t>–</w:t>
            </w:r>
          </w:p>
        </w:tc>
      </w:tr>
      <w:tr w:rsidR="007F32F6" w:rsidRPr="00E658D3" w14:paraId="6D3A63CF" w14:textId="77777777" w:rsidTr="003256D8">
        <w:trPr>
          <w:trHeight w:val="170"/>
        </w:trPr>
        <w:tc>
          <w:tcPr>
            <w:tcW w:w="534" w:type="dxa"/>
          </w:tcPr>
          <w:p w14:paraId="3D212AAF" w14:textId="77777777" w:rsidR="007F32F6" w:rsidRPr="00E658D3" w:rsidRDefault="007F32F6" w:rsidP="003256D8">
            <w:pPr>
              <w:rPr>
                <w:lang w:val="fr-FR"/>
              </w:rPr>
            </w:pPr>
            <w:r w:rsidRPr="00E658D3">
              <w:rPr>
                <w:lang w:val="fr-FR"/>
              </w:rPr>
              <w:t>10</w:t>
            </w:r>
          </w:p>
        </w:tc>
        <w:tc>
          <w:tcPr>
            <w:tcW w:w="7164" w:type="dxa"/>
          </w:tcPr>
          <w:p w14:paraId="3C6F447B" w14:textId="47C0D01B" w:rsidR="007F32F6" w:rsidRPr="00E658D3" w:rsidRDefault="00CF06A8" w:rsidP="007F32F6">
            <w:pPr>
              <w:rPr>
                <w:lang w:val="fr-FR"/>
              </w:rPr>
            </w:pPr>
            <w:r w:rsidRPr="00E658D3">
              <w:rPr>
                <w:lang w:val="fr-FR"/>
              </w:rPr>
              <w:t>Discours d</w:t>
            </w:r>
            <w:r w:rsidR="00FD45FE" w:rsidRPr="00E658D3">
              <w:rPr>
                <w:lang w:val="fr-FR"/>
              </w:rPr>
              <w:t>'</w:t>
            </w:r>
            <w:r w:rsidRPr="00E658D3">
              <w:rPr>
                <w:lang w:val="fr-FR"/>
              </w:rPr>
              <w:t>adieu du Secrétaire général</w:t>
            </w:r>
            <w:r w:rsidR="007F32F6" w:rsidRPr="00E658D3">
              <w:rPr>
                <w:lang w:val="fr-FR"/>
              </w:rPr>
              <w:t xml:space="preserve"> </w:t>
            </w:r>
          </w:p>
        </w:tc>
        <w:tc>
          <w:tcPr>
            <w:tcW w:w="2333" w:type="dxa"/>
          </w:tcPr>
          <w:p w14:paraId="13A2F269" w14:textId="0E674A2D" w:rsidR="007F32F6" w:rsidRPr="00E658D3" w:rsidRDefault="00445A64" w:rsidP="007F32F6">
            <w:pPr>
              <w:jc w:val="center"/>
              <w:rPr>
                <w:lang w:val="fr-FR"/>
              </w:rPr>
            </w:pPr>
            <w:r w:rsidRPr="00445A64">
              <w:rPr>
                <w:lang w:val="fr-FR"/>
              </w:rPr>
              <w:t>–</w:t>
            </w:r>
          </w:p>
        </w:tc>
      </w:tr>
    </w:tbl>
    <w:p w14:paraId="7413E8D8" w14:textId="77777777" w:rsidR="007F32F6" w:rsidRPr="00E658D3" w:rsidRDefault="007F32F6" w:rsidP="0060437F">
      <w:pPr>
        <w:spacing w:before="0"/>
        <w:ind w:left="567" w:hanging="567"/>
        <w:contextualSpacing/>
        <w:rPr>
          <w:b/>
          <w:bCs/>
          <w:lang w:val="fr-FR"/>
        </w:rPr>
      </w:pPr>
    </w:p>
    <w:p w14:paraId="3AD88EFF" w14:textId="77777777" w:rsidR="007F32F6" w:rsidRPr="00E658D3" w:rsidRDefault="007F32F6">
      <w:pPr>
        <w:tabs>
          <w:tab w:val="clear" w:pos="567"/>
          <w:tab w:val="clear" w:pos="1134"/>
          <w:tab w:val="clear" w:pos="1701"/>
          <w:tab w:val="clear" w:pos="2268"/>
          <w:tab w:val="clear" w:pos="2835"/>
        </w:tabs>
        <w:overflowPunct/>
        <w:autoSpaceDE/>
        <w:autoSpaceDN/>
        <w:adjustRightInd/>
        <w:spacing w:before="0"/>
        <w:textAlignment w:val="auto"/>
        <w:rPr>
          <w:b/>
          <w:bCs/>
          <w:lang w:val="fr-FR"/>
        </w:rPr>
      </w:pPr>
      <w:r w:rsidRPr="00E658D3">
        <w:rPr>
          <w:b/>
          <w:bCs/>
          <w:lang w:val="fr-FR"/>
        </w:rPr>
        <w:br w:type="page"/>
      </w:r>
    </w:p>
    <w:p w14:paraId="20F28F1A" w14:textId="2EB7CC50" w:rsidR="000A2C06" w:rsidRPr="00E658D3" w:rsidRDefault="003E7663" w:rsidP="00445A64">
      <w:pPr>
        <w:pStyle w:val="Heading1"/>
        <w:rPr>
          <w:lang w:val="fr-FR"/>
        </w:rPr>
      </w:pPr>
      <w:r w:rsidRPr="00E658D3">
        <w:rPr>
          <w:bCs/>
          <w:lang w:val="fr-FR"/>
        </w:rPr>
        <w:lastRenderedPageBreak/>
        <w:t>1</w:t>
      </w:r>
      <w:r w:rsidRPr="00E658D3">
        <w:rPr>
          <w:bCs/>
          <w:lang w:val="fr-FR"/>
        </w:rPr>
        <w:tab/>
      </w:r>
      <w:r w:rsidR="00C452CB" w:rsidRPr="00E658D3">
        <w:rPr>
          <w:lang w:val="fr-FR"/>
        </w:rPr>
        <w:t>Projet de Résolution</w:t>
      </w:r>
      <w:r w:rsidR="0060437F" w:rsidRPr="00E658D3">
        <w:rPr>
          <w:lang w:val="fr-FR"/>
        </w:rPr>
        <w:t xml:space="preserve"> 99 (R</w:t>
      </w:r>
      <w:r w:rsidR="00C452CB" w:rsidRPr="00E658D3">
        <w:rPr>
          <w:lang w:val="fr-FR"/>
        </w:rPr>
        <w:t>é</w:t>
      </w:r>
      <w:r w:rsidR="0060437F" w:rsidRPr="00E658D3">
        <w:rPr>
          <w:lang w:val="fr-FR"/>
        </w:rPr>
        <w:t xml:space="preserve">v. Busan, 2014) </w:t>
      </w:r>
      <w:r w:rsidR="00C452CB" w:rsidRPr="00E658D3">
        <w:rPr>
          <w:lang w:val="fr-FR"/>
        </w:rPr>
        <w:t>et</w:t>
      </w:r>
      <w:r w:rsidR="0060437F" w:rsidRPr="00E658D3">
        <w:rPr>
          <w:lang w:val="fr-FR"/>
        </w:rPr>
        <w:t xml:space="preserve"> 125</w:t>
      </w:r>
      <w:r w:rsidR="00D7120B" w:rsidRPr="00E658D3">
        <w:rPr>
          <w:lang w:val="fr-FR"/>
        </w:rPr>
        <w:t xml:space="preserve"> (R</w:t>
      </w:r>
      <w:r w:rsidR="00C452CB" w:rsidRPr="00E658D3">
        <w:rPr>
          <w:lang w:val="fr-FR"/>
        </w:rPr>
        <w:t>é</w:t>
      </w:r>
      <w:r w:rsidR="00D7120B" w:rsidRPr="00E658D3">
        <w:rPr>
          <w:lang w:val="fr-FR"/>
        </w:rPr>
        <w:t>v. Busan, 2014)</w:t>
      </w:r>
      <w:r w:rsidR="0060437F" w:rsidRPr="00E658D3">
        <w:rPr>
          <w:lang w:val="fr-FR"/>
        </w:rPr>
        <w:t xml:space="preserve"> (</w:t>
      </w:r>
      <w:r w:rsidR="00C452CB" w:rsidRPr="00E658D3">
        <w:rPr>
          <w:lang w:val="fr-FR"/>
        </w:rPr>
        <w:t>suite</w:t>
      </w:r>
      <w:r w:rsidR="00AB318A" w:rsidRPr="00E658D3">
        <w:rPr>
          <w:lang w:val="fr-FR"/>
        </w:rPr>
        <w:t>)</w:t>
      </w:r>
      <w:r w:rsidR="00AB318A" w:rsidRPr="00E658D3">
        <w:rPr>
          <w:lang w:val="fr-FR"/>
        </w:rPr>
        <w:br/>
      </w:r>
      <w:r w:rsidR="000A2C06" w:rsidRPr="00E658D3">
        <w:rPr>
          <w:lang w:val="fr-FR"/>
        </w:rPr>
        <w:t>(Document DT/83)</w:t>
      </w:r>
    </w:p>
    <w:p w14:paraId="14689058" w14:textId="77777777" w:rsidR="003E7663" w:rsidRPr="00E658D3" w:rsidRDefault="000A2C06" w:rsidP="00445A64">
      <w:pPr>
        <w:rPr>
          <w:lang w:val="fr-FR"/>
        </w:rPr>
      </w:pPr>
      <w:r w:rsidRPr="00E658D3">
        <w:rPr>
          <w:lang w:val="fr-FR"/>
        </w:rPr>
        <w:t>1.1</w:t>
      </w:r>
      <w:r w:rsidRPr="00E658D3">
        <w:rPr>
          <w:b/>
          <w:bCs/>
          <w:lang w:val="fr-FR"/>
        </w:rPr>
        <w:tab/>
      </w:r>
      <w:r w:rsidR="002A4DBF" w:rsidRPr="00445A64">
        <w:rPr>
          <w:lang w:val="fr-FR"/>
        </w:rPr>
        <w:t xml:space="preserve">Le </w:t>
      </w:r>
      <w:r w:rsidR="002A4DBF" w:rsidRPr="00E658D3">
        <w:rPr>
          <w:b/>
          <w:bCs/>
          <w:lang w:val="fr-FR"/>
        </w:rPr>
        <w:t>Président</w:t>
      </w:r>
      <w:r w:rsidR="002A4DBF" w:rsidRPr="00E658D3">
        <w:rPr>
          <w:lang w:val="fr-FR"/>
        </w:rPr>
        <w:t xml:space="preserve">, rappelant le consensus </w:t>
      </w:r>
      <w:r w:rsidR="00792833" w:rsidRPr="00E658D3">
        <w:rPr>
          <w:lang w:val="fr-FR"/>
        </w:rPr>
        <w:t>trouvé</w:t>
      </w:r>
      <w:r w:rsidR="002A4DBF" w:rsidRPr="00E658D3">
        <w:rPr>
          <w:lang w:val="fr-FR"/>
        </w:rPr>
        <w:t xml:space="preserve"> à la séance précédente</w:t>
      </w:r>
      <w:r w:rsidR="00172258" w:rsidRPr="00E658D3">
        <w:rPr>
          <w:lang w:val="fr-FR"/>
        </w:rPr>
        <w:t>, donne</w:t>
      </w:r>
      <w:r w:rsidR="002A4DBF" w:rsidRPr="00E658D3">
        <w:rPr>
          <w:lang w:val="fr-FR"/>
        </w:rPr>
        <w:t xml:space="preserve"> l</w:t>
      </w:r>
      <w:r w:rsidR="00056587" w:rsidRPr="00E658D3">
        <w:rPr>
          <w:lang w:val="fr-FR"/>
        </w:rPr>
        <w:t>a parole aux parties concernées</w:t>
      </w:r>
      <w:r w:rsidR="00172258" w:rsidRPr="00E658D3">
        <w:rPr>
          <w:lang w:val="fr-FR"/>
        </w:rPr>
        <w:t>, comme il est d'usage à l'Union lorsqu'il y a eu un compromis,</w:t>
      </w:r>
      <w:r w:rsidR="00056587" w:rsidRPr="00E658D3">
        <w:rPr>
          <w:lang w:val="fr-FR"/>
        </w:rPr>
        <w:t xml:space="preserve"> mais sans ouvrir la discussion ni permettre d'autres interventions. </w:t>
      </w:r>
    </w:p>
    <w:p w14:paraId="0A7646C8" w14:textId="53D5407B" w:rsidR="000A2C06" w:rsidRPr="00E658D3" w:rsidRDefault="000A2C06" w:rsidP="00445A64">
      <w:pPr>
        <w:rPr>
          <w:lang w:val="fr-FR"/>
        </w:rPr>
      </w:pPr>
      <w:r w:rsidRPr="00E658D3">
        <w:rPr>
          <w:lang w:val="fr-FR"/>
        </w:rPr>
        <w:t>1.2</w:t>
      </w:r>
      <w:r w:rsidRPr="00E658D3">
        <w:rPr>
          <w:lang w:val="fr-FR"/>
        </w:rPr>
        <w:tab/>
      </w:r>
      <w:r w:rsidR="00CF0703" w:rsidRPr="00E658D3">
        <w:rPr>
          <w:lang w:val="fr-FR"/>
        </w:rPr>
        <w:t>L</w:t>
      </w:r>
      <w:r w:rsidRPr="00E658D3">
        <w:rPr>
          <w:lang w:val="fr-FR"/>
        </w:rPr>
        <w:t xml:space="preserve">e </w:t>
      </w:r>
      <w:r w:rsidRPr="00E658D3">
        <w:rPr>
          <w:b/>
          <w:bCs/>
          <w:lang w:val="fr-FR"/>
        </w:rPr>
        <w:t>d</w:t>
      </w:r>
      <w:r w:rsidR="00CF0703" w:rsidRPr="00E658D3">
        <w:rPr>
          <w:b/>
          <w:bCs/>
          <w:lang w:val="fr-FR"/>
        </w:rPr>
        <w:t>élégué</w:t>
      </w:r>
      <w:r w:rsidRPr="00E658D3">
        <w:rPr>
          <w:b/>
          <w:bCs/>
          <w:lang w:val="fr-FR"/>
        </w:rPr>
        <w:t xml:space="preserve"> </w:t>
      </w:r>
      <w:r w:rsidR="00CF0703" w:rsidRPr="00E658D3">
        <w:rPr>
          <w:b/>
          <w:bCs/>
          <w:lang w:val="fr-FR"/>
        </w:rPr>
        <w:t>d</w:t>
      </w:r>
      <w:r w:rsidR="00FD45FE" w:rsidRPr="00E658D3">
        <w:rPr>
          <w:b/>
          <w:bCs/>
          <w:lang w:val="fr-FR"/>
        </w:rPr>
        <w:t>'</w:t>
      </w:r>
      <w:r w:rsidR="00CF0703" w:rsidRPr="00E658D3">
        <w:rPr>
          <w:b/>
          <w:bCs/>
          <w:lang w:val="fr-FR"/>
        </w:rPr>
        <w:t>Israë</w:t>
      </w:r>
      <w:r w:rsidRPr="00E658D3">
        <w:rPr>
          <w:b/>
          <w:bCs/>
          <w:lang w:val="fr-FR"/>
        </w:rPr>
        <w:t xml:space="preserve">l </w:t>
      </w:r>
      <w:r w:rsidR="00CF0703" w:rsidRPr="00E658D3">
        <w:rPr>
          <w:lang w:val="fr-FR"/>
        </w:rPr>
        <w:t>fait la d</w:t>
      </w:r>
      <w:r w:rsidR="00043F57" w:rsidRPr="00E658D3">
        <w:rPr>
          <w:lang w:val="fr-FR"/>
        </w:rPr>
        <w:t>é</w:t>
      </w:r>
      <w:r w:rsidR="00CF0703" w:rsidRPr="00E658D3">
        <w:rPr>
          <w:lang w:val="fr-FR"/>
        </w:rPr>
        <w:t>claration suivante</w:t>
      </w:r>
      <w:r w:rsidRPr="00E658D3">
        <w:rPr>
          <w:lang w:val="fr-FR"/>
        </w:rPr>
        <w:t>:</w:t>
      </w:r>
    </w:p>
    <w:p w14:paraId="76860CB8" w14:textId="27604D8B" w:rsidR="000A2C06" w:rsidRPr="00E658D3" w:rsidRDefault="000A2C06" w:rsidP="00445A64">
      <w:pPr>
        <w:pStyle w:val="enumlev1"/>
        <w:rPr>
          <w:lang w:val="fr-FR"/>
        </w:rPr>
      </w:pPr>
      <w:r w:rsidRPr="00E658D3">
        <w:rPr>
          <w:lang w:val="fr-FR"/>
        </w:rPr>
        <w:tab/>
      </w:r>
      <w:r w:rsidR="00FD45FE" w:rsidRPr="00E658D3">
        <w:rPr>
          <w:lang w:val="fr-FR"/>
        </w:rPr>
        <w:t>"</w:t>
      </w:r>
      <w:r w:rsidRPr="00E658D3">
        <w:rPr>
          <w:lang w:val="fr-FR"/>
        </w:rPr>
        <w:t>M</w:t>
      </w:r>
      <w:r w:rsidR="00EC2748" w:rsidRPr="00E658D3">
        <w:rPr>
          <w:lang w:val="fr-FR"/>
        </w:rPr>
        <w:t>onsieur</w:t>
      </w:r>
      <w:r w:rsidRPr="00E658D3">
        <w:rPr>
          <w:lang w:val="fr-FR"/>
        </w:rPr>
        <w:t xml:space="preserve"> </w:t>
      </w:r>
      <w:r w:rsidR="00CF0703" w:rsidRPr="00E658D3">
        <w:rPr>
          <w:lang w:val="fr-FR"/>
        </w:rPr>
        <w:t>le Président</w:t>
      </w:r>
      <w:r w:rsidRPr="00E658D3">
        <w:rPr>
          <w:lang w:val="fr-FR"/>
        </w:rPr>
        <w:t>,</w:t>
      </w:r>
      <w:r w:rsidR="00D7120B" w:rsidRPr="00E658D3">
        <w:rPr>
          <w:lang w:val="fr-FR"/>
        </w:rPr>
        <w:t xml:space="preserve"> </w:t>
      </w:r>
      <w:r w:rsidR="00CF0703" w:rsidRPr="00E658D3">
        <w:rPr>
          <w:lang w:val="fr-FR"/>
        </w:rPr>
        <w:t>nous avons parfaitement conscience de l</w:t>
      </w:r>
      <w:r w:rsidR="00FD45FE" w:rsidRPr="00E658D3">
        <w:rPr>
          <w:lang w:val="fr-FR"/>
        </w:rPr>
        <w:t>'</w:t>
      </w:r>
      <w:r w:rsidRPr="00E658D3">
        <w:rPr>
          <w:lang w:val="fr-FR"/>
        </w:rPr>
        <w:t xml:space="preserve">importance </w:t>
      </w:r>
      <w:r w:rsidR="003E275D" w:rsidRPr="00E658D3">
        <w:rPr>
          <w:lang w:val="fr-FR"/>
        </w:rPr>
        <w:t xml:space="preserve">du rôle que joue le secteur des télécommunications </w:t>
      </w:r>
      <w:r w:rsidR="009438EA" w:rsidRPr="00E658D3">
        <w:rPr>
          <w:lang w:val="fr-FR"/>
        </w:rPr>
        <w:t>pour promouvoir</w:t>
      </w:r>
      <w:r w:rsidR="003E275D" w:rsidRPr="00E658D3">
        <w:rPr>
          <w:lang w:val="fr-FR"/>
        </w:rPr>
        <w:t xml:space="preserve"> le développement</w:t>
      </w:r>
      <w:r w:rsidRPr="00E658D3">
        <w:rPr>
          <w:lang w:val="fr-FR"/>
        </w:rPr>
        <w:t xml:space="preserve"> </w:t>
      </w:r>
      <w:r w:rsidR="003E275D" w:rsidRPr="00E658D3">
        <w:rPr>
          <w:lang w:val="fr-FR"/>
        </w:rPr>
        <w:t>é</w:t>
      </w:r>
      <w:r w:rsidRPr="00E658D3">
        <w:rPr>
          <w:lang w:val="fr-FR"/>
        </w:rPr>
        <w:t>conomi</w:t>
      </w:r>
      <w:r w:rsidR="003E275D" w:rsidRPr="00E658D3">
        <w:rPr>
          <w:lang w:val="fr-FR"/>
        </w:rPr>
        <w:t>que</w:t>
      </w:r>
      <w:r w:rsidRPr="00E658D3">
        <w:rPr>
          <w:lang w:val="fr-FR"/>
        </w:rPr>
        <w:t xml:space="preserve"> </w:t>
      </w:r>
      <w:r w:rsidR="003E275D" w:rsidRPr="00E658D3">
        <w:rPr>
          <w:lang w:val="fr-FR"/>
        </w:rPr>
        <w:t>et</w:t>
      </w:r>
      <w:r w:rsidRPr="00E658D3">
        <w:rPr>
          <w:lang w:val="fr-FR"/>
        </w:rPr>
        <w:t xml:space="preserve"> social</w:t>
      </w:r>
      <w:r w:rsidR="003E275D" w:rsidRPr="00E658D3">
        <w:rPr>
          <w:lang w:val="fr-FR"/>
        </w:rPr>
        <w:t xml:space="preserve"> </w:t>
      </w:r>
      <w:r w:rsidR="009438EA" w:rsidRPr="00E658D3">
        <w:rPr>
          <w:lang w:val="fr-FR"/>
        </w:rPr>
        <w:t>dans</w:t>
      </w:r>
      <w:r w:rsidR="003E275D" w:rsidRPr="00E658D3">
        <w:rPr>
          <w:lang w:val="fr-FR"/>
        </w:rPr>
        <w:t xml:space="preserve"> notre intérêt mutuel</w:t>
      </w:r>
      <w:r w:rsidRPr="00E658D3">
        <w:rPr>
          <w:lang w:val="fr-FR"/>
        </w:rPr>
        <w:t xml:space="preserve">. </w:t>
      </w:r>
      <w:r w:rsidR="003E275D" w:rsidRPr="00E658D3">
        <w:rPr>
          <w:lang w:val="fr-FR"/>
        </w:rPr>
        <w:t>Dans ce</w:t>
      </w:r>
      <w:r w:rsidRPr="00E658D3">
        <w:rPr>
          <w:lang w:val="fr-FR"/>
        </w:rPr>
        <w:t xml:space="preserve"> </w:t>
      </w:r>
      <w:r w:rsidR="003E275D" w:rsidRPr="00E658D3">
        <w:rPr>
          <w:lang w:val="fr-FR"/>
        </w:rPr>
        <w:t>context</w:t>
      </w:r>
      <w:r w:rsidR="00457058" w:rsidRPr="00E658D3">
        <w:rPr>
          <w:lang w:val="fr-FR"/>
        </w:rPr>
        <w:t>e</w:t>
      </w:r>
      <w:r w:rsidR="003E275D" w:rsidRPr="00E658D3">
        <w:rPr>
          <w:lang w:val="fr-FR"/>
        </w:rPr>
        <w:t>,</w:t>
      </w:r>
      <w:r w:rsidRPr="00E658D3">
        <w:rPr>
          <w:lang w:val="fr-FR"/>
        </w:rPr>
        <w:t xml:space="preserve"> Isra</w:t>
      </w:r>
      <w:r w:rsidR="003E275D" w:rsidRPr="00E658D3">
        <w:rPr>
          <w:lang w:val="fr-FR"/>
        </w:rPr>
        <w:t>ë</w:t>
      </w:r>
      <w:r w:rsidRPr="00E658D3">
        <w:rPr>
          <w:lang w:val="fr-FR"/>
        </w:rPr>
        <w:t>l</w:t>
      </w:r>
      <w:r w:rsidR="00457058" w:rsidRPr="00E658D3">
        <w:rPr>
          <w:lang w:val="fr-FR"/>
        </w:rPr>
        <w:t xml:space="preserve"> </w:t>
      </w:r>
      <w:r w:rsidR="00446381" w:rsidRPr="00E658D3">
        <w:rPr>
          <w:lang w:val="fr-FR"/>
        </w:rPr>
        <w:t xml:space="preserve">est </w:t>
      </w:r>
      <w:r w:rsidR="001344A8" w:rsidRPr="00E658D3">
        <w:rPr>
          <w:lang w:val="fr-FR"/>
        </w:rPr>
        <w:t xml:space="preserve">pleinement déterminé à poursuivre son aide et son assistance </w:t>
      </w:r>
      <w:r w:rsidR="000A4844">
        <w:rPr>
          <w:lang w:val="fr-FR"/>
        </w:rPr>
        <w:t xml:space="preserve">au service de </w:t>
      </w:r>
      <w:r w:rsidR="001344A8" w:rsidRPr="00E658D3">
        <w:rPr>
          <w:lang w:val="fr-FR"/>
        </w:rPr>
        <w:t>la construction du</w:t>
      </w:r>
      <w:r w:rsidR="00457058" w:rsidRPr="00E658D3">
        <w:rPr>
          <w:lang w:val="fr-FR"/>
        </w:rPr>
        <w:t xml:space="preserve"> secteur des télécommunications pal</w:t>
      </w:r>
      <w:r w:rsidR="00043F57" w:rsidRPr="00E658D3">
        <w:rPr>
          <w:lang w:val="fr-FR"/>
        </w:rPr>
        <w:t>e</w:t>
      </w:r>
      <w:r w:rsidR="00457058" w:rsidRPr="00E658D3">
        <w:rPr>
          <w:lang w:val="fr-FR"/>
        </w:rPr>
        <w:t>stinien.</w:t>
      </w:r>
      <w:r w:rsidRPr="00E658D3">
        <w:rPr>
          <w:lang w:val="fr-FR"/>
        </w:rPr>
        <w:t xml:space="preserve"> </w:t>
      </w:r>
    </w:p>
    <w:p w14:paraId="0FA2D32D" w14:textId="009E7EC7" w:rsidR="000A2C06" w:rsidRPr="00E658D3" w:rsidRDefault="000A2C06" w:rsidP="00445A64">
      <w:pPr>
        <w:pStyle w:val="enumlev1"/>
        <w:rPr>
          <w:lang w:val="fr-FR"/>
        </w:rPr>
      </w:pPr>
      <w:r w:rsidRPr="00E658D3">
        <w:rPr>
          <w:lang w:val="fr-FR"/>
        </w:rPr>
        <w:tab/>
        <w:t>M</w:t>
      </w:r>
      <w:r w:rsidR="00EC2748" w:rsidRPr="00E658D3">
        <w:rPr>
          <w:lang w:val="fr-FR"/>
        </w:rPr>
        <w:t>onsieur</w:t>
      </w:r>
      <w:r w:rsidRPr="00E658D3">
        <w:rPr>
          <w:lang w:val="fr-FR"/>
        </w:rPr>
        <w:t xml:space="preserve"> </w:t>
      </w:r>
      <w:r w:rsidR="00446381" w:rsidRPr="00E658D3">
        <w:rPr>
          <w:lang w:val="fr-FR"/>
        </w:rPr>
        <w:t>le Président</w:t>
      </w:r>
      <w:r w:rsidRPr="00E658D3">
        <w:rPr>
          <w:lang w:val="fr-FR"/>
        </w:rPr>
        <w:t xml:space="preserve">, </w:t>
      </w:r>
      <w:r w:rsidR="001344A8" w:rsidRPr="00E658D3">
        <w:rPr>
          <w:lang w:val="fr-FR"/>
        </w:rPr>
        <w:t>nous souhaitons rappeler à cet éminent auditoire que toutes les questions concernant Israël et les Palestiniens doivent être traitées conformément à l</w:t>
      </w:r>
      <w:r w:rsidR="00FD45FE" w:rsidRPr="00E658D3">
        <w:rPr>
          <w:lang w:val="fr-FR"/>
        </w:rPr>
        <w:t>'</w:t>
      </w:r>
      <w:r w:rsidR="001344A8" w:rsidRPr="00E658D3">
        <w:rPr>
          <w:lang w:val="fr-FR"/>
        </w:rPr>
        <w:t>Accord intérimaire signé le 28 septembre 1995 par Israël et par les Palestiniens</w:t>
      </w:r>
      <w:r w:rsidRPr="00E658D3">
        <w:rPr>
          <w:lang w:val="fr-FR"/>
        </w:rPr>
        <w:t xml:space="preserve">. </w:t>
      </w:r>
      <w:r w:rsidR="00F72825" w:rsidRPr="00E658D3">
        <w:rPr>
          <w:lang w:val="fr-FR"/>
        </w:rPr>
        <w:t>Cet a</w:t>
      </w:r>
      <w:r w:rsidR="001344A8" w:rsidRPr="00E658D3">
        <w:rPr>
          <w:lang w:val="fr-FR"/>
        </w:rPr>
        <w:t xml:space="preserve">ccord </w:t>
      </w:r>
      <w:r w:rsidR="00F72825" w:rsidRPr="00E658D3">
        <w:rPr>
          <w:lang w:val="fr-FR"/>
        </w:rPr>
        <w:t>bilatéral</w:t>
      </w:r>
      <w:r w:rsidR="001344A8" w:rsidRPr="00E658D3">
        <w:rPr>
          <w:lang w:val="fr-FR"/>
        </w:rPr>
        <w:t xml:space="preserve"> stipule que </w:t>
      </w:r>
      <w:r w:rsidR="00F72825" w:rsidRPr="00E658D3">
        <w:rPr>
          <w:lang w:val="fr-FR"/>
        </w:rPr>
        <w:t>le seul organe apte à traiter et à résoudre</w:t>
      </w:r>
      <w:r w:rsidR="007D1F4E" w:rsidRPr="00E658D3">
        <w:rPr>
          <w:lang w:val="fr-FR"/>
        </w:rPr>
        <w:t xml:space="preserve"> ces questions </w:t>
      </w:r>
      <w:r w:rsidR="00F72825" w:rsidRPr="00E658D3">
        <w:rPr>
          <w:lang w:val="fr-FR"/>
        </w:rPr>
        <w:t>est le Comité technique mixte</w:t>
      </w:r>
      <w:r w:rsidR="00EC2748" w:rsidRPr="00E658D3">
        <w:rPr>
          <w:lang w:val="fr-FR"/>
        </w:rPr>
        <w:t xml:space="preserve"> </w:t>
      </w:r>
      <w:r w:rsidR="006D76D1" w:rsidRPr="00E658D3">
        <w:rPr>
          <w:lang w:val="fr-FR"/>
        </w:rPr>
        <w:t xml:space="preserve">établi </w:t>
      </w:r>
      <w:r w:rsidR="007D1F4E" w:rsidRPr="00E658D3">
        <w:rPr>
          <w:lang w:val="fr-FR"/>
        </w:rPr>
        <w:t xml:space="preserve">aux termes de </w:t>
      </w:r>
      <w:r w:rsidR="006D76D1" w:rsidRPr="00E658D3">
        <w:rPr>
          <w:lang w:val="fr-FR"/>
        </w:rPr>
        <w:t>l</w:t>
      </w:r>
      <w:r w:rsidR="00FD45FE" w:rsidRPr="00E658D3">
        <w:rPr>
          <w:lang w:val="fr-FR"/>
        </w:rPr>
        <w:t>'</w:t>
      </w:r>
      <w:r w:rsidR="006D76D1" w:rsidRPr="00E658D3">
        <w:rPr>
          <w:lang w:val="fr-FR"/>
        </w:rPr>
        <w:t xml:space="preserve">Accord intérimaire. Nous estimons que le dialogue direct </w:t>
      </w:r>
      <w:r w:rsidR="007D1F4E" w:rsidRPr="00E658D3">
        <w:rPr>
          <w:lang w:val="fr-FR"/>
        </w:rPr>
        <w:t xml:space="preserve">est le meilleur moyen de </w:t>
      </w:r>
      <w:r w:rsidR="00393A1C" w:rsidRPr="00E658D3">
        <w:rPr>
          <w:lang w:val="fr-FR"/>
        </w:rPr>
        <w:t>réaliser</w:t>
      </w:r>
      <w:r w:rsidR="006D76D1" w:rsidRPr="00E658D3">
        <w:rPr>
          <w:lang w:val="fr-FR"/>
        </w:rPr>
        <w:t xml:space="preserve"> des progrès.</w:t>
      </w:r>
    </w:p>
    <w:p w14:paraId="748C2136" w14:textId="3E11A95C" w:rsidR="000A2C06" w:rsidRPr="00E658D3" w:rsidRDefault="000A2C06" w:rsidP="00445A64">
      <w:pPr>
        <w:pStyle w:val="enumlev1"/>
        <w:rPr>
          <w:lang w:val="fr-FR"/>
        </w:rPr>
      </w:pPr>
      <w:r w:rsidRPr="00E658D3">
        <w:rPr>
          <w:lang w:val="fr-FR"/>
        </w:rPr>
        <w:t> </w:t>
      </w:r>
      <w:r w:rsidRPr="00E658D3">
        <w:rPr>
          <w:lang w:val="fr-FR"/>
        </w:rPr>
        <w:tab/>
      </w:r>
      <w:r w:rsidR="009428F4" w:rsidRPr="00E658D3">
        <w:rPr>
          <w:lang w:val="fr-FR"/>
        </w:rPr>
        <w:t xml:space="preserve">Avant de conclure, </w:t>
      </w:r>
      <w:r w:rsidR="007D1F4E" w:rsidRPr="00E658D3">
        <w:rPr>
          <w:lang w:val="fr-FR"/>
        </w:rPr>
        <w:t>Monsieur le Président</w:t>
      </w:r>
      <w:r w:rsidR="00393A1C" w:rsidRPr="00E658D3">
        <w:rPr>
          <w:lang w:val="fr-FR"/>
        </w:rPr>
        <w:t xml:space="preserve">, je souhaite </w:t>
      </w:r>
      <w:r w:rsidR="009428F4" w:rsidRPr="00E658D3">
        <w:rPr>
          <w:lang w:val="fr-FR"/>
        </w:rPr>
        <w:t>témoigner de</w:t>
      </w:r>
      <w:r w:rsidR="00393A1C" w:rsidRPr="00E658D3">
        <w:rPr>
          <w:lang w:val="fr-FR"/>
        </w:rPr>
        <w:t xml:space="preserve"> la grande reconnaissance d</w:t>
      </w:r>
      <w:r w:rsidR="00FD45FE" w:rsidRPr="00E658D3">
        <w:rPr>
          <w:lang w:val="fr-FR"/>
        </w:rPr>
        <w:t>'</w:t>
      </w:r>
      <w:r w:rsidR="00393A1C" w:rsidRPr="00E658D3">
        <w:rPr>
          <w:lang w:val="fr-FR"/>
        </w:rPr>
        <w:t xml:space="preserve">Israël envers toutes les délégations </w:t>
      </w:r>
      <w:r w:rsidR="00424AB6" w:rsidRPr="00E658D3">
        <w:rPr>
          <w:lang w:val="fr-FR"/>
        </w:rPr>
        <w:t>participant au processus</w:t>
      </w:r>
      <w:r w:rsidRPr="00E658D3">
        <w:rPr>
          <w:lang w:val="fr-FR"/>
        </w:rPr>
        <w:t>.</w:t>
      </w:r>
      <w:r w:rsidR="00424AB6" w:rsidRPr="00E658D3">
        <w:rPr>
          <w:lang w:val="fr-FR"/>
        </w:rPr>
        <w:t xml:space="preserve"> Nous sommes particulièrement reconnaissants </w:t>
      </w:r>
      <w:r w:rsidR="009428F4" w:rsidRPr="00E658D3">
        <w:rPr>
          <w:lang w:val="fr-FR"/>
        </w:rPr>
        <w:t>à l</w:t>
      </w:r>
      <w:r w:rsidR="00FD45FE" w:rsidRPr="00E658D3">
        <w:rPr>
          <w:lang w:val="fr-FR"/>
        </w:rPr>
        <w:t>'</w:t>
      </w:r>
      <w:r w:rsidR="009428F4" w:rsidRPr="00E658D3">
        <w:rPr>
          <w:lang w:val="fr-FR"/>
        </w:rPr>
        <w:t>égard du</w:t>
      </w:r>
      <w:r w:rsidR="00424AB6" w:rsidRPr="00E658D3">
        <w:rPr>
          <w:lang w:val="fr-FR"/>
        </w:rPr>
        <w:t xml:space="preserve"> Secrétaire général, </w:t>
      </w:r>
      <w:r w:rsidR="007D1F4E" w:rsidRPr="00E658D3">
        <w:rPr>
          <w:lang w:val="fr-FR"/>
        </w:rPr>
        <w:t>le Dr</w:t>
      </w:r>
      <w:r w:rsidR="00424AB6" w:rsidRPr="00E658D3">
        <w:rPr>
          <w:lang w:val="fr-FR"/>
        </w:rPr>
        <w:t xml:space="preserve"> Touré, </w:t>
      </w:r>
      <w:r w:rsidR="009428F4" w:rsidRPr="00E658D3">
        <w:rPr>
          <w:lang w:val="fr-FR"/>
        </w:rPr>
        <w:t>du</w:t>
      </w:r>
      <w:r w:rsidR="00424AB6" w:rsidRPr="00E658D3">
        <w:rPr>
          <w:lang w:val="fr-FR"/>
        </w:rPr>
        <w:t xml:space="preserve"> Président, M.</w:t>
      </w:r>
      <w:r w:rsidR="009428F4" w:rsidRPr="00E658D3">
        <w:rPr>
          <w:lang w:val="fr-FR"/>
        </w:rPr>
        <w:t> </w:t>
      </w:r>
      <w:r w:rsidRPr="00E658D3">
        <w:rPr>
          <w:lang w:val="fr-FR"/>
        </w:rPr>
        <w:t xml:space="preserve">Min, </w:t>
      </w:r>
      <w:r w:rsidR="009428F4" w:rsidRPr="00E658D3">
        <w:rPr>
          <w:lang w:val="fr-FR"/>
        </w:rPr>
        <w:t>du</w:t>
      </w:r>
      <w:r w:rsidR="00424AB6" w:rsidRPr="00E658D3">
        <w:rPr>
          <w:lang w:val="fr-FR"/>
        </w:rPr>
        <w:t xml:space="preserve"> Conseiller juridique, M.</w:t>
      </w:r>
      <w:r w:rsidR="009428F4" w:rsidRPr="00E658D3">
        <w:rPr>
          <w:lang w:val="fr-FR"/>
        </w:rPr>
        <w:t> </w:t>
      </w:r>
      <w:r w:rsidRPr="00E658D3">
        <w:rPr>
          <w:lang w:val="fr-FR"/>
        </w:rPr>
        <w:t>Guillot</w:t>
      </w:r>
      <w:r w:rsidR="00D900B0" w:rsidRPr="00E658D3">
        <w:rPr>
          <w:lang w:val="fr-FR"/>
        </w:rPr>
        <w:t>,</w:t>
      </w:r>
      <w:r w:rsidR="00424AB6" w:rsidRPr="00E658D3">
        <w:rPr>
          <w:lang w:val="fr-FR"/>
        </w:rPr>
        <w:t xml:space="preserve"> </w:t>
      </w:r>
      <w:r w:rsidR="008B1DED" w:rsidRPr="00E658D3">
        <w:rPr>
          <w:lang w:val="fr-FR"/>
        </w:rPr>
        <w:t xml:space="preserve">et </w:t>
      </w:r>
      <w:r w:rsidR="009428F4" w:rsidRPr="00E658D3">
        <w:rPr>
          <w:lang w:val="fr-FR"/>
        </w:rPr>
        <w:t>de l</w:t>
      </w:r>
      <w:r w:rsidR="00FD45FE" w:rsidRPr="00E658D3">
        <w:rPr>
          <w:lang w:val="fr-FR"/>
        </w:rPr>
        <w:t>'</w:t>
      </w:r>
      <w:r w:rsidR="007D1F4E" w:rsidRPr="00E658D3">
        <w:rPr>
          <w:lang w:val="fr-FR"/>
        </w:rPr>
        <w:t>A</w:t>
      </w:r>
      <w:r w:rsidRPr="00E658D3">
        <w:rPr>
          <w:lang w:val="fr-FR"/>
        </w:rPr>
        <w:t>mbassad</w:t>
      </w:r>
      <w:r w:rsidR="00424AB6" w:rsidRPr="00E658D3">
        <w:rPr>
          <w:lang w:val="fr-FR"/>
        </w:rPr>
        <w:t>eu</w:t>
      </w:r>
      <w:r w:rsidRPr="00E658D3">
        <w:rPr>
          <w:lang w:val="fr-FR"/>
        </w:rPr>
        <w:t>r</w:t>
      </w:r>
      <w:r w:rsidR="00424AB6" w:rsidRPr="00E658D3">
        <w:rPr>
          <w:lang w:val="fr-FR"/>
        </w:rPr>
        <w:t xml:space="preserve"> </w:t>
      </w:r>
      <w:r w:rsidR="007D1F4E" w:rsidRPr="00E658D3">
        <w:rPr>
          <w:lang w:val="fr-FR"/>
        </w:rPr>
        <w:t>des Etats</w:t>
      </w:r>
      <w:r w:rsidR="007D1F4E" w:rsidRPr="00E658D3">
        <w:rPr>
          <w:lang w:val="fr-FR"/>
        </w:rPr>
        <w:noBreakHyphen/>
        <w:t>Unis, M. </w:t>
      </w:r>
      <w:r w:rsidRPr="00E658D3">
        <w:rPr>
          <w:lang w:val="fr-FR"/>
        </w:rPr>
        <w:t>Daniel</w:t>
      </w:r>
      <w:r w:rsidR="007D1F4E" w:rsidRPr="00E658D3">
        <w:rPr>
          <w:lang w:val="fr-FR"/>
        </w:rPr>
        <w:t> </w:t>
      </w:r>
      <w:r w:rsidRPr="00E658D3">
        <w:rPr>
          <w:lang w:val="fr-FR"/>
        </w:rPr>
        <w:t>Sepulveda</w:t>
      </w:r>
      <w:r w:rsidR="007D1F4E" w:rsidRPr="00E658D3">
        <w:rPr>
          <w:lang w:val="fr-FR"/>
        </w:rPr>
        <w:t>,</w:t>
      </w:r>
      <w:r w:rsidR="00D900B0" w:rsidRPr="00E658D3">
        <w:rPr>
          <w:lang w:val="fr-FR"/>
        </w:rPr>
        <w:t xml:space="preserve"> pour leurs immenses</w:t>
      </w:r>
      <w:r w:rsidRPr="00E658D3">
        <w:rPr>
          <w:lang w:val="fr-FR"/>
        </w:rPr>
        <w:t xml:space="preserve"> efforts</w:t>
      </w:r>
      <w:r w:rsidR="00427CBA" w:rsidRPr="00E658D3">
        <w:rPr>
          <w:lang w:val="fr-FR"/>
        </w:rPr>
        <w:t xml:space="preserve"> et</w:t>
      </w:r>
      <w:r w:rsidR="00D900B0" w:rsidRPr="00E658D3">
        <w:rPr>
          <w:lang w:val="fr-FR"/>
        </w:rPr>
        <w:t xml:space="preserve"> le travail </w:t>
      </w:r>
      <w:r w:rsidR="009428F4" w:rsidRPr="00E658D3">
        <w:rPr>
          <w:lang w:val="fr-FR"/>
        </w:rPr>
        <w:t>réalis</w:t>
      </w:r>
      <w:r w:rsidR="00D900B0" w:rsidRPr="00E658D3">
        <w:rPr>
          <w:lang w:val="fr-FR"/>
        </w:rPr>
        <w:t>é.</w:t>
      </w:r>
      <w:r w:rsidR="00FD45FE" w:rsidRPr="00E658D3">
        <w:rPr>
          <w:lang w:val="fr-FR"/>
        </w:rPr>
        <w:t>"</w:t>
      </w:r>
    </w:p>
    <w:p w14:paraId="3EE319D7" w14:textId="6D13A178" w:rsidR="000A2C06" w:rsidRPr="00E658D3" w:rsidRDefault="000A2C06" w:rsidP="00445A64">
      <w:pPr>
        <w:rPr>
          <w:lang w:val="fr-FR"/>
        </w:rPr>
      </w:pPr>
      <w:r w:rsidRPr="00E658D3">
        <w:rPr>
          <w:lang w:val="fr-FR"/>
        </w:rPr>
        <w:t>1.3</w:t>
      </w:r>
      <w:r w:rsidRPr="00E658D3">
        <w:rPr>
          <w:lang w:val="fr-FR"/>
        </w:rPr>
        <w:tab/>
      </w:r>
      <w:r w:rsidR="00D900B0" w:rsidRPr="00E658D3">
        <w:rPr>
          <w:lang w:val="fr-FR"/>
        </w:rPr>
        <w:t>L</w:t>
      </w:r>
      <w:r w:rsidR="00FD45FE" w:rsidRPr="00E658D3">
        <w:rPr>
          <w:lang w:val="fr-FR"/>
        </w:rPr>
        <w:t>'</w:t>
      </w:r>
      <w:r w:rsidR="002A5440" w:rsidRPr="00E658D3">
        <w:rPr>
          <w:b/>
          <w:bCs/>
          <w:lang w:val="fr-FR"/>
        </w:rPr>
        <w:t>observ</w:t>
      </w:r>
      <w:r w:rsidR="00D900B0" w:rsidRPr="00E658D3">
        <w:rPr>
          <w:b/>
          <w:bCs/>
          <w:lang w:val="fr-FR"/>
        </w:rPr>
        <w:t>at</w:t>
      </w:r>
      <w:r w:rsidR="002A5440" w:rsidRPr="00E658D3">
        <w:rPr>
          <w:b/>
          <w:bCs/>
          <w:lang w:val="fr-FR"/>
        </w:rPr>
        <w:t>e</w:t>
      </w:r>
      <w:r w:rsidR="00D900B0" w:rsidRPr="00E658D3">
        <w:rPr>
          <w:b/>
          <w:bCs/>
          <w:lang w:val="fr-FR"/>
        </w:rPr>
        <w:t>u</w:t>
      </w:r>
      <w:r w:rsidR="002A5440" w:rsidRPr="00E658D3">
        <w:rPr>
          <w:b/>
          <w:bCs/>
          <w:lang w:val="fr-FR"/>
        </w:rPr>
        <w:t xml:space="preserve">r </w:t>
      </w:r>
      <w:r w:rsidR="008B1DED" w:rsidRPr="00E658D3">
        <w:rPr>
          <w:b/>
          <w:bCs/>
          <w:lang w:val="fr-FR"/>
        </w:rPr>
        <w:t>de</w:t>
      </w:r>
      <w:r w:rsidR="00D900B0" w:rsidRPr="00E658D3">
        <w:rPr>
          <w:b/>
          <w:bCs/>
          <w:lang w:val="fr-FR"/>
        </w:rPr>
        <w:t xml:space="preserve"> la</w:t>
      </w:r>
      <w:r w:rsidR="002A5440" w:rsidRPr="00E658D3">
        <w:rPr>
          <w:b/>
          <w:bCs/>
          <w:lang w:val="fr-FR"/>
        </w:rPr>
        <w:t xml:space="preserve"> Palestine</w:t>
      </w:r>
      <w:r w:rsidR="001A2DA9" w:rsidRPr="00E658D3">
        <w:rPr>
          <w:lang w:val="fr-FR"/>
        </w:rPr>
        <w:t xml:space="preserve"> </w:t>
      </w:r>
      <w:r w:rsidR="00D900B0" w:rsidRPr="00E658D3">
        <w:rPr>
          <w:lang w:val="fr-FR"/>
        </w:rPr>
        <w:t>fait la d</w:t>
      </w:r>
      <w:r w:rsidR="00E14032" w:rsidRPr="00E658D3">
        <w:rPr>
          <w:lang w:val="fr-FR"/>
        </w:rPr>
        <w:t>é</w:t>
      </w:r>
      <w:r w:rsidR="00D900B0" w:rsidRPr="00E658D3">
        <w:rPr>
          <w:lang w:val="fr-FR"/>
        </w:rPr>
        <w:t>claration suivante</w:t>
      </w:r>
      <w:r w:rsidRPr="00E658D3">
        <w:rPr>
          <w:lang w:val="fr-FR"/>
        </w:rPr>
        <w:t>:</w:t>
      </w:r>
    </w:p>
    <w:p w14:paraId="29632573" w14:textId="2D1D2425" w:rsidR="000A2C06" w:rsidRPr="00E658D3" w:rsidRDefault="005D3A30" w:rsidP="00445A64">
      <w:pPr>
        <w:pStyle w:val="enumlev1"/>
        <w:rPr>
          <w:lang w:val="fr-FR"/>
        </w:rPr>
      </w:pPr>
      <w:r w:rsidRPr="00E658D3">
        <w:rPr>
          <w:lang w:val="fr-FR"/>
        </w:rPr>
        <w:tab/>
      </w:r>
      <w:r w:rsidR="00FD45FE" w:rsidRPr="00E658D3">
        <w:rPr>
          <w:lang w:val="fr-FR"/>
        </w:rPr>
        <w:t>"</w:t>
      </w:r>
      <w:r w:rsidR="007D1F4E" w:rsidRPr="00E658D3">
        <w:rPr>
          <w:lang w:val="fr-FR"/>
        </w:rPr>
        <w:t>Monsieur le Président</w:t>
      </w:r>
      <w:r w:rsidR="00D900B0" w:rsidRPr="00E658D3">
        <w:rPr>
          <w:lang w:val="fr-FR"/>
        </w:rPr>
        <w:t>,</w:t>
      </w:r>
      <w:r w:rsidR="00A9237A" w:rsidRPr="00E658D3">
        <w:rPr>
          <w:lang w:val="fr-FR"/>
        </w:rPr>
        <w:t xml:space="preserve"> </w:t>
      </w:r>
      <w:r w:rsidR="00D900B0" w:rsidRPr="00E658D3">
        <w:rPr>
          <w:lang w:val="fr-FR"/>
        </w:rPr>
        <w:t>au nom de l</w:t>
      </w:r>
      <w:r w:rsidR="00FD45FE" w:rsidRPr="00E658D3">
        <w:rPr>
          <w:lang w:val="fr-FR"/>
        </w:rPr>
        <w:t>'E</w:t>
      </w:r>
      <w:r w:rsidR="00D900B0" w:rsidRPr="00E658D3">
        <w:rPr>
          <w:lang w:val="fr-FR"/>
        </w:rPr>
        <w:t xml:space="preserve">tat </w:t>
      </w:r>
      <w:r w:rsidR="004E52A7" w:rsidRPr="00E658D3">
        <w:rPr>
          <w:lang w:val="fr-FR"/>
        </w:rPr>
        <w:t>de P</w:t>
      </w:r>
      <w:r w:rsidR="00D900B0" w:rsidRPr="00E658D3">
        <w:rPr>
          <w:lang w:val="fr-FR"/>
        </w:rPr>
        <w:t>alestin</w:t>
      </w:r>
      <w:r w:rsidR="004E52A7" w:rsidRPr="00E658D3">
        <w:rPr>
          <w:lang w:val="fr-FR"/>
        </w:rPr>
        <w:t>e</w:t>
      </w:r>
      <w:r w:rsidR="000A2C06" w:rsidRPr="00E658D3">
        <w:rPr>
          <w:lang w:val="fr-FR"/>
        </w:rPr>
        <w:t xml:space="preserve">, </w:t>
      </w:r>
      <w:r w:rsidR="004E52A7" w:rsidRPr="00E658D3">
        <w:rPr>
          <w:lang w:val="fr-FR"/>
        </w:rPr>
        <w:t>je souhaite vous adresser, ainsi qu</w:t>
      </w:r>
      <w:r w:rsidR="00FD45FE" w:rsidRPr="00E658D3">
        <w:rPr>
          <w:lang w:val="fr-FR"/>
        </w:rPr>
        <w:t>'</w:t>
      </w:r>
      <w:r w:rsidR="004E52A7" w:rsidRPr="00E658D3">
        <w:rPr>
          <w:lang w:val="fr-FR"/>
        </w:rPr>
        <w:t xml:space="preserve">à cet </w:t>
      </w:r>
      <w:r w:rsidR="00E66468" w:rsidRPr="00E658D3">
        <w:rPr>
          <w:lang w:val="fr-FR"/>
        </w:rPr>
        <w:t>éminent auditoire</w:t>
      </w:r>
      <w:r w:rsidR="004E52A7" w:rsidRPr="00E658D3">
        <w:rPr>
          <w:lang w:val="fr-FR"/>
        </w:rPr>
        <w:t xml:space="preserve">, </w:t>
      </w:r>
      <w:r w:rsidR="001F1FB6" w:rsidRPr="00E658D3">
        <w:rPr>
          <w:lang w:val="fr-FR"/>
        </w:rPr>
        <w:t xml:space="preserve">nos remerciements pour tous </w:t>
      </w:r>
      <w:r w:rsidR="00CC6B4B" w:rsidRPr="00E658D3">
        <w:rPr>
          <w:lang w:val="fr-FR"/>
        </w:rPr>
        <w:t>le</w:t>
      </w:r>
      <w:r w:rsidR="001F1FB6" w:rsidRPr="00E658D3">
        <w:rPr>
          <w:lang w:val="fr-FR"/>
        </w:rPr>
        <w:t xml:space="preserve">s efforts </w:t>
      </w:r>
      <w:r w:rsidR="007D1F4E" w:rsidRPr="00E658D3">
        <w:rPr>
          <w:lang w:val="fr-FR"/>
        </w:rPr>
        <w:t xml:space="preserve">que vous avez </w:t>
      </w:r>
      <w:r w:rsidR="001F1FB6" w:rsidRPr="00E658D3">
        <w:rPr>
          <w:lang w:val="fr-FR"/>
        </w:rPr>
        <w:t xml:space="preserve">entrepris </w:t>
      </w:r>
      <w:r w:rsidR="00427CBA" w:rsidRPr="00E658D3">
        <w:rPr>
          <w:lang w:val="fr-FR"/>
        </w:rPr>
        <w:t>dans le but de</w:t>
      </w:r>
      <w:r w:rsidR="001F1FB6" w:rsidRPr="00E658D3">
        <w:rPr>
          <w:lang w:val="fr-FR"/>
        </w:rPr>
        <w:t xml:space="preserve"> dé</w:t>
      </w:r>
      <w:r w:rsidR="00736A5D" w:rsidRPr="00E658D3">
        <w:rPr>
          <w:lang w:val="fr-FR"/>
        </w:rPr>
        <w:t>velopper les télécommunications</w:t>
      </w:r>
      <w:r w:rsidR="007D1F4E" w:rsidRPr="00E658D3">
        <w:rPr>
          <w:lang w:val="fr-FR"/>
        </w:rPr>
        <w:t>, conformément</w:t>
      </w:r>
      <w:r w:rsidR="0045042B" w:rsidRPr="00E658D3">
        <w:rPr>
          <w:lang w:val="fr-FR"/>
        </w:rPr>
        <w:t xml:space="preserve"> à nos aspirations à un avenir meilleur dans ce</w:t>
      </w:r>
      <w:r w:rsidR="007D1F4E" w:rsidRPr="00E658D3">
        <w:rPr>
          <w:lang w:val="fr-FR"/>
        </w:rPr>
        <w:t xml:space="preserve"> domaine </w:t>
      </w:r>
      <w:r w:rsidR="0045042B" w:rsidRPr="00E658D3">
        <w:rPr>
          <w:lang w:val="fr-FR"/>
        </w:rPr>
        <w:t>critique.</w:t>
      </w:r>
      <w:r w:rsidR="00A9237A" w:rsidRPr="00E658D3">
        <w:rPr>
          <w:lang w:val="fr-FR"/>
        </w:rPr>
        <w:t xml:space="preserve"> </w:t>
      </w:r>
      <w:r w:rsidR="00736A5D" w:rsidRPr="00E658D3">
        <w:rPr>
          <w:lang w:val="fr-FR"/>
        </w:rPr>
        <w:t>L</w:t>
      </w:r>
      <w:r w:rsidR="00FD45FE" w:rsidRPr="00E658D3">
        <w:rPr>
          <w:lang w:val="fr-FR"/>
        </w:rPr>
        <w:t>'E</w:t>
      </w:r>
      <w:r w:rsidR="00736A5D" w:rsidRPr="00E658D3">
        <w:rPr>
          <w:lang w:val="fr-FR"/>
        </w:rPr>
        <w:t>tat de</w:t>
      </w:r>
      <w:r w:rsidR="000A2C06" w:rsidRPr="00E658D3">
        <w:rPr>
          <w:lang w:val="fr-FR"/>
        </w:rPr>
        <w:t xml:space="preserve"> Palestine reco</w:t>
      </w:r>
      <w:r w:rsidR="00736A5D" w:rsidRPr="00E658D3">
        <w:rPr>
          <w:lang w:val="fr-FR"/>
        </w:rPr>
        <w:t xml:space="preserve">nnaît </w:t>
      </w:r>
      <w:r w:rsidR="0016258D" w:rsidRPr="00E658D3">
        <w:rPr>
          <w:lang w:val="fr-FR"/>
        </w:rPr>
        <w:t>qu</w:t>
      </w:r>
      <w:r w:rsidR="007D1F4E" w:rsidRPr="00E658D3">
        <w:rPr>
          <w:lang w:val="fr-FR"/>
        </w:rPr>
        <w:t xml:space="preserve">e </w:t>
      </w:r>
      <w:r w:rsidR="0016258D" w:rsidRPr="00E658D3">
        <w:rPr>
          <w:lang w:val="fr-FR"/>
        </w:rPr>
        <w:t>la prospérité</w:t>
      </w:r>
      <w:r w:rsidR="007D1F4E" w:rsidRPr="00E658D3">
        <w:rPr>
          <w:lang w:val="fr-FR"/>
        </w:rPr>
        <w:t xml:space="preserve"> passe par </w:t>
      </w:r>
      <w:r w:rsidR="00736A5D" w:rsidRPr="00E658D3">
        <w:rPr>
          <w:lang w:val="fr-FR"/>
        </w:rPr>
        <w:t>le développement des TIC, qui constitue la base du développ</w:t>
      </w:r>
      <w:r w:rsidR="0016258D" w:rsidRPr="00E658D3">
        <w:rPr>
          <w:lang w:val="fr-FR"/>
        </w:rPr>
        <w:t>ement dans tous les domaines</w:t>
      </w:r>
      <w:r w:rsidR="009226DA" w:rsidRPr="00E658D3">
        <w:rPr>
          <w:lang w:val="fr-FR"/>
        </w:rPr>
        <w:t>. Ce rôle</w:t>
      </w:r>
      <w:r w:rsidR="00A5242E" w:rsidRPr="00E658D3">
        <w:rPr>
          <w:lang w:val="fr-FR"/>
        </w:rPr>
        <w:t xml:space="preserve"> incombe à</w:t>
      </w:r>
      <w:r w:rsidR="00594587" w:rsidRPr="00E658D3">
        <w:rPr>
          <w:lang w:val="fr-FR"/>
        </w:rPr>
        <w:t xml:space="preserve"> la communauté internationale, </w:t>
      </w:r>
      <w:r w:rsidR="00BE7C70" w:rsidRPr="00E658D3">
        <w:rPr>
          <w:lang w:val="fr-FR"/>
        </w:rPr>
        <w:t>plus précisément</w:t>
      </w:r>
      <w:r w:rsidR="00594587" w:rsidRPr="00E658D3">
        <w:rPr>
          <w:lang w:val="fr-FR"/>
        </w:rPr>
        <w:t xml:space="preserve"> </w:t>
      </w:r>
      <w:r w:rsidR="00A5242E" w:rsidRPr="00E658D3">
        <w:rPr>
          <w:lang w:val="fr-FR"/>
        </w:rPr>
        <w:t>à</w:t>
      </w:r>
      <w:r w:rsidR="00594587" w:rsidRPr="00E658D3">
        <w:rPr>
          <w:lang w:val="fr-FR"/>
        </w:rPr>
        <w:t xml:space="preserve"> l</w:t>
      </w:r>
      <w:r w:rsidR="00FD45FE" w:rsidRPr="00E658D3">
        <w:rPr>
          <w:lang w:val="fr-FR"/>
        </w:rPr>
        <w:t>'</w:t>
      </w:r>
      <w:r w:rsidR="00594587" w:rsidRPr="00E658D3">
        <w:rPr>
          <w:lang w:val="fr-FR"/>
        </w:rPr>
        <w:t>UIT.</w:t>
      </w:r>
    </w:p>
    <w:p w14:paraId="5BA0662C" w14:textId="75B58249" w:rsidR="000A2C06" w:rsidRPr="00E658D3" w:rsidRDefault="005D3A30" w:rsidP="00445A64">
      <w:pPr>
        <w:pStyle w:val="enumlev1"/>
        <w:rPr>
          <w:lang w:val="fr-FR"/>
        </w:rPr>
      </w:pPr>
      <w:r w:rsidRPr="00E658D3">
        <w:rPr>
          <w:lang w:val="fr-FR"/>
        </w:rPr>
        <w:tab/>
      </w:r>
      <w:r w:rsidR="000D45F8" w:rsidRPr="00E658D3">
        <w:rPr>
          <w:lang w:val="fr-FR"/>
        </w:rPr>
        <w:t>Nous souhaitons nous servir des technologies les plus avancées en Palestine pour atteindre nos objectifs en termes de bien-être et de prospérité</w:t>
      </w:r>
      <w:r w:rsidR="000A2C06" w:rsidRPr="00E658D3">
        <w:rPr>
          <w:lang w:val="fr-FR"/>
        </w:rPr>
        <w:t xml:space="preserve">, </w:t>
      </w:r>
      <w:r w:rsidR="000D45F8" w:rsidRPr="00E658D3">
        <w:rPr>
          <w:lang w:val="fr-FR"/>
        </w:rPr>
        <w:t>et pour développer notre utilisation du spectre sans rencontrer d</w:t>
      </w:r>
      <w:r w:rsidR="00FD45FE" w:rsidRPr="00E658D3">
        <w:rPr>
          <w:lang w:val="fr-FR"/>
        </w:rPr>
        <w:t>'</w:t>
      </w:r>
      <w:r w:rsidR="000D45F8" w:rsidRPr="00E658D3">
        <w:rPr>
          <w:lang w:val="fr-FR"/>
        </w:rPr>
        <w:t>obstacles</w:t>
      </w:r>
      <w:r w:rsidR="000A2C06" w:rsidRPr="00E658D3">
        <w:rPr>
          <w:lang w:val="fr-FR"/>
        </w:rPr>
        <w:t>.</w:t>
      </w:r>
      <w:r w:rsidR="00A9237A" w:rsidRPr="00E658D3">
        <w:rPr>
          <w:lang w:val="fr-FR"/>
        </w:rPr>
        <w:t xml:space="preserve"> </w:t>
      </w:r>
      <w:r w:rsidR="000D45F8" w:rsidRPr="00E658D3">
        <w:rPr>
          <w:lang w:val="fr-FR"/>
        </w:rPr>
        <w:t xml:space="preserve">Nous devons </w:t>
      </w:r>
      <w:r w:rsidR="00A94AB7" w:rsidRPr="00E658D3">
        <w:rPr>
          <w:lang w:val="fr-FR"/>
        </w:rPr>
        <w:t xml:space="preserve">avoir accès </w:t>
      </w:r>
      <w:r w:rsidR="000D45F8" w:rsidRPr="00E658D3">
        <w:rPr>
          <w:lang w:val="fr-FR"/>
        </w:rPr>
        <w:t xml:space="preserve">aux TIC et </w:t>
      </w:r>
      <w:r w:rsidR="008926A1" w:rsidRPr="00E658D3">
        <w:rPr>
          <w:lang w:val="fr-FR"/>
        </w:rPr>
        <w:t>utilis</w:t>
      </w:r>
      <w:r w:rsidR="000D45F8" w:rsidRPr="00E658D3">
        <w:rPr>
          <w:lang w:val="fr-FR"/>
        </w:rPr>
        <w:t>er toutes les applications</w:t>
      </w:r>
      <w:r w:rsidR="008926A1" w:rsidRPr="00E658D3">
        <w:rPr>
          <w:lang w:val="fr-FR"/>
        </w:rPr>
        <w:t xml:space="preserve"> qui peuvent servir aux </w:t>
      </w:r>
      <w:r w:rsidR="00A94AB7" w:rsidRPr="00E658D3">
        <w:rPr>
          <w:lang w:val="fr-FR"/>
        </w:rPr>
        <w:t xml:space="preserve">habitants de la Palestine </w:t>
      </w:r>
      <w:r w:rsidR="008926A1" w:rsidRPr="00E658D3">
        <w:rPr>
          <w:lang w:val="fr-FR"/>
        </w:rPr>
        <w:t>dans leur quotidien et leur permettre d</w:t>
      </w:r>
      <w:r w:rsidR="00FD45FE" w:rsidRPr="00E658D3">
        <w:rPr>
          <w:lang w:val="fr-FR"/>
        </w:rPr>
        <w:t>'</w:t>
      </w:r>
      <w:r w:rsidR="008926A1" w:rsidRPr="00E658D3">
        <w:rPr>
          <w:lang w:val="fr-FR"/>
        </w:rPr>
        <w:t>être connectés au monde entier.</w:t>
      </w:r>
    </w:p>
    <w:p w14:paraId="337C8512" w14:textId="11E2721C" w:rsidR="000A2C06" w:rsidRPr="00E658D3" w:rsidRDefault="005D3A30" w:rsidP="00445A64">
      <w:pPr>
        <w:pStyle w:val="enumlev1"/>
        <w:rPr>
          <w:lang w:val="fr-FR"/>
        </w:rPr>
      </w:pPr>
      <w:r w:rsidRPr="00E658D3">
        <w:rPr>
          <w:lang w:val="fr-FR"/>
        </w:rPr>
        <w:tab/>
      </w:r>
      <w:r w:rsidR="007D1F4E" w:rsidRPr="00E658D3">
        <w:rPr>
          <w:lang w:val="fr-FR"/>
        </w:rPr>
        <w:t>Monsieur le Président</w:t>
      </w:r>
      <w:r w:rsidR="00844BA8" w:rsidRPr="00E658D3">
        <w:rPr>
          <w:lang w:val="fr-FR"/>
        </w:rPr>
        <w:t>,</w:t>
      </w:r>
      <w:r w:rsidR="000A2C06" w:rsidRPr="00E658D3">
        <w:rPr>
          <w:lang w:val="fr-FR"/>
        </w:rPr>
        <w:t xml:space="preserve"> </w:t>
      </w:r>
      <w:r w:rsidR="00A94AB7" w:rsidRPr="00E658D3">
        <w:rPr>
          <w:lang w:val="fr-FR"/>
        </w:rPr>
        <w:t xml:space="preserve">Mesdames et Messieurs les </w:t>
      </w:r>
      <w:r w:rsidR="00844BA8" w:rsidRPr="00E658D3">
        <w:rPr>
          <w:lang w:val="fr-FR"/>
        </w:rPr>
        <w:t>délégués</w:t>
      </w:r>
      <w:r w:rsidR="000A2C06" w:rsidRPr="00E658D3">
        <w:rPr>
          <w:lang w:val="fr-FR"/>
        </w:rPr>
        <w:t xml:space="preserve">, </w:t>
      </w:r>
      <w:r w:rsidR="00844BA8" w:rsidRPr="00E658D3">
        <w:rPr>
          <w:lang w:val="fr-FR"/>
        </w:rPr>
        <w:t xml:space="preserve">je </w:t>
      </w:r>
      <w:r w:rsidR="00A94AB7" w:rsidRPr="00E658D3">
        <w:rPr>
          <w:lang w:val="fr-FR"/>
        </w:rPr>
        <w:t xml:space="preserve">puis </w:t>
      </w:r>
      <w:r w:rsidR="00844BA8" w:rsidRPr="00E658D3">
        <w:rPr>
          <w:lang w:val="fr-FR"/>
        </w:rPr>
        <w:t>vous assure</w:t>
      </w:r>
      <w:r w:rsidR="00A94AB7" w:rsidRPr="00E658D3">
        <w:rPr>
          <w:lang w:val="fr-FR"/>
        </w:rPr>
        <w:t>r que</w:t>
      </w:r>
      <w:r w:rsidR="000A2C06" w:rsidRPr="00E658D3">
        <w:rPr>
          <w:lang w:val="fr-FR"/>
        </w:rPr>
        <w:t xml:space="preserve">, </w:t>
      </w:r>
      <w:r w:rsidR="00844BA8" w:rsidRPr="00E658D3">
        <w:rPr>
          <w:lang w:val="fr-FR"/>
        </w:rPr>
        <w:t>malgré les difficultés que nous connaissons</w:t>
      </w:r>
      <w:r w:rsidR="000A2C06" w:rsidRPr="00E658D3">
        <w:rPr>
          <w:lang w:val="fr-FR"/>
        </w:rPr>
        <w:t xml:space="preserve">, </w:t>
      </w:r>
      <w:r w:rsidR="00844BA8" w:rsidRPr="00E658D3">
        <w:rPr>
          <w:lang w:val="fr-FR"/>
        </w:rPr>
        <w:t xml:space="preserve">nous </w:t>
      </w:r>
      <w:r w:rsidR="00DA2878" w:rsidRPr="00E658D3">
        <w:rPr>
          <w:lang w:val="fr-FR"/>
        </w:rPr>
        <w:t>avons grand espoir de parvenir</w:t>
      </w:r>
      <w:r w:rsidR="00844BA8" w:rsidRPr="00E658D3">
        <w:rPr>
          <w:lang w:val="fr-FR"/>
        </w:rPr>
        <w:t xml:space="preserve"> à instaurer la prospérité et le bien-être </w:t>
      </w:r>
      <w:r w:rsidR="00DA2878" w:rsidRPr="00E658D3">
        <w:rPr>
          <w:lang w:val="fr-FR"/>
        </w:rPr>
        <w:t>pour</w:t>
      </w:r>
      <w:r w:rsidR="00844BA8" w:rsidRPr="00E658D3">
        <w:rPr>
          <w:lang w:val="fr-FR"/>
        </w:rPr>
        <w:t xml:space="preserve"> l</w:t>
      </w:r>
      <w:r w:rsidR="00FD45FE" w:rsidRPr="00E658D3">
        <w:rPr>
          <w:lang w:val="fr-FR"/>
        </w:rPr>
        <w:t>'E</w:t>
      </w:r>
      <w:r w:rsidR="00844BA8" w:rsidRPr="00E658D3">
        <w:rPr>
          <w:lang w:val="fr-FR"/>
        </w:rPr>
        <w:t>tat de Palestine</w:t>
      </w:r>
      <w:r w:rsidR="000A2C06" w:rsidRPr="00E658D3">
        <w:rPr>
          <w:lang w:val="fr-FR"/>
        </w:rPr>
        <w:t>.</w:t>
      </w:r>
      <w:r w:rsidR="00A94AB7" w:rsidRPr="00E658D3">
        <w:rPr>
          <w:lang w:val="fr-FR"/>
        </w:rPr>
        <w:t xml:space="preserve"> </w:t>
      </w:r>
      <w:r w:rsidR="00445A64">
        <w:rPr>
          <w:lang w:val="fr-FR"/>
        </w:rPr>
        <w:t>Te</w:t>
      </w:r>
      <w:r w:rsidR="00A94AB7" w:rsidRPr="00E658D3">
        <w:rPr>
          <w:lang w:val="fr-FR"/>
        </w:rPr>
        <w:t xml:space="preserve">lle est </w:t>
      </w:r>
      <w:r w:rsidR="00844BA8" w:rsidRPr="00E658D3">
        <w:rPr>
          <w:lang w:val="fr-FR"/>
        </w:rPr>
        <w:t>notre priorité absolue</w:t>
      </w:r>
      <w:r w:rsidR="000A2C06" w:rsidRPr="00E658D3">
        <w:rPr>
          <w:lang w:val="fr-FR"/>
        </w:rPr>
        <w:t xml:space="preserve">, </w:t>
      </w:r>
      <w:r w:rsidR="00844BA8" w:rsidRPr="00E658D3">
        <w:rPr>
          <w:lang w:val="fr-FR"/>
        </w:rPr>
        <w:t>et nous espérons que vous</w:t>
      </w:r>
      <w:r w:rsidR="00C631D5" w:rsidRPr="00E658D3">
        <w:rPr>
          <w:lang w:val="fr-FR"/>
        </w:rPr>
        <w:t xml:space="preserve"> vous tiendrez à nos côtés pour </w:t>
      </w:r>
      <w:r w:rsidR="00844BA8" w:rsidRPr="00E658D3">
        <w:rPr>
          <w:lang w:val="fr-FR"/>
        </w:rPr>
        <w:t xml:space="preserve">nous </w:t>
      </w:r>
      <w:r w:rsidR="00EB182E" w:rsidRPr="00E658D3">
        <w:rPr>
          <w:lang w:val="fr-FR"/>
        </w:rPr>
        <w:t>aide</w:t>
      </w:r>
      <w:r w:rsidR="00C631D5" w:rsidRPr="00E658D3">
        <w:rPr>
          <w:lang w:val="fr-FR"/>
        </w:rPr>
        <w:t>r</w:t>
      </w:r>
      <w:r w:rsidR="00516E60" w:rsidRPr="00E658D3">
        <w:rPr>
          <w:lang w:val="fr-FR"/>
        </w:rPr>
        <w:t>,</w:t>
      </w:r>
      <w:r w:rsidR="00E52BAD" w:rsidRPr="00E658D3">
        <w:rPr>
          <w:lang w:val="fr-FR"/>
        </w:rPr>
        <w:t xml:space="preserve"> </w:t>
      </w:r>
      <w:r w:rsidR="00516E60" w:rsidRPr="00E658D3">
        <w:rPr>
          <w:lang w:val="fr-FR"/>
        </w:rPr>
        <w:t>par l</w:t>
      </w:r>
      <w:r w:rsidR="00FD45FE" w:rsidRPr="00E658D3">
        <w:rPr>
          <w:lang w:val="fr-FR"/>
        </w:rPr>
        <w:t>'</w:t>
      </w:r>
      <w:r w:rsidR="00516E60" w:rsidRPr="00E658D3">
        <w:rPr>
          <w:lang w:val="fr-FR"/>
        </w:rPr>
        <w:t xml:space="preserve">intermédiaire de cette résolution, </w:t>
      </w:r>
      <w:r w:rsidR="00EB182E" w:rsidRPr="00E658D3">
        <w:rPr>
          <w:lang w:val="fr-FR"/>
        </w:rPr>
        <w:t>à poursuivre</w:t>
      </w:r>
      <w:r w:rsidR="002F125B" w:rsidRPr="00E658D3">
        <w:rPr>
          <w:lang w:val="fr-FR"/>
        </w:rPr>
        <w:t xml:space="preserve"> </w:t>
      </w:r>
      <w:r w:rsidR="00147599" w:rsidRPr="00E658D3">
        <w:rPr>
          <w:lang w:val="fr-FR"/>
        </w:rPr>
        <w:t>no</w:t>
      </w:r>
      <w:r w:rsidR="00EB182E" w:rsidRPr="00E658D3">
        <w:rPr>
          <w:lang w:val="fr-FR"/>
        </w:rPr>
        <w:t>s</w:t>
      </w:r>
      <w:r w:rsidR="00003EB3" w:rsidRPr="00E658D3">
        <w:rPr>
          <w:lang w:val="fr-FR"/>
        </w:rPr>
        <w:t xml:space="preserve"> </w:t>
      </w:r>
      <w:r w:rsidR="00516E60" w:rsidRPr="00E658D3">
        <w:rPr>
          <w:lang w:val="fr-FR"/>
        </w:rPr>
        <w:t xml:space="preserve">nobles </w:t>
      </w:r>
      <w:r w:rsidR="00EB182E" w:rsidRPr="00E658D3">
        <w:rPr>
          <w:lang w:val="fr-FR"/>
        </w:rPr>
        <w:t xml:space="preserve">objectifs </w:t>
      </w:r>
      <w:r w:rsidR="00B84410" w:rsidRPr="00E658D3">
        <w:rPr>
          <w:lang w:val="fr-FR"/>
        </w:rPr>
        <w:t>communs</w:t>
      </w:r>
      <w:r w:rsidR="00003EB3" w:rsidRPr="00E658D3">
        <w:rPr>
          <w:lang w:val="fr-FR"/>
        </w:rPr>
        <w:t>.</w:t>
      </w:r>
    </w:p>
    <w:p w14:paraId="4B09CA45" w14:textId="3ABD93A6" w:rsidR="000A2C06" w:rsidRPr="00E658D3" w:rsidRDefault="00003EB3" w:rsidP="00445A64">
      <w:pPr>
        <w:pStyle w:val="enumlev1"/>
        <w:rPr>
          <w:lang w:val="fr-FR"/>
        </w:rPr>
      </w:pPr>
      <w:r w:rsidRPr="00E658D3">
        <w:rPr>
          <w:lang w:val="fr-FR"/>
        </w:rPr>
        <w:tab/>
        <w:t xml:space="preserve">Je souhaite remercier toutes les personnes qui ont participé à la </w:t>
      </w:r>
      <w:r w:rsidR="00445A64" w:rsidRPr="00E658D3">
        <w:rPr>
          <w:lang w:val="fr-FR"/>
        </w:rPr>
        <w:t>C</w:t>
      </w:r>
      <w:r w:rsidRPr="00E658D3">
        <w:rPr>
          <w:lang w:val="fr-FR"/>
        </w:rPr>
        <w:t xml:space="preserve">onférence, en particulier le Président, </w:t>
      </w:r>
      <w:r w:rsidR="00C91344" w:rsidRPr="00E658D3">
        <w:rPr>
          <w:lang w:val="fr-FR"/>
        </w:rPr>
        <w:t>dont l</w:t>
      </w:r>
      <w:r w:rsidR="00C631D5" w:rsidRPr="00E658D3">
        <w:rPr>
          <w:lang w:val="fr-FR"/>
        </w:rPr>
        <w:t xml:space="preserve">'autorité </w:t>
      </w:r>
      <w:r w:rsidRPr="00E658D3">
        <w:rPr>
          <w:lang w:val="fr-FR"/>
        </w:rPr>
        <w:t>e</w:t>
      </w:r>
      <w:r w:rsidR="00A51663" w:rsidRPr="00E658D3">
        <w:rPr>
          <w:lang w:val="fr-FR"/>
        </w:rPr>
        <w:t>t</w:t>
      </w:r>
      <w:r w:rsidRPr="00E658D3">
        <w:rPr>
          <w:lang w:val="fr-FR"/>
        </w:rPr>
        <w:t xml:space="preserve"> </w:t>
      </w:r>
      <w:r w:rsidR="00C91344" w:rsidRPr="00E658D3">
        <w:rPr>
          <w:lang w:val="fr-FR"/>
        </w:rPr>
        <w:t>la</w:t>
      </w:r>
      <w:r w:rsidRPr="00E658D3">
        <w:rPr>
          <w:lang w:val="fr-FR"/>
        </w:rPr>
        <w:t xml:space="preserve"> sagesse</w:t>
      </w:r>
      <w:r w:rsidR="009B68AA" w:rsidRPr="00E658D3">
        <w:rPr>
          <w:lang w:val="fr-FR"/>
        </w:rPr>
        <w:t xml:space="preserve"> ont</w:t>
      </w:r>
      <w:r w:rsidR="00A51663" w:rsidRPr="00E658D3">
        <w:rPr>
          <w:lang w:val="fr-FR"/>
        </w:rPr>
        <w:t xml:space="preserve"> permis à toutes les parties prenantes d</w:t>
      </w:r>
      <w:r w:rsidR="00FD45FE" w:rsidRPr="00E658D3">
        <w:rPr>
          <w:lang w:val="fr-FR"/>
        </w:rPr>
        <w:t>'</w:t>
      </w:r>
      <w:r w:rsidR="00A9237A" w:rsidRPr="00E658D3">
        <w:rPr>
          <w:lang w:val="fr-FR"/>
        </w:rPr>
        <w:t>obtenir des résultats construc</w:t>
      </w:r>
      <w:r w:rsidR="00A51663" w:rsidRPr="00E658D3">
        <w:rPr>
          <w:lang w:val="fr-FR"/>
        </w:rPr>
        <w:t>tifs</w:t>
      </w:r>
      <w:r w:rsidR="00A9237A" w:rsidRPr="00E658D3">
        <w:rPr>
          <w:lang w:val="fr-FR"/>
        </w:rPr>
        <w:t xml:space="preserve">. </w:t>
      </w:r>
      <w:r w:rsidR="00A51663" w:rsidRPr="00E658D3">
        <w:rPr>
          <w:lang w:val="fr-FR"/>
        </w:rPr>
        <w:t>Nou</w:t>
      </w:r>
      <w:r w:rsidR="0036383E" w:rsidRPr="00E658D3">
        <w:rPr>
          <w:lang w:val="fr-FR"/>
        </w:rPr>
        <w:t>s souhaitons également remercier toutes les administrations qui ont soutenu la Palestine et notre requête</w:t>
      </w:r>
      <w:r w:rsidR="00A47EC1" w:rsidRPr="00E658D3">
        <w:rPr>
          <w:lang w:val="fr-FR"/>
        </w:rPr>
        <w:t>,</w:t>
      </w:r>
      <w:r w:rsidR="0036383E" w:rsidRPr="00E658D3">
        <w:rPr>
          <w:lang w:val="fr-FR"/>
        </w:rPr>
        <w:t xml:space="preserve"> et qui nous ont permis de parvenir à cette </w:t>
      </w:r>
      <w:r w:rsidR="00A9237A" w:rsidRPr="00E658D3">
        <w:rPr>
          <w:lang w:val="fr-FR"/>
        </w:rPr>
        <w:t>issue favorabl</w:t>
      </w:r>
      <w:r w:rsidR="0036383E" w:rsidRPr="00E658D3">
        <w:rPr>
          <w:lang w:val="fr-FR"/>
        </w:rPr>
        <w:t>e.</w:t>
      </w:r>
    </w:p>
    <w:p w14:paraId="51A1A4E3" w14:textId="052507F3" w:rsidR="000A2C06" w:rsidRPr="00E658D3" w:rsidRDefault="005D3A30" w:rsidP="00445A64">
      <w:pPr>
        <w:pStyle w:val="enumlev1"/>
        <w:rPr>
          <w:lang w:val="fr-FR"/>
        </w:rPr>
      </w:pPr>
      <w:r w:rsidRPr="00E658D3">
        <w:rPr>
          <w:lang w:val="fr-FR"/>
        </w:rPr>
        <w:tab/>
      </w:r>
      <w:r w:rsidR="00762791" w:rsidRPr="00E658D3">
        <w:rPr>
          <w:lang w:val="fr-FR"/>
        </w:rPr>
        <w:t xml:space="preserve">La Palestine fera tout son possible pour atteindre son noble </w:t>
      </w:r>
      <w:r w:rsidR="00147599" w:rsidRPr="00E658D3">
        <w:rPr>
          <w:lang w:val="fr-FR"/>
        </w:rPr>
        <w:t>objectif</w:t>
      </w:r>
      <w:r w:rsidR="00E86427" w:rsidRPr="00E658D3">
        <w:rPr>
          <w:lang w:val="fr-FR"/>
        </w:rPr>
        <w:t xml:space="preserve">. Enfin, </w:t>
      </w:r>
      <w:r w:rsidR="00762791" w:rsidRPr="00E658D3">
        <w:rPr>
          <w:lang w:val="fr-FR"/>
        </w:rPr>
        <w:t xml:space="preserve">nous </w:t>
      </w:r>
      <w:r w:rsidR="00A47EC1" w:rsidRPr="00E658D3">
        <w:rPr>
          <w:lang w:val="fr-FR"/>
        </w:rPr>
        <w:t>ten</w:t>
      </w:r>
      <w:r w:rsidR="00762791" w:rsidRPr="00E658D3">
        <w:rPr>
          <w:lang w:val="fr-FR"/>
        </w:rPr>
        <w:t>ons également</w:t>
      </w:r>
      <w:r w:rsidR="00A47EC1" w:rsidRPr="00E658D3">
        <w:rPr>
          <w:lang w:val="fr-FR"/>
        </w:rPr>
        <w:t xml:space="preserve"> à</w:t>
      </w:r>
      <w:r w:rsidR="00762791" w:rsidRPr="00E658D3">
        <w:rPr>
          <w:lang w:val="fr-FR"/>
        </w:rPr>
        <w:t xml:space="preserve"> féliciter </w:t>
      </w:r>
      <w:r w:rsidR="00E86427" w:rsidRPr="00E658D3">
        <w:rPr>
          <w:lang w:val="fr-FR"/>
        </w:rPr>
        <w:t>tous les fonctionnaires élus, en particulier le</w:t>
      </w:r>
      <w:r w:rsidR="009B68AA" w:rsidRPr="00E658D3">
        <w:rPr>
          <w:lang w:val="fr-FR"/>
        </w:rPr>
        <w:t>s</w:t>
      </w:r>
      <w:r w:rsidR="00E86427" w:rsidRPr="00E658D3">
        <w:rPr>
          <w:lang w:val="fr-FR"/>
        </w:rPr>
        <w:t xml:space="preserve"> nouveau</w:t>
      </w:r>
      <w:r w:rsidR="009B68AA" w:rsidRPr="00E658D3">
        <w:rPr>
          <w:lang w:val="fr-FR"/>
        </w:rPr>
        <w:t>x</w:t>
      </w:r>
      <w:r w:rsidR="00E86427" w:rsidRPr="00E658D3">
        <w:rPr>
          <w:lang w:val="fr-FR"/>
        </w:rPr>
        <w:t xml:space="preserve"> Secrétaire général et </w:t>
      </w:r>
      <w:r w:rsidR="009B68AA" w:rsidRPr="00E658D3">
        <w:rPr>
          <w:lang w:val="fr-FR"/>
        </w:rPr>
        <w:t>Vice-Secrétaire général</w:t>
      </w:r>
      <w:r w:rsidR="00E86427" w:rsidRPr="00E658D3">
        <w:rPr>
          <w:lang w:val="fr-FR"/>
        </w:rPr>
        <w:t>.</w:t>
      </w:r>
      <w:r w:rsidR="00FD45FE" w:rsidRPr="00E658D3">
        <w:rPr>
          <w:lang w:val="fr-FR"/>
        </w:rPr>
        <w:t>"</w:t>
      </w:r>
    </w:p>
    <w:p w14:paraId="413F80EA" w14:textId="77777777" w:rsidR="001A5E36" w:rsidRPr="00E658D3" w:rsidRDefault="005D3A30" w:rsidP="00445A64">
      <w:pPr>
        <w:rPr>
          <w:lang w:val="fr-FR"/>
        </w:rPr>
      </w:pPr>
      <w:r w:rsidRPr="00E658D3">
        <w:rPr>
          <w:lang w:val="fr-FR"/>
        </w:rPr>
        <w:t>1.</w:t>
      </w:r>
      <w:r w:rsidR="00AB318A" w:rsidRPr="00E658D3">
        <w:rPr>
          <w:lang w:val="fr-FR"/>
        </w:rPr>
        <w:t>4</w:t>
      </w:r>
      <w:r w:rsidRPr="00E658D3">
        <w:rPr>
          <w:lang w:val="fr-FR"/>
        </w:rPr>
        <w:tab/>
      </w:r>
      <w:r w:rsidR="00056587" w:rsidRPr="00E658D3">
        <w:rPr>
          <w:lang w:val="fr-FR"/>
        </w:rPr>
        <w:t xml:space="preserve">Le </w:t>
      </w:r>
      <w:r w:rsidR="00056587" w:rsidRPr="00E658D3">
        <w:rPr>
          <w:b/>
          <w:bCs/>
          <w:lang w:val="fr-FR"/>
        </w:rPr>
        <w:t>délégué du Canada</w:t>
      </w:r>
      <w:r w:rsidR="00C13C68" w:rsidRPr="00E658D3">
        <w:rPr>
          <w:lang w:val="fr-FR"/>
        </w:rPr>
        <w:t xml:space="preserve">, vu la décision </w:t>
      </w:r>
      <w:r w:rsidRPr="00E658D3">
        <w:rPr>
          <w:lang w:val="fr-FR"/>
        </w:rPr>
        <w:t xml:space="preserve">sage </w:t>
      </w:r>
      <w:r w:rsidR="00C13C68" w:rsidRPr="00E658D3">
        <w:rPr>
          <w:lang w:val="fr-FR"/>
        </w:rPr>
        <w:t xml:space="preserve">du Président de ne pas permettre à d'autres délégations d'intervenir oralement </w:t>
      </w:r>
      <w:r w:rsidR="00217697" w:rsidRPr="00E658D3">
        <w:rPr>
          <w:lang w:val="fr-FR"/>
        </w:rPr>
        <w:t xml:space="preserve">sur </w:t>
      </w:r>
      <w:r w:rsidR="00540485" w:rsidRPr="00E658D3">
        <w:rPr>
          <w:lang w:val="fr-FR"/>
        </w:rPr>
        <w:t>les Résolutions 99 et 125</w:t>
      </w:r>
      <w:r w:rsidRPr="00E658D3">
        <w:rPr>
          <w:lang w:val="fr-FR"/>
        </w:rPr>
        <w:t xml:space="preserve">, </w:t>
      </w:r>
      <w:r w:rsidR="00803133" w:rsidRPr="00E658D3">
        <w:rPr>
          <w:lang w:val="fr-FR"/>
        </w:rPr>
        <w:t xml:space="preserve">demande </w:t>
      </w:r>
      <w:r w:rsidR="00310AE8" w:rsidRPr="00E658D3">
        <w:rPr>
          <w:lang w:val="fr-FR"/>
        </w:rPr>
        <w:t xml:space="preserve">quelle est </w:t>
      </w:r>
      <w:r w:rsidR="00803133" w:rsidRPr="00E658D3">
        <w:rPr>
          <w:lang w:val="fr-FR"/>
        </w:rPr>
        <w:t xml:space="preserve">la procédure à suivre pour faire une </w:t>
      </w:r>
      <w:r w:rsidR="00C97522" w:rsidRPr="00E658D3">
        <w:rPr>
          <w:lang w:val="fr-FR"/>
        </w:rPr>
        <w:t>déclaration</w:t>
      </w:r>
      <w:r w:rsidR="00803133" w:rsidRPr="00E658D3">
        <w:rPr>
          <w:lang w:val="fr-FR"/>
        </w:rPr>
        <w:t xml:space="preserve"> qui serait </w:t>
      </w:r>
      <w:r w:rsidR="00FE4F34" w:rsidRPr="00E658D3">
        <w:rPr>
          <w:lang w:val="fr-FR"/>
        </w:rPr>
        <w:t xml:space="preserve">reflétée dans </w:t>
      </w:r>
      <w:r w:rsidR="00C97522" w:rsidRPr="00E658D3">
        <w:rPr>
          <w:lang w:val="fr-FR"/>
        </w:rPr>
        <w:t>le procès-verbal</w:t>
      </w:r>
      <w:r w:rsidR="00056587" w:rsidRPr="00E658D3">
        <w:rPr>
          <w:lang w:val="fr-FR"/>
        </w:rPr>
        <w:t xml:space="preserve">. </w:t>
      </w:r>
    </w:p>
    <w:p w14:paraId="3C4172CA" w14:textId="01A757E3" w:rsidR="00056587" w:rsidRPr="00E658D3" w:rsidRDefault="001A5E36" w:rsidP="00445A64">
      <w:pPr>
        <w:rPr>
          <w:lang w:val="fr-FR"/>
        </w:rPr>
      </w:pPr>
      <w:r w:rsidRPr="00E658D3">
        <w:rPr>
          <w:lang w:val="fr-FR"/>
        </w:rPr>
        <w:t>1.5</w:t>
      </w:r>
      <w:r w:rsidRPr="00E658D3">
        <w:rPr>
          <w:lang w:val="fr-FR"/>
        </w:rPr>
        <w:tab/>
      </w:r>
      <w:r w:rsidR="00056587" w:rsidRPr="00E658D3">
        <w:rPr>
          <w:lang w:val="fr-FR"/>
        </w:rPr>
        <w:t xml:space="preserve">Le </w:t>
      </w:r>
      <w:r w:rsidR="00056587" w:rsidRPr="00E658D3">
        <w:rPr>
          <w:b/>
          <w:bCs/>
          <w:lang w:val="fr-FR"/>
        </w:rPr>
        <w:t>Président</w:t>
      </w:r>
      <w:r w:rsidR="00056587" w:rsidRPr="00E658D3">
        <w:rPr>
          <w:lang w:val="fr-FR"/>
        </w:rPr>
        <w:t xml:space="preserve"> dit que, à l'instar de ce qui a été fait </w:t>
      </w:r>
      <w:r w:rsidR="00DF0096" w:rsidRPr="00E658D3">
        <w:rPr>
          <w:lang w:val="fr-FR"/>
        </w:rPr>
        <w:t>pour</w:t>
      </w:r>
      <w:r w:rsidR="00056587" w:rsidRPr="00E658D3">
        <w:rPr>
          <w:lang w:val="fr-FR"/>
        </w:rPr>
        <w:t xml:space="preserve"> </w:t>
      </w:r>
      <w:r w:rsidRPr="00E658D3">
        <w:rPr>
          <w:lang w:val="fr-FR"/>
        </w:rPr>
        <w:t>le compromis trouvé pour le Document DT/84(Rév.2)</w:t>
      </w:r>
      <w:r w:rsidR="00056587" w:rsidRPr="00E658D3">
        <w:rPr>
          <w:lang w:val="fr-FR"/>
        </w:rPr>
        <w:t xml:space="preserve">, les délégations qui le souhaitent </w:t>
      </w:r>
      <w:r w:rsidR="005D3A30" w:rsidRPr="00E658D3">
        <w:rPr>
          <w:lang w:val="fr-FR"/>
        </w:rPr>
        <w:t xml:space="preserve">peuvent </w:t>
      </w:r>
      <w:r w:rsidR="00056587" w:rsidRPr="00E658D3">
        <w:rPr>
          <w:lang w:val="fr-FR"/>
        </w:rPr>
        <w:t>remettre au secrétariat une déclaration écrite, qui sera insérée dans le procès-verbal de la séance plénière</w:t>
      </w:r>
      <w:r w:rsidR="005D3A30" w:rsidRPr="00E658D3">
        <w:rPr>
          <w:rStyle w:val="FootnoteReference"/>
          <w:lang w:val="fr-FR"/>
        </w:rPr>
        <w:footnoteReference w:id="1"/>
      </w:r>
      <w:r w:rsidR="00E658D3">
        <w:rPr>
          <w:lang w:val="fr-FR"/>
        </w:rPr>
        <w:t>.</w:t>
      </w:r>
    </w:p>
    <w:p w14:paraId="35DD8ACC" w14:textId="77777777" w:rsidR="00342EF6" w:rsidRPr="00E658D3" w:rsidRDefault="003E7663" w:rsidP="00445A64">
      <w:pPr>
        <w:pStyle w:val="Heading1"/>
        <w:rPr>
          <w:lang w:val="fr-FR"/>
        </w:rPr>
      </w:pPr>
      <w:r w:rsidRPr="00E658D3">
        <w:rPr>
          <w:lang w:val="fr-FR"/>
        </w:rPr>
        <w:t>2</w:t>
      </w:r>
      <w:r w:rsidRPr="00E658D3">
        <w:rPr>
          <w:lang w:val="fr-FR"/>
        </w:rPr>
        <w:tab/>
      </w:r>
      <w:r w:rsidR="00C813AE" w:rsidRPr="00E658D3">
        <w:rPr>
          <w:lang w:val="fr-FR"/>
        </w:rPr>
        <w:t>Rapport de la</w:t>
      </w:r>
      <w:r w:rsidR="00342EF6" w:rsidRPr="00E658D3">
        <w:rPr>
          <w:lang w:val="fr-FR"/>
        </w:rPr>
        <w:t xml:space="preserve"> Président</w:t>
      </w:r>
      <w:r w:rsidR="00C813AE" w:rsidRPr="00E658D3">
        <w:rPr>
          <w:lang w:val="fr-FR"/>
        </w:rPr>
        <w:t>e</w:t>
      </w:r>
      <w:r w:rsidR="00342EF6" w:rsidRPr="00E658D3">
        <w:rPr>
          <w:lang w:val="fr-FR"/>
        </w:rPr>
        <w:t xml:space="preserve"> de la Commission</w:t>
      </w:r>
      <w:r w:rsidR="00C813AE" w:rsidRPr="00E658D3">
        <w:rPr>
          <w:lang w:val="fr-FR"/>
        </w:rPr>
        <w:t xml:space="preserve"> 6</w:t>
      </w:r>
      <w:r w:rsidR="00342EF6" w:rsidRPr="00E658D3">
        <w:rPr>
          <w:lang w:val="fr-FR"/>
        </w:rPr>
        <w:t xml:space="preserve"> </w:t>
      </w:r>
      <w:r w:rsidR="006E4EA9" w:rsidRPr="00E658D3">
        <w:rPr>
          <w:lang w:val="fr-FR"/>
        </w:rPr>
        <w:t xml:space="preserve">(Document </w:t>
      </w:r>
      <w:r w:rsidR="00DA6261" w:rsidRPr="00E658D3">
        <w:rPr>
          <w:lang w:val="fr-FR"/>
        </w:rPr>
        <w:t>150)</w:t>
      </w:r>
    </w:p>
    <w:p w14:paraId="0F227EAB" w14:textId="5926503E" w:rsidR="00596AFA" w:rsidRPr="00E658D3" w:rsidRDefault="005D3A30" w:rsidP="00445A64">
      <w:pPr>
        <w:rPr>
          <w:lang w:val="fr-FR"/>
        </w:rPr>
      </w:pPr>
      <w:r w:rsidRPr="00E658D3">
        <w:rPr>
          <w:lang w:val="fr-FR"/>
        </w:rPr>
        <w:t>2.1</w:t>
      </w:r>
      <w:r w:rsidRPr="00E658D3">
        <w:rPr>
          <w:lang w:val="fr-FR"/>
        </w:rPr>
        <w:tab/>
      </w:r>
      <w:r w:rsidR="00596AFA" w:rsidRPr="00445A64">
        <w:rPr>
          <w:lang w:val="fr-FR"/>
        </w:rPr>
        <w:t>La</w:t>
      </w:r>
      <w:r w:rsidR="00596AFA" w:rsidRPr="00E658D3">
        <w:rPr>
          <w:b/>
          <w:bCs/>
          <w:lang w:val="fr-FR"/>
        </w:rPr>
        <w:t xml:space="preserve"> Présidente de la Commission 6</w:t>
      </w:r>
      <w:r w:rsidR="00596AFA" w:rsidRPr="00E658D3">
        <w:rPr>
          <w:lang w:val="fr-FR"/>
        </w:rPr>
        <w:t xml:space="preserve"> présente en détail le Document 150. Après</w:t>
      </w:r>
      <w:r w:rsidR="00F22CE2" w:rsidRPr="00E658D3">
        <w:rPr>
          <w:lang w:val="fr-FR"/>
        </w:rPr>
        <w:t xml:space="preserve"> avoir rappelé le mandat confié</w:t>
      </w:r>
      <w:r w:rsidR="00596AFA" w:rsidRPr="00E658D3">
        <w:rPr>
          <w:lang w:val="fr-FR"/>
        </w:rPr>
        <w:t xml:space="preserve"> à la Commission 6, </w:t>
      </w:r>
      <w:r w:rsidR="00941EAC" w:rsidRPr="00E658D3">
        <w:rPr>
          <w:lang w:val="fr-FR"/>
        </w:rPr>
        <w:t xml:space="preserve">elle indique </w:t>
      </w:r>
      <w:r w:rsidR="00F55CEA" w:rsidRPr="00E658D3">
        <w:rPr>
          <w:lang w:val="fr-FR"/>
        </w:rPr>
        <w:t xml:space="preserve">que celle-ci a tenu 11 séances, et établi </w:t>
      </w:r>
      <w:r w:rsidR="009D1907" w:rsidRPr="00E658D3">
        <w:rPr>
          <w:lang w:val="fr-FR"/>
        </w:rPr>
        <w:t>cinq</w:t>
      </w:r>
      <w:r w:rsidR="00F55CEA" w:rsidRPr="00E658D3">
        <w:rPr>
          <w:lang w:val="fr-FR"/>
        </w:rPr>
        <w:t xml:space="preserve"> </w:t>
      </w:r>
      <w:r w:rsidR="00941EAC" w:rsidRPr="00E658D3">
        <w:rPr>
          <w:lang w:val="fr-FR"/>
        </w:rPr>
        <w:t>g</w:t>
      </w:r>
      <w:r w:rsidR="00F55CEA" w:rsidRPr="00E658D3">
        <w:rPr>
          <w:lang w:val="fr-FR"/>
        </w:rPr>
        <w:t xml:space="preserve">roupes ad hoc et </w:t>
      </w:r>
      <w:r w:rsidR="00941EAC" w:rsidRPr="00E658D3">
        <w:rPr>
          <w:lang w:val="fr-FR"/>
        </w:rPr>
        <w:t>12 g</w:t>
      </w:r>
      <w:r w:rsidR="00F55CEA" w:rsidRPr="00E658D3">
        <w:rPr>
          <w:lang w:val="fr-FR"/>
        </w:rPr>
        <w:t>roupes de rédaction</w:t>
      </w:r>
      <w:r w:rsidR="00941EAC" w:rsidRPr="00E658D3">
        <w:rPr>
          <w:lang w:val="fr-FR"/>
        </w:rPr>
        <w:t>. Les travaux de la Commission 6 ont</w:t>
      </w:r>
      <w:r w:rsidR="00F22CE2" w:rsidRPr="00E658D3">
        <w:rPr>
          <w:lang w:val="fr-FR"/>
        </w:rPr>
        <w:t xml:space="preserve"> donné lieu à la révision</w:t>
      </w:r>
      <w:r w:rsidR="009D1907" w:rsidRPr="00E658D3">
        <w:rPr>
          <w:lang w:val="fr-FR"/>
        </w:rPr>
        <w:t xml:space="preserve"> de deux</w:t>
      </w:r>
      <w:r w:rsidR="00F22CE2" w:rsidRPr="00E658D3">
        <w:rPr>
          <w:lang w:val="fr-FR"/>
        </w:rPr>
        <w:t xml:space="preserve"> </w:t>
      </w:r>
      <w:r w:rsidR="00445A64" w:rsidRPr="00E658D3">
        <w:rPr>
          <w:lang w:val="fr-FR"/>
        </w:rPr>
        <w:t>d</w:t>
      </w:r>
      <w:r w:rsidR="00941EAC" w:rsidRPr="00E658D3">
        <w:rPr>
          <w:lang w:val="fr-FR"/>
        </w:rPr>
        <w:t xml:space="preserve">écisions et 23 </w:t>
      </w:r>
      <w:r w:rsidR="00445A64" w:rsidRPr="00E658D3">
        <w:rPr>
          <w:lang w:val="fr-FR"/>
        </w:rPr>
        <w:t>r</w:t>
      </w:r>
      <w:r w:rsidR="00941EAC" w:rsidRPr="00E658D3">
        <w:rPr>
          <w:lang w:val="fr-FR"/>
        </w:rPr>
        <w:t xml:space="preserve">ésolutions, à l'adoption de </w:t>
      </w:r>
      <w:r w:rsidRPr="00E658D3">
        <w:rPr>
          <w:lang w:val="fr-FR"/>
        </w:rPr>
        <w:t xml:space="preserve">quatre </w:t>
      </w:r>
      <w:r w:rsidR="00941EAC" w:rsidRPr="00E658D3">
        <w:rPr>
          <w:lang w:val="fr-FR"/>
        </w:rPr>
        <w:t xml:space="preserve">nouvelles </w:t>
      </w:r>
      <w:r w:rsidR="00445A64" w:rsidRPr="00E658D3">
        <w:rPr>
          <w:lang w:val="fr-FR"/>
        </w:rPr>
        <w:t>r</w:t>
      </w:r>
      <w:r w:rsidR="00941EAC" w:rsidRPr="00E658D3">
        <w:rPr>
          <w:lang w:val="fr-FR"/>
        </w:rPr>
        <w:t>ésolution</w:t>
      </w:r>
      <w:r w:rsidR="003A44DB" w:rsidRPr="00E658D3">
        <w:rPr>
          <w:lang w:val="fr-FR"/>
        </w:rPr>
        <w:t>s</w:t>
      </w:r>
      <w:r w:rsidR="00941EAC" w:rsidRPr="00E658D3">
        <w:rPr>
          <w:lang w:val="fr-FR"/>
        </w:rPr>
        <w:t xml:space="preserve"> et </w:t>
      </w:r>
      <w:r w:rsidRPr="00E658D3">
        <w:rPr>
          <w:lang w:val="fr-FR"/>
        </w:rPr>
        <w:t xml:space="preserve">deux nouvelles </w:t>
      </w:r>
      <w:r w:rsidR="00445A64" w:rsidRPr="00E658D3">
        <w:rPr>
          <w:lang w:val="fr-FR"/>
        </w:rPr>
        <w:t>d</w:t>
      </w:r>
      <w:r w:rsidRPr="00E658D3">
        <w:rPr>
          <w:lang w:val="fr-FR"/>
        </w:rPr>
        <w:t xml:space="preserve">écisions et </w:t>
      </w:r>
      <w:r w:rsidR="00941EAC" w:rsidRPr="00E658D3">
        <w:rPr>
          <w:lang w:val="fr-FR"/>
        </w:rPr>
        <w:t xml:space="preserve">à la suppression de trois </w:t>
      </w:r>
      <w:r w:rsidR="00445A64" w:rsidRPr="00E658D3">
        <w:rPr>
          <w:lang w:val="fr-FR"/>
        </w:rPr>
        <w:t>r</w:t>
      </w:r>
      <w:r w:rsidR="00941EAC" w:rsidRPr="00E658D3">
        <w:rPr>
          <w:lang w:val="fr-FR"/>
        </w:rPr>
        <w:t>ésolutions, comme indiqué dans l'Annexe 3 du rapport</w:t>
      </w:r>
      <w:r w:rsidRPr="00E658D3">
        <w:rPr>
          <w:lang w:val="fr-FR"/>
        </w:rPr>
        <w:t xml:space="preserve"> (sauf que la Résolution 150 modifiée remplace le projet de nouvelle Résolution COM6/3</w:t>
      </w:r>
      <w:r w:rsidR="00D7120B" w:rsidRPr="00E658D3">
        <w:rPr>
          <w:lang w:val="fr-FR"/>
        </w:rPr>
        <w:t>)</w:t>
      </w:r>
      <w:r w:rsidR="00941EAC" w:rsidRPr="00E658D3">
        <w:rPr>
          <w:lang w:val="fr-FR"/>
        </w:rPr>
        <w:t>.</w:t>
      </w:r>
      <w:r w:rsidR="00955D27" w:rsidRPr="00E658D3">
        <w:rPr>
          <w:lang w:val="fr-FR"/>
        </w:rPr>
        <w:t xml:space="preserve"> </w:t>
      </w:r>
      <w:r w:rsidR="005356FF" w:rsidRPr="00E658D3">
        <w:rPr>
          <w:lang w:val="fr-FR"/>
        </w:rPr>
        <w:t>Entre autres</w:t>
      </w:r>
      <w:r w:rsidR="00AC2692" w:rsidRPr="00E658D3">
        <w:rPr>
          <w:lang w:val="fr-FR"/>
        </w:rPr>
        <w:t>,</w:t>
      </w:r>
      <w:r w:rsidR="005356FF" w:rsidRPr="00E658D3">
        <w:rPr>
          <w:lang w:val="fr-FR"/>
        </w:rPr>
        <w:t xml:space="preserve"> la Commission 6 a</w:t>
      </w:r>
      <w:r w:rsidR="00955D27" w:rsidRPr="00E658D3">
        <w:rPr>
          <w:lang w:val="fr-FR"/>
        </w:rPr>
        <w:t xml:space="preserve"> </w:t>
      </w:r>
      <w:r w:rsidR="000573B7" w:rsidRPr="00E658D3">
        <w:rPr>
          <w:lang w:val="fr-FR"/>
        </w:rPr>
        <w:t>examiné</w:t>
      </w:r>
      <w:r w:rsidR="00955D27" w:rsidRPr="00E658D3">
        <w:rPr>
          <w:lang w:val="fr-FR"/>
        </w:rPr>
        <w:t xml:space="preserve"> la gestion financière de l'Uni</w:t>
      </w:r>
      <w:r w:rsidR="000573B7" w:rsidRPr="00E658D3">
        <w:rPr>
          <w:lang w:val="fr-FR"/>
        </w:rPr>
        <w:t xml:space="preserve">on en </w:t>
      </w:r>
      <w:r w:rsidR="00955D27" w:rsidRPr="00E658D3">
        <w:rPr>
          <w:lang w:val="fr-FR"/>
        </w:rPr>
        <w:t xml:space="preserve">2010-2013 ainsi que </w:t>
      </w:r>
      <w:r w:rsidR="000573B7" w:rsidRPr="00E658D3">
        <w:rPr>
          <w:lang w:val="fr-FR"/>
        </w:rPr>
        <w:t xml:space="preserve">le projet de </w:t>
      </w:r>
      <w:r w:rsidR="00445A64" w:rsidRPr="00E658D3">
        <w:rPr>
          <w:lang w:val="fr-FR"/>
        </w:rPr>
        <w:t>p</w:t>
      </w:r>
      <w:r w:rsidR="00955D27" w:rsidRPr="00E658D3">
        <w:rPr>
          <w:lang w:val="fr-FR"/>
        </w:rPr>
        <w:t xml:space="preserve">lan financier pour </w:t>
      </w:r>
      <w:r w:rsidR="000573B7" w:rsidRPr="00E658D3">
        <w:rPr>
          <w:lang w:val="fr-FR"/>
        </w:rPr>
        <w:t xml:space="preserve">la période 2016-2019 </w:t>
      </w:r>
      <w:r w:rsidR="00955D27" w:rsidRPr="00E658D3">
        <w:rPr>
          <w:lang w:val="fr-FR"/>
        </w:rPr>
        <w:t xml:space="preserve">et </w:t>
      </w:r>
      <w:r w:rsidR="000573B7" w:rsidRPr="00E658D3">
        <w:rPr>
          <w:lang w:val="fr-FR"/>
        </w:rPr>
        <w:t>le projet de texte</w:t>
      </w:r>
      <w:r w:rsidR="00955D27" w:rsidRPr="00E658D3">
        <w:rPr>
          <w:lang w:val="fr-FR"/>
        </w:rPr>
        <w:t xml:space="preserve"> de </w:t>
      </w:r>
      <w:r w:rsidR="000573B7" w:rsidRPr="00E658D3">
        <w:rPr>
          <w:lang w:val="fr-FR"/>
        </w:rPr>
        <w:t>la D</w:t>
      </w:r>
      <w:r w:rsidR="00955D27" w:rsidRPr="00E658D3">
        <w:rPr>
          <w:lang w:val="fr-FR"/>
        </w:rPr>
        <w:t>écision 5.</w:t>
      </w:r>
      <w:r w:rsidR="000573B7" w:rsidRPr="00E658D3">
        <w:rPr>
          <w:lang w:val="fr-FR"/>
        </w:rPr>
        <w:t xml:space="preserve"> </w:t>
      </w:r>
      <w:r w:rsidR="005356FF" w:rsidRPr="00E658D3">
        <w:rPr>
          <w:lang w:val="fr-FR"/>
        </w:rPr>
        <w:t>Elle</w:t>
      </w:r>
      <w:r w:rsidR="00CC5A13" w:rsidRPr="00E658D3">
        <w:rPr>
          <w:lang w:val="fr-FR"/>
        </w:rPr>
        <w:t xml:space="preserve"> a adopté le nouveau </w:t>
      </w:r>
      <w:r w:rsidR="00445A64" w:rsidRPr="00E658D3">
        <w:rPr>
          <w:lang w:val="fr-FR"/>
        </w:rPr>
        <w:t>p</w:t>
      </w:r>
      <w:r w:rsidR="00CC5A13" w:rsidRPr="00E658D3">
        <w:rPr>
          <w:lang w:val="fr-FR"/>
        </w:rPr>
        <w:t xml:space="preserve">lan </w:t>
      </w:r>
      <w:r w:rsidR="0070082D" w:rsidRPr="00E658D3">
        <w:rPr>
          <w:lang w:val="fr-FR"/>
        </w:rPr>
        <w:t>financier à sa dixième séance; l</w:t>
      </w:r>
      <w:r w:rsidR="00CC5A13" w:rsidRPr="00E658D3">
        <w:rPr>
          <w:lang w:val="fr-FR"/>
        </w:rPr>
        <w:t>es produits et les charges sont équilibrés et se monten</w:t>
      </w:r>
      <w:r w:rsidR="005356FF" w:rsidRPr="00E658D3">
        <w:rPr>
          <w:lang w:val="fr-FR"/>
        </w:rPr>
        <w:t>t à 635,7 millions CHF; l</w:t>
      </w:r>
      <w:r w:rsidR="00CC5A13" w:rsidRPr="00E658D3">
        <w:rPr>
          <w:lang w:val="fr-FR"/>
        </w:rPr>
        <w:t>e montant de l'unité contributive a</w:t>
      </w:r>
      <w:r w:rsidR="001A2DA9" w:rsidRPr="00E658D3">
        <w:rPr>
          <w:lang w:val="fr-FR"/>
        </w:rPr>
        <w:t>vait</w:t>
      </w:r>
      <w:r w:rsidR="00CC5A13" w:rsidRPr="00E658D3">
        <w:rPr>
          <w:lang w:val="fr-FR"/>
        </w:rPr>
        <w:t xml:space="preserve"> été fixé à 318 000 CHF en séance plénière. </w:t>
      </w:r>
      <w:r w:rsidR="00BC71F7" w:rsidRPr="00E658D3">
        <w:rPr>
          <w:lang w:val="fr-FR"/>
        </w:rPr>
        <w:t xml:space="preserve">La Commission a examiné et adopté le </w:t>
      </w:r>
      <w:r w:rsidR="00445A64" w:rsidRPr="00E658D3">
        <w:rPr>
          <w:lang w:val="fr-FR"/>
        </w:rPr>
        <w:t>p</w:t>
      </w:r>
      <w:r w:rsidR="00BC71F7" w:rsidRPr="00E658D3">
        <w:rPr>
          <w:lang w:val="fr-FR"/>
        </w:rPr>
        <w:t xml:space="preserve">lan stratégique de l'UIT pour la période 2016-2019, dans le cadre de la </w:t>
      </w:r>
      <w:r w:rsidR="009D1907" w:rsidRPr="00E658D3">
        <w:rPr>
          <w:lang w:val="fr-FR"/>
        </w:rPr>
        <w:t>Résolution 71 et de ses quatre a</w:t>
      </w:r>
      <w:r w:rsidR="00BC71F7" w:rsidRPr="00E658D3">
        <w:rPr>
          <w:lang w:val="fr-FR"/>
        </w:rPr>
        <w:t xml:space="preserve">nnexes. Elle a pris note de la déclaration du Président du Conseil du personnel de l'UIT, qui est reproduite dans l'Annexe 1 du </w:t>
      </w:r>
      <w:r w:rsidR="001A5E36" w:rsidRPr="00E658D3">
        <w:rPr>
          <w:lang w:val="fr-FR"/>
        </w:rPr>
        <w:t>r</w:t>
      </w:r>
      <w:r w:rsidR="00BC71F7" w:rsidRPr="00E658D3">
        <w:rPr>
          <w:lang w:val="fr-FR"/>
        </w:rPr>
        <w:t>apport.</w:t>
      </w:r>
      <w:r w:rsidR="007F32F6" w:rsidRPr="00E658D3">
        <w:rPr>
          <w:lang w:val="fr-FR"/>
        </w:rPr>
        <w:t xml:space="preserve"> L</w:t>
      </w:r>
      <w:r w:rsidR="00FD45FE" w:rsidRPr="00E658D3">
        <w:rPr>
          <w:lang w:val="fr-FR"/>
        </w:rPr>
        <w:t>'</w:t>
      </w:r>
      <w:r w:rsidR="001A5E36" w:rsidRPr="00E658D3">
        <w:rPr>
          <w:lang w:val="fr-FR"/>
        </w:rPr>
        <w:t>A</w:t>
      </w:r>
      <w:r w:rsidR="007F32F6" w:rsidRPr="00E658D3">
        <w:rPr>
          <w:lang w:val="fr-FR"/>
        </w:rPr>
        <w:t xml:space="preserve">nnexe 2 </w:t>
      </w:r>
      <w:r w:rsidR="001A5E36" w:rsidRPr="00E658D3">
        <w:rPr>
          <w:lang w:val="fr-FR"/>
        </w:rPr>
        <w:t>du r</w:t>
      </w:r>
      <w:r w:rsidR="007F32F6" w:rsidRPr="00E658D3">
        <w:rPr>
          <w:lang w:val="fr-FR"/>
        </w:rPr>
        <w:t>apport contient le projet de révision de l</w:t>
      </w:r>
      <w:r w:rsidR="00FD45FE" w:rsidRPr="00E658D3">
        <w:rPr>
          <w:lang w:val="fr-FR"/>
        </w:rPr>
        <w:t>'</w:t>
      </w:r>
      <w:r w:rsidR="007F32F6" w:rsidRPr="00E658D3">
        <w:rPr>
          <w:lang w:val="fr-FR"/>
        </w:rPr>
        <w:t xml:space="preserve">Annexe 3 </w:t>
      </w:r>
      <w:r w:rsidR="001A5E36" w:rsidRPr="00E658D3">
        <w:rPr>
          <w:lang w:val="fr-FR"/>
        </w:rPr>
        <w:t>de</w:t>
      </w:r>
      <w:r w:rsidR="007F32F6" w:rsidRPr="00E658D3">
        <w:rPr>
          <w:lang w:val="fr-FR"/>
        </w:rPr>
        <w:t xml:space="preserve"> la Résolution 71, que la Commission demande à la </w:t>
      </w:r>
      <w:r w:rsidR="00445A64" w:rsidRPr="00E658D3">
        <w:rPr>
          <w:lang w:val="fr-FR"/>
        </w:rPr>
        <w:t>p</w:t>
      </w:r>
      <w:r w:rsidR="007F32F6" w:rsidRPr="00E658D3">
        <w:rPr>
          <w:lang w:val="fr-FR"/>
        </w:rPr>
        <w:t>lénière d</w:t>
      </w:r>
      <w:r w:rsidR="00FD45FE" w:rsidRPr="00E658D3">
        <w:rPr>
          <w:lang w:val="fr-FR"/>
        </w:rPr>
        <w:t>'</w:t>
      </w:r>
      <w:r w:rsidR="007F32F6" w:rsidRPr="00E658D3">
        <w:rPr>
          <w:lang w:val="fr-FR"/>
        </w:rPr>
        <w:t xml:space="preserve">approuver en </w:t>
      </w:r>
      <w:r w:rsidR="002005A5" w:rsidRPr="00E658D3">
        <w:rPr>
          <w:lang w:val="fr-FR"/>
        </w:rPr>
        <w:t>approuvant le Document 150</w:t>
      </w:r>
      <w:r w:rsidR="007F32F6" w:rsidRPr="00E658D3">
        <w:rPr>
          <w:lang w:val="fr-FR"/>
        </w:rPr>
        <w:t>.</w:t>
      </w:r>
    </w:p>
    <w:p w14:paraId="39620F55" w14:textId="289A82AB" w:rsidR="000B15A2" w:rsidRPr="00E658D3" w:rsidRDefault="005D3A30" w:rsidP="00663617">
      <w:pPr>
        <w:spacing w:before="200"/>
        <w:rPr>
          <w:lang w:val="fr-FR"/>
        </w:rPr>
      </w:pPr>
      <w:r w:rsidRPr="00E658D3">
        <w:rPr>
          <w:lang w:val="fr-FR"/>
        </w:rPr>
        <w:t>2.2</w:t>
      </w:r>
      <w:r w:rsidRPr="00E658D3">
        <w:rPr>
          <w:lang w:val="fr-FR"/>
        </w:rPr>
        <w:tab/>
      </w:r>
      <w:r w:rsidR="000B15A2" w:rsidRPr="00E658D3">
        <w:rPr>
          <w:lang w:val="fr-FR"/>
        </w:rPr>
        <w:t>Le</w:t>
      </w:r>
      <w:r w:rsidR="000B15A2" w:rsidRPr="00E658D3">
        <w:rPr>
          <w:b/>
          <w:bCs/>
          <w:lang w:val="fr-FR"/>
        </w:rPr>
        <w:t xml:space="preserve"> Président</w:t>
      </w:r>
      <w:r w:rsidR="000B15A2" w:rsidRPr="00E658D3">
        <w:rPr>
          <w:lang w:val="fr-FR"/>
        </w:rPr>
        <w:t xml:space="preserve"> remercie les membres de la Commission </w:t>
      </w:r>
      <w:r w:rsidR="002E43A6" w:rsidRPr="00E658D3">
        <w:rPr>
          <w:lang w:val="fr-FR"/>
        </w:rPr>
        <w:t xml:space="preserve">6 de leur excellent travail, </w:t>
      </w:r>
      <w:r w:rsidR="000B15A2" w:rsidRPr="00E658D3">
        <w:rPr>
          <w:lang w:val="fr-FR"/>
        </w:rPr>
        <w:t>en particulier d'être parvenu</w:t>
      </w:r>
      <w:r w:rsidR="008E3926">
        <w:rPr>
          <w:lang w:val="fr-FR"/>
        </w:rPr>
        <w:t>s</w:t>
      </w:r>
      <w:r w:rsidR="000B15A2" w:rsidRPr="00E658D3">
        <w:rPr>
          <w:lang w:val="fr-FR"/>
        </w:rPr>
        <w:t xml:space="preserve"> à élaborer un </w:t>
      </w:r>
      <w:r w:rsidR="002E43A6" w:rsidRPr="00E658D3">
        <w:rPr>
          <w:lang w:val="fr-FR"/>
        </w:rPr>
        <w:t xml:space="preserve">budget équilibré et </w:t>
      </w:r>
      <w:r w:rsidR="00D50CEB" w:rsidRPr="00E658D3">
        <w:rPr>
          <w:lang w:val="fr-FR"/>
        </w:rPr>
        <w:t xml:space="preserve">un </w:t>
      </w:r>
      <w:r w:rsidR="000B15A2" w:rsidRPr="00E658D3">
        <w:rPr>
          <w:lang w:val="fr-FR"/>
        </w:rPr>
        <w:t xml:space="preserve">plan financier équilibré </w:t>
      </w:r>
      <w:r w:rsidR="00155FF4" w:rsidRPr="00E658D3">
        <w:rPr>
          <w:lang w:val="fr-FR"/>
        </w:rPr>
        <w:t>malgré l</w:t>
      </w:r>
      <w:r w:rsidR="008C1A26" w:rsidRPr="00E658D3">
        <w:rPr>
          <w:lang w:val="fr-FR"/>
        </w:rPr>
        <w:t xml:space="preserve">es </w:t>
      </w:r>
      <w:r w:rsidR="0083654C" w:rsidRPr="00E658D3">
        <w:rPr>
          <w:lang w:val="fr-FR"/>
        </w:rPr>
        <w:t>difficultés imprévues</w:t>
      </w:r>
      <w:r w:rsidR="006107BB" w:rsidRPr="00E658D3">
        <w:rPr>
          <w:lang w:val="fr-FR"/>
        </w:rPr>
        <w:t xml:space="preserve"> </w:t>
      </w:r>
      <w:r w:rsidR="00D50CEB" w:rsidRPr="00E658D3">
        <w:rPr>
          <w:lang w:val="fr-FR"/>
        </w:rPr>
        <w:t xml:space="preserve">annoncées </w:t>
      </w:r>
      <w:r w:rsidR="00155FF4" w:rsidRPr="00E658D3">
        <w:rPr>
          <w:lang w:val="fr-FR"/>
        </w:rPr>
        <w:t>au début de la Conférence.</w:t>
      </w:r>
    </w:p>
    <w:p w14:paraId="01F305FA" w14:textId="383A5090" w:rsidR="00F50ABA" w:rsidRPr="00E658D3" w:rsidRDefault="005D3A30" w:rsidP="00445A64">
      <w:pPr>
        <w:rPr>
          <w:lang w:val="fr-FR"/>
        </w:rPr>
      </w:pPr>
      <w:r w:rsidRPr="00E658D3">
        <w:rPr>
          <w:lang w:val="fr-FR"/>
        </w:rPr>
        <w:t>2.3</w:t>
      </w:r>
      <w:r w:rsidRPr="00E658D3">
        <w:rPr>
          <w:lang w:val="fr-FR"/>
        </w:rPr>
        <w:tab/>
      </w:r>
      <w:r w:rsidR="00F50ABA" w:rsidRPr="00E658D3">
        <w:rPr>
          <w:lang w:val="fr-FR"/>
        </w:rPr>
        <w:t xml:space="preserve">Le </w:t>
      </w:r>
      <w:r w:rsidR="00F50ABA" w:rsidRPr="00E658D3">
        <w:rPr>
          <w:b/>
          <w:bCs/>
          <w:lang w:val="fr-FR"/>
        </w:rPr>
        <w:t>délégué de la République islamique d'Iran</w:t>
      </w:r>
      <w:r w:rsidR="00F50ABA" w:rsidRPr="00E658D3">
        <w:rPr>
          <w:lang w:val="fr-FR"/>
        </w:rPr>
        <w:t>, en tant que vice-p</w:t>
      </w:r>
      <w:r w:rsidR="009E6210" w:rsidRPr="00E658D3">
        <w:rPr>
          <w:lang w:val="fr-FR"/>
        </w:rPr>
        <w:t>résident de</w:t>
      </w:r>
      <w:r w:rsidR="00095209" w:rsidRPr="00E658D3">
        <w:rPr>
          <w:lang w:val="fr-FR"/>
        </w:rPr>
        <w:t xml:space="preserve"> la réunion préparatoire de</w:t>
      </w:r>
      <w:r w:rsidR="009E6210" w:rsidRPr="00E658D3">
        <w:rPr>
          <w:lang w:val="fr-FR"/>
        </w:rPr>
        <w:t xml:space="preserve"> l'APT</w:t>
      </w:r>
      <w:r w:rsidR="00F50ABA" w:rsidRPr="00E658D3">
        <w:rPr>
          <w:lang w:val="fr-FR"/>
        </w:rPr>
        <w:t xml:space="preserve">, </w:t>
      </w:r>
      <w:r w:rsidR="009D1907" w:rsidRPr="00E658D3">
        <w:rPr>
          <w:lang w:val="fr-FR"/>
        </w:rPr>
        <w:t>rend hommage à</w:t>
      </w:r>
      <w:r w:rsidR="00AC2692" w:rsidRPr="00E658D3">
        <w:rPr>
          <w:lang w:val="fr-FR"/>
        </w:rPr>
        <w:t xml:space="preserve"> </w:t>
      </w:r>
      <w:r w:rsidR="00F50ABA" w:rsidRPr="00E658D3">
        <w:rPr>
          <w:lang w:val="fr-FR"/>
        </w:rPr>
        <w:t>la Présidente de la Commission</w:t>
      </w:r>
      <w:r w:rsidR="00A61FBE" w:rsidRPr="00E658D3">
        <w:rPr>
          <w:lang w:val="fr-FR"/>
        </w:rPr>
        <w:t xml:space="preserve"> </w:t>
      </w:r>
      <w:r w:rsidR="00310AE8" w:rsidRPr="00E658D3">
        <w:rPr>
          <w:lang w:val="fr-FR"/>
        </w:rPr>
        <w:t xml:space="preserve">pour sa compétence </w:t>
      </w:r>
      <w:r w:rsidR="00A61FBE" w:rsidRPr="00E658D3">
        <w:rPr>
          <w:lang w:val="fr-FR"/>
        </w:rPr>
        <w:t>et</w:t>
      </w:r>
      <w:r w:rsidR="00F50ABA" w:rsidRPr="00E658D3">
        <w:rPr>
          <w:lang w:val="fr-FR"/>
        </w:rPr>
        <w:t xml:space="preserve"> dit que tou</w:t>
      </w:r>
      <w:r w:rsidRPr="00E658D3">
        <w:rPr>
          <w:lang w:val="fr-FR"/>
        </w:rPr>
        <w:t xml:space="preserve">tes les positions </w:t>
      </w:r>
      <w:r w:rsidR="00F50ABA" w:rsidRPr="00E658D3">
        <w:rPr>
          <w:lang w:val="fr-FR"/>
        </w:rPr>
        <w:t>présenté</w:t>
      </w:r>
      <w:r w:rsidRPr="00E658D3">
        <w:rPr>
          <w:lang w:val="fr-FR"/>
        </w:rPr>
        <w:t>e</w:t>
      </w:r>
      <w:r w:rsidR="00F50ABA" w:rsidRPr="00E658D3">
        <w:rPr>
          <w:lang w:val="fr-FR"/>
        </w:rPr>
        <w:t>s dans le rapport ont été examiné</w:t>
      </w:r>
      <w:r w:rsidRPr="00E658D3">
        <w:rPr>
          <w:lang w:val="fr-FR"/>
        </w:rPr>
        <w:t>e</w:t>
      </w:r>
      <w:r w:rsidR="00F50ABA" w:rsidRPr="00E658D3">
        <w:rPr>
          <w:lang w:val="fr-FR"/>
        </w:rPr>
        <w:t xml:space="preserve">s </w:t>
      </w:r>
      <w:r w:rsidR="003007D3" w:rsidRPr="00E658D3">
        <w:rPr>
          <w:lang w:val="fr-FR"/>
        </w:rPr>
        <w:t>en détail</w:t>
      </w:r>
      <w:r w:rsidR="00F50ABA" w:rsidRPr="00E658D3">
        <w:rPr>
          <w:lang w:val="fr-FR"/>
        </w:rPr>
        <w:t xml:space="preserve"> par la Commission</w:t>
      </w:r>
      <w:r w:rsidR="00A61FBE" w:rsidRPr="00E658D3">
        <w:rPr>
          <w:lang w:val="fr-FR"/>
        </w:rPr>
        <w:t>; il</w:t>
      </w:r>
      <w:r w:rsidR="00F50ABA" w:rsidRPr="00E658D3">
        <w:rPr>
          <w:lang w:val="fr-FR"/>
        </w:rPr>
        <w:t xml:space="preserve"> </w:t>
      </w:r>
      <w:r w:rsidRPr="00E658D3">
        <w:rPr>
          <w:lang w:val="fr-FR"/>
        </w:rPr>
        <w:t xml:space="preserve">propose </w:t>
      </w:r>
      <w:r w:rsidR="003007D3" w:rsidRPr="00E658D3">
        <w:rPr>
          <w:lang w:val="fr-FR"/>
        </w:rPr>
        <w:t xml:space="preserve">donc </w:t>
      </w:r>
      <w:r w:rsidRPr="00E658D3">
        <w:rPr>
          <w:lang w:val="fr-FR"/>
        </w:rPr>
        <w:t xml:space="preserve">que </w:t>
      </w:r>
      <w:r w:rsidR="00F50ABA" w:rsidRPr="00E658D3">
        <w:rPr>
          <w:lang w:val="fr-FR"/>
        </w:rPr>
        <w:t xml:space="preserve">la </w:t>
      </w:r>
      <w:r w:rsidR="00445A64" w:rsidRPr="00E658D3">
        <w:rPr>
          <w:lang w:val="fr-FR"/>
        </w:rPr>
        <w:t>p</w:t>
      </w:r>
      <w:r w:rsidR="009D1907" w:rsidRPr="00E658D3">
        <w:rPr>
          <w:lang w:val="fr-FR"/>
        </w:rPr>
        <w:t>lénière</w:t>
      </w:r>
      <w:r w:rsidR="00A61FBE" w:rsidRPr="00E658D3">
        <w:rPr>
          <w:lang w:val="fr-FR"/>
        </w:rPr>
        <w:t xml:space="preserve"> </w:t>
      </w:r>
      <w:r w:rsidRPr="00E658D3">
        <w:rPr>
          <w:lang w:val="fr-FR"/>
        </w:rPr>
        <w:t>approuve</w:t>
      </w:r>
      <w:r w:rsidR="00F50ABA" w:rsidRPr="00E658D3">
        <w:rPr>
          <w:lang w:val="fr-FR"/>
        </w:rPr>
        <w:t xml:space="preserve"> </w:t>
      </w:r>
      <w:r w:rsidR="00A61FBE" w:rsidRPr="00E658D3">
        <w:rPr>
          <w:lang w:val="fr-FR"/>
        </w:rPr>
        <w:t xml:space="preserve">ce rapport </w:t>
      </w:r>
      <w:r w:rsidR="00F50ABA" w:rsidRPr="00E658D3">
        <w:rPr>
          <w:lang w:val="fr-FR"/>
        </w:rPr>
        <w:t>sans discussion.</w:t>
      </w:r>
    </w:p>
    <w:p w14:paraId="6338EFFB" w14:textId="77777777" w:rsidR="00F50ABA" w:rsidRPr="00E658D3" w:rsidRDefault="005D3A30" w:rsidP="00445A64">
      <w:pPr>
        <w:rPr>
          <w:lang w:val="fr-FR"/>
        </w:rPr>
      </w:pPr>
      <w:r w:rsidRPr="00E658D3">
        <w:rPr>
          <w:lang w:val="fr-FR"/>
        </w:rPr>
        <w:t>2.4</w:t>
      </w:r>
      <w:r w:rsidRPr="00E658D3">
        <w:rPr>
          <w:lang w:val="fr-FR"/>
        </w:rPr>
        <w:tab/>
      </w:r>
      <w:r w:rsidR="00F50ABA" w:rsidRPr="00E658D3">
        <w:rPr>
          <w:lang w:val="fr-FR"/>
        </w:rPr>
        <w:t xml:space="preserve">Le </w:t>
      </w:r>
      <w:r w:rsidR="00057439" w:rsidRPr="00E658D3">
        <w:rPr>
          <w:lang w:val="fr-FR"/>
        </w:rPr>
        <w:t>r</w:t>
      </w:r>
      <w:r w:rsidR="00F50ABA" w:rsidRPr="00E658D3">
        <w:rPr>
          <w:lang w:val="fr-FR"/>
        </w:rPr>
        <w:t xml:space="preserve">apport de la Présidente de la Commission 6 (Document 150) est </w:t>
      </w:r>
      <w:r w:rsidR="00F50ABA" w:rsidRPr="00E658D3">
        <w:rPr>
          <w:b/>
          <w:bCs/>
          <w:lang w:val="fr-FR"/>
        </w:rPr>
        <w:t>approuvé</w:t>
      </w:r>
      <w:r w:rsidR="00F50ABA" w:rsidRPr="00E658D3">
        <w:rPr>
          <w:lang w:val="fr-FR"/>
        </w:rPr>
        <w:t>.</w:t>
      </w:r>
      <w:r w:rsidR="00277310" w:rsidRPr="00E658D3">
        <w:rPr>
          <w:lang w:val="fr-FR"/>
        </w:rPr>
        <w:t xml:space="preserve"> </w:t>
      </w:r>
    </w:p>
    <w:p w14:paraId="1A5B57D0" w14:textId="18E49FD7" w:rsidR="00342EF6" w:rsidRPr="00E658D3" w:rsidRDefault="00F50ABA" w:rsidP="00445A64">
      <w:pPr>
        <w:pStyle w:val="Heading1"/>
        <w:rPr>
          <w:lang w:val="fr-FR"/>
        </w:rPr>
      </w:pPr>
      <w:r w:rsidRPr="00E658D3">
        <w:rPr>
          <w:lang w:val="fr-FR"/>
        </w:rPr>
        <w:t>3</w:t>
      </w:r>
      <w:r w:rsidR="00342EF6" w:rsidRPr="00E658D3">
        <w:rPr>
          <w:lang w:val="fr-FR"/>
        </w:rPr>
        <w:tab/>
        <w:t xml:space="preserve">Rapport du Président du Groupe de travail de la </w:t>
      </w:r>
      <w:r w:rsidR="00C42F57">
        <w:rPr>
          <w:lang w:val="fr-FR"/>
        </w:rPr>
        <w:t>p</w:t>
      </w:r>
      <w:r w:rsidR="00342EF6" w:rsidRPr="00E658D3">
        <w:rPr>
          <w:lang w:val="fr-FR"/>
        </w:rPr>
        <w:t xml:space="preserve">lénière </w:t>
      </w:r>
      <w:r w:rsidR="00735652" w:rsidRPr="00E658D3">
        <w:rPr>
          <w:lang w:val="fr-FR"/>
        </w:rPr>
        <w:t>(Document</w:t>
      </w:r>
      <w:r w:rsidR="00445A64">
        <w:rPr>
          <w:lang w:val="fr-FR"/>
        </w:rPr>
        <w:t> </w:t>
      </w:r>
      <w:r w:rsidR="00735652" w:rsidRPr="00E658D3">
        <w:rPr>
          <w:lang w:val="fr-FR"/>
        </w:rPr>
        <w:t>164</w:t>
      </w:r>
      <w:r w:rsidR="00445A64">
        <w:rPr>
          <w:lang w:val="fr-FR"/>
        </w:rPr>
        <w:t> </w:t>
      </w:r>
      <w:r w:rsidR="00735652" w:rsidRPr="00E658D3">
        <w:rPr>
          <w:lang w:val="fr-FR"/>
        </w:rPr>
        <w:t>(Rév.1)</w:t>
      </w:r>
      <w:r w:rsidR="00BA2BB3" w:rsidRPr="00E658D3">
        <w:rPr>
          <w:lang w:val="fr-FR"/>
        </w:rPr>
        <w:t>)</w:t>
      </w:r>
    </w:p>
    <w:p w14:paraId="3D44990F" w14:textId="4B8B2FB0" w:rsidR="00057439" w:rsidRPr="00E658D3" w:rsidRDefault="005D3A30" w:rsidP="00445A64">
      <w:pPr>
        <w:keepNext/>
        <w:keepLines/>
        <w:rPr>
          <w:lang w:val="fr-FR"/>
        </w:rPr>
      </w:pPr>
      <w:r w:rsidRPr="00E658D3">
        <w:rPr>
          <w:lang w:val="fr-FR"/>
        </w:rPr>
        <w:t>3.1</w:t>
      </w:r>
      <w:r w:rsidRPr="00E658D3">
        <w:rPr>
          <w:lang w:val="fr-FR"/>
        </w:rPr>
        <w:tab/>
      </w:r>
      <w:r w:rsidR="00735652" w:rsidRPr="00E658D3">
        <w:rPr>
          <w:lang w:val="fr-FR"/>
        </w:rPr>
        <w:t>Le</w:t>
      </w:r>
      <w:r w:rsidR="00735652" w:rsidRPr="00E658D3">
        <w:rPr>
          <w:b/>
          <w:bCs/>
          <w:lang w:val="fr-FR"/>
        </w:rPr>
        <w:t xml:space="preserve"> Présid</w:t>
      </w:r>
      <w:r w:rsidR="00C42F57">
        <w:rPr>
          <w:b/>
          <w:bCs/>
          <w:lang w:val="fr-FR"/>
        </w:rPr>
        <w:t>ent du Groupe de travail de la p</w:t>
      </w:r>
      <w:r w:rsidR="00735652" w:rsidRPr="00E658D3">
        <w:rPr>
          <w:b/>
          <w:bCs/>
          <w:lang w:val="fr-FR"/>
        </w:rPr>
        <w:t>lénière</w:t>
      </w:r>
      <w:r w:rsidR="00735652" w:rsidRPr="00E658D3">
        <w:rPr>
          <w:lang w:val="fr-FR"/>
        </w:rPr>
        <w:t xml:space="preserve">, présentant </w:t>
      </w:r>
      <w:r w:rsidR="006F196E" w:rsidRPr="00E658D3">
        <w:rPr>
          <w:lang w:val="fr-FR"/>
        </w:rPr>
        <w:t>le</w:t>
      </w:r>
      <w:r w:rsidR="00735652" w:rsidRPr="00E658D3">
        <w:rPr>
          <w:lang w:val="fr-FR"/>
        </w:rPr>
        <w:t xml:space="preserve"> Document 164 (Rév.1),</w:t>
      </w:r>
      <w:r w:rsidR="006F196E" w:rsidRPr="00E658D3">
        <w:rPr>
          <w:lang w:val="fr-FR"/>
        </w:rPr>
        <w:t xml:space="preserve"> </w:t>
      </w:r>
      <w:r w:rsidR="00C27EAB" w:rsidRPr="00E658D3">
        <w:rPr>
          <w:lang w:val="fr-FR"/>
        </w:rPr>
        <w:t>rappelle le mandat du G</w:t>
      </w:r>
      <w:r w:rsidR="00473998" w:rsidRPr="00E658D3">
        <w:rPr>
          <w:lang w:val="fr-FR"/>
        </w:rPr>
        <w:t>roupe et indique qu'il a tenu 12 séances au cours desquelles 85</w:t>
      </w:r>
      <w:r w:rsidR="00445A64">
        <w:rPr>
          <w:lang w:val="fr-FR"/>
        </w:rPr>
        <w:t> </w:t>
      </w:r>
      <w:r w:rsidR="00473998" w:rsidRPr="00E658D3">
        <w:rPr>
          <w:lang w:val="fr-FR"/>
        </w:rPr>
        <w:t>propositions d'Etats Membres ont été examinées.</w:t>
      </w:r>
      <w:r w:rsidR="00176922" w:rsidRPr="00E658D3">
        <w:rPr>
          <w:lang w:val="fr-FR"/>
        </w:rPr>
        <w:t xml:space="preserve"> Dix groupes ad hoc </w:t>
      </w:r>
      <w:r w:rsidR="007261C8" w:rsidRPr="00E658D3">
        <w:rPr>
          <w:lang w:val="fr-FR"/>
        </w:rPr>
        <w:t xml:space="preserve">ont été établis </w:t>
      </w:r>
      <w:r w:rsidR="006F51FE" w:rsidRPr="00E658D3">
        <w:rPr>
          <w:lang w:val="fr-FR"/>
        </w:rPr>
        <w:t xml:space="preserve">et </w:t>
      </w:r>
      <w:r w:rsidR="00164602" w:rsidRPr="00E658D3">
        <w:rPr>
          <w:lang w:val="fr-FR"/>
        </w:rPr>
        <w:t xml:space="preserve">quelque </w:t>
      </w:r>
      <w:r w:rsidR="006F51FE" w:rsidRPr="00E658D3">
        <w:rPr>
          <w:lang w:val="fr-FR"/>
        </w:rPr>
        <w:t xml:space="preserve">onze </w:t>
      </w:r>
      <w:r w:rsidR="007261C8" w:rsidRPr="00E658D3">
        <w:rPr>
          <w:lang w:val="fr-FR"/>
        </w:rPr>
        <w:t>exercices</w:t>
      </w:r>
      <w:r w:rsidR="006F51FE" w:rsidRPr="00E658D3">
        <w:rPr>
          <w:lang w:val="fr-FR"/>
        </w:rPr>
        <w:t xml:space="preserve"> de synthèse </w:t>
      </w:r>
      <w:r w:rsidR="009D1907" w:rsidRPr="00E658D3">
        <w:rPr>
          <w:lang w:val="fr-FR"/>
        </w:rPr>
        <w:t xml:space="preserve">ont été </w:t>
      </w:r>
      <w:r w:rsidR="007261C8" w:rsidRPr="00E658D3">
        <w:rPr>
          <w:lang w:val="fr-FR"/>
        </w:rPr>
        <w:t>réalisés</w:t>
      </w:r>
      <w:r w:rsidR="00164602" w:rsidRPr="00E658D3">
        <w:rPr>
          <w:lang w:val="fr-FR"/>
        </w:rPr>
        <w:t>.</w:t>
      </w:r>
      <w:r w:rsidR="006F51FE" w:rsidRPr="00E658D3">
        <w:rPr>
          <w:lang w:val="fr-FR"/>
        </w:rPr>
        <w:t xml:space="preserve"> </w:t>
      </w:r>
      <w:r w:rsidR="00794C88" w:rsidRPr="00E658D3">
        <w:rPr>
          <w:lang w:val="fr-FR"/>
        </w:rPr>
        <w:t xml:space="preserve">Tous les résultats ont été obtenus par consensus. </w:t>
      </w:r>
      <w:r w:rsidR="009D1907" w:rsidRPr="00E658D3">
        <w:rPr>
          <w:lang w:val="fr-FR"/>
        </w:rPr>
        <w:t xml:space="preserve">Le Groupe de travail de la </w:t>
      </w:r>
      <w:r w:rsidR="00445A64" w:rsidRPr="00E658D3">
        <w:rPr>
          <w:lang w:val="fr-FR"/>
        </w:rPr>
        <w:t>p</w:t>
      </w:r>
      <w:r w:rsidR="00164602" w:rsidRPr="00E658D3">
        <w:rPr>
          <w:lang w:val="fr-FR"/>
        </w:rPr>
        <w:t>lénière a appr</w:t>
      </w:r>
      <w:r w:rsidR="009D1907" w:rsidRPr="00E658D3">
        <w:rPr>
          <w:lang w:val="fr-FR"/>
        </w:rPr>
        <w:t>ouvé neuf</w:t>
      </w:r>
      <w:r w:rsidR="00C44535" w:rsidRPr="00E658D3">
        <w:rPr>
          <w:lang w:val="fr-FR"/>
        </w:rPr>
        <w:t xml:space="preserve"> </w:t>
      </w:r>
      <w:r w:rsidR="00445A64" w:rsidRPr="00E658D3">
        <w:rPr>
          <w:lang w:val="fr-FR"/>
        </w:rPr>
        <w:t>r</w:t>
      </w:r>
      <w:r w:rsidR="00C44535" w:rsidRPr="00E658D3">
        <w:rPr>
          <w:lang w:val="fr-FR"/>
        </w:rPr>
        <w:t xml:space="preserve">ésolutions nouvelles, </w:t>
      </w:r>
      <w:r w:rsidR="00164602" w:rsidRPr="00E658D3">
        <w:rPr>
          <w:lang w:val="fr-FR"/>
        </w:rPr>
        <w:t xml:space="preserve">mis à jour 21 </w:t>
      </w:r>
      <w:r w:rsidR="00445A64" w:rsidRPr="00E658D3">
        <w:rPr>
          <w:lang w:val="fr-FR"/>
        </w:rPr>
        <w:t>r</w:t>
      </w:r>
      <w:r w:rsidR="00164602" w:rsidRPr="00E658D3">
        <w:rPr>
          <w:lang w:val="fr-FR"/>
        </w:rPr>
        <w:t>ésolutions e</w:t>
      </w:r>
      <w:r w:rsidR="009D1907" w:rsidRPr="00E658D3">
        <w:rPr>
          <w:lang w:val="fr-FR"/>
        </w:rPr>
        <w:t>t une</w:t>
      </w:r>
      <w:r w:rsidR="00C44535" w:rsidRPr="00E658D3">
        <w:rPr>
          <w:lang w:val="fr-FR"/>
        </w:rPr>
        <w:t xml:space="preserve"> </w:t>
      </w:r>
      <w:r w:rsidR="00445A64" w:rsidRPr="00E658D3">
        <w:rPr>
          <w:lang w:val="fr-FR"/>
        </w:rPr>
        <w:t>d</w:t>
      </w:r>
      <w:r w:rsidR="00C44535" w:rsidRPr="00E658D3">
        <w:rPr>
          <w:lang w:val="fr-FR"/>
        </w:rPr>
        <w:t>écision, et</w:t>
      </w:r>
      <w:r w:rsidR="00164602" w:rsidRPr="00E658D3">
        <w:rPr>
          <w:lang w:val="fr-FR"/>
        </w:rPr>
        <w:t xml:space="preserve"> décidé de </w:t>
      </w:r>
      <w:r w:rsidR="009D1907" w:rsidRPr="00E658D3">
        <w:rPr>
          <w:lang w:val="fr-FR"/>
        </w:rPr>
        <w:t>supprimer deux</w:t>
      </w:r>
      <w:r w:rsidR="00164602" w:rsidRPr="00E658D3">
        <w:rPr>
          <w:lang w:val="fr-FR"/>
        </w:rPr>
        <w:t xml:space="preserve"> </w:t>
      </w:r>
      <w:r w:rsidR="00445A64" w:rsidRPr="00E658D3">
        <w:rPr>
          <w:lang w:val="fr-FR"/>
        </w:rPr>
        <w:t>r</w:t>
      </w:r>
      <w:r w:rsidR="00164602" w:rsidRPr="00E658D3">
        <w:rPr>
          <w:lang w:val="fr-FR"/>
        </w:rPr>
        <w:t>ésolutions</w:t>
      </w:r>
      <w:r w:rsidR="009D1907" w:rsidRPr="00E658D3">
        <w:rPr>
          <w:lang w:val="fr-FR"/>
        </w:rPr>
        <w:t xml:space="preserve"> (voir </w:t>
      </w:r>
      <w:r w:rsidR="004D004E" w:rsidRPr="00E658D3">
        <w:rPr>
          <w:lang w:val="fr-FR"/>
        </w:rPr>
        <w:t>Annexe</w:t>
      </w:r>
      <w:r w:rsidR="007F230C" w:rsidRPr="00E658D3">
        <w:rPr>
          <w:lang w:val="fr-FR"/>
        </w:rPr>
        <w:t xml:space="preserve"> 1</w:t>
      </w:r>
      <w:r w:rsidRPr="00E658D3">
        <w:rPr>
          <w:lang w:val="fr-FR"/>
        </w:rPr>
        <w:t xml:space="preserve"> du Rapport</w:t>
      </w:r>
      <w:r w:rsidR="009D1907" w:rsidRPr="00E658D3">
        <w:rPr>
          <w:lang w:val="fr-FR"/>
        </w:rPr>
        <w:t>)</w:t>
      </w:r>
      <w:r w:rsidR="00164602" w:rsidRPr="00E658D3">
        <w:rPr>
          <w:lang w:val="fr-FR"/>
        </w:rPr>
        <w:t xml:space="preserve">. </w:t>
      </w:r>
      <w:r w:rsidR="004D004E" w:rsidRPr="00E658D3">
        <w:rPr>
          <w:lang w:val="fr-FR"/>
        </w:rPr>
        <w:t>L</w:t>
      </w:r>
      <w:r w:rsidR="00401216" w:rsidRPr="00E658D3">
        <w:rPr>
          <w:lang w:val="fr-FR"/>
        </w:rPr>
        <w:t>'Annexe 2</w:t>
      </w:r>
      <w:r w:rsidRPr="00E658D3">
        <w:rPr>
          <w:lang w:val="fr-FR"/>
        </w:rPr>
        <w:t xml:space="preserve"> du Rapport</w:t>
      </w:r>
      <w:r w:rsidR="00401216" w:rsidRPr="00E658D3">
        <w:rPr>
          <w:lang w:val="fr-FR"/>
        </w:rPr>
        <w:t xml:space="preserve"> contient des</w:t>
      </w:r>
      <w:r w:rsidR="00164602" w:rsidRPr="00E658D3">
        <w:rPr>
          <w:lang w:val="fr-FR"/>
        </w:rPr>
        <w:t xml:space="preserve"> déclar</w:t>
      </w:r>
      <w:r w:rsidR="00401216" w:rsidRPr="00E658D3">
        <w:rPr>
          <w:lang w:val="fr-FR"/>
        </w:rPr>
        <w:t>ations</w:t>
      </w:r>
      <w:r w:rsidR="009A446F" w:rsidRPr="00E658D3">
        <w:rPr>
          <w:lang w:val="fr-FR"/>
        </w:rPr>
        <w:t xml:space="preserve"> qui ont été</w:t>
      </w:r>
      <w:r w:rsidR="00164602" w:rsidRPr="00E658D3">
        <w:rPr>
          <w:lang w:val="fr-FR"/>
        </w:rPr>
        <w:t xml:space="preserve"> soumises en vue d'être intégrées dans le rapport</w:t>
      </w:r>
      <w:r w:rsidR="00057439" w:rsidRPr="00E658D3">
        <w:rPr>
          <w:lang w:val="fr-FR"/>
        </w:rPr>
        <w:t>:</w:t>
      </w:r>
      <w:r w:rsidR="001A5E36" w:rsidRPr="00E658D3">
        <w:rPr>
          <w:lang w:val="fr-FR"/>
        </w:rPr>
        <w:t xml:space="preserve"> </w:t>
      </w:r>
      <w:r w:rsidR="00057439" w:rsidRPr="00E658D3">
        <w:rPr>
          <w:lang w:val="fr-FR"/>
        </w:rPr>
        <w:t>une déclaration faite par le délégué de l</w:t>
      </w:r>
      <w:r w:rsidR="00FD45FE" w:rsidRPr="00E658D3">
        <w:rPr>
          <w:lang w:val="fr-FR"/>
        </w:rPr>
        <w:t>'</w:t>
      </w:r>
      <w:r w:rsidR="00057439" w:rsidRPr="00E658D3">
        <w:rPr>
          <w:lang w:val="fr-FR"/>
        </w:rPr>
        <w:t>Inde, concernant l</w:t>
      </w:r>
      <w:r w:rsidR="00FD45FE" w:rsidRPr="00E658D3">
        <w:rPr>
          <w:lang w:val="fr-FR"/>
        </w:rPr>
        <w:t>'</w:t>
      </w:r>
      <w:r w:rsidR="00057439" w:rsidRPr="00E658D3">
        <w:rPr>
          <w:lang w:val="fr-FR"/>
        </w:rPr>
        <w:t>approbation des Résolutions 101, 102, 133 et 180 révisées</w:t>
      </w:r>
      <w:r w:rsidR="00E658D3">
        <w:rPr>
          <w:lang w:val="fr-FR"/>
        </w:rPr>
        <w:t>;</w:t>
      </w:r>
      <w:r w:rsidR="00057439" w:rsidRPr="00E658D3">
        <w:rPr>
          <w:lang w:val="fr-FR"/>
        </w:rPr>
        <w:t xml:space="preserve"> une déclaration faite par la déléguée de l</w:t>
      </w:r>
      <w:r w:rsidR="00FD45FE" w:rsidRPr="00E658D3">
        <w:rPr>
          <w:lang w:val="fr-FR"/>
        </w:rPr>
        <w:t>'</w:t>
      </w:r>
      <w:r w:rsidR="00057439" w:rsidRPr="00E658D3">
        <w:rPr>
          <w:lang w:val="fr-FR"/>
        </w:rPr>
        <w:t>Australie, Présidente du Groupe ad</w:t>
      </w:r>
      <w:r w:rsidR="00445A64">
        <w:rPr>
          <w:lang w:val="fr-FR"/>
        </w:rPr>
        <w:t> </w:t>
      </w:r>
      <w:r w:rsidR="00057439" w:rsidRPr="00E658D3">
        <w:rPr>
          <w:lang w:val="fr-FR"/>
        </w:rPr>
        <w:t>hoc du Groupe de travail de la plénière sur la Décision 11</w:t>
      </w:r>
      <w:r w:rsidR="00E658D3">
        <w:rPr>
          <w:lang w:val="fr-FR"/>
        </w:rPr>
        <w:t>;</w:t>
      </w:r>
      <w:r w:rsidR="00057439" w:rsidRPr="00E658D3">
        <w:rPr>
          <w:lang w:val="fr-FR"/>
        </w:rPr>
        <w:t xml:space="preserve"> et une déclaration faite par la délégation de l</w:t>
      </w:r>
      <w:r w:rsidR="00FD45FE" w:rsidRPr="00E658D3">
        <w:rPr>
          <w:lang w:val="fr-FR"/>
        </w:rPr>
        <w:t>'</w:t>
      </w:r>
      <w:r w:rsidR="00057439" w:rsidRPr="00E658D3">
        <w:rPr>
          <w:lang w:val="fr-FR"/>
        </w:rPr>
        <w:t>Argentine, au nom de la CITEL, concernant le retrait d</w:t>
      </w:r>
      <w:r w:rsidR="00FD45FE" w:rsidRPr="00E658D3">
        <w:rPr>
          <w:lang w:val="fr-FR"/>
        </w:rPr>
        <w:t>'</w:t>
      </w:r>
      <w:r w:rsidR="00057439" w:rsidRPr="00E658D3">
        <w:rPr>
          <w:lang w:val="fr-FR"/>
        </w:rPr>
        <w:t>un projet de nouvelle Résolution relatif au multilinguisme sur l</w:t>
      </w:r>
      <w:r w:rsidR="00FD45FE" w:rsidRPr="00E658D3">
        <w:rPr>
          <w:lang w:val="fr-FR"/>
        </w:rPr>
        <w:t>'</w:t>
      </w:r>
      <w:r w:rsidR="00057439" w:rsidRPr="00E658D3">
        <w:rPr>
          <w:lang w:val="fr-FR"/>
        </w:rPr>
        <w:t>Internet.</w:t>
      </w:r>
    </w:p>
    <w:p w14:paraId="0BB0ADC4" w14:textId="594BA8DB" w:rsidR="00C17B2C" w:rsidRPr="00E658D3" w:rsidRDefault="005D3A30" w:rsidP="00445A64">
      <w:pPr>
        <w:rPr>
          <w:lang w:val="fr-FR"/>
        </w:rPr>
      </w:pPr>
      <w:r w:rsidRPr="00E658D3">
        <w:rPr>
          <w:lang w:val="fr-FR"/>
        </w:rPr>
        <w:t>3.2</w:t>
      </w:r>
      <w:r w:rsidRPr="00E658D3">
        <w:rPr>
          <w:lang w:val="fr-FR"/>
        </w:rPr>
        <w:tab/>
      </w:r>
      <w:r w:rsidR="00C17B2C" w:rsidRPr="00E658D3">
        <w:rPr>
          <w:lang w:val="fr-FR"/>
        </w:rPr>
        <w:t>Le</w:t>
      </w:r>
      <w:r w:rsidR="00C17B2C" w:rsidRPr="00E658D3">
        <w:rPr>
          <w:b/>
          <w:bCs/>
          <w:lang w:val="fr-FR"/>
        </w:rPr>
        <w:t xml:space="preserve"> Président</w:t>
      </w:r>
      <w:r w:rsidR="00C17B2C" w:rsidRPr="00E658D3">
        <w:rPr>
          <w:lang w:val="fr-FR"/>
        </w:rPr>
        <w:t xml:space="preserve"> remercie les membres </w:t>
      </w:r>
      <w:r w:rsidR="008F4E36" w:rsidRPr="00E658D3">
        <w:rPr>
          <w:lang w:val="fr-FR"/>
        </w:rPr>
        <w:t xml:space="preserve">du Groupe de travail de la </w:t>
      </w:r>
      <w:r w:rsidR="00445A64" w:rsidRPr="00E658D3">
        <w:rPr>
          <w:lang w:val="fr-FR"/>
        </w:rPr>
        <w:t>p</w:t>
      </w:r>
      <w:r w:rsidR="00C17B2C" w:rsidRPr="00E658D3">
        <w:rPr>
          <w:lang w:val="fr-FR"/>
        </w:rPr>
        <w:t>lénière de leur</w:t>
      </w:r>
      <w:r w:rsidR="00794C88" w:rsidRPr="00E658D3">
        <w:rPr>
          <w:lang w:val="fr-FR"/>
        </w:rPr>
        <w:t xml:space="preserve"> excellent</w:t>
      </w:r>
      <w:r w:rsidR="00C17B2C" w:rsidRPr="00E658D3">
        <w:rPr>
          <w:lang w:val="fr-FR"/>
        </w:rPr>
        <w:t xml:space="preserve"> travail, précieux pour l'Union. Il croit comprendre, en l'absence de commentaires, que le rapport </w:t>
      </w:r>
      <w:r w:rsidR="00550570" w:rsidRPr="00E658D3">
        <w:rPr>
          <w:lang w:val="fr-FR"/>
        </w:rPr>
        <w:t>recu</w:t>
      </w:r>
      <w:r w:rsidR="00E62BDE" w:rsidRPr="00E658D3">
        <w:rPr>
          <w:lang w:val="fr-FR"/>
        </w:rPr>
        <w:t>e</w:t>
      </w:r>
      <w:r w:rsidR="00550570" w:rsidRPr="00E658D3">
        <w:rPr>
          <w:lang w:val="fr-FR"/>
        </w:rPr>
        <w:t>ille l'assentiment général.</w:t>
      </w:r>
    </w:p>
    <w:p w14:paraId="1406FF77" w14:textId="13334E55" w:rsidR="00C17B2C" w:rsidRPr="00E658D3" w:rsidRDefault="005D3A30" w:rsidP="00445A64">
      <w:pPr>
        <w:rPr>
          <w:b/>
          <w:bCs/>
          <w:lang w:val="fr-FR"/>
        </w:rPr>
      </w:pPr>
      <w:r w:rsidRPr="00E658D3">
        <w:rPr>
          <w:lang w:val="fr-FR"/>
        </w:rPr>
        <w:t>3.3</w:t>
      </w:r>
      <w:r w:rsidRPr="00E658D3">
        <w:rPr>
          <w:lang w:val="fr-FR"/>
        </w:rPr>
        <w:tab/>
      </w:r>
      <w:r w:rsidR="00C17B2C" w:rsidRPr="00E658D3">
        <w:rPr>
          <w:lang w:val="fr-FR"/>
        </w:rPr>
        <w:t xml:space="preserve">Le Rapport du Président du Groupe de travail de la </w:t>
      </w:r>
      <w:r w:rsidR="00445A64" w:rsidRPr="00E658D3">
        <w:rPr>
          <w:lang w:val="fr-FR"/>
        </w:rPr>
        <w:t>p</w:t>
      </w:r>
      <w:r w:rsidR="00C17B2C" w:rsidRPr="00E658D3">
        <w:rPr>
          <w:lang w:val="fr-FR"/>
        </w:rPr>
        <w:t>lénière (Document 150</w:t>
      </w:r>
      <w:r w:rsidRPr="00E658D3">
        <w:rPr>
          <w:lang w:val="fr-FR"/>
        </w:rPr>
        <w:t xml:space="preserve"> (Rév.1)</w:t>
      </w:r>
      <w:r w:rsidR="00C17B2C" w:rsidRPr="00E658D3">
        <w:rPr>
          <w:lang w:val="fr-FR"/>
        </w:rPr>
        <w:t xml:space="preserve">) est </w:t>
      </w:r>
      <w:r w:rsidR="00C17B2C" w:rsidRPr="00E658D3">
        <w:rPr>
          <w:b/>
          <w:bCs/>
          <w:lang w:val="fr-FR"/>
        </w:rPr>
        <w:t>approuvé</w:t>
      </w:r>
      <w:r w:rsidR="00057439" w:rsidRPr="00445A64">
        <w:rPr>
          <w:lang w:val="fr-FR"/>
        </w:rPr>
        <w:t xml:space="preserve">, </w:t>
      </w:r>
      <w:r w:rsidR="00057439" w:rsidRPr="00E658D3">
        <w:rPr>
          <w:lang w:val="fr-FR"/>
        </w:rPr>
        <w:t>et les déclarations figurant dans l</w:t>
      </w:r>
      <w:r w:rsidR="00FD45FE" w:rsidRPr="00E658D3">
        <w:rPr>
          <w:lang w:val="fr-FR"/>
        </w:rPr>
        <w:t>'</w:t>
      </w:r>
      <w:r w:rsidR="00057439" w:rsidRPr="00E658D3">
        <w:rPr>
          <w:lang w:val="fr-FR"/>
        </w:rPr>
        <w:t>Annexe 2 du Rapport sont</w:t>
      </w:r>
      <w:r w:rsidR="00057439" w:rsidRPr="00E658D3">
        <w:rPr>
          <w:b/>
          <w:bCs/>
          <w:lang w:val="fr-FR"/>
        </w:rPr>
        <w:t xml:space="preserve"> notées</w:t>
      </w:r>
      <w:r w:rsidR="00057439" w:rsidRPr="00445A64">
        <w:rPr>
          <w:lang w:val="fr-FR"/>
        </w:rPr>
        <w:t>.</w:t>
      </w:r>
    </w:p>
    <w:p w14:paraId="6B8321BD" w14:textId="6BCD37A1" w:rsidR="007F230C" w:rsidRPr="00E658D3" w:rsidRDefault="005D3A30" w:rsidP="00445A64">
      <w:pPr>
        <w:rPr>
          <w:lang w:val="fr-FR"/>
        </w:rPr>
      </w:pPr>
      <w:r w:rsidRPr="00E658D3">
        <w:rPr>
          <w:lang w:val="fr-FR"/>
        </w:rPr>
        <w:t>3.4</w:t>
      </w:r>
      <w:r w:rsidRPr="00E658D3">
        <w:rPr>
          <w:lang w:val="fr-FR"/>
        </w:rPr>
        <w:tab/>
      </w:r>
      <w:r w:rsidR="007F230C" w:rsidRPr="00E658D3">
        <w:rPr>
          <w:lang w:val="fr-FR"/>
        </w:rPr>
        <w:t>Le</w:t>
      </w:r>
      <w:r w:rsidR="007F230C" w:rsidRPr="00E658D3">
        <w:rPr>
          <w:b/>
          <w:bCs/>
          <w:lang w:val="fr-FR"/>
        </w:rPr>
        <w:t xml:space="preserve"> délégué de la Tunisie</w:t>
      </w:r>
      <w:r w:rsidR="00AC2692" w:rsidRPr="00E658D3">
        <w:rPr>
          <w:lang w:val="fr-FR"/>
        </w:rPr>
        <w:t xml:space="preserve"> adresse</w:t>
      </w:r>
      <w:r w:rsidR="007F230C" w:rsidRPr="00E658D3">
        <w:rPr>
          <w:lang w:val="fr-FR"/>
        </w:rPr>
        <w:t xml:space="preserve"> ses </w:t>
      </w:r>
      <w:r w:rsidR="00E415A1" w:rsidRPr="00E658D3">
        <w:rPr>
          <w:lang w:val="fr-FR"/>
        </w:rPr>
        <w:t>félicitations</w:t>
      </w:r>
      <w:r w:rsidR="007F230C" w:rsidRPr="00E658D3">
        <w:rPr>
          <w:lang w:val="fr-FR"/>
        </w:rPr>
        <w:t xml:space="preserve"> au Président du Groupe de travail de la </w:t>
      </w:r>
      <w:r w:rsidR="00445A64" w:rsidRPr="00E658D3">
        <w:rPr>
          <w:lang w:val="fr-FR"/>
        </w:rPr>
        <w:t>p</w:t>
      </w:r>
      <w:r w:rsidR="007F230C" w:rsidRPr="00E658D3">
        <w:rPr>
          <w:lang w:val="fr-FR"/>
        </w:rPr>
        <w:t>lénière</w:t>
      </w:r>
      <w:r w:rsidR="00AC2692" w:rsidRPr="00E658D3">
        <w:rPr>
          <w:lang w:val="fr-FR"/>
        </w:rPr>
        <w:t xml:space="preserve"> </w:t>
      </w:r>
      <w:r w:rsidR="00E415A1" w:rsidRPr="00E658D3">
        <w:rPr>
          <w:lang w:val="fr-FR"/>
        </w:rPr>
        <w:t>pour l'immense</w:t>
      </w:r>
      <w:r w:rsidR="00310AE8" w:rsidRPr="00E658D3">
        <w:rPr>
          <w:lang w:val="fr-FR"/>
        </w:rPr>
        <w:t xml:space="preserve"> travail qu'il</w:t>
      </w:r>
      <w:r w:rsidRPr="00E658D3">
        <w:rPr>
          <w:lang w:val="fr-FR"/>
        </w:rPr>
        <w:t xml:space="preserve"> a accompli et l</w:t>
      </w:r>
      <w:r w:rsidR="00FD45FE" w:rsidRPr="00E658D3">
        <w:rPr>
          <w:lang w:val="fr-FR"/>
        </w:rPr>
        <w:t>'</w:t>
      </w:r>
      <w:r w:rsidR="00E415A1" w:rsidRPr="00E658D3">
        <w:rPr>
          <w:lang w:val="fr-FR"/>
        </w:rPr>
        <w:t xml:space="preserve">approche </w:t>
      </w:r>
      <w:r w:rsidRPr="00E658D3">
        <w:rPr>
          <w:lang w:val="fr-FR"/>
        </w:rPr>
        <w:t xml:space="preserve">suivie </w:t>
      </w:r>
      <w:r w:rsidR="00310AE8" w:rsidRPr="00E658D3">
        <w:rPr>
          <w:lang w:val="fr-FR"/>
        </w:rPr>
        <w:t>dans le traitement de</w:t>
      </w:r>
      <w:r w:rsidR="00E415A1" w:rsidRPr="00E658D3">
        <w:rPr>
          <w:lang w:val="fr-FR"/>
        </w:rPr>
        <w:t xml:space="preserve"> documents très délicats. </w:t>
      </w:r>
    </w:p>
    <w:p w14:paraId="20B241A1" w14:textId="77777777" w:rsidR="00342EF6" w:rsidRPr="00E658D3" w:rsidRDefault="00F616B6" w:rsidP="00445A64">
      <w:pPr>
        <w:pStyle w:val="Heading1"/>
        <w:rPr>
          <w:lang w:val="fr-FR"/>
        </w:rPr>
      </w:pPr>
      <w:r w:rsidRPr="00E658D3">
        <w:rPr>
          <w:lang w:val="fr-FR"/>
        </w:rPr>
        <w:t>4</w:t>
      </w:r>
      <w:r w:rsidR="00342EF6" w:rsidRPr="00E658D3">
        <w:rPr>
          <w:lang w:val="fr-FR"/>
        </w:rPr>
        <w:tab/>
      </w:r>
      <w:r w:rsidR="005D3A30" w:rsidRPr="00E658D3">
        <w:rPr>
          <w:lang w:val="fr-FR"/>
        </w:rPr>
        <w:t>Suppression de la Résolution 163 (Guadalajara, 2010) en première et deuxième lecture</w:t>
      </w:r>
      <w:r w:rsidRPr="00E658D3">
        <w:rPr>
          <w:lang w:val="fr-FR"/>
        </w:rPr>
        <w:t xml:space="preserve"> (Document 126)</w:t>
      </w:r>
    </w:p>
    <w:p w14:paraId="718C7B9A" w14:textId="2716DE88" w:rsidR="00C15D97" w:rsidRPr="00E658D3" w:rsidRDefault="00C15D97" w:rsidP="00445A64">
      <w:pPr>
        <w:pStyle w:val="Headingb"/>
        <w:ind w:left="0" w:firstLine="0"/>
        <w:rPr>
          <w:lang w:val="fr-FR"/>
        </w:rPr>
      </w:pPr>
      <w:r w:rsidRPr="00E658D3">
        <w:rPr>
          <w:lang w:val="fr-FR"/>
        </w:rPr>
        <w:t xml:space="preserve">SUP Résolution 163 (Guadalajara, 2010) </w:t>
      </w:r>
      <w:r w:rsidR="00445A64" w:rsidRPr="00445A64">
        <w:rPr>
          <w:lang w:val="fr-FR"/>
        </w:rPr>
        <w:t>–</w:t>
      </w:r>
      <w:r w:rsidRPr="00E658D3">
        <w:rPr>
          <w:lang w:val="fr-FR"/>
        </w:rPr>
        <w:t xml:space="preserve"> Création d'un groupe de travail du Conseil sur une Constitution stable de l'UIT</w:t>
      </w:r>
    </w:p>
    <w:p w14:paraId="356EB30A" w14:textId="3363D961" w:rsidR="00F27FE9" w:rsidRPr="00E658D3" w:rsidRDefault="00A17460" w:rsidP="00445A64">
      <w:pPr>
        <w:rPr>
          <w:lang w:val="fr-FR"/>
        </w:rPr>
      </w:pPr>
      <w:r w:rsidRPr="00E658D3">
        <w:rPr>
          <w:lang w:val="fr-FR"/>
        </w:rPr>
        <w:t>4.1</w:t>
      </w:r>
      <w:r w:rsidRPr="00E658D3">
        <w:rPr>
          <w:lang w:val="fr-FR"/>
        </w:rPr>
        <w:tab/>
      </w:r>
      <w:r w:rsidR="00C15D97" w:rsidRPr="00E658D3">
        <w:rPr>
          <w:lang w:val="fr-FR"/>
        </w:rPr>
        <w:t xml:space="preserve">La suppression de la Résolution 163 (Guadalajara, 2010) est </w:t>
      </w:r>
      <w:r w:rsidR="00C15D97" w:rsidRPr="00E658D3">
        <w:rPr>
          <w:b/>
          <w:bCs/>
          <w:lang w:val="fr-FR"/>
        </w:rPr>
        <w:t>approuvée</w:t>
      </w:r>
      <w:r w:rsidRPr="00E658D3">
        <w:rPr>
          <w:lang w:val="fr-FR"/>
        </w:rPr>
        <w:t xml:space="preserve"> en première</w:t>
      </w:r>
      <w:r w:rsidR="00D7120B" w:rsidRPr="00E658D3">
        <w:rPr>
          <w:lang w:val="fr-FR"/>
        </w:rPr>
        <w:t xml:space="preserve"> et deuxième</w:t>
      </w:r>
      <w:r w:rsidRPr="00E658D3">
        <w:rPr>
          <w:lang w:val="fr-FR"/>
        </w:rPr>
        <w:t xml:space="preserve"> lecture</w:t>
      </w:r>
      <w:r w:rsidR="00C15D97" w:rsidRPr="00E658D3">
        <w:rPr>
          <w:lang w:val="fr-FR"/>
        </w:rPr>
        <w:t>.</w:t>
      </w:r>
    </w:p>
    <w:p w14:paraId="72D75647" w14:textId="7AAB7BD1" w:rsidR="00D44703" w:rsidRPr="00E658D3" w:rsidRDefault="00A17460" w:rsidP="00445A64">
      <w:pPr>
        <w:pStyle w:val="Heading1"/>
        <w:rPr>
          <w:lang w:val="fr-FR"/>
        </w:rPr>
      </w:pPr>
      <w:r w:rsidRPr="00E658D3">
        <w:rPr>
          <w:lang w:val="fr-FR"/>
        </w:rPr>
        <w:t>5</w:t>
      </w:r>
      <w:r w:rsidRPr="00E658D3">
        <w:rPr>
          <w:lang w:val="fr-FR"/>
        </w:rPr>
        <w:tab/>
      </w:r>
      <w:r w:rsidR="00525908" w:rsidRPr="00B92A7D">
        <w:rPr>
          <w:lang w:val="fr-CH"/>
        </w:rPr>
        <w:t>Projet</w:t>
      </w:r>
      <w:r w:rsidR="00525908" w:rsidRPr="00E658D3">
        <w:rPr>
          <w:lang w:val="fr-FR"/>
        </w:rPr>
        <w:t xml:space="preserve"> de </w:t>
      </w:r>
      <w:r w:rsidR="00D44703" w:rsidRPr="00E658D3">
        <w:rPr>
          <w:lang w:val="fr-FR"/>
        </w:rPr>
        <w:t>Décision 5 (Rév. Busan, 2014)</w:t>
      </w:r>
      <w:r w:rsidR="00FC5B20" w:rsidRPr="00E658D3">
        <w:rPr>
          <w:lang w:val="fr-FR"/>
        </w:rPr>
        <w:t xml:space="preserve"> </w:t>
      </w:r>
      <w:r w:rsidR="00445A64" w:rsidRPr="00445A64">
        <w:rPr>
          <w:lang w:val="fr-FR"/>
        </w:rPr>
        <w:t>–</w:t>
      </w:r>
      <w:r w:rsidR="00FC5B20" w:rsidRPr="00E658D3">
        <w:rPr>
          <w:lang w:val="fr-FR"/>
        </w:rPr>
        <w:t xml:space="preserve"> </w:t>
      </w:r>
      <w:r w:rsidR="00D44703" w:rsidRPr="00E658D3">
        <w:rPr>
          <w:lang w:val="fr-FR"/>
        </w:rPr>
        <w:t>Produits et charges de l'Union pour la période 2016-2019</w:t>
      </w:r>
      <w:r w:rsidRPr="00E658D3">
        <w:rPr>
          <w:lang w:val="fr-FR"/>
        </w:rPr>
        <w:t xml:space="preserve"> </w:t>
      </w:r>
      <w:r w:rsidR="001A5E36" w:rsidRPr="00E658D3">
        <w:rPr>
          <w:lang w:val="fr-FR"/>
        </w:rPr>
        <w:t xml:space="preserve">– première et deuxième lecture </w:t>
      </w:r>
      <w:r w:rsidRPr="00E658D3">
        <w:rPr>
          <w:lang w:val="fr-FR"/>
        </w:rPr>
        <w:t>(Document 156 (Corr.1))</w:t>
      </w:r>
    </w:p>
    <w:p w14:paraId="4A15E538" w14:textId="0415D113" w:rsidR="00A17460" w:rsidRPr="00E658D3" w:rsidRDefault="00A17460" w:rsidP="00445A64">
      <w:pPr>
        <w:spacing w:before="200"/>
        <w:rPr>
          <w:lang w:val="fr-FR"/>
        </w:rPr>
      </w:pPr>
      <w:r w:rsidRPr="00E658D3">
        <w:rPr>
          <w:lang w:val="fr-FR"/>
        </w:rPr>
        <w:t>5.1</w:t>
      </w:r>
      <w:r w:rsidRPr="00E658D3">
        <w:rPr>
          <w:lang w:val="fr-FR"/>
        </w:rPr>
        <w:tab/>
      </w:r>
      <w:r w:rsidR="00FC5B20" w:rsidRPr="00E658D3">
        <w:rPr>
          <w:lang w:val="fr-FR"/>
        </w:rPr>
        <w:t xml:space="preserve">Le </w:t>
      </w:r>
      <w:r w:rsidR="00FC5B20" w:rsidRPr="00E658D3">
        <w:rPr>
          <w:b/>
          <w:bCs/>
          <w:lang w:val="fr-FR"/>
        </w:rPr>
        <w:t>délégué du Brésil</w:t>
      </w:r>
      <w:r w:rsidR="000E7035" w:rsidRPr="00E658D3">
        <w:rPr>
          <w:lang w:val="fr-FR"/>
        </w:rPr>
        <w:t xml:space="preserve">, appuyé par la </w:t>
      </w:r>
      <w:r w:rsidR="000E7035" w:rsidRPr="00E658D3">
        <w:rPr>
          <w:b/>
          <w:bCs/>
          <w:lang w:val="fr-FR"/>
        </w:rPr>
        <w:t>Présidente de la Commission 6</w:t>
      </w:r>
      <w:r w:rsidR="000E7035" w:rsidRPr="00E658D3">
        <w:rPr>
          <w:lang w:val="fr-FR"/>
        </w:rPr>
        <w:t xml:space="preserve">, </w:t>
      </w:r>
      <w:r w:rsidR="008F4E36" w:rsidRPr="00E658D3">
        <w:rPr>
          <w:lang w:val="fr-FR"/>
        </w:rPr>
        <w:t>signale</w:t>
      </w:r>
      <w:r w:rsidR="000E7035" w:rsidRPr="00E658D3">
        <w:rPr>
          <w:lang w:val="fr-FR"/>
        </w:rPr>
        <w:t xml:space="preserve"> qu'il y avait eu accord </w:t>
      </w:r>
      <w:r w:rsidR="00525908" w:rsidRPr="00E658D3">
        <w:rPr>
          <w:lang w:val="fr-FR"/>
        </w:rPr>
        <w:t xml:space="preserve">au sein du groupe ad hoc </w:t>
      </w:r>
      <w:r w:rsidR="000E7035" w:rsidRPr="00E658D3">
        <w:rPr>
          <w:lang w:val="fr-FR"/>
        </w:rPr>
        <w:t xml:space="preserve">pour que les parties </w:t>
      </w:r>
      <w:r w:rsidR="000E7035" w:rsidRPr="00E658D3">
        <w:rPr>
          <w:i/>
          <w:iCs/>
          <w:lang w:val="fr-FR"/>
        </w:rPr>
        <w:t>invite le Conseil</w:t>
      </w:r>
      <w:r w:rsidR="000E7035" w:rsidRPr="00E658D3">
        <w:rPr>
          <w:lang w:val="fr-FR"/>
        </w:rPr>
        <w:t xml:space="preserve"> et </w:t>
      </w:r>
      <w:r w:rsidR="000E7035" w:rsidRPr="00E658D3">
        <w:rPr>
          <w:i/>
          <w:iCs/>
          <w:lang w:val="fr-FR"/>
        </w:rPr>
        <w:t>invite les Etats Membres</w:t>
      </w:r>
      <w:r w:rsidR="000E7035" w:rsidRPr="00E658D3">
        <w:rPr>
          <w:lang w:val="fr-FR"/>
        </w:rPr>
        <w:t xml:space="preserve"> de la Décision 5 soi</w:t>
      </w:r>
      <w:r w:rsidR="008F4E36" w:rsidRPr="00E658D3">
        <w:rPr>
          <w:lang w:val="fr-FR"/>
        </w:rPr>
        <w:t>ent déplacées</w:t>
      </w:r>
      <w:r w:rsidR="000E7035" w:rsidRPr="00E658D3">
        <w:rPr>
          <w:lang w:val="fr-FR"/>
        </w:rPr>
        <w:t xml:space="preserve"> après le paragraphe 10.</w:t>
      </w:r>
      <w:r w:rsidRPr="00E658D3">
        <w:rPr>
          <w:lang w:val="fr-FR"/>
        </w:rPr>
        <w:t xml:space="preserve"> Il propose que le projet de Décision 5, tel qu</w:t>
      </w:r>
      <w:r w:rsidR="00FD45FE" w:rsidRPr="00E658D3">
        <w:rPr>
          <w:lang w:val="fr-FR"/>
        </w:rPr>
        <w:t>'</w:t>
      </w:r>
      <w:r w:rsidRPr="00E658D3">
        <w:rPr>
          <w:lang w:val="fr-FR"/>
        </w:rPr>
        <w:t>il appara</w:t>
      </w:r>
      <w:r w:rsidR="00445A64">
        <w:rPr>
          <w:lang w:val="fr-FR"/>
        </w:rPr>
        <w:t>ît</w:t>
      </w:r>
      <w:r w:rsidRPr="00E658D3">
        <w:rPr>
          <w:lang w:val="fr-FR"/>
        </w:rPr>
        <w:t xml:space="preserve"> au Corrigendum 1 au Document 156, soit modifié en tenant compte </w:t>
      </w:r>
      <w:r w:rsidR="00525908" w:rsidRPr="00E658D3">
        <w:rPr>
          <w:lang w:val="fr-FR"/>
        </w:rPr>
        <w:t>de ce changement</w:t>
      </w:r>
      <w:r w:rsidRPr="00E658D3">
        <w:rPr>
          <w:lang w:val="fr-FR"/>
        </w:rPr>
        <w:t>.</w:t>
      </w:r>
    </w:p>
    <w:p w14:paraId="45075FE6" w14:textId="77777777" w:rsidR="00A17460" w:rsidRPr="00E658D3" w:rsidRDefault="00A17460" w:rsidP="00445A64">
      <w:pPr>
        <w:rPr>
          <w:b/>
          <w:bCs/>
          <w:lang w:val="fr-FR"/>
        </w:rPr>
      </w:pPr>
      <w:r w:rsidRPr="00E658D3">
        <w:rPr>
          <w:lang w:val="fr-FR"/>
        </w:rPr>
        <w:t>5.2</w:t>
      </w:r>
      <w:r w:rsidRPr="00E658D3">
        <w:rPr>
          <w:lang w:val="fr-FR"/>
        </w:rPr>
        <w:tab/>
        <w:t xml:space="preserve">Il en est ainsi </w:t>
      </w:r>
      <w:r w:rsidRPr="00E658D3">
        <w:rPr>
          <w:b/>
          <w:bCs/>
          <w:lang w:val="fr-FR"/>
        </w:rPr>
        <w:t>décidé.</w:t>
      </w:r>
    </w:p>
    <w:p w14:paraId="46F6CA21" w14:textId="77777777" w:rsidR="00525908" w:rsidRPr="00E658D3" w:rsidRDefault="00A17460" w:rsidP="00445A64">
      <w:pPr>
        <w:rPr>
          <w:lang w:val="fr-FR"/>
        </w:rPr>
      </w:pPr>
      <w:r w:rsidRPr="00E658D3">
        <w:rPr>
          <w:lang w:val="fr-FR"/>
        </w:rPr>
        <w:t>5.3</w:t>
      </w:r>
      <w:r w:rsidRPr="00E658D3">
        <w:rPr>
          <w:lang w:val="fr-FR"/>
        </w:rPr>
        <w:tab/>
        <w:t>L</w:t>
      </w:r>
      <w:r w:rsidR="00525908" w:rsidRPr="00E658D3">
        <w:rPr>
          <w:lang w:val="fr-FR"/>
        </w:rPr>
        <w:t xml:space="preserve">e projet de Décision 5 (Rév. Busan, 2014), </w:t>
      </w:r>
      <w:r w:rsidRPr="00E658D3">
        <w:rPr>
          <w:lang w:val="fr-FR"/>
        </w:rPr>
        <w:t>tel que modifié</w:t>
      </w:r>
      <w:r w:rsidR="00663617" w:rsidRPr="00E658D3">
        <w:rPr>
          <w:lang w:val="fr-FR"/>
        </w:rPr>
        <w:t>,</w:t>
      </w:r>
      <w:r w:rsidRPr="00E658D3">
        <w:rPr>
          <w:lang w:val="fr-FR"/>
        </w:rPr>
        <w:t xml:space="preserve"> </w:t>
      </w:r>
      <w:r w:rsidR="00525908" w:rsidRPr="00E658D3">
        <w:rPr>
          <w:lang w:val="fr-FR"/>
        </w:rPr>
        <w:t xml:space="preserve">est </w:t>
      </w:r>
      <w:r w:rsidR="00525908" w:rsidRPr="00E658D3">
        <w:rPr>
          <w:b/>
          <w:bCs/>
          <w:lang w:val="fr-FR"/>
        </w:rPr>
        <w:t>adopté</w:t>
      </w:r>
      <w:r w:rsidRPr="00E658D3">
        <w:rPr>
          <w:lang w:val="fr-FR"/>
        </w:rPr>
        <w:t xml:space="preserve"> en première et deuxième lecture</w:t>
      </w:r>
      <w:r w:rsidR="00525908" w:rsidRPr="00E658D3">
        <w:rPr>
          <w:lang w:val="fr-FR"/>
        </w:rPr>
        <w:t>.</w:t>
      </w:r>
    </w:p>
    <w:p w14:paraId="04B52A16" w14:textId="77777777" w:rsidR="00D047F1" w:rsidRPr="00E658D3" w:rsidRDefault="00A17460" w:rsidP="00445A64">
      <w:pPr>
        <w:pStyle w:val="Heading1"/>
        <w:rPr>
          <w:lang w:val="fr-FR"/>
        </w:rPr>
      </w:pPr>
      <w:r w:rsidRPr="00E658D3">
        <w:rPr>
          <w:lang w:val="fr-FR"/>
        </w:rPr>
        <w:t>6</w:t>
      </w:r>
      <w:r w:rsidR="00342EF6" w:rsidRPr="00E658D3">
        <w:rPr>
          <w:lang w:val="fr-FR"/>
        </w:rPr>
        <w:tab/>
      </w:r>
      <w:r w:rsidR="00D047F1" w:rsidRPr="00E658D3">
        <w:rPr>
          <w:lang w:val="fr-FR"/>
        </w:rPr>
        <w:t>Approbation des procès-verbaux</w:t>
      </w:r>
      <w:r w:rsidR="004A7179" w:rsidRPr="00E658D3">
        <w:rPr>
          <w:lang w:val="fr-FR"/>
        </w:rPr>
        <w:t xml:space="preserve"> (Documents 145 et 146)</w:t>
      </w:r>
    </w:p>
    <w:p w14:paraId="351C3628" w14:textId="77777777" w:rsidR="00C35940" w:rsidRPr="00E658D3" w:rsidRDefault="00D7120B" w:rsidP="00445A64">
      <w:pPr>
        <w:rPr>
          <w:lang w:val="fr-FR"/>
        </w:rPr>
      </w:pPr>
      <w:r w:rsidRPr="00E658D3">
        <w:rPr>
          <w:lang w:val="fr-FR"/>
        </w:rPr>
        <w:t>6.1</w:t>
      </w:r>
      <w:r w:rsidRPr="00E658D3">
        <w:rPr>
          <w:lang w:val="fr-FR"/>
        </w:rPr>
        <w:tab/>
      </w:r>
      <w:r w:rsidR="00C35940" w:rsidRPr="00E658D3">
        <w:rPr>
          <w:lang w:val="fr-FR"/>
        </w:rPr>
        <w:t>Les procès-verbaux des neuvième et dixième séance</w:t>
      </w:r>
      <w:r w:rsidR="00A17460" w:rsidRPr="00E658D3">
        <w:rPr>
          <w:lang w:val="fr-FR"/>
        </w:rPr>
        <w:t>s</w:t>
      </w:r>
      <w:r w:rsidR="00C35940" w:rsidRPr="00E658D3">
        <w:rPr>
          <w:lang w:val="fr-FR"/>
        </w:rPr>
        <w:t xml:space="preserve"> plénière</w:t>
      </w:r>
      <w:r w:rsidR="00A17460" w:rsidRPr="00E658D3">
        <w:rPr>
          <w:lang w:val="fr-FR"/>
        </w:rPr>
        <w:t>s</w:t>
      </w:r>
      <w:r w:rsidR="00C35940" w:rsidRPr="00E658D3">
        <w:rPr>
          <w:lang w:val="fr-FR"/>
        </w:rPr>
        <w:t xml:space="preserve"> (Documents 145 et 146) sont </w:t>
      </w:r>
      <w:r w:rsidR="00C35940" w:rsidRPr="00E658D3">
        <w:rPr>
          <w:b/>
          <w:bCs/>
          <w:lang w:val="fr-FR"/>
        </w:rPr>
        <w:t>approuvés</w:t>
      </w:r>
      <w:r w:rsidR="00C35940" w:rsidRPr="00E658D3">
        <w:rPr>
          <w:lang w:val="fr-FR"/>
        </w:rPr>
        <w:t>.</w:t>
      </w:r>
    </w:p>
    <w:p w14:paraId="16565DCC" w14:textId="3814E0CD" w:rsidR="00A17460" w:rsidRPr="00E658D3" w:rsidRDefault="00A17460" w:rsidP="00E86427">
      <w:pPr>
        <w:spacing w:before="200"/>
        <w:rPr>
          <w:b/>
          <w:bCs/>
          <w:sz w:val="28"/>
          <w:szCs w:val="28"/>
          <w:lang w:val="fr-FR"/>
        </w:rPr>
      </w:pPr>
      <w:r w:rsidRPr="00E658D3">
        <w:rPr>
          <w:b/>
          <w:bCs/>
          <w:sz w:val="28"/>
          <w:szCs w:val="28"/>
          <w:lang w:val="fr-FR"/>
        </w:rPr>
        <w:t>7</w:t>
      </w:r>
      <w:r w:rsidRPr="00E658D3">
        <w:rPr>
          <w:b/>
          <w:bCs/>
          <w:sz w:val="28"/>
          <w:szCs w:val="28"/>
          <w:lang w:val="fr-FR"/>
        </w:rPr>
        <w:tab/>
        <w:t>D</w:t>
      </w:r>
      <w:r w:rsidR="00E86427" w:rsidRPr="00E658D3">
        <w:rPr>
          <w:b/>
          <w:bCs/>
          <w:sz w:val="28"/>
          <w:szCs w:val="28"/>
          <w:lang w:val="fr-FR"/>
        </w:rPr>
        <w:t>élais pour le dépôt de déclarations et de déclarations additionnelles</w:t>
      </w:r>
      <w:r w:rsidRPr="00E658D3">
        <w:rPr>
          <w:b/>
          <w:bCs/>
          <w:sz w:val="28"/>
          <w:szCs w:val="28"/>
          <w:lang w:val="fr-FR"/>
        </w:rPr>
        <w:t xml:space="preserve"> </w:t>
      </w:r>
    </w:p>
    <w:p w14:paraId="0A59169B" w14:textId="0F0333E1" w:rsidR="00A17460" w:rsidRPr="00E658D3" w:rsidRDefault="00A17460" w:rsidP="00445A64">
      <w:pPr>
        <w:rPr>
          <w:lang w:val="fr-FR"/>
        </w:rPr>
      </w:pPr>
      <w:r w:rsidRPr="00E658D3">
        <w:rPr>
          <w:lang w:val="fr-FR"/>
        </w:rPr>
        <w:t>7.1</w:t>
      </w:r>
      <w:r w:rsidRPr="00E658D3">
        <w:rPr>
          <w:lang w:val="fr-FR"/>
        </w:rPr>
        <w:tab/>
      </w:r>
      <w:r w:rsidR="00E86427" w:rsidRPr="00E658D3">
        <w:rPr>
          <w:lang w:val="fr-FR"/>
        </w:rPr>
        <w:t>Le</w:t>
      </w:r>
      <w:r w:rsidRPr="00E658D3">
        <w:rPr>
          <w:lang w:val="fr-FR"/>
        </w:rPr>
        <w:t xml:space="preserve"> </w:t>
      </w:r>
      <w:r w:rsidR="00E86427" w:rsidRPr="00E658D3">
        <w:rPr>
          <w:b/>
          <w:bCs/>
          <w:lang w:val="fr-FR"/>
        </w:rPr>
        <w:t>Président</w:t>
      </w:r>
      <w:r w:rsidRPr="00E658D3">
        <w:rPr>
          <w:b/>
          <w:bCs/>
          <w:lang w:val="fr-FR"/>
        </w:rPr>
        <w:t xml:space="preserve"> </w:t>
      </w:r>
      <w:r w:rsidRPr="00E658D3">
        <w:rPr>
          <w:szCs w:val="24"/>
          <w:lang w:val="fr-FR"/>
        </w:rPr>
        <w:t>annonce</w:t>
      </w:r>
      <w:r w:rsidRPr="00E658D3">
        <w:rPr>
          <w:lang w:val="fr-FR"/>
        </w:rPr>
        <w:t xml:space="preserve"> </w:t>
      </w:r>
      <w:r w:rsidR="00E86427" w:rsidRPr="00E658D3">
        <w:rPr>
          <w:lang w:val="fr-FR"/>
        </w:rPr>
        <w:t>que les déclarations sont acceptées jusqu</w:t>
      </w:r>
      <w:r w:rsidR="00FD45FE" w:rsidRPr="00E658D3">
        <w:rPr>
          <w:lang w:val="fr-FR"/>
        </w:rPr>
        <w:t>'</w:t>
      </w:r>
      <w:r w:rsidR="009323F8" w:rsidRPr="00E658D3">
        <w:rPr>
          <w:lang w:val="fr-FR"/>
        </w:rPr>
        <w:t>au jeudi 6 novembre à</w:t>
      </w:r>
      <w:r w:rsidR="00E86427" w:rsidRPr="00E658D3">
        <w:rPr>
          <w:lang w:val="fr-FR"/>
        </w:rPr>
        <w:t xml:space="preserve"> 21</w:t>
      </w:r>
      <w:r w:rsidR="009323F8" w:rsidRPr="00E658D3">
        <w:rPr>
          <w:lang w:val="fr-FR"/>
        </w:rPr>
        <w:t> </w:t>
      </w:r>
      <w:r w:rsidR="00E86427" w:rsidRPr="00E658D3">
        <w:rPr>
          <w:lang w:val="fr-FR"/>
        </w:rPr>
        <w:t>h</w:t>
      </w:r>
      <w:r w:rsidR="009A2300" w:rsidRPr="00E658D3">
        <w:rPr>
          <w:lang w:val="fr-FR"/>
        </w:rPr>
        <w:t>eures et que la p</w:t>
      </w:r>
      <w:r w:rsidR="009323F8" w:rsidRPr="00E658D3">
        <w:rPr>
          <w:lang w:val="fr-FR"/>
        </w:rPr>
        <w:t>lénière se réunira à 8 h 30 le jour suivant, le vendredi 7 novembre, pour prendre note de ces déclarations.</w:t>
      </w:r>
      <w:r w:rsidR="00567DB5" w:rsidRPr="00E658D3">
        <w:rPr>
          <w:lang w:val="fr-FR"/>
        </w:rPr>
        <w:t xml:space="preserve"> </w:t>
      </w:r>
      <w:r w:rsidR="00C81E45" w:rsidRPr="00E658D3">
        <w:rPr>
          <w:lang w:val="fr-FR"/>
        </w:rPr>
        <w:t>L</w:t>
      </w:r>
      <w:r w:rsidR="00567DB5" w:rsidRPr="00E658D3">
        <w:rPr>
          <w:lang w:val="fr-FR"/>
        </w:rPr>
        <w:t xml:space="preserve">e délai pour le dépôt de déclarations additionnelles </w:t>
      </w:r>
      <w:r w:rsidR="00C81E45" w:rsidRPr="00E658D3">
        <w:rPr>
          <w:lang w:val="fr-FR"/>
        </w:rPr>
        <w:t>est fixé à 10 h 30 et la cérémonie de signature aura lieu à 14 heures.</w:t>
      </w:r>
      <w:r w:rsidR="00567DB5" w:rsidRPr="00E658D3">
        <w:rPr>
          <w:lang w:val="fr-FR"/>
        </w:rPr>
        <w:t xml:space="preserve"> </w:t>
      </w:r>
    </w:p>
    <w:p w14:paraId="16C4F454" w14:textId="101B5DC3" w:rsidR="008960F0" w:rsidRPr="00E658D3" w:rsidRDefault="00A17460" w:rsidP="00445A64">
      <w:pPr>
        <w:pStyle w:val="Heading1"/>
        <w:rPr>
          <w:lang w:val="fr-FR"/>
        </w:rPr>
      </w:pPr>
      <w:r w:rsidRPr="00E658D3">
        <w:rPr>
          <w:lang w:val="fr-FR"/>
        </w:rPr>
        <w:t>8</w:t>
      </w:r>
      <w:r w:rsidRPr="00E658D3">
        <w:rPr>
          <w:lang w:val="fr-FR"/>
        </w:rPr>
        <w:tab/>
      </w:r>
      <w:r w:rsidR="00C81E45" w:rsidRPr="00E658D3">
        <w:rPr>
          <w:lang w:val="fr-FR"/>
        </w:rPr>
        <w:t>Résultats de la</w:t>
      </w:r>
      <w:r w:rsidR="008960F0" w:rsidRPr="00E658D3">
        <w:rPr>
          <w:lang w:val="fr-FR"/>
        </w:rPr>
        <w:t xml:space="preserve"> </w:t>
      </w:r>
      <w:r w:rsidRPr="00E658D3">
        <w:rPr>
          <w:lang w:val="fr-FR"/>
        </w:rPr>
        <w:t>PP-14</w:t>
      </w:r>
    </w:p>
    <w:p w14:paraId="1CDE00F3" w14:textId="684895F4" w:rsidR="008960F0" w:rsidRPr="00E658D3" w:rsidRDefault="00A17460" w:rsidP="00445A64">
      <w:pPr>
        <w:rPr>
          <w:lang w:val="fr-FR"/>
        </w:rPr>
      </w:pPr>
      <w:r w:rsidRPr="00455C29">
        <w:rPr>
          <w:lang w:val="fr-FR"/>
        </w:rPr>
        <w:t>8.1</w:t>
      </w:r>
      <w:r w:rsidR="008960F0" w:rsidRPr="00E658D3">
        <w:rPr>
          <w:sz w:val="28"/>
          <w:szCs w:val="28"/>
          <w:lang w:val="fr-FR"/>
        </w:rPr>
        <w:tab/>
      </w:r>
      <w:r w:rsidR="00C81E45" w:rsidRPr="00E658D3">
        <w:rPr>
          <w:lang w:val="fr-FR"/>
        </w:rPr>
        <w:t xml:space="preserve">Le </w:t>
      </w:r>
      <w:r w:rsidR="00C81E45" w:rsidRPr="00E658D3">
        <w:rPr>
          <w:b/>
          <w:bCs/>
          <w:lang w:val="fr-FR"/>
        </w:rPr>
        <w:t xml:space="preserve">Président </w:t>
      </w:r>
      <w:r w:rsidR="00C81E45" w:rsidRPr="00E658D3">
        <w:rPr>
          <w:lang w:val="fr-FR"/>
        </w:rPr>
        <w:t xml:space="preserve">souligne </w:t>
      </w:r>
      <w:r w:rsidR="00D00544" w:rsidRPr="00E658D3">
        <w:rPr>
          <w:lang w:val="fr-FR"/>
        </w:rPr>
        <w:t>les principaux résultats et les principales réalisations</w:t>
      </w:r>
      <w:r w:rsidR="008960F0" w:rsidRPr="00E658D3">
        <w:rPr>
          <w:lang w:val="fr-FR"/>
        </w:rPr>
        <w:t xml:space="preserve"> </w:t>
      </w:r>
      <w:r w:rsidR="00D00544" w:rsidRPr="00E658D3">
        <w:rPr>
          <w:lang w:val="fr-FR"/>
        </w:rPr>
        <w:t xml:space="preserve">de la PP-14 et invite les délégués à </w:t>
      </w:r>
      <w:r w:rsidR="0088224F" w:rsidRPr="00E658D3">
        <w:rPr>
          <w:lang w:val="fr-FR"/>
        </w:rPr>
        <w:t>visionn</w:t>
      </w:r>
      <w:r w:rsidR="00D00544" w:rsidRPr="00E658D3">
        <w:rPr>
          <w:lang w:val="fr-FR"/>
        </w:rPr>
        <w:t xml:space="preserve">er une présentation vidéo consacrée à </w:t>
      </w:r>
      <w:r w:rsidR="00442A9F" w:rsidRPr="00E658D3">
        <w:rPr>
          <w:color w:val="000000"/>
          <w:lang w:val="fr-FR"/>
        </w:rPr>
        <w:t>l'initiative de l'UIT en faveur de l'égalité hommes-femmes et de l'intégration de ce principe dans le</w:t>
      </w:r>
      <w:r w:rsidR="009A2300" w:rsidRPr="00E658D3">
        <w:rPr>
          <w:color w:val="000000"/>
          <w:lang w:val="fr-FR"/>
        </w:rPr>
        <w:t xml:space="preserve"> </w:t>
      </w:r>
      <w:r w:rsidR="00442A9F" w:rsidRPr="00E658D3">
        <w:rPr>
          <w:color w:val="000000"/>
          <w:lang w:val="fr-FR"/>
        </w:rPr>
        <w:t>s</w:t>
      </w:r>
      <w:r w:rsidR="009A2300" w:rsidRPr="00E658D3">
        <w:rPr>
          <w:color w:val="000000"/>
          <w:lang w:val="fr-FR"/>
        </w:rPr>
        <w:t xml:space="preserve">ecteur des </w:t>
      </w:r>
      <w:r w:rsidR="008960F0" w:rsidRPr="00E658D3">
        <w:rPr>
          <w:lang w:val="fr-FR"/>
        </w:rPr>
        <w:t>T</w:t>
      </w:r>
      <w:r w:rsidR="009A2300" w:rsidRPr="00E658D3">
        <w:rPr>
          <w:lang w:val="fr-FR"/>
        </w:rPr>
        <w:t>IC</w:t>
      </w:r>
      <w:r w:rsidR="008960F0" w:rsidRPr="00E658D3">
        <w:rPr>
          <w:lang w:val="fr-FR"/>
        </w:rPr>
        <w:t xml:space="preserve"> (GEM-TECH). </w:t>
      </w:r>
    </w:p>
    <w:p w14:paraId="0BD73A3B" w14:textId="56885053" w:rsidR="008960F0" w:rsidRPr="00445A64" w:rsidRDefault="00442A9F" w:rsidP="00445A64">
      <w:pPr>
        <w:rPr>
          <w:b/>
          <w:bCs/>
          <w:lang w:val="fr-FR"/>
        </w:rPr>
      </w:pPr>
      <w:r w:rsidRPr="00445A64">
        <w:rPr>
          <w:b/>
          <w:bCs/>
          <w:lang w:val="fr-FR"/>
        </w:rPr>
        <w:t>Une présentation vidéo</w:t>
      </w:r>
      <w:r w:rsidR="0088224F" w:rsidRPr="00445A64">
        <w:rPr>
          <w:b/>
          <w:bCs/>
          <w:lang w:val="fr-FR"/>
        </w:rPr>
        <w:t xml:space="preserve"> </w:t>
      </w:r>
      <w:r w:rsidR="000E1DB1" w:rsidRPr="00445A64">
        <w:rPr>
          <w:b/>
          <w:bCs/>
          <w:lang w:val="fr-FR"/>
        </w:rPr>
        <w:t>sur le</w:t>
      </w:r>
      <w:r w:rsidR="0088224F" w:rsidRPr="00445A64">
        <w:rPr>
          <w:b/>
          <w:bCs/>
          <w:lang w:val="fr-FR"/>
        </w:rPr>
        <w:t xml:space="preserve">s activités et </w:t>
      </w:r>
      <w:r w:rsidR="000E1DB1" w:rsidRPr="00445A64">
        <w:rPr>
          <w:b/>
          <w:bCs/>
          <w:lang w:val="fr-FR"/>
        </w:rPr>
        <w:t>l</w:t>
      </w:r>
      <w:r w:rsidR="0088224F" w:rsidRPr="00445A64">
        <w:rPr>
          <w:b/>
          <w:bCs/>
          <w:lang w:val="fr-FR"/>
        </w:rPr>
        <w:t xml:space="preserve">es </w:t>
      </w:r>
      <w:r w:rsidR="000E1DB1" w:rsidRPr="00445A64">
        <w:rPr>
          <w:b/>
          <w:bCs/>
          <w:lang w:val="fr-FR"/>
        </w:rPr>
        <w:t>manifestations</w:t>
      </w:r>
      <w:r w:rsidRPr="00445A64">
        <w:rPr>
          <w:b/>
          <w:bCs/>
          <w:lang w:val="fr-FR"/>
        </w:rPr>
        <w:t xml:space="preserve"> </w:t>
      </w:r>
      <w:r w:rsidR="009A2300" w:rsidRPr="00445A64">
        <w:rPr>
          <w:b/>
          <w:bCs/>
          <w:lang w:val="fr-FR"/>
        </w:rPr>
        <w:t xml:space="preserve">organisées dans le cadre </w:t>
      </w:r>
      <w:r w:rsidR="002B4ECD" w:rsidRPr="00445A64">
        <w:rPr>
          <w:b/>
          <w:bCs/>
          <w:lang w:val="fr-FR"/>
        </w:rPr>
        <w:t>de l</w:t>
      </w:r>
      <w:r w:rsidR="00FD45FE" w:rsidRPr="00445A64">
        <w:rPr>
          <w:b/>
          <w:bCs/>
          <w:lang w:val="fr-FR"/>
        </w:rPr>
        <w:t>'</w:t>
      </w:r>
      <w:r w:rsidR="002B4ECD" w:rsidRPr="00445A64">
        <w:rPr>
          <w:b/>
          <w:bCs/>
          <w:lang w:val="fr-FR"/>
        </w:rPr>
        <w:t>initiative GEM-TECH, notamment la</w:t>
      </w:r>
      <w:r w:rsidR="0088224F" w:rsidRPr="00445A64">
        <w:rPr>
          <w:b/>
          <w:bCs/>
          <w:lang w:val="fr-FR"/>
        </w:rPr>
        <w:t xml:space="preserve"> récente</w:t>
      </w:r>
      <w:r w:rsidR="002B4ECD" w:rsidRPr="00445A64">
        <w:rPr>
          <w:b/>
          <w:bCs/>
          <w:lang w:val="fr-FR"/>
        </w:rPr>
        <w:t xml:space="preserve"> cérémonie de remise de prix</w:t>
      </w:r>
      <w:r w:rsidR="0088224F" w:rsidRPr="00445A64">
        <w:rPr>
          <w:b/>
          <w:bCs/>
          <w:lang w:val="fr-FR"/>
        </w:rPr>
        <w:t xml:space="preserve">, </w:t>
      </w:r>
      <w:r w:rsidR="002B4ECD" w:rsidRPr="00445A64">
        <w:rPr>
          <w:b/>
          <w:bCs/>
          <w:lang w:val="fr-FR"/>
        </w:rPr>
        <w:t>est diffusée</w:t>
      </w:r>
      <w:r w:rsidR="008960F0" w:rsidRPr="00445A64">
        <w:rPr>
          <w:b/>
          <w:bCs/>
          <w:lang w:val="fr-FR"/>
        </w:rPr>
        <w:t>.</w:t>
      </w:r>
    </w:p>
    <w:p w14:paraId="5AE195A4" w14:textId="0F7100F5" w:rsidR="008960F0" w:rsidRPr="00E658D3" w:rsidRDefault="00A17460" w:rsidP="00445A64">
      <w:pPr>
        <w:pStyle w:val="Heading1"/>
        <w:rPr>
          <w:lang w:val="fr-FR"/>
        </w:rPr>
      </w:pPr>
      <w:r w:rsidRPr="00E658D3">
        <w:rPr>
          <w:lang w:val="fr-FR"/>
        </w:rPr>
        <w:t>9</w:t>
      </w:r>
      <w:r w:rsidRPr="00E658D3">
        <w:rPr>
          <w:lang w:val="fr-FR"/>
        </w:rPr>
        <w:tab/>
      </w:r>
      <w:r w:rsidR="002C3A09" w:rsidRPr="00E658D3">
        <w:rPr>
          <w:lang w:val="fr-FR"/>
        </w:rPr>
        <w:t>Remise de médailles d</w:t>
      </w:r>
      <w:r w:rsidR="00FD45FE" w:rsidRPr="00E658D3">
        <w:rPr>
          <w:lang w:val="fr-FR"/>
        </w:rPr>
        <w:t>'</w:t>
      </w:r>
      <w:r w:rsidR="002C3A09" w:rsidRPr="00E658D3">
        <w:rPr>
          <w:lang w:val="fr-FR"/>
        </w:rPr>
        <w:t>or et de</w:t>
      </w:r>
      <w:r w:rsidR="008960F0" w:rsidRPr="00E658D3">
        <w:rPr>
          <w:lang w:val="fr-FR"/>
        </w:rPr>
        <w:t xml:space="preserve"> certificats</w:t>
      </w:r>
      <w:r w:rsidR="00BA2BB3" w:rsidRPr="00E658D3">
        <w:rPr>
          <w:lang w:val="fr-FR"/>
        </w:rPr>
        <w:t xml:space="preserve"> honorifique</w:t>
      </w:r>
      <w:r w:rsidR="005053ED" w:rsidRPr="00E658D3">
        <w:rPr>
          <w:lang w:val="fr-FR"/>
        </w:rPr>
        <w:t>s de l</w:t>
      </w:r>
      <w:r w:rsidR="00FD45FE" w:rsidRPr="00E658D3">
        <w:rPr>
          <w:lang w:val="fr-FR"/>
        </w:rPr>
        <w:t>'</w:t>
      </w:r>
      <w:r w:rsidR="005053ED" w:rsidRPr="00E658D3">
        <w:rPr>
          <w:lang w:val="fr-FR"/>
        </w:rPr>
        <w:t>UIT</w:t>
      </w:r>
    </w:p>
    <w:p w14:paraId="1B3694DD" w14:textId="18EA158E" w:rsidR="008960F0" w:rsidRPr="00E658D3" w:rsidRDefault="00A17460" w:rsidP="00445A64">
      <w:pPr>
        <w:rPr>
          <w:szCs w:val="24"/>
          <w:lang w:val="fr-FR"/>
        </w:rPr>
      </w:pPr>
      <w:r w:rsidRPr="00E658D3">
        <w:rPr>
          <w:szCs w:val="24"/>
          <w:lang w:val="fr-FR"/>
        </w:rPr>
        <w:t>9.1</w:t>
      </w:r>
      <w:r w:rsidR="008960F0" w:rsidRPr="00E658D3">
        <w:rPr>
          <w:b/>
          <w:bCs/>
          <w:szCs w:val="24"/>
          <w:lang w:val="fr-FR"/>
        </w:rPr>
        <w:tab/>
      </w:r>
      <w:r w:rsidR="002C3A09" w:rsidRPr="00E658D3">
        <w:rPr>
          <w:szCs w:val="24"/>
          <w:lang w:val="fr-FR"/>
        </w:rPr>
        <w:t>L</w:t>
      </w:r>
      <w:r w:rsidR="008960F0" w:rsidRPr="00E658D3">
        <w:rPr>
          <w:szCs w:val="24"/>
          <w:lang w:val="fr-FR"/>
        </w:rPr>
        <w:t>e</w:t>
      </w:r>
      <w:r w:rsidR="008960F0" w:rsidRPr="00E658D3">
        <w:rPr>
          <w:b/>
          <w:bCs/>
          <w:szCs w:val="24"/>
          <w:lang w:val="fr-FR"/>
        </w:rPr>
        <w:t xml:space="preserve"> Secr</w:t>
      </w:r>
      <w:r w:rsidR="002C3A09" w:rsidRPr="00E658D3">
        <w:rPr>
          <w:b/>
          <w:bCs/>
          <w:szCs w:val="24"/>
          <w:lang w:val="fr-FR"/>
        </w:rPr>
        <w:t>é</w:t>
      </w:r>
      <w:r w:rsidR="008960F0" w:rsidRPr="00E658D3">
        <w:rPr>
          <w:b/>
          <w:bCs/>
          <w:szCs w:val="24"/>
          <w:lang w:val="fr-FR"/>
        </w:rPr>
        <w:t>ta</w:t>
      </w:r>
      <w:r w:rsidR="002C3A09" w:rsidRPr="00E658D3">
        <w:rPr>
          <w:b/>
          <w:bCs/>
          <w:szCs w:val="24"/>
          <w:lang w:val="fr-FR"/>
        </w:rPr>
        <w:t>i</w:t>
      </w:r>
      <w:r w:rsidR="008960F0" w:rsidRPr="00E658D3">
        <w:rPr>
          <w:b/>
          <w:bCs/>
          <w:szCs w:val="24"/>
          <w:lang w:val="fr-FR"/>
        </w:rPr>
        <w:t>r</w:t>
      </w:r>
      <w:r w:rsidR="002C3A09" w:rsidRPr="00E658D3">
        <w:rPr>
          <w:b/>
          <w:bCs/>
          <w:szCs w:val="24"/>
          <w:lang w:val="fr-FR"/>
        </w:rPr>
        <w:t>e gé</w:t>
      </w:r>
      <w:r w:rsidR="008960F0" w:rsidRPr="00E658D3">
        <w:rPr>
          <w:b/>
          <w:bCs/>
          <w:szCs w:val="24"/>
          <w:lang w:val="fr-FR"/>
        </w:rPr>
        <w:t>n</w:t>
      </w:r>
      <w:r w:rsidR="002C3A09" w:rsidRPr="00E658D3">
        <w:rPr>
          <w:b/>
          <w:bCs/>
          <w:szCs w:val="24"/>
          <w:lang w:val="fr-FR"/>
        </w:rPr>
        <w:t>é</w:t>
      </w:r>
      <w:r w:rsidR="008960F0" w:rsidRPr="00E658D3">
        <w:rPr>
          <w:b/>
          <w:bCs/>
          <w:szCs w:val="24"/>
          <w:lang w:val="fr-FR"/>
        </w:rPr>
        <w:t xml:space="preserve">ral </w:t>
      </w:r>
      <w:r w:rsidR="002C3A09" w:rsidRPr="00E658D3">
        <w:rPr>
          <w:szCs w:val="24"/>
          <w:lang w:val="fr-FR"/>
        </w:rPr>
        <w:t>remet une médaille d</w:t>
      </w:r>
      <w:r w:rsidR="00FD45FE" w:rsidRPr="00E658D3">
        <w:rPr>
          <w:szCs w:val="24"/>
          <w:lang w:val="fr-FR"/>
        </w:rPr>
        <w:t>'</w:t>
      </w:r>
      <w:r w:rsidR="002C3A09" w:rsidRPr="00E658D3">
        <w:rPr>
          <w:szCs w:val="24"/>
          <w:lang w:val="fr-FR"/>
        </w:rPr>
        <w:t>or et un certificat</w:t>
      </w:r>
      <w:r w:rsidR="00BA2BB3" w:rsidRPr="00E658D3">
        <w:rPr>
          <w:szCs w:val="24"/>
          <w:lang w:val="fr-FR"/>
        </w:rPr>
        <w:t xml:space="preserve"> honorifique</w:t>
      </w:r>
      <w:r w:rsidR="002C3A09" w:rsidRPr="00E658D3">
        <w:rPr>
          <w:szCs w:val="24"/>
          <w:lang w:val="fr-FR"/>
        </w:rPr>
        <w:t xml:space="preserve"> </w:t>
      </w:r>
      <w:r w:rsidR="005053ED" w:rsidRPr="00E658D3">
        <w:rPr>
          <w:szCs w:val="24"/>
          <w:lang w:val="fr-FR"/>
        </w:rPr>
        <w:t>de l</w:t>
      </w:r>
      <w:r w:rsidR="00FD45FE" w:rsidRPr="00E658D3">
        <w:rPr>
          <w:szCs w:val="24"/>
          <w:lang w:val="fr-FR"/>
        </w:rPr>
        <w:t>'</w:t>
      </w:r>
      <w:r w:rsidR="005053ED" w:rsidRPr="00E658D3">
        <w:rPr>
          <w:szCs w:val="24"/>
          <w:lang w:val="fr-FR"/>
        </w:rPr>
        <w:t xml:space="preserve">UIT </w:t>
      </w:r>
      <w:r w:rsidR="002C3A09" w:rsidRPr="00E658D3">
        <w:rPr>
          <w:szCs w:val="24"/>
          <w:lang w:val="fr-FR"/>
        </w:rPr>
        <w:t>à M.</w:t>
      </w:r>
      <w:r w:rsidR="00BA2BB3" w:rsidRPr="00E658D3">
        <w:rPr>
          <w:szCs w:val="24"/>
          <w:lang w:val="fr-FR"/>
        </w:rPr>
        <w:t> </w:t>
      </w:r>
      <w:r w:rsidR="002C3A09" w:rsidRPr="00E658D3">
        <w:rPr>
          <w:szCs w:val="24"/>
          <w:lang w:val="fr-FR"/>
        </w:rPr>
        <w:t xml:space="preserve">Houlin Zhao, </w:t>
      </w:r>
      <w:r w:rsidR="002C3A09" w:rsidRPr="00E658D3">
        <w:rPr>
          <w:lang w:val="fr-FR"/>
        </w:rPr>
        <w:t xml:space="preserve">Vice-Secrétaire général et Secrétaire général élu, à M. Malcolm Johnson, </w:t>
      </w:r>
      <w:r w:rsidR="006D72DA">
        <w:rPr>
          <w:lang w:val="fr-FR"/>
        </w:rPr>
        <w:t>Directeur </w:t>
      </w:r>
      <w:r w:rsidR="002C3A09" w:rsidRPr="00E658D3">
        <w:rPr>
          <w:lang w:val="fr-FR"/>
        </w:rPr>
        <w:t xml:space="preserve">du Bureau de la normalisation des télécommunications (TSB) </w:t>
      </w:r>
      <w:r w:rsidR="00675E58" w:rsidRPr="00E658D3">
        <w:rPr>
          <w:lang w:val="fr-FR"/>
        </w:rPr>
        <w:t xml:space="preserve">et Vice-Secrétaire général élu, à M. François Rancy, Directeur du Bureau des radiocommunications (BR) </w:t>
      </w:r>
      <w:r w:rsidR="009A2300" w:rsidRPr="00E658D3">
        <w:rPr>
          <w:lang w:val="fr-FR"/>
        </w:rPr>
        <w:t>réélu</w:t>
      </w:r>
      <w:r w:rsidR="006D72DA">
        <w:rPr>
          <w:lang w:val="fr-FR"/>
        </w:rPr>
        <w:t>, et à M. </w:t>
      </w:r>
      <w:r w:rsidR="00675E58" w:rsidRPr="00E658D3">
        <w:rPr>
          <w:lang w:val="fr-FR"/>
        </w:rPr>
        <w:t xml:space="preserve">Brahima Sanou, </w:t>
      </w:r>
      <w:r w:rsidR="009A2300" w:rsidRPr="00E658D3">
        <w:rPr>
          <w:lang w:val="fr-FR"/>
        </w:rPr>
        <w:t>D</w:t>
      </w:r>
      <w:r w:rsidR="00675E58" w:rsidRPr="00E658D3">
        <w:rPr>
          <w:lang w:val="fr-FR"/>
        </w:rPr>
        <w:t>irecteur du Bureau de développement des télécommunications (BDT) réélu.</w:t>
      </w:r>
    </w:p>
    <w:p w14:paraId="17F9A56C" w14:textId="58219131" w:rsidR="008960F0" w:rsidRPr="00E658D3" w:rsidRDefault="00A17460" w:rsidP="00445A64">
      <w:pPr>
        <w:pStyle w:val="Heading1"/>
        <w:rPr>
          <w:lang w:val="fr-FR"/>
        </w:rPr>
      </w:pPr>
      <w:r w:rsidRPr="00E658D3">
        <w:rPr>
          <w:lang w:val="fr-FR"/>
        </w:rPr>
        <w:t>10</w:t>
      </w:r>
      <w:r w:rsidRPr="00E658D3">
        <w:rPr>
          <w:lang w:val="fr-FR"/>
        </w:rPr>
        <w:tab/>
      </w:r>
      <w:r w:rsidR="00675E58" w:rsidRPr="00E658D3">
        <w:rPr>
          <w:lang w:val="fr-FR"/>
        </w:rPr>
        <w:t>Discours d</w:t>
      </w:r>
      <w:r w:rsidR="00FD45FE" w:rsidRPr="00E658D3">
        <w:rPr>
          <w:lang w:val="fr-FR"/>
        </w:rPr>
        <w:t>'</w:t>
      </w:r>
      <w:r w:rsidR="00675E58" w:rsidRPr="00E658D3">
        <w:rPr>
          <w:lang w:val="fr-FR"/>
        </w:rPr>
        <w:t>adieu du Secrétaire général</w:t>
      </w:r>
      <w:r w:rsidRPr="00E658D3">
        <w:rPr>
          <w:lang w:val="fr-FR"/>
        </w:rPr>
        <w:t xml:space="preserve"> </w:t>
      </w:r>
    </w:p>
    <w:p w14:paraId="5F4BF07B" w14:textId="3AE36418" w:rsidR="008960F0" w:rsidRPr="00E658D3" w:rsidRDefault="00A17460" w:rsidP="00445A64">
      <w:pPr>
        <w:rPr>
          <w:szCs w:val="24"/>
          <w:lang w:val="fr-FR"/>
        </w:rPr>
      </w:pPr>
      <w:r w:rsidRPr="00E658D3">
        <w:rPr>
          <w:color w:val="000000"/>
          <w:lang w:val="fr-FR"/>
        </w:rPr>
        <w:t>10.1</w:t>
      </w:r>
      <w:r w:rsidR="008960F0" w:rsidRPr="00E658D3">
        <w:rPr>
          <w:color w:val="000000"/>
          <w:lang w:val="fr-FR"/>
        </w:rPr>
        <w:tab/>
      </w:r>
      <w:r w:rsidR="00EC2545" w:rsidRPr="00E658D3">
        <w:rPr>
          <w:color w:val="000000"/>
          <w:lang w:val="fr-FR"/>
        </w:rPr>
        <w:t>Le discours d</w:t>
      </w:r>
      <w:r w:rsidR="00FD45FE" w:rsidRPr="00E658D3">
        <w:rPr>
          <w:color w:val="000000"/>
          <w:lang w:val="fr-FR"/>
        </w:rPr>
        <w:t>'</w:t>
      </w:r>
      <w:r w:rsidR="00EC2545" w:rsidRPr="00E658D3">
        <w:rPr>
          <w:color w:val="000000"/>
          <w:lang w:val="fr-FR"/>
        </w:rPr>
        <w:t>adieu d</w:t>
      </w:r>
      <w:r w:rsidR="005076E0" w:rsidRPr="00E658D3">
        <w:rPr>
          <w:color w:val="000000"/>
          <w:lang w:val="fr-FR"/>
        </w:rPr>
        <w:t xml:space="preserve">u Dr </w:t>
      </w:r>
      <w:r w:rsidR="008960F0" w:rsidRPr="00E658D3">
        <w:rPr>
          <w:color w:val="000000"/>
          <w:lang w:val="fr-FR"/>
        </w:rPr>
        <w:t>Hamadoun Touré,</w:t>
      </w:r>
      <w:r w:rsidR="008960F0" w:rsidRPr="00E658D3">
        <w:rPr>
          <w:szCs w:val="24"/>
          <w:lang w:val="fr-FR"/>
        </w:rPr>
        <w:t xml:space="preserve"> </w:t>
      </w:r>
      <w:r w:rsidR="008960F0" w:rsidRPr="00E658D3">
        <w:rPr>
          <w:b/>
          <w:bCs/>
          <w:szCs w:val="24"/>
          <w:lang w:val="fr-FR"/>
        </w:rPr>
        <w:t>Secr</w:t>
      </w:r>
      <w:r w:rsidR="0052712C" w:rsidRPr="00E658D3">
        <w:rPr>
          <w:b/>
          <w:bCs/>
          <w:szCs w:val="24"/>
          <w:lang w:val="fr-FR"/>
        </w:rPr>
        <w:t>é</w:t>
      </w:r>
      <w:r w:rsidR="008960F0" w:rsidRPr="00E658D3">
        <w:rPr>
          <w:b/>
          <w:bCs/>
          <w:szCs w:val="24"/>
          <w:lang w:val="fr-FR"/>
        </w:rPr>
        <w:t>ta</w:t>
      </w:r>
      <w:r w:rsidR="0052712C" w:rsidRPr="00E658D3">
        <w:rPr>
          <w:b/>
          <w:bCs/>
          <w:szCs w:val="24"/>
          <w:lang w:val="fr-FR"/>
        </w:rPr>
        <w:t>i</w:t>
      </w:r>
      <w:r w:rsidR="008960F0" w:rsidRPr="00E658D3">
        <w:rPr>
          <w:b/>
          <w:bCs/>
          <w:szCs w:val="24"/>
          <w:lang w:val="fr-FR"/>
        </w:rPr>
        <w:t>r</w:t>
      </w:r>
      <w:r w:rsidR="0052712C" w:rsidRPr="00E658D3">
        <w:rPr>
          <w:b/>
          <w:bCs/>
          <w:szCs w:val="24"/>
          <w:lang w:val="fr-FR"/>
        </w:rPr>
        <w:t>e gé</w:t>
      </w:r>
      <w:r w:rsidR="008960F0" w:rsidRPr="00E658D3">
        <w:rPr>
          <w:b/>
          <w:bCs/>
          <w:szCs w:val="24"/>
          <w:lang w:val="fr-FR"/>
        </w:rPr>
        <w:t>n</w:t>
      </w:r>
      <w:r w:rsidR="0052712C" w:rsidRPr="00E658D3">
        <w:rPr>
          <w:b/>
          <w:bCs/>
          <w:szCs w:val="24"/>
          <w:lang w:val="fr-FR"/>
        </w:rPr>
        <w:t>é</w:t>
      </w:r>
      <w:r w:rsidR="008960F0" w:rsidRPr="00E658D3">
        <w:rPr>
          <w:b/>
          <w:bCs/>
          <w:szCs w:val="24"/>
          <w:lang w:val="fr-FR"/>
        </w:rPr>
        <w:t>ral</w:t>
      </w:r>
      <w:r w:rsidR="008960F0" w:rsidRPr="00E658D3">
        <w:rPr>
          <w:szCs w:val="24"/>
          <w:lang w:val="fr-FR"/>
        </w:rPr>
        <w:t xml:space="preserve"> </w:t>
      </w:r>
      <w:r w:rsidR="0052712C" w:rsidRPr="00E658D3">
        <w:rPr>
          <w:szCs w:val="24"/>
          <w:lang w:val="fr-FR"/>
        </w:rPr>
        <w:t>sortant</w:t>
      </w:r>
      <w:r w:rsidR="00EC2545" w:rsidRPr="00E658D3">
        <w:rPr>
          <w:szCs w:val="24"/>
          <w:lang w:val="fr-FR"/>
        </w:rPr>
        <w:t>,</w:t>
      </w:r>
      <w:r w:rsidR="0052712C" w:rsidRPr="00E658D3">
        <w:rPr>
          <w:szCs w:val="24"/>
          <w:lang w:val="fr-FR"/>
        </w:rPr>
        <w:t xml:space="preserve"> </w:t>
      </w:r>
      <w:r w:rsidR="00EC2545" w:rsidRPr="00E658D3">
        <w:rPr>
          <w:szCs w:val="24"/>
          <w:lang w:val="fr-FR"/>
        </w:rPr>
        <w:t>est disponible à l</w:t>
      </w:r>
      <w:r w:rsidR="00FD45FE" w:rsidRPr="00E658D3">
        <w:rPr>
          <w:szCs w:val="24"/>
          <w:lang w:val="fr-FR"/>
        </w:rPr>
        <w:t>'</w:t>
      </w:r>
      <w:r w:rsidR="00EC2545" w:rsidRPr="00E658D3">
        <w:rPr>
          <w:szCs w:val="24"/>
          <w:lang w:val="fr-FR"/>
        </w:rPr>
        <w:t>adresse suivante:</w:t>
      </w:r>
      <w:r w:rsidR="008960F0" w:rsidRPr="00E658D3">
        <w:rPr>
          <w:szCs w:val="24"/>
          <w:lang w:val="fr-FR"/>
        </w:rPr>
        <w:t xml:space="preserve"> </w:t>
      </w:r>
      <w:hyperlink r:id="rId16" w:history="1">
        <w:r w:rsidR="00D7120B" w:rsidRPr="00E658D3">
          <w:rPr>
            <w:rStyle w:val="Hyperlink"/>
            <w:szCs w:val="24"/>
            <w:lang w:val="fr-FR"/>
          </w:rPr>
          <w:t>http://www.itu.int/en/plenipotentiary/2014/statements/file/Pages/valedictory-toure.aspx</w:t>
        </w:r>
      </w:hyperlink>
      <w:r w:rsidR="00D7120B" w:rsidRPr="00E658D3">
        <w:rPr>
          <w:szCs w:val="24"/>
          <w:lang w:val="fr-FR"/>
        </w:rPr>
        <w:t>.</w:t>
      </w:r>
    </w:p>
    <w:p w14:paraId="7F558D20" w14:textId="43DC001D" w:rsidR="008960F0" w:rsidRPr="00E658D3" w:rsidRDefault="00A17460" w:rsidP="00445A64">
      <w:pPr>
        <w:rPr>
          <w:lang w:val="fr-FR"/>
        </w:rPr>
      </w:pPr>
      <w:r w:rsidRPr="00E658D3">
        <w:rPr>
          <w:lang w:val="fr-FR"/>
        </w:rPr>
        <w:t>10.2</w:t>
      </w:r>
      <w:r w:rsidR="008960F0" w:rsidRPr="00E658D3">
        <w:rPr>
          <w:lang w:val="fr-FR"/>
        </w:rPr>
        <w:tab/>
      </w:r>
      <w:r w:rsidR="00EC2545" w:rsidRPr="00E658D3">
        <w:rPr>
          <w:lang w:val="fr-FR"/>
        </w:rPr>
        <w:t>L</w:t>
      </w:r>
      <w:r w:rsidR="008960F0" w:rsidRPr="00E658D3">
        <w:rPr>
          <w:lang w:val="fr-FR"/>
        </w:rPr>
        <w:t>e</w:t>
      </w:r>
      <w:r w:rsidR="008960F0" w:rsidRPr="00E658D3">
        <w:rPr>
          <w:b/>
          <w:bCs/>
          <w:lang w:val="fr-FR"/>
        </w:rPr>
        <w:t xml:space="preserve"> </w:t>
      </w:r>
      <w:r w:rsidR="00EC2545" w:rsidRPr="00E658D3">
        <w:rPr>
          <w:b/>
          <w:bCs/>
          <w:lang w:val="fr-FR"/>
        </w:rPr>
        <w:t xml:space="preserve">Vice-Secrétaire général et Secrétaire général élu </w:t>
      </w:r>
      <w:r w:rsidR="008960F0" w:rsidRPr="00E658D3">
        <w:rPr>
          <w:lang w:val="fr-FR"/>
        </w:rPr>
        <w:t>re</w:t>
      </w:r>
      <w:r w:rsidR="00EC2545" w:rsidRPr="00E658D3">
        <w:rPr>
          <w:lang w:val="fr-FR"/>
        </w:rPr>
        <w:t>met</w:t>
      </w:r>
      <w:r w:rsidR="008960F0" w:rsidRPr="00E658D3">
        <w:rPr>
          <w:lang w:val="fr-FR"/>
        </w:rPr>
        <w:t xml:space="preserve"> </w:t>
      </w:r>
      <w:r w:rsidR="00EC2545" w:rsidRPr="00E658D3">
        <w:rPr>
          <w:lang w:val="fr-FR"/>
        </w:rPr>
        <w:t>u</w:t>
      </w:r>
      <w:r w:rsidR="008960F0" w:rsidRPr="00E658D3">
        <w:rPr>
          <w:lang w:val="fr-FR"/>
        </w:rPr>
        <w:t>n</w:t>
      </w:r>
      <w:r w:rsidR="00EC2545" w:rsidRPr="00E658D3">
        <w:rPr>
          <w:lang w:val="fr-FR"/>
        </w:rPr>
        <w:t>e</w:t>
      </w:r>
      <w:r w:rsidR="008960F0" w:rsidRPr="00E658D3">
        <w:rPr>
          <w:lang w:val="fr-FR"/>
        </w:rPr>
        <w:t xml:space="preserve"> m</w:t>
      </w:r>
      <w:r w:rsidR="00EC2545" w:rsidRPr="00E658D3">
        <w:rPr>
          <w:lang w:val="fr-FR"/>
        </w:rPr>
        <w:t>é</w:t>
      </w:r>
      <w:r w:rsidR="008960F0" w:rsidRPr="00E658D3">
        <w:rPr>
          <w:lang w:val="fr-FR"/>
        </w:rPr>
        <w:t>da</w:t>
      </w:r>
      <w:r w:rsidR="00EC2545" w:rsidRPr="00E658D3">
        <w:rPr>
          <w:lang w:val="fr-FR"/>
        </w:rPr>
        <w:t>i</w:t>
      </w:r>
      <w:r w:rsidR="008960F0" w:rsidRPr="00E658D3">
        <w:rPr>
          <w:lang w:val="fr-FR"/>
        </w:rPr>
        <w:t>l</w:t>
      </w:r>
      <w:r w:rsidR="00EC2545" w:rsidRPr="00E658D3">
        <w:rPr>
          <w:lang w:val="fr-FR"/>
        </w:rPr>
        <w:t>le</w:t>
      </w:r>
      <w:r w:rsidR="008960F0" w:rsidRPr="00E658D3">
        <w:rPr>
          <w:lang w:val="fr-FR"/>
        </w:rPr>
        <w:t xml:space="preserve"> </w:t>
      </w:r>
      <w:r w:rsidR="00EC2545" w:rsidRPr="00E658D3">
        <w:rPr>
          <w:lang w:val="fr-FR"/>
        </w:rPr>
        <w:t>d</w:t>
      </w:r>
      <w:r w:rsidR="00FD45FE" w:rsidRPr="00E658D3">
        <w:rPr>
          <w:lang w:val="fr-FR"/>
        </w:rPr>
        <w:t>'</w:t>
      </w:r>
      <w:r w:rsidR="00EC2545" w:rsidRPr="00E658D3">
        <w:rPr>
          <w:lang w:val="fr-FR"/>
        </w:rPr>
        <w:t>or de l</w:t>
      </w:r>
      <w:r w:rsidR="00FD45FE" w:rsidRPr="00E658D3">
        <w:rPr>
          <w:lang w:val="fr-FR"/>
        </w:rPr>
        <w:t>'</w:t>
      </w:r>
      <w:r w:rsidR="00EC2545" w:rsidRPr="00E658D3">
        <w:rPr>
          <w:lang w:val="fr-FR"/>
        </w:rPr>
        <w:t>UIT et un certificat</w:t>
      </w:r>
      <w:r w:rsidR="005053ED" w:rsidRPr="00E658D3">
        <w:rPr>
          <w:lang w:val="fr-FR"/>
        </w:rPr>
        <w:t xml:space="preserve"> honorifique</w:t>
      </w:r>
      <w:r w:rsidR="00EC2545" w:rsidRPr="00E658D3">
        <w:rPr>
          <w:lang w:val="fr-FR"/>
        </w:rPr>
        <w:t xml:space="preserve"> au Secrétaire général sortant.</w:t>
      </w:r>
      <w:r w:rsidRPr="00E658D3">
        <w:rPr>
          <w:lang w:val="fr-FR"/>
        </w:rPr>
        <w:t xml:space="preserve"> </w:t>
      </w:r>
      <w:r w:rsidR="00EC2545" w:rsidRPr="00E658D3">
        <w:rPr>
          <w:lang w:val="fr-FR"/>
        </w:rPr>
        <w:t xml:space="preserve">Il </w:t>
      </w:r>
      <w:r w:rsidR="00E90A8F" w:rsidRPr="00E658D3">
        <w:rPr>
          <w:lang w:val="fr-FR"/>
        </w:rPr>
        <w:t xml:space="preserve">assure aux membres que les </w:t>
      </w:r>
      <w:r w:rsidR="005076E0" w:rsidRPr="00E658D3">
        <w:rPr>
          <w:lang w:val="fr-FR"/>
        </w:rPr>
        <w:t xml:space="preserve">autres </w:t>
      </w:r>
      <w:r w:rsidR="00E90A8F" w:rsidRPr="00E658D3">
        <w:rPr>
          <w:lang w:val="fr-FR"/>
        </w:rPr>
        <w:t>fonctionnaires élus et lui-même poursuivr</w:t>
      </w:r>
      <w:r w:rsidR="001E65ED" w:rsidRPr="00E658D3">
        <w:rPr>
          <w:lang w:val="fr-FR"/>
        </w:rPr>
        <w:t>o</w:t>
      </w:r>
      <w:r w:rsidR="00E90A8F" w:rsidRPr="00E658D3">
        <w:rPr>
          <w:lang w:val="fr-FR"/>
        </w:rPr>
        <w:t>nt le tra</w:t>
      </w:r>
      <w:r w:rsidR="005076E0" w:rsidRPr="00E658D3">
        <w:rPr>
          <w:lang w:val="fr-FR"/>
        </w:rPr>
        <w:t>vail remarquable effectué par le Dr</w:t>
      </w:r>
      <w:r w:rsidR="00E90A8F" w:rsidRPr="00E658D3">
        <w:rPr>
          <w:lang w:val="fr-FR"/>
        </w:rPr>
        <w:t xml:space="preserve"> Touré afin d</w:t>
      </w:r>
      <w:r w:rsidR="00FD45FE" w:rsidRPr="00E658D3">
        <w:rPr>
          <w:lang w:val="fr-FR"/>
        </w:rPr>
        <w:t>'</w:t>
      </w:r>
      <w:r w:rsidR="009F5762" w:rsidRPr="00E658D3">
        <w:rPr>
          <w:lang w:val="fr-FR"/>
        </w:rPr>
        <w:t>a</w:t>
      </w:r>
      <w:r w:rsidR="005076E0" w:rsidRPr="00E658D3">
        <w:rPr>
          <w:lang w:val="fr-FR"/>
        </w:rPr>
        <w:t>mener l'Union à se surpasser</w:t>
      </w:r>
      <w:r w:rsidR="008960F0" w:rsidRPr="00E658D3">
        <w:rPr>
          <w:lang w:val="fr-FR"/>
        </w:rPr>
        <w:t>.</w:t>
      </w:r>
    </w:p>
    <w:p w14:paraId="1013FACA" w14:textId="7E562BA4" w:rsidR="008960F0" w:rsidRPr="00445A64" w:rsidRDefault="009F5762" w:rsidP="00445A64">
      <w:pPr>
        <w:rPr>
          <w:b/>
          <w:bCs/>
          <w:lang w:val="fr-FR"/>
        </w:rPr>
      </w:pPr>
      <w:r w:rsidRPr="00445A64">
        <w:rPr>
          <w:b/>
          <w:bCs/>
          <w:lang w:val="fr-FR"/>
        </w:rPr>
        <w:t xml:space="preserve">Un </w:t>
      </w:r>
      <w:r w:rsidR="006650C4" w:rsidRPr="00445A64">
        <w:rPr>
          <w:b/>
          <w:bCs/>
          <w:lang w:val="fr-FR"/>
        </w:rPr>
        <w:t>diaporama</w:t>
      </w:r>
      <w:r w:rsidRPr="00445A64">
        <w:rPr>
          <w:b/>
          <w:bCs/>
          <w:lang w:val="fr-FR"/>
        </w:rPr>
        <w:t xml:space="preserve"> </w:t>
      </w:r>
      <w:r w:rsidR="001E65ED" w:rsidRPr="00445A64">
        <w:rPr>
          <w:b/>
          <w:bCs/>
          <w:lang w:val="fr-FR"/>
        </w:rPr>
        <w:t>est</w:t>
      </w:r>
      <w:r w:rsidR="006650C4" w:rsidRPr="00445A64">
        <w:rPr>
          <w:b/>
          <w:bCs/>
          <w:lang w:val="fr-FR"/>
        </w:rPr>
        <w:t xml:space="preserve"> diffusé</w:t>
      </w:r>
      <w:r w:rsidRPr="00445A64">
        <w:rPr>
          <w:b/>
          <w:bCs/>
          <w:lang w:val="fr-FR"/>
        </w:rPr>
        <w:t xml:space="preserve"> en l</w:t>
      </w:r>
      <w:r w:rsidR="00FD45FE" w:rsidRPr="00445A64">
        <w:rPr>
          <w:b/>
          <w:bCs/>
          <w:lang w:val="fr-FR"/>
        </w:rPr>
        <w:t>'</w:t>
      </w:r>
      <w:r w:rsidRPr="00445A64">
        <w:rPr>
          <w:b/>
          <w:bCs/>
          <w:lang w:val="fr-FR"/>
        </w:rPr>
        <w:t xml:space="preserve">honneur du Secrétaire général sortant et de son </w:t>
      </w:r>
      <w:r w:rsidR="001E65ED" w:rsidRPr="00445A64">
        <w:rPr>
          <w:b/>
          <w:bCs/>
          <w:lang w:val="fr-FR"/>
        </w:rPr>
        <w:t>travail remarquable</w:t>
      </w:r>
      <w:r w:rsidRPr="00445A64">
        <w:rPr>
          <w:b/>
          <w:bCs/>
          <w:lang w:val="fr-FR"/>
        </w:rPr>
        <w:t xml:space="preserve"> durant son mandat à la tête de l</w:t>
      </w:r>
      <w:r w:rsidR="00FD45FE" w:rsidRPr="00445A64">
        <w:rPr>
          <w:b/>
          <w:bCs/>
          <w:lang w:val="fr-FR"/>
        </w:rPr>
        <w:t>'</w:t>
      </w:r>
      <w:r w:rsidRPr="00445A64">
        <w:rPr>
          <w:b/>
          <w:bCs/>
          <w:lang w:val="fr-FR"/>
        </w:rPr>
        <w:t>UIT</w:t>
      </w:r>
      <w:r w:rsidR="00445A64" w:rsidRPr="00445A64">
        <w:rPr>
          <w:b/>
          <w:bCs/>
          <w:lang w:val="fr-FR"/>
        </w:rPr>
        <w:t>.</w:t>
      </w:r>
    </w:p>
    <w:p w14:paraId="6988DC17" w14:textId="3472CAA8" w:rsidR="008960F0" w:rsidRPr="00E658D3" w:rsidRDefault="004A4389" w:rsidP="00445A64">
      <w:pPr>
        <w:rPr>
          <w:lang w:val="fr-FR"/>
        </w:rPr>
      </w:pPr>
      <w:r w:rsidRPr="00E658D3">
        <w:rPr>
          <w:lang w:val="fr-FR"/>
        </w:rPr>
        <w:t>10.3</w:t>
      </w:r>
      <w:r w:rsidR="008960F0" w:rsidRPr="00E658D3">
        <w:rPr>
          <w:lang w:val="fr-FR"/>
        </w:rPr>
        <w:tab/>
      </w:r>
      <w:r w:rsidR="001E65ED" w:rsidRPr="00E658D3">
        <w:rPr>
          <w:lang w:val="fr-FR"/>
        </w:rPr>
        <w:t>Les</w:t>
      </w:r>
      <w:r w:rsidR="008960F0" w:rsidRPr="00E658D3">
        <w:rPr>
          <w:lang w:val="fr-FR"/>
        </w:rPr>
        <w:t xml:space="preserve"> </w:t>
      </w:r>
      <w:r w:rsidR="008960F0" w:rsidRPr="00B92A7D">
        <w:rPr>
          <w:b/>
          <w:bCs/>
          <w:lang w:val="fr-FR"/>
        </w:rPr>
        <w:t>d</w:t>
      </w:r>
      <w:r w:rsidR="001E65ED" w:rsidRPr="00B92A7D">
        <w:rPr>
          <w:b/>
          <w:bCs/>
          <w:lang w:val="fr-FR"/>
        </w:rPr>
        <w:t>élégués des</w:t>
      </w:r>
      <w:r w:rsidR="008960F0" w:rsidRPr="00B92A7D">
        <w:rPr>
          <w:b/>
          <w:bCs/>
          <w:lang w:val="fr-FR"/>
        </w:rPr>
        <w:t xml:space="preserve"> Philippines</w:t>
      </w:r>
      <w:r w:rsidR="008960F0" w:rsidRPr="00E658D3">
        <w:rPr>
          <w:lang w:val="fr-FR"/>
        </w:rPr>
        <w:t xml:space="preserve">, </w:t>
      </w:r>
      <w:r w:rsidR="001E65ED" w:rsidRPr="00B92A7D">
        <w:rPr>
          <w:b/>
          <w:bCs/>
          <w:lang w:val="fr-FR"/>
        </w:rPr>
        <w:t>d</w:t>
      </w:r>
      <w:r w:rsidR="00FD45FE" w:rsidRPr="00B92A7D">
        <w:rPr>
          <w:b/>
          <w:bCs/>
          <w:lang w:val="fr-FR"/>
        </w:rPr>
        <w:t>'</w:t>
      </w:r>
      <w:r w:rsidR="008960F0" w:rsidRPr="00B92A7D">
        <w:rPr>
          <w:b/>
          <w:bCs/>
          <w:lang w:val="fr-FR"/>
        </w:rPr>
        <w:t>Ind</w:t>
      </w:r>
      <w:r w:rsidR="001E65ED" w:rsidRPr="00B92A7D">
        <w:rPr>
          <w:b/>
          <w:bCs/>
          <w:lang w:val="fr-FR"/>
        </w:rPr>
        <w:t>e</w:t>
      </w:r>
      <w:r w:rsidR="008960F0" w:rsidRPr="00E658D3">
        <w:rPr>
          <w:lang w:val="fr-FR"/>
        </w:rPr>
        <w:t xml:space="preserve">, </w:t>
      </w:r>
      <w:r w:rsidR="001E65ED" w:rsidRPr="00B92A7D">
        <w:rPr>
          <w:b/>
          <w:bCs/>
          <w:lang w:val="fr-FR"/>
        </w:rPr>
        <w:t>d</w:t>
      </w:r>
      <w:r w:rsidR="00FD45FE" w:rsidRPr="00B92A7D">
        <w:rPr>
          <w:b/>
          <w:bCs/>
          <w:lang w:val="fr-FR"/>
        </w:rPr>
        <w:t>'</w:t>
      </w:r>
      <w:r w:rsidR="008960F0" w:rsidRPr="00B92A7D">
        <w:rPr>
          <w:b/>
          <w:bCs/>
          <w:lang w:val="fr-FR"/>
        </w:rPr>
        <w:t>Afri</w:t>
      </w:r>
      <w:r w:rsidR="001E65ED" w:rsidRPr="00B92A7D">
        <w:rPr>
          <w:b/>
          <w:bCs/>
          <w:lang w:val="fr-FR"/>
        </w:rPr>
        <w:t>que du Sud</w:t>
      </w:r>
      <w:r w:rsidR="008960F0" w:rsidRPr="00E658D3">
        <w:rPr>
          <w:lang w:val="fr-FR"/>
        </w:rPr>
        <w:t xml:space="preserve">, </w:t>
      </w:r>
      <w:r w:rsidR="001E65ED" w:rsidRPr="00B92A7D">
        <w:rPr>
          <w:b/>
          <w:bCs/>
          <w:lang w:val="fr-FR"/>
        </w:rPr>
        <w:t xml:space="preserve">des Emirats </w:t>
      </w:r>
      <w:r w:rsidR="00E658D3" w:rsidRPr="00B92A7D">
        <w:rPr>
          <w:b/>
          <w:bCs/>
          <w:lang w:val="fr-FR"/>
        </w:rPr>
        <w:t>arabes unis</w:t>
      </w:r>
      <w:r w:rsidR="00E658D3" w:rsidRPr="00E658D3">
        <w:rPr>
          <w:lang w:val="fr-FR"/>
        </w:rPr>
        <w:t xml:space="preserve"> </w:t>
      </w:r>
      <w:r w:rsidR="00496D49" w:rsidRPr="00E658D3">
        <w:rPr>
          <w:lang w:val="fr-FR"/>
        </w:rPr>
        <w:t>(s</w:t>
      </w:r>
      <w:r w:rsidR="00FD45FE" w:rsidRPr="00E658D3">
        <w:rPr>
          <w:lang w:val="fr-FR"/>
        </w:rPr>
        <w:t>'</w:t>
      </w:r>
      <w:r w:rsidR="00496D49" w:rsidRPr="00E658D3">
        <w:rPr>
          <w:lang w:val="fr-FR"/>
        </w:rPr>
        <w:t xml:space="preserve">exprimant au nom du </w:t>
      </w:r>
      <w:r w:rsidR="00ED69FA" w:rsidRPr="00E658D3">
        <w:rPr>
          <w:lang w:val="fr-FR"/>
        </w:rPr>
        <w:t>G</w:t>
      </w:r>
      <w:r w:rsidR="00496D49" w:rsidRPr="00E658D3">
        <w:rPr>
          <w:lang w:val="fr-FR"/>
        </w:rPr>
        <w:t>roupe arabe)</w:t>
      </w:r>
      <w:r w:rsidR="008960F0" w:rsidRPr="00E658D3">
        <w:rPr>
          <w:lang w:val="fr-FR"/>
        </w:rPr>
        <w:t xml:space="preserve">, </w:t>
      </w:r>
      <w:r w:rsidR="00496D49" w:rsidRPr="00B92A7D">
        <w:rPr>
          <w:b/>
          <w:bCs/>
          <w:lang w:val="fr-FR"/>
        </w:rPr>
        <w:t>du</w:t>
      </w:r>
      <w:r w:rsidR="008960F0" w:rsidRPr="00B92A7D">
        <w:rPr>
          <w:b/>
          <w:bCs/>
          <w:lang w:val="fr-FR"/>
        </w:rPr>
        <w:t xml:space="preserve"> Bahr</w:t>
      </w:r>
      <w:r w:rsidR="00496D49" w:rsidRPr="00B92A7D">
        <w:rPr>
          <w:b/>
          <w:bCs/>
          <w:lang w:val="fr-FR"/>
        </w:rPr>
        <w:t>eï</w:t>
      </w:r>
      <w:r w:rsidR="008960F0" w:rsidRPr="00B92A7D">
        <w:rPr>
          <w:b/>
          <w:bCs/>
          <w:lang w:val="fr-FR"/>
        </w:rPr>
        <w:t>n</w:t>
      </w:r>
      <w:r w:rsidR="008960F0" w:rsidRPr="00E658D3">
        <w:rPr>
          <w:lang w:val="fr-FR"/>
        </w:rPr>
        <w:t xml:space="preserve">, </w:t>
      </w:r>
      <w:r w:rsidR="00496D49" w:rsidRPr="00B92A7D">
        <w:rPr>
          <w:b/>
          <w:bCs/>
          <w:lang w:val="fr-FR"/>
        </w:rPr>
        <w:t>de la République i</w:t>
      </w:r>
      <w:r w:rsidR="008960F0" w:rsidRPr="00B92A7D">
        <w:rPr>
          <w:b/>
          <w:bCs/>
          <w:lang w:val="fr-FR"/>
        </w:rPr>
        <w:t>slami</w:t>
      </w:r>
      <w:r w:rsidR="00496D49" w:rsidRPr="00B92A7D">
        <w:rPr>
          <w:b/>
          <w:bCs/>
          <w:lang w:val="fr-FR"/>
        </w:rPr>
        <w:t>que</w:t>
      </w:r>
      <w:r w:rsidR="008960F0" w:rsidRPr="00B92A7D">
        <w:rPr>
          <w:b/>
          <w:bCs/>
          <w:lang w:val="fr-FR"/>
        </w:rPr>
        <w:t xml:space="preserve"> </w:t>
      </w:r>
      <w:r w:rsidR="00496D49" w:rsidRPr="00B92A7D">
        <w:rPr>
          <w:b/>
          <w:bCs/>
          <w:lang w:val="fr-FR"/>
        </w:rPr>
        <w:t>d</w:t>
      </w:r>
      <w:r w:rsidR="00FD45FE" w:rsidRPr="00B92A7D">
        <w:rPr>
          <w:b/>
          <w:bCs/>
          <w:lang w:val="fr-FR"/>
        </w:rPr>
        <w:t>'</w:t>
      </w:r>
      <w:r w:rsidR="008960F0" w:rsidRPr="00B92A7D">
        <w:rPr>
          <w:b/>
          <w:bCs/>
          <w:lang w:val="fr-FR"/>
        </w:rPr>
        <w:t>Iran</w:t>
      </w:r>
      <w:r w:rsidR="008960F0" w:rsidRPr="00E658D3">
        <w:rPr>
          <w:lang w:val="fr-FR"/>
        </w:rPr>
        <w:t xml:space="preserve"> </w:t>
      </w:r>
      <w:r w:rsidR="00496D49" w:rsidRPr="00E658D3">
        <w:rPr>
          <w:lang w:val="fr-FR"/>
        </w:rPr>
        <w:t>(s</w:t>
      </w:r>
      <w:r w:rsidR="00FD45FE" w:rsidRPr="00E658D3">
        <w:rPr>
          <w:lang w:val="fr-FR"/>
        </w:rPr>
        <w:t>'</w:t>
      </w:r>
      <w:r w:rsidR="00496D49" w:rsidRPr="00E658D3">
        <w:rPr>
          <w:lang w:val="fr-FR"/>
        </w:rPr>
        <w:t>exprimant au nom de l</w:t>
      </w:r>
      <w:r w:rsidR="00FD45FE" w:rsidRPr="00E658D3">
        <w:rPr>
          <w:lang w:val="fr-FR"/>
        </w:rPr>
        <w:t>'</w:t>
      </w:r>
      <w:r w:rsidR="00057439" w:rsidRPr="00E658D3">
        <w:rPr>
          <w:lang w:val="fr-FR"/>
        </w:rPr>
        <w:t>APT</w:t>
      </w:r>
      <w:r w:rsidR="00496D49" w:rsidRPr="00E658D3">
        <w:rPr>
          <w:lang w:val="fr-FR"/>
        </w:rPr>
        <w:t>)</w:t>
      </w:r>
      <w:r w:rsidR="008960F0" w:rsidRPr="00E658D3">
        <w:rPr>
          <w:lang w:val="fr-FR"/>
        </w:rPr>
        <w:t xml:space="preserve">, </w:t>
      </w:r>
      <w:r w:rsidR="00496D49" w:rsidRPr="00B92A7D">
        <w:rPr>
          <w:b/>
          <w:bCs/>
          <w:lang w:val="fr-FR"/>
        </w:rPr>
        <w:t>des Etats-Unis</w:t>
      </w:r>
      <w:r w:rsidR="00496D49" w:rsidRPr="00E658D3">
        <w:rPr>
          <w:lang w:val="fr-FR"/>
        </w:rPr>
        <w:t xml:space="preserve">, </w:t>
      </w:r>
      <w:r w:rsidR="00496D49" w:rsidRPr="00B92A7D">
        <w:rPr>
          <w:b/>
          <w:bCs/>
          <w:lang w:val="fr-FR"/>
        </w:rPr>
        <w:t>de la Fédération de Russie</w:t>
      </w:r>
      <w:r w:rsidR="00496D49" w:rsidRPr="00E658D3">
        <w:rPr>
          <w:lang w:val="fr-FR"/>
        </w:rPr>
        <w:t xml:space="preserve">, </w:t>
      </w:r>
      <w:r w:rsidR="00496D49" w:rsidRPr="00B92A7D">
        <w:rPr>
          <w:b/>
          <w:bCs/>
          <w:lang w:val="fr-FR"/>
        </w:rPr>
        <w:t>de</w:t>
      </w:r>
      <w:r w:rsidR="008960F0" w:rsidRPr="00B92A7D">
        <w:rPr>
          <w:b/>
          <w:bCs/>
          <w:lang w:val="fr-FR"/>
        </w:rPr>
        <w:t xml:space="preserve"> Chin</w:t>
      </w:r>
      <w:r w:rsidR="00496D49" w:rsidRPr="00B92A7D">
        <w:rPr>
          <w:b/>
          <w:bCs/>
          <w:lang w:val="fr-FR"/>
        </w:rPr>
        <w:t>e</w:t>
      </w:r>
      <w:r w:rsidR="008960F0" w:rsidRPr="00E658D3">
        <w:rPr>
          <w:lang w:val="fr-FR"/>
        </w:rPr>
        <w:t xml:space="preserve">, </w:t>
      </w:r>
      <w:r w:rsidR="00496D49" w:rsidRPr="00B92A7D">
        <w:rPr>
          <w:b/>
          <w:bCs/>
          <w:lang w:val="fr-FR"/>
        </w:rPr>
        <w:t xml:space="preserve">de </w:t>
      </w:r>
      <w:r w:rsidR="008960F0" w:rsidRPr="00B92A7D">
        <w:rPr>
          <w:b/>
          <w:bCs/>
          <w:lang w:val="fr-FR"/>
        </w:rPr>
        <w:t>Pol</w:t>
      </w:r>
      <w:r w:rsidR="00496D49" w:rsidRPr="00B92A7D">
        <w:rPr>
          <w:b/>
          <w:bCs/>
          <w:lang w:val="fr-FR"/>
        </w:rPr>
        <w:t>ogne</w:t>
      </w:r>
      <w:r w:rsidR="008960F0" w:rsidRPr="00E658D3">
        <w:rPr>
          <w:lang w:val="fr-FR"/>
        </w:rPr>
        <w:t xml:space="preserve"> </w:t>
      </w:r>
      <w:r w:rsidR="00496D49" w:rsidRPr="00E658D3">
        <w:rPr>
          <w:lang w:val="fr-FR"/>
        </w:rPr>
        <w:t>(s</w:t>
      </w:r>
      <w:r w:rsidR="00FD45FE" w:rsidRPr="00E658D3">
        <w:rPr>
          <w:lang w:val="fr-FR"/>
        </w:rPr>
        <w:t>'</w:t>
      </w:r>
      <w:r w:rsidR="00496D49" w:rsidRPr="00E658D3">
        <w:rPr>
          <w:lang w:val="fr-FR"/>
        </w:rPr>
        <w:t>exprimant au nom des Administrations de la</w:t>
      </w:r>
      <w:r w:rsidR="008960F0" w:rsidRPr="00E658D3">
        <w:rPr>
          <w:lang w:val="fr-FR"/>
        </w:rPr>
        <w:t xml:space="preserve"> </w:t>
      </w:r>
      <w:r w:rsidR="00057439" w:rsidRPr="00E658D3">
        <w:rPr>
          <w:lang w:val="fr-FR"/>
        </w:rPr>
        <w:t>CEPT</w:t>
      </w:r>
      <w:r w:rsidR="00496D49" w:rsidRPr="00E658D3">
        <w:rPr>
          <w:lang w:val="fr-FR"/>
        </w:rPr>
        <w:t>)</w:t>
      </w:r>
      <w:r w:rsidR="008960F0" w:rsidRPr="00E658D3">
        <w:rPr>
          <w:lang w:val="fr-FR"/>
        </w:rPr>
        <w:t xml:space="preserve">, </w:t>
      </w:r>
      <w:r w:rsidR="00496D49" w:rsidRPr="00B92A7D">
        <w:rPr>
          <w:b/>
          <w:bCs/>
          <w:lang w:val="fr-FR"/>
        </w:rPr>
        <w:t>du M</w:t>
      </w:r>
      <w:r w:rsidR="008960F0" w:rsidRPr="00B92A7D">
        <w:rPr>
          <w:b/>
          <w:bCs/>
          <w:lang w:val="fr-FR"/>
        </w:rPr>
        <w:t>ozambique</w:t>
      </w:r>
      <w:r w:rsidR="008960F0" w:rsidRPr="00E658D3">
        <w:rPr>
          <w:lang w:val="fr-FR"/>
        </w:rPr>
        <w:t xml:space="preserve">, </w:t>
      </w:r>
      <w:r w:rsidR="00496D49" w:rsidRPr="00B92A7D">
        <w:rPr>
          <w:b/>
          <w:bCs/>
          <w:lang w:val="fr-FR"/>
        </w:rPr>
        <w:t>d</w:t>
      </w:r>
      <w:r w:rsidR="00FD45FE" w:rsidRPr="00B92A7D">
        <w:rPr>
          <w:b/>
          <w:bCs/>
          <w:lang w:val="fr-FR"/>
        </w:rPr>
        <w:t>'</w:t>
      </w:r>
      <w:r w:rsidR="008960F0" w:rsidRPr="00B92A7D">
        <w:rPr>
          <w:b/>
          <w:bCs/>
          <w:lang w:val="fr-FR"/>
        </w:rPr>
        <w:t>Oman</w:t>
      </w:r>
      <w:r w:rsidR="008960F0" w:rsidRPr="00E658D3">
        <w:rPr>
          <w:lang w:val="fr-FR"/>
        </w:rPr>
        <w:t xml:space="preserve">, </w:t>
      </w:r>
      <w:r w:rsidR="00496D49" w:rsidRPr="00B92A7D">
        <w:rPr>
          <w:b/>
          <w:bCs/>
          <w:lang w:val="fr-FR"/>
        </w:rPr>
        <w:t xml:space="preserve">du </w:t>
      </w:r>
      <w:r w:rsidR="008960F0" w:rsidRPr="00B92A7D">
        <w:rPr>
          <w:b/>
          <w:bCs/>
          <w:lang w:val="fr-FR"/>
        </w:rPr>
        <w:t>Zimbabwe</w:t>
      </w:r>
      <w:r w:rsidR="008960F0" w:rsidRPr="00E658D3">
        <w:rPr>
          <w:lang w:val="fr-FR"/>
        </w:rPr>
        <w:t xml:space="preserve">, </w:t>
      </w:r>
      <w:r w:rsidR="00496D49" w:rsidRPr="00B92A7D">
        <w:rPr>
          <w:b/>
          <w:bCs/>
          <w:lang w:val="fr-FR"/>
        </w:rPr>
        <w:t xml:space="preserve">du </w:t>
      </w:r>
      <w:r w:rsidR="008960F0" w:rsidRPr="00B92A7D">
        <w:rPr>
          <w:b/>
          <w:bCs/>
          <w:lang w:val="fr-FR"/>
        </w:rPr>
        <w:t>Vanuatu</w:t>
      </w:r>
      <w:r w:rsidR="008960F0" w:rsidRPr="00E658D3">
        <w:rPr>
          <w:lang w:val="fr-FR"/>
        </w:rPr>
        <w:t xml:space="preserve"> </w:t>
      </w:r>
      <w:r w:rsidR="00892CA4" w:rsidRPr="00E658D3">
        <w:rPr>
          <w:lang w:val="fr-FR"/>
        </w:rPr>
        <w:t>(s</w:t>
      </w:r>
      <w:r w:rsidR="00FD45FE" w:rsidRPr="00E658D3">
        <w:rPr>
          <w:lang w:val="fr-FR"/>
        </w:rPr>
        <w:t>'</w:t>
      </w:r>
      <w:r w:rsidR="00892CA4" w:rsidRPr="00E658D3">
        <w:rPr>
          <w:lang w:val="fr-FR"/>
        </w:rPr>
        <w:t xml:space="preserve">exprimant au nom des </w:t>
      </w:r>
      <w:r w:rsidR="000E1DB1" w:rsidRPr="00E658D3">
        <w:rPr>
          <w:lang w:val="fr-FR"/>
        </w:rPr>
        <w:t>E</w:t>
      </w:r>
      <w:r w:rsidR="00892CA4" w:rsidRPr="00E658D3">
        <w:rPr>
          <w:lang w:val="fr-FR"/>
        </w:rPr>
        <w:t xml:space="preserve">tats </w:t>
      </w:r>
      <w:r w:rsidR="000E1DB1" w:rsidRPr="00E658D3">
        <w:rPr>
          <w:lang w:val="fr-FR"/>
        </w:rPr>
        <w:t>insulaires</w:t>
      </w:r>
      <w:r w:rsidR="00892CA4" w:rsidRPr="00E658D3">
        <w:rPr>
          <w:lang w:val="fr-FR"/>
        </w:rPr>
        <w:t xml:space="preserve"> du Pacifique)</w:t>
      </w:r>
      <w:r w:rsidR="008960F0" w:rsidRPr="00E658D3">
        <w:rPr>
          <w:lang w:val="fr-FR"/>
        </w:rPr>
        <w:t xml:space="preserve">, </w:t>
      </w:r>
      <w:r w:rsidR="00892CA4" w:rsidRPr="00B92A7D">
        <w:rPr>
          <w:b/>
          <w:bCs/>
          <w:lang w:val="fr-FR"/>
        </w:rPr>
        <w:t>de l</w:t>
      </w:r>
      <w:r w:rsidR="00FD45FE" w:rsidRPr="00B92A7D">
        <w:rPr>
          <w:b/>
          <w:bCs/>
          <w:lang w:val="fr-FR"/>
        </w:rPr>
        <w:t>'</w:t>
      </w:r>
      <w:r w:rsidR="00892CA4" w:rsidRPr="00B92A7D">
        <w:rPr>
          <w:b/>
          <w:bCs/>
          <w:lang w:val="fr-FR"/>
        </w:rPr>
        <w:t>Ou</w:t>
      </w:r>
      <w:r w:rsidR="008960F0" w:rsidRPr="00B92A7D">
        <w:rPr>
          <w:b/>
          <w:bCs/>
          <w:lang w:val="fr-FR"/>
        </w:rPr>
        <w:t>ganda</w:t>
      </w:r>
      <w:r w:rsidRPr="00E658D3">
        <w:rPr>
          <w:lang w:val="fr-FR"/>
        </w:rPr>
        <w:t>,</w:t>
      </w:r>
      <w:r w:rsidR="008960F0" w:rsidRPr="00E658D3">
        <w:rPr>
          <w:lang w:val="fr-FR"/>
        </w:rPr>
        <w:t xml:space="preserve"> </w:t>
      </w:r>
      <w:r w:rsidR="00892CA4" w:rsidRPr="00B92A7D">
        <w:rPr>
          <w:b/>
          <w:bCs/>
          <w:lang w:val="fr-FR"/>
        </w:rPr>
        <w:t xml:space="preserve">du </w:t>
      </w:r>
      <w:r w:rsidR="008960F0" w:rsidRPr="00B92A7D">
        <w:rPr>
          <w:b/>
          <w:bCs/>
          <w:lang w:val="fr-FR"/>
        </w:rPr>
        <w:t>Bangladesh</w:t>
      </w:r>
      <w:r w:rsidR="008960F0" w:rsidRPr="00E658D3">
        <w:rPr>
          <w:lang w:val="fr-FR"/>
        </w:rPr>
        <w:t xml:space="preserve"> </w:t>
      </w:r>
      <w:r w:rsidR="00892CA4" w:rsidRPr="00E658D3">
        <w:rPr>
          <w:lang w:val="fr-FR"/>
        </w:rPr>
        <w:t xml:space="preserve">et </w:t>
      </w:r>
      <w:r w:rsidR="00892CA4" w:rsidRPr="00B92A7D">
        <w:rPr>
          <w:b/>
          <w:bCs/>
          <w:lang w:val="fr-FR"/>
        </w:rPr>
        <w:t>du</w:t>
      </w:r>
      <w:r w:rsidR="008960F0" w:rsidRPr="00B92A7D">
        <w:rPr>
          <w:b/>
          <w:bCs/>
          <w:lang w:val="fr-FR"/>
        </w:rPr>
        <w:t xml:space="preserve"> S</w:t>
      </w:r>
      <w:r w:rsidR="00892CA4" w:rsidRPr="00B92A7D">
        <w:rPr>
          <w:b/>
          <w:bCs/>
          <w:lang w:val="fr-FR"/>
        </w:rPr>
        <w:t>é</w:t>
      </w:r>
      <w:r w:rsidR="008960F0" w:rsidRPr="00B92A7D">
        <w:rPr>
          <w:b/>
          <w:bCs/>
          <w:lang w:val="fr-FR"/>
        </w:rPr>
        <w:t>n</w:t>
      </w:r>
      <w:r w:rsidR="00892CA4" w:rsidRPr="00B92A7D">
        <w:rPr>
          <w:b/>
          <w:bCs/>
          <w:lang w:val="fr-FR"/>
        </w:rPr>
        <w:t>é</w:t>
      </w:r>
      <w:r w:rsidR="008960F0" w:rsidRPr="00B92A7D">
        <w:rPr>
          <w:b/>
          <w:bCs/>
          <w:lang w:val="fr-FR"/>
        </w:rPr>
        <w:t>gal</w:t>
      </w:r>
      <w:r w:rsidR="008960F0" w:rsidRPr="00E658D3">
        <w:rPr>
          <w:lang w:val="fr-FR"/>
        </w:rPr>
        <w:t xml:space="preserve"> </w:t>
      </w:r>
      <w:r w:rsidR="00ED69FA" w:rsidRPr="00E658D3">
        <w:rPr>
          <w:lang w:val="fr-FR"/>
        </w:rPr>
        <w:t>prenne</w:t>
      </w:r>
      <w:r w:rsidR="00843BCA" w:rsidRPr="00E658D3">
        <w:rPr>
          <w:lang w:val="fr-FR"/>
        </w:rPr>
        <w:t>nt</w:t>
      </w:r>
      <w:r w:rsidR="008A0B99" w:rsidRPr="00E658D3">
        <w:rPr>
          <w:lang w:val="fr-FR"/>
        </w:rPr>
        <w:t xml:space="preserve"> </w:t>
      </w:r>
      <w:r w:rsidR="00ED69FA" w:rsidRPr="00E658D3">
        <w:rPr>
          <w:lang w:val="fr-FR"/>
        </w:rPr>
        <w:t xml:space="preserve">la parole </w:t>
      </w:r>
      <w:r w:rsidR="008A0B99" w:rsidRPr="00E658D3">
        <w:rPr>
          <w:lang w:val="fr-FR"/>
        </w:rPr>
        <w:t>pour rendre hommage au Secrétaire général sortant</w:t>
      </w:r>
      <w:r w:rsidR="00B86535" w:rsidRPr="00E658D3">
        <w:rPr>
          <w:lang w:val="fr-FR"/>
        </w:rPr>
        <w:t>,</w:t>
      </w:r>
      <w:r w:rsidR="008A0B99" w:rsidRPr="00E658D3">
        <w:rPr>
          <w:lang w:val="fr-FR"/>
        </w:rPr>
        <w:t xml:space="preserve"> </w:t>
      </w:r>
      <w:r w:rsidR="00962DD4" w:rsidRPr="00E658D3">
        <w:rPr>
          <w:lang w:val="fr-FR"/>
        </w:rPr>
        <w:t>saluant les</w:t>
      </w:r>
      <w:r w:rsidR="008A0B99" w:rsidRPr="00E658D3">
        <w:rPr>
          <w:lang w:val="fr-FR"/>
        </w:rPr>
        <w:t xml:space="preserve"> nombreu</w:t>
      </w:r>
      <w:r w:rsidR="00ED69FA" w:rsidRPr="00E658D3">
        <w:rPr>
          <w:lang w:val="fr-FR"/>
        </w:rPr>
        <w:t>ses réussites obtenues au cours de son mandat</w:t>
      </w:r>
      <w:r w:rsidR="008960F0" w:rsidRPr="00E658D3">
        <w:rPr>
          <w:lang w:val="fr-FR"/>
        </w:rPr>
        <w:t>.</w:t>
      </w:r>
      <w:r w:rsidR="008A0B99" w:rsidRPr="00E658D3">
        <w:rPr>
          <w:lang w:val="fr-FR"/>
        </w:rPr>
        <w:t xml:space="preserve"> Des orateurs </w:t>
      </w:r>
      <w:r w:rsidR="00843BCA" w:rsidRPr="00E658D3">
        <w:rPr>
          <w:lang w:val="fr-FR"/>
        </w:rPr>
        <w:t>adressent également des félicitations au Président, au pays hôte, aux responsables, au personnel et aux fonctionnaires élus de l</w:t>
      </w:r>
      <w:r w:rsidR="00FD45FE" w:rsidRPr="00E658D3">
        <w:rPr>
          <w:lang w:val="fr-FR"/>
        </w:rPr>
        <w:t>'</w:t>
      </w:r>
      <w:r w:rsidR="00843BCA" w:rsidRPr="00E658D3">
        <w:rPr>
          <w:lang w:val="fr-FR"/>
        </w:rPr>
        <w:t>UIT</w:t>
      </w:r>
      <w:r w:rsidR="008C475A" w:rsidRPr="00E658D3">
        <w:rPr>
          <w:lang w:val="fr-FR"/>
        </w:rPr>
        <w:t>,</w:t>
      </w:r>
      <w:r w:rsidR="00843BCA" w:rsidRPr="00E658D3">
        <w:rPr>
          <w:lang w:val="fr-FR"/>
        </w:rPr>
        <w:t xml:space="preserve"> ainsi qu</w:t>
      </w:r>
      <w:r w:rsidR="00FD45FE" w:rsidRPr="00E658D3">
        <w:rPr>
          <w:lang w:val="fr-FR"/>
        </w:rPr>
        <w:t>'</w:t>
      </w:r>
      <w:r w:rsidR="00843BCA" w:rsidRPr="00E658D3">
        <w:rPr>
          <w:lang w:val="fr-FR"/>
        </w:rPr>
        <w:t>aux Etats Membres du Conseil</w:t>
      </w:r>
      <w:r w:rsidR="008C475A" w:rsidRPr="00E658D3">
        <w:rPr>
          <w:lang w:val="fr-FR"/>
        </w:rPr>
        <w:t>,</w:t>
      </w:r>
      <w:r w:rsidR="00843BCA" w:rsidRPr="00E658D3">
        <w:rPr>
          <w:lang w:val="fr-FR"/>
        </w:rPr>
        <w:t xml:space="preserve"> élus ou réélus.</w:t>
      </w:r>
    </w:p>
    <w:p w14:paraId="69676275" w14:textId="2E794472" w:rsidR="008960F0" w:rsidRPr="00E658D3" w:rsidRDefault="00AA0065" w:rsidP="00445A64">
      <w:pPr>
        <w:rPr>
          <w:lang w:val="fr-FR"/>
        </w:rPr>
      </w:pPr>
      <w:r w:rsidRPr="00E658D3">
        <w:rPr>
          <w:lang w:val="fr-FR"/>
        </w:rPr>
        <w:t>10.4</w:t>
      </w:r>
      <w:r w:rsidR="008960F0" w:rsidRPr="00E658D3">
        <w:rPr>
          <w:lang w:val="fr-FR"/>
        </w:rPr>
        <w:tab/>
      </w:r>
      <w:r w:rsidR="00843BCA" w:rsidRPr="00E658D3">
        <w:rPr>
          <w:lang w:val="fr-FR"/>
        </w:rPr>
        <w:t>L</w:t>
      </w:r>
      <w:r w:rsidR="008960F0" w:rsidRPr="00E658D3">
        <w:rPr>
          <w:lang w:val="fr-FR"/>
        </w:rPr>
        <w:t xml:space="preserve">e </w:t>
      </w:r>
      <w:r w:rsidR="008960F0" w:rsidRPr="00E658D3">
        <w:rPr>
          <w:b/>
          <w:bCs/>
          <w:lang w:val="fr-FR"/>
        </w:rPr>
        <w:t>Secr</w:t>
      </w:r>
      <w:r w:rsidR="00843BCA" w:rsidRPr="00E658D3">
        <w:rPr>
          <w:b/>
          <w:bCs/>
          <w:lang w:val="fr-FR"/>
        </w:rPr>
        <w:t>é</w:t>
      </w:r>
      <w:r w:rsidR="008960F0" w:rsidRPr="00E658D3">
        <w:rPr>
          <w:b/>
          <w:bCs/>
          <w:lang w:val="fr-FR"/>
        </w:rPr>
        <w:t>ta</w:t>
      </w:r>
      <w:r w:rsidR="00843BCA" w:rsidRPr="00E658D3">
        <w:rPr>
          <w:b/>
          <w:bCs/>
          <w:lang w:val="fr-FR"/>
        </w:rPr>
        <w:t>i</w:t>
      </w:r>
      <w:r w:rsidR="008960F0" w:rsidRPr="00E658D3">
        <w:rPr>
          <w:b/>
          <w:bCs/>
          <w:lang w:val="fr-FR"/>
        </w:rPr>
        <w:t>r</w:t>
      </w:r>
      <w:r w:rsidR="00843BCA" w:rsidRPr="00E658D3">
        <w:rPr>
          <w:b/>
          <w:bCs/>
          <w:lang w:val="fr-FR"/>
        </w:rPr>
        <w:t>e général</w:t>
      </w:r>
      <w:r w:rsidR="008960F0" w:rsidRPr="00E658D3">
        <w:rPr>
          <w:b/>
          <w:bCs/>
          <w:lang w:val="fr-FR"/>
        </w:rPr>
        <w:t xml:space="preserve"> </w:t>
      </w:r>
      <w:r w:rsidR="00843BCA" w:rsidRPr="00E658D3">
        <w:rPr>
          <w:lang w:val="fr-FR"/>
        </w:rPr>
        <w:t>exprime sa gratitude à l</w:t>
      </w:r>
      <w:r w:rsidR="00FD45FE" w:rsidRPr="00E658D3">
        <w:rPr>
          <w:lang w:val="fr-FR"/>
        </w:rPr>
        <w:t>'</w:t>
      </w:r>
      <w:r w:rsidR="00843BCA" w:rsidRPr="00E658D3">
        <w:rPr>
          <w:lang w:val="fr-FR"/>
        </w:rPr>
        <w:t>égard des hommages chaleureux qui lui ont été rendus</w:t>
      </w:r>
      <w:r w:rsidR="008960F0" w:rsidRPr="00E658D3">
        <w:rPr>
          <w:lang w:val="fr-FR"/>
        </w:rPr>
        <w:t xml:space="preserve">. </w:t>
      </w:r>
    </w:p>
    <w:p w14:paraId="3E392089" w14:textId="1ED92A1C" w:rsidR="008960F0" w:rsidRPr="00445A64" w:rsidRDefault="00843BCA" w:rsidP="00445A64">
      <w:pPr>
        <w:rPr>
          <w:b/>
          <w:bCs/>
          <w:lang w:val="fr-FR"/>
        </w:rPr>
      </w:pPr>
      <w:r w:rsidRPr="00445A64">
        <w:rPr>
          <w:b/>
          <w:bCs/>
          <w:lang w:val="fr-FR"/>
        </w:rPr>
        <w:t>La séance est levée à 17 h 25</w:t>
      </w:r>
      <w:r w:rsidR="008960F0" w:rsidRPr="00445A64">
        <w:rPr>
          <w:b/>
          <w:bCs/>
          <w:lang w:val="fr-FR"/>
        </w:rPr>
        <w:t>.</w:t>
      </w:r>
    </w:p>
    <w:p w14:paraId="30A1EF2D" w14:textId="0B0AED2E" w:rsidR="008960F0" w:rsidRPr="00E658D3" w:rsidRDefault="00843BCA" w:rsidP="00E24551">
      <w:pPr>
        <w:pStyle w:val="Normalpv"/>
        <w:spacing w:before="840"/>
        <w:rPr>
          <w:lang w:val="fr-FR"/>
        </w:rPr>
      </w:pPr>
      <w:r w:rsidRPr="00E658D3">
        <w:rPr>
          <w:lang w:val="fr-FR"/>
        </w:rPr>
        <w:t>Le Secrétaire général</w:t>
      </w:r>
      <w:r w:rsidR="008960F0" w:rsidRPr="00E658D3">
        <w:rPr>
          <w:lang w:val="fr-FR"/>
        </w:rPr>
        <w:t>:</w:t>
      </w:r>
      <w:r w:rsidR="008960F0" w:rsidRPr="00E658D3">
        <w:rPr>
          <w:lang w:val="fr-FR"/>
        </w:rPr>
        <w:tab/>
      </w:r>
      <w:r w:rsidR="008960F0" w:rsidRPr="00E658D3">
        <w:rPr>
          <w:lang w:val="fr-FR"/>
        </w:rPr>
        <w:tab/>
      </w:r>
      <w:r w:rsidR="008960F0" w:rsidRPr="00E658D3">
        <w:rPr>
          <w:lang w:val="fr-FR"/>
        </w:rPr>
        <w:tab/>
      </w:r>
      <w:r w:rsidR="008960F0" w:rsidRPr="00E658D3">
        <w:rPr>
          <w:lang w:val="fr-FR"/>
        </w:rPr>
        <w:tab/>
      </w:r>
      <w:r w:rsidR="008960F0" w:rsidRPr="00E658D3">
        <w:rPr>
          <w:lang w:val="fr-FR"/>
        </w:rPr>
        <w:tab/>
      </w:r>
      <w:r w:rsidRPr="00E658D3">
        <w:rPr>
          <w:lang w:val="fr-FR"/>
        </w:rPr>
        <w:t>Le Président</w:t>
      </w:r>
      <w:r w:rsidR="008960F0" w:rsidRPr="00E658D3">
        <w:rPr>
          <w:lang w:val="fr-FR"/>
        </w:rPr>
        <w:t>:</w:t>
      </w:r>
    </w:p>
    <w:p w14:paraId="4F616F28" w14:textId="3CA6823B" w:rsidR="008960F0" w:rsidRPr="00E658D3" w:rsidRDefault="008960F0" w:rsidP="009827B9">
      <w:pPr>
        <w:pStyle w:val="Normalpv"/>
        <w:spacing w:before="0"/>
        <w:rPr>
          <w:lang w:val="fr-FR"/>
        </w:rPr>
      </w:pPr>
      <w:r w:rsidRPr="00E658D3">
        <w:rPr>
          <w:lang w:val="fr-FR"/>
        </w:rPr>
        <w:t xml:space="preserve">H. </w:t>
      </w:r>
      <w:r w:rsidR="00962DD4" w:rsidRPr="00E658D3">
        <w:rPr>
          <w:lang w:val="fr-FR"/>
        </w:rPr>
        <w:t>TOURÉ</w:t>
      </w:r>
      <w:r w:rsidR="00962DD4" w:rsidRPr="00E658D3">
        <w:rPr>
          <w:lang w:val="fr-FR"/>
        </w:rPr>
        <w:tab/>
      </w:r>
      <w:r w:rsidR="00962DD4" w:rsidRPr="00E658D3">
        <w:rPr>
          <w:lang w:val="fr-FR"/>
        </w:rPr>
        <w:tab/>
      </w:r>
      <w:r w:rsidR="00962DD4" w:rsidRPr="00E658D3">
        <w:rPr>
          <w:lang w:val="fr-FR"/>
        </w:rPr>
        <w:tab/>
      </w:r>
      <w:r w:rsidR="00962DD4" w:rsidRPr="00E658D3">
        <w:rPr>
          <w:lang w:val="fr-FR"/>
        </w:rPr>
        <w:tab/>
      </w:r>
      <w:r w:rsidR="00962DD4" w:rsidRPr="00E658D3">
        <w:rPr>
          <w:lang w:val="fr-FR"/>
        </w:rPr>
        <w:tab/>
      </w:r>
      <w:r w:rsidR="00962DD4" w:rsidRPr="00E658D3">
        <w:rPr>
          <w:lang w:val="fr-FR"/>
        </w:rPr>
        <w:tab/>
      </w:r>
      <w:r w:rsidR="00962DD4" w:rsidRPr="00E658D3">
        <w:rPr>
          <w:lang w:val="fr-FR"/>
        </w:rPr>
        <w:tab/>
      </w:r>
      <w:r w:rsidR="00962DD4" w:rsidRPr="00E658D3">
        <w:rPr>
          <w:lang w:val="fr-FR"/>
        </w:rPr>
        <w:tab/>
      </w:r>
      <w:r w:rsidRPr="00E658D3">
        <w:rPr>
          <w:lang w:val="fr-FR"/>
        </w:rPr>
        <w:t>W. MIN</w:t>
      </w:r>
    </w:p>
    <w:p w14:paraId="4AD51D6D" w14:textId="77777777" w:rsidR="00445A64" w:rsidRDefault="00445A64" w:rsidP="00455C29">
      <w:pPr>
        <w:snapToGrid w:val="0"/>
        <w:spacing w:before="480"/>
        <w:rPr>
          <w:b/>
          <w:bCs/>
          <w:szCs w:val="24"/>
          <w:lang w:val="fr-FR"/>
        </w:rPr>
      </w:pPr>
    </w:p>
    <w:p w14:paraId="6CD6B955" w14:textId="77777777" w:rsidR="00445A64" w:rsidRDefault="00445A64" w:rsidP="00455C29">
      <w:pPr>
        <w:snapToGrid w:val="0"/>
        <w:spacing w:before="480"/>
        <w:rPr>
          <w:b/>
          <w:bCs/>
          <w:szCs w:val="24"/>
          <w:lang w:val="fr-FR"/>
        </w:rPr>
      </w:pPr>
    </w:p>
    <w:p w14:paraId="0490F0D0" w14:textId="77777777" w:rsidR="00445A64" w:rsidRDefault="00445A64" w:rsidP="00455C29">
      <w:pPr>
        <w:snapToGrid w:val="0"/>
        <w:spacing w:before="480"/>
        <w:rPr>
          <w:b/>
          <w:bCs/>
          <w:szCs w:val="24"/>
          <w:lang w:val="fr-FR"/>
        </w:rPr>
      </w:pPr>
    </w:p>
    <w:p w14:paraId="477303A6" w14:textId="77777777" w:rsidR="00445A64" w:rsidRDefault="00445A64" w:rsidP="00455C29">
      <w:pPr>
        <w:snapToGrid w:val="0"/>
        <w:spacing w:before="480"/>
        <w:rPr>
          <w:b/>
          <w:bCs/>
          <w:szCs w:val="24"/>
          <w:lang w:val="fr-FR"/>
        </w:rPr>
      </w:pPr>
    </w:p>
    <w:p w14:paraId="225FD7F7" w14:textId="77777777" w:rsidR="00445A64" w:rsidRDefault="00445A64" w:rsidP="00455C29">
      <w:pPr>
        <w:snapToGrid w:val="0"/>
        <w:spacing w:before="480"/>
        <w:rPr>
          <w:b/>
          <w:bCs/>
          <w:szCs w:val="24"/>
          <w:lang w:val="fr-FR"/>
        </w:rPr>
      </w:pPr>
    </w:p>
    <w:p w14:paraId="52D811C4" w14:textId="77777777" w:rsidR="008960F0" w:rsidRDefault="00AA0065" w:rsidP="00455C29">
      <w:pPr>
        <w:snapToGrid w:val="0"/>
        <w:spacing w:before="480"/>
        <w:rPr>
          <w:szCs w:val="24"/>
          <w:lang w:val="fr-FR"/>
        </w:rPr>
      </w:pPr>
      <w:r w:rsidRPr="00E658D3">
        <w:rPr>
          <w:b/>
          <w:bCs/>
          <w:szCs w:val="24"/>
          <w:lang w:val="fr-FR"/>
        </w:rPr>
        <w:t xml:space="preserve">Annexes: </w:t>
      </w:r>
      <w:r w:rsidR="001A5E36" w:rsidRPr="00E658D3">
        <w:rPr>
          <w:szCs w:val="24"/>
          <w:lang w:val="fr-FR"/>
        </w:rPr>
        <w:t>4</w:t>
      </w:r>
    </w:p>
    <w:p w14:paraId="5D92D29E" w14:textId="64A6DB93" w:rsidR="0014400C" w:rsidRDefault="0014400C">
      <w:pPr>
        <w:tabs>
          <w:tab w:val="clear" w:pos="567"/>
          <w:tab w:val="clear" w:pos="1134"/>
          <w:tab w:val="clear" w:pos="1701"/>
          <w:tab w:val="clear" w:pos="2268"/>
          <w:tab w:val="clear" w:pos="2835"/>
        </w:tabs>
        <w:overflowPunct/>
        <w:autoSpaceDE/>
        <w:autoSpaceDN/>
        <w:adjustRightInd/>
        <w:spacing w:before="0"/>
        <w:textAlignment w:val="auto"/>
        <w:rPr>
          <w:szCs w:val="24"/>
          <w:lang w:val="fr-FR"/>
        </w:rPr>
      </w:pPr>
      <w:r>
        <w:rPr>
          <w:szCs w:val="24"/>
          <w:lang w:val="fr-FR"/>
        </w:rPr>
        <w:br w:type="page"/>
      </w:r>
    </w:p>
    <w:p w14:paraId="462E6E49" w14:textId="44C0F3AE" w:rsidR="00AA0065" w:rsidRPr="00E658D3" w:rsidRDefault="003256D8" w:rsidP="003256D8">
      <w:pPr>
        <w:tabs>
          <w:tab w:val="clear" w:pos="567"/>
          <w:tab w:val="clear" w:pos="1134"/>
          <w:tab w:val="clear" w:pos="1701"/>
          <w:tab w:val="clear" w:pos="2268"/>
          <w:tab w:val="clear" w:pos="2835"/>
        </w:tabs>
        <w:overflowPunct/>
        <w:autoSpaceDE/>
        <w:autoSpaceDN/>
        <w:adjustRightInd/>
        <w:spacing w:before="200"/>
        <w:jc w:val="right"/>
        <w:textAlignment w:val="auto"/>
        <w:rPr>
          <w:b/>
          <w:bCs/>
          <w:szCs w:val="24"/>
          <w:lang w:val="fr-FR"/>
        </w:rPr>
      </w:pPr>
      <w:r w:rsidRPr="00E658D3">
        <w:rPr>
          <w:b/>
          <w:bCs/>
          <w:szCs w:val="24"/>
          <w:lang w:val="fr-FR"/>
        </w:rPr>
        <w:t>Origi</w:t>
      </w:r>
      <w:r w:rsidR="00AA0065" w:rsidRPr="00E658D3">
        <w:rPr>
          <w:b/>
          <w:bCs/>
          <w:szCs w:val="24"/>
          <w:lang w:val="fr-FR"/>
        </w:rPr>
        <w:t>nal</w:t>
      </w:r>
      <w:r w:rsidR="00E24551" w:rsidRPr="00E658D3">
        <w:rPr>
          <w:b/>
          <w:bCs/>
          <w:szCs w:val="24"/>
          <w:lang w:val="fr-FR"/>
        </w:rPr>
        <w:t>:</w:t>
      </w:r>
      <w:r w:rsidR="00AA0065" w:rsidRPr="00E658D3">
        <w:rPr>
          <w:b/>
          <w:bCs/>
          <w:szCs w:val="24"/>
          <w:lang w:val="fr-FR"/>
        </w:rPr>
        <w:t xml:space="preserve"> </w:t>
      </w:r>
      <w:r w:rsidRPr="00E658D3">
        <w:rPr>
          <w:b/>
          <w:bCs/>
          <w:szCs w:val="24"/>
          <w:lang w:val="fr-FR"/>
        </w:rPr>
        <w:t>anglais</w:t>
      </w:r>
    </w:p>
    <w:p w14:paraId="6D0F4A7B" w14:textId="0CB96058" w:rsidR="00AA0065" w:rsidRPr="00E658D3" w:rsidRDefault="00AA0065" w:rsidP="0014400C">
      <w:pPr>
        <w:pStyle w:val="AnnexNo"/>
        <w:rPr>
          <w:lang w:val="fr-FR"/>
        </w:rPr>
      </w:pPr>
      <w:r w:rsidRPr="00E658D3">
        <w:rPr>
          <w:lang w:val="fr-FR"/>
        </w:rPr>
        <w:t>Annex</w:t>
      </w:r>
      <w:r w:rsidR="003256D8" w:rsidRPr="00E658D3">
        <w:rPr>
          <w:lang w:val="fr-FR"/>
        </w:rPr>
        <w:t>e</w:t>
      </w:r>
      <w:r w:rsidRPr="00E658D3">
        <w:rPr>
          <w:lang w:val="fr-FR"/>
        </w:rPr>
        <w:t xml:space="preserve"> A</w:t>
      </w:r>
    </w:p>
    <w:p w14:paraId="7EA94831" w14:textId="1E57E325" w:rsidR="00AA0065" w:rsidRPr="00E658D3" w:rsidRDefault="003256D8" w:rsidP="0014400C">
      <w:pPr>
        <w:pStyle w:val="Annextitle"/>
        <w:rPr>
          <w:lang w:val="fr-FR"/>
        </w:rPr>
      </w:pPr>
      <w:r w:rsidRPr="00E658D3">
        <w:rPr>
          <w:lang w:val="fr-FR"/>
        </w:rPr>
        <w:t>Déclaration de la</w:t>
      </w:r>
      <w:r w:rsidR="00AA0065" w:rsidRPr="00E658D3">
        <w:rPr>
          <w:lang w:val="fr-FR"/>
        </w:rPr>
        <w:t xml:space="preserve"> d</w:t>
      </w:r>
      <w:r w:rsidRPr="00E658D3">
        <w:rPr>
          <w:lang w:val="fr-FR"/>
        </w:rPr>
        <w:t>é</w:t>
      </w:r>
      <w:r w:rsidR="00AA0065" w:rsidRPr="00E658D3">
        <w:rPr>
          <w:lang w:val="fr-FR"/>
        </w:rPr>
        <w:t>l</w:t>
      </w:r>
      <w:r w:rsidRPr="00E658D3">
        <w:rPr>
          <w:lang w:val="fr-FR"/>
        </w:rPr>
        <w:t>é</w:t>
      </w:r>
      <w:r w:rsidR="00AA0065" w:rsidRPr="00E658D3">
        <w:rPr>
          <w:lang w:val="fr-FR"/>
        </w:rPr>
        <w:t>gat</w:t>
      </w:r>
      <w:r w:rsidR="00057439" w:rsidRPr="00E658D3">
        <w:rPr>
          <w:lang w:val="fr-FR"/>
        </w:rPr>
        <w:t>ion</w:t>
      </w:r>
      <w:r w:rsidR="00AA0065" w:rsidRPr="00E658D3">
        <w:rPr>
          <w:lang w:val="fr-FR"/>
        </w:rPr>
        <w:t xml:space="preserve"> </w:t>
      </w:r>
      <w:r w:rsidRPr="00E658D3">
        <w:rPr>
          <w:lang w:val="fr-FR"/>
        </w:rPr>
        <w:t>du</w:t>
      </w:r>
      <w:r w:rsidR="00AA0065" w:rsidRPr="00E658D3">
        <w:rPr>
          <w:lang w:val="fr-FR"/>
        </w:rPr>
        <w:t xml:space="preserve"> Canada</w:t>
      </w:r>
    </w:p>
    <w:p w14:paraId="2A5F5FC8" w14:textId="77777777" w:rsidR="003256D8" w:rsidRPr="00E658D3" w:rsidRDefault="003256D8" w:rsidP="0008212A">
      <w:pPr>
        <w:pStyle w:val="Normalaftertitle"/>
        <w:spacing w:before="480"/>
        <w:rPr>
          <w:lang w:val="fr-FR"/>
        </w:rPr>
      </w:pPr>
      <w:r w:rsidRPr="00E658D3">
        <w:rPr>
          <w:lang w:val="fr-FR"/>
        </w:rPr>
        <w:t>La délégation du Canada tient à souligner que le Canada soutient l'objectif d'une paix globale, juste et durable entre Israël et les Palestiniens, y compris la création d'un Etat palestinien coexistant avec Israël dans la paix et la sécurité. En définitive, la meilleure solution à la situation actuelle entre Israël et les Palestiniens est un accord de paix global négocié entre les parties.</w:t>
      </w:r>
    </w:p>
    <w:p w14:paraId="1E410D17" w14:textId="00599B96" w:rsidR="003256D8" w:rsidRPr="00E658D3" w:rsidRDefault="008117CC" w:rsidP="003256D8">
      <w:pPr>
        <w:rPr>
          <w:lang w:val="fr-FR"/>
        </w:rPr>
      </w:pPr>
      <w:r w:rsidRPr="00E658D3">
        <w:rPr>
          <w:lang w:val="fr-FR"/>
        </w:rPr>
        <w:t>En se ralliant au consensus, l</w:t>
      </w:r>
      <w:r w:rsidR="003256D8" w:rsidRPr="00E658D3">
        <w:rPr>
          <w:lang w:val="fr-FR"/>
        </w:rPr>
        <w:t>a délégation du Canada tient à indiquer clairement que, bien qu'il soit fait référence à l'"Etat de Palestine" dans le texte de la Résolution 99 (Rév. Busan, 2014) de la Conférence de plénipotentiaires, le Canada ne reconnaît pas l'existence d'un "Etat de Palestine". Le Canada continue de s'opposer aux efforts des Palestiniens pour obtenir un statut d'Etat membre ou observateur auprès des institutions spécialisées de l'Or</w:t>
      </w:r>
      <w:r w:rsidR="00E24551" w:rsidRPr="00E658D3">
        <w:rPr>
          <w:lang w:val="fr-FR"/>
        </w:rPr>
        <w:t>ganisation des Nations Unies, y </w:t>
      </w:r>
      <w:r w:rsidR="003256D8" w:rsidRPr="00E658D3">
        <w:rPr>
          <w:lang w:val="fr-FR"/>
        </w:rPr>
        <w:t>compris l'UIT, et d'autres organisations internationales, avant la signature d'un accord de paix négocié avec Israël.</w:t>
      </w:r>
    </w:p>
    <w:p w14:paraId="409FF22A" w14:textId="370CE771" w:rsidR="003256D8" w:rsidRDefault="003256D8" w:rsidP="00BD08C9">
      <w:pPr>
        <w:rPr>
          <w:lang w:val="fr-FR"/>
        </w:rPr>
      </w:pPr>
      <w:r w:rsidRPr="00E658D3">
        <w:rPr>
          <w:lang w:val="fr-FR"/>
        </w:rPr>
        <w:t>La délégation du Canada s'élève fermement contre les tentatives de certaines délégations de politiser l'UIT. Nous sommes d'avis que les initiatives qui pointent injustement du doigt une partie, en l'occurrence Israël, ne relèvent pas du mandat de l'UIT, portent préjudice à ses travaux et n'ont pas d'autre effet que de faire obstacle à des solutions pratiques.</w:t>
      </w:r>
    </w:p>
    <w:p w14:paraId="395135D9" w14:textId="7B8BA54A" w:rsidR="0014400C" w:rsidRDefault="0014400C">
      <w:pPr>
        <w:tabs>
          <w:tab w:val="clear" w:pos="567"/>
          <w:tab w:val="clear" w:pos="1134"/>
          <w:tab w:val="clear" w:pos="1701"/>
          <w:tab w:val="clear" w:pos="2268"/>
          <w:tab w:val="clear" w:pos="2835"/>
        </w:tabs>
        <w:overflowPunct/>
        <w:autoSpaceDE/>
        <w:autoSpaceDN/>
        <w:adjustRightInd/>
        <w:spacing w:before="0"/>
        <w:textAlignment w:val="auto"/>
        <w:rPr>
          <w:lang w:val="fr-FR"/>
        </w:rPr>
      </w:pPr>
      <w:r>
        <w:rPr>
          <w:lang w:val="fr-FR"/>
        </w:rPr>
        <w:br w:type="page"/>
      </w:r>
    </w:p>
    <w:p w14:paraId="0FA366C6" w14:textId="374BECCC" w:rsidR="00AA0065" w:rsidRPr="00E658D3" w:rsidRDefault="00AB318A" w:rsidP="00FD211C">
      <w:pPr>
        <w:tabs>
          <w:tab w:val="clear" w:pos="567"/>
          <w:tab w:val="clear" w:pos="1134"/>
          <w:tab w:val="clear" w:pos="1701"/>
          <w:tab w:val="clear" w:pos="2268"/>
          <w:tab w:val="clear" w:pos="2835"/>
        </w:tabs>
        <w:overflowPunct/>
        <w:autoSpaceDE/>
        <w:autoSpaceDN/>
        <w:adjustRightInd/>
        <w:spacing w:before="0"/>
        <w:jc w:val="right"/>
        <w:textAlignment w:val="auto"/>
        <w:rPr>
          <w:b/>
          <w:bCs/>
          <w:szCs w:val="24"/>
          <w:lang w:val="fr-FR"/>
        </w:rPr>
      </w:pPr>
      <w:r w:rsidRPr="00E658D3">
        <w:rPr>
          <w:b/>
          <w:bCs/>
          <w:szCs w:val="24"/>
          <w:lang w:val="fr-FR"/>
        </w:rPr>
        <w:t xml:space="preserve">Original: </w:t>
      </w:r>
      <w:r w:rsidR="003256D8" w:rsidRPr="00E658D3">
        <w:rPr>
          <w:b/>
          <w:bCs/>
          <w:szCs w:val="24"/>
          <w:lang w:val="fr-FR"/>
        </w:rPr>
        <w:t>anglais</w:t>
      </w:r>
    </w:p>
    <w:p w14:paraId="0AAA8503" w14:textId="5068A8E3" w:rsidR="00AB318A" w:rsidRPr="00E658D3" w:rsidRDefault="00AB318A" w:rsidP="0014400C">
      <w:pPr>
        <w:pStyle w:val="AnnexNo"/>
        <w:rPr>
          <w:lang w:val="fr-FR"/>
        </w:rPr>
      </w:pPr>
      <w:r w:rsidRPr="00E658D3">
        <w:rPr>
          <w:lang w:val="fr-FR"/>
        </w:rPr>
        <w:t>Annex</w:t>
      </w:r>
      <w:r w:rsidR="00CB1AD0" w:rsidRPr="00E658D3">
        <w:rPr>
          <w:lang w:val="fr-FR"/>
        </w:rPr>
        <w:t>e</w:t>
      </w:r>
      <w:r w:rsidRPr="00E658D3">
        <w:rPr>
          <w:lang w:val="fr-FR"/>
        </w:rPr>
        <w:t xml:space="preserve"> B</w:t>
      </w:r>
    </w:p>
    <w:p w14:paraId="4ABD77B7" w14:textId="26A9E87C" w:rsidR="00AB318A" w:rsidRPr="00E658D3" w:rsidRDefault="003256D8" w:rsidP="0014400C">
      <w:pPr>
        <w:pStyle w:val="Annextitle"/>
        <w:rPr>
          <w:lang w:val="fr-FR"/>
        </w:rPr>
      </w:pPr>
      <w:r w:rsidRPr="00E658D3">
        <w:rPr>
          <w:lang w:val="fr-FR"/>
        </w:rPr>
        <w:t>Déclaration de la délégation des Etats-Unis</w:t>
      </w:r>
      <w:r w:rsidR="00170126" w:rsidRPr="00E658D3">
        <w:rPr>
          <w:lang w:val="fr-FR"/>
        </w:rPr>
        <w:t xml:space="preserve"> d</w:t>
      </w:r>
      <w:r w:rsidR="00FD45FE" w:rsidRPr="00E658D3">
        <w:rPr>
          <w:lang w:val="fr-FR"/>
        </w:rPr>
        <w:t>'</w:t>
      </w:r>
      <w:r w:rsidR="00170126" w:rsidRPr="00E658D3">
        <w:rPr>
          <w:lang w:val="fr-FR"/>
        </w:rPr>
        <w:t>Amérique</w:t>
      </w:r>
    </w:p>
    <w:p w14:paraId="306579D7" w14:textId="071AB7FB" w:rsidR="00AB318A" w:rsidRPr="00E658D3" w:rsidRDefault="00CB1AD0" w:rsidP="0008212A">
      <w:pPr>
        <w:pStyle w:val="Normalaftertitle"/>
        <w:spacing w:before="480"/>
        <w:rPr>
          <w:lang w:val="fr-FR"/>
        </w:rPr>
      </w:pPr>
      <w:r w:rsidRPr="00E658D3">
        <w:rPr>
          <w:lang w:val="fr-FR"/>
        </w:rPr>
        <w:t>Les Etats-Unis</w:t>
      </w:r>
      <w:r w:rsidR="00170126" w:rsidRPr="00E658D3">
        <w:rPr>
          <w:lang w:val="fr-FR"/>
        </w:rPr>
        <w:t xml:space="preserve"> d</w:t>
      </w:r>
      <w:r w:rsidR="00FD45FE" w:rsidRPr="00E658D3">
        <w:rPr>
          <w:lang w:val="fr-FR"/>
        </w:rPr>
        <w:t>'</w:t>
      </w:r>
      <w:r w:rsidR="00170126" w:rsidRPr="00E658D3">
        <w:rPr>
          <w:lang w:val="fr-FR"/>
        </w:rPr>
        <w:t>Amérique</w:t>
      </w:r>
      <w:r w:rsidRPr="00E658D3">
        <w:rPr>
          <w:lang w:val="fr-FR"/>
        </w:rPr>
        <w:t xml:space="preserve"> apprécient grandement l</w:t>
      </w:r>
      <w:r w:rsidR="00FD45FE" w:rsidRPr="00E658D3">
        <w:rPr>
          <w:lang w:val="fr-FR"/>
        </w:rPr>
        <w:t>'</w:t>
      </w:r>
      <w:r w:rsidRPr="00E658D3">
        <w:rPr>
          <w:lang w:val="fr-FR"/>
        </w:rPr>
        <w:t xml:space="preserve">esprit de compromis et de flexibilité dont font preuve les parties </w:t>
      </w:r>
      <w:r w:rsidR="009D0CA7" w:rsidRPr="00E658D3">
        <w:rPr>
          <w:lang w:val="fr-FR"/>
        </w:rPr>
        <w:t xml:space="preserve">prenant part à la </w:t>
      </w:r>
      <w:r w:rsidR="009A52E0" w:rsidRPr="00E658D3">
        <w:rPr>
          <w:lang w:val="fr-FR"/>
        </w:rPr>
        <w:t>révision des Résolutions 99 et 125.</w:t>
      </w:r>
      <w:r w:rsidR="00AB318A" w:rsidRPr="00E658D3">
        <w:rPr>
          <w:lang w:val="fr-FR"/>
        </w:rPr>
        <w:t xml:space="preserve"> </w:t>
      </w:r>
      <w:r w:rsidR="009A52E0" w:rsidRPr="00E658D3">
        <w:rPr>
          <w:lang w:val="fr-FR"/>
        </w:rPr>
        <w:t>Nous sommes particulièrement reconnaissants envers l</w:t>
      </w:r>
      <w:r w:rsidR="00880CE1" w:rsidRPr="00E658D3">
        <w:rPr>
          <w:lang w:val="fr-FR"/>
        </w:rPr>
        <w:t>e</w:t>
      </w:r>
      <w:r w:rsidR="009A52E0" w:rsidRPr="00E658D3">
        <w:rPr>
          <w:lang w:val="fr-FR"/>
        </w:rPr>
        <w:t xml:space="preserve"> Présiden</w:t>
      </w:r>
      <w:r w:rsidR="00880CE1" w:rsidRPr="00E658D3">
        <w:rPr>
          <w:lang w:val="fr-FR"/>
        </w:rPr>
        <w:t>t</w:t>
      </w:r>
      <w:r w:rsidR="009A52E0" w:rsidRPr="00E658D3">
        <w:rPr>
          <w:lang w:val="fr-FR"/>
        </w:rPr>
        <w:t xml:space="preserve"> de la </w:t>
      </w:r>
      <w:r w:rsidR="00445A64" w:rsidRPr="00E658D3">
        <w:rPr>
          <w:lang w:val="fr-FR"/>
        </w:rPr>
        <w:t>C</w:t>
      </w:r>
      <w:r w:rsidR="009A52E0" w:rsidRPr="00E658D3">
        <w:rPr>
          <w:lang w:val="fr-FR"/>
        </w:rPr>
        <w:t>onférence et envers le Secrétaire général de l</w:t>
      </w:r>
      <w:r w:rsidR="00FD45FE" w:rsidRPr="00E658D3">
        <w:rPr>
          <w:lang w:val="fr-FR"/>
        </w:rPr>
        <w:t>'</w:t>
      </w:r>
      <w:r w:rsidR="009A52E0" w:rsidRPr="00E658D3">
        <w:rPr>
          <w:lang w:val="fr-FR"/>
        </w:rPr>
        <w:t xml:space="preserve">UIT pour leur </w:t>
      </w:r>
      <w:r w:rsidR="007054DE" w:rsidRPr="00E658D3">
        <w:rPr>
          <w:lang w:val="fr-FR"/>
        </w:rPr>
        <w:t>rôle de premier plan</w:t>
      </w:r>
      <w:r w:rsidR="009A52E0" w:rsidRPr="00E658D3">
        <w:rPr>
          <w:lang w:val="fr-FR"/>
        </w:rPr>
        <w:t>.</w:t>
      </w:r>
    </w:p>
    <w:p w14:paraId="16905FCD" w14:textId="48007F7C" w:rsidR="009A52E0" w:rsidRPr="00E658D3" w:rsidRDefault="009A52E0" w:rsidP="00445A64">
      <w:pPr>
        <w:rPr>
          <w:lang w:val="fr-FR"/>
        </w:rPr>
      </w:pPr>
      <w:r w:rsidRPr="00E658D3">
        <w:rPr>
          <w:lang w:val="fr-FR"/>
        </w:rPr>
        <w:t>Les Etats-Unis</w:t>
      </w:r>
      <w:r w:rsidR="00F301C2" w:rsidRPr="00E658D3">
        <w:rPr>
          <w:lang w:val="fr-FR"/>
        </w:rPr>
        <w:t xml:space="preserve"> d</w:t>
      </w:r>
      <w:r w:rsidR="00FD45FE" w:rsidRPr="00E658D3">
        <w:rPr>
          <w:lang w:val="fr-FR"/>
        </w:rPr>
        <w:t>'</w:t>
      </w:r>
      <w:r w:rsidR="00F301C2" w:rsidRPr="00E658D3">
        <w:rPr>
          <w:lang w:val="fr-FR"/>
        </w:rPr>
        <w:t>Amérique</w:t>
      </w:r>
      <w:r w:rsidRPr="00E658D3">
        <w:rPr>
          <w:lang w:val="fr-FR"/>
        </w:rPr>
        <w:t xml:space="preserve"> soutiennent </w:t>
      </w:r>
      <w:r w:rsidR="00095381" w:rsidRPr="00E658D3">
        <w:rPr>
          <w:lang w:val="fr-FR"/>
        </w:rPr>
        <w:t>la</w:t>
      </w:r>
      <w:r w:rsidRPr="00E658D3">
        <w:rPr>
          <w:lang w:val="fr-FR"/>
        </w:rPr>
        <w:t xml:space="preserve"> participation active et </w:t>
      </w:r>
      <w:r w:rsidR="00EB182E" w:rsidRPr="00E658D3">
        <w:rPr>
          <w:lang w:val="fr-FR"/>
        </w:rPr>
        <w:t>solid</w:t>
      </w:r>
      <w:r w:rsidR="00964A6F" w:rsidRPr="00E658D3">
        <w:rPr>
          <w:lang w:val="fr-FR"/>
        </w:rPr>
        <w:t>e</w:t>
      </w:r>
      <w:r w:rsidR="007054DE" w:rsidRPr="00E658D3">
        <w:rPr>
          <w:lang w:val="fr-FR"/>
        </w:rPr>
        <w:t xml:space="preserve"> des Palestiniens aux travaux de </w:t>
      </w:r>
      <w:r w:rsidRPr="00E658D3">
        <w:rPr>
          <w:lang w:val="fr-FR"/>
        </w:rPr>
        <w:t>l</w:t>
      </w:r>
      <w:r w:rsidR="00FD45FE" w:rsidRPr="00E658D3">
        <w:rPr>
          <w:lang w:val="fr-FR"/>
        </w:rPr>
        <w:t>'</w:t>
      </w:r>
      <w:r w:rsidRPr="00E658D3">
        <w:rPr>
          <w:lang w:val="fr-FR"/>
        </w:rPr>
        <w:t>UIT,</w:t>
      </w:r>
      <w:r w:rsidR="00095381" w:rsidRPr="00E658D3">
        <w:rPr>
          <w:lang w:val="fr-FR"/>
        </w:rPr>
        <w:t xml:space="preserve"> essentielle dans la résolution de </w:t>
      </w:r>
      <w:r w:rsidR="00880CE1" w:rsidRPr="00E658D3">
        <w:rPr>
          <w:lang w:val="fr-FR"/>
        </w:rPr>
        <w:t>problèmes</w:t>
      </w:r>
      <w:r w:rsidR="00095381" w:rsidRPr="00E658D3">
        <w:rPr>
          <w:lang w:val="fr-FR"/>
        </w:rPr>
        <w:t xml:space="preserve"> techniques </w:t>
      </w:r>
      <w:r w:rsidR="00880CE1" w:rsidRPr="00E658D3">
        <w:rPr>
          <w:lang w:val="fr-FR"/>
        </w:rPr>
        <w:t>relatifs aux</w:t>
      </w:r>
      <w:r w:rsidR="00095381" w:rsidRPr="00E658D3">
        <w:rPr>
          <w:lang w:val="fr-FR"/>
        </w:rPr>
        <w:t xml:space="preserve"> télécommunication</w:t>
      </w:r>
      <w:r w:rsidR="00880CE1" w:rsidRPr="00E658D3">
        <w:rPr>
          <w:lang w:val="fr-FR"/>
        </w:rPr>
        <w:t>s</w:t>
      </w:r>
      <w:r w:rsidR="00095381" w:rsidRPr="00E658D3">
        <w:rPr>
          <w:lang w:val="fr-FR"/>
        </w:rPr>
        <w:t>. S</w:t>
      </w:r>
      <w:r w:rsidR="00FD45FE" w:rsidRPr="00E658D3">
        <w:rPr>
          <w:lang w:val="fr-FR"/>
        </w:rPr>
        <w:t>'</w:t>
      </w:r>
      <w:r w:rsidR="00095381" w:rsidRPr="00E658D3">
        <w:rPr>
          <w:lang w:val="fr-FR"/>
        </w:rPr>
        <w:t>appuyant sur les</w:t>
      </w:r>
      <w:r w:rsidR="00095381" w:rsidRPr="00E658D3">
        <w:rPr>
          <w:color w:val="000000"/>
          <w:lang w:val="fr-FR"/>
        </w:rPr>
        <w:t xml:space="preserve"> </w:t>
      </w:r>
      <w:r w:rsidR="00095381" w:rsidRPr="00E658D3">
        <w:rPr>
          <w:lang w:val="fr-FR"/>
        </w:rPr>
        <w:t>Résolutions 32 et 125 de</w:t>
      </w:r>
      <w:r w:rsidR="00C64141" w:rsidRPr="00E658D3">
        <w:rPr>
          <w:lang w:val="fr-FR"/>
        </w:rPr>
        <w:t xml:space="preserve"> la</w:t>
      </w:r>
      <w:r w:rsidR="00095381" w:rsidRPr="00E658D3">
        <w:rPr>
          <w:lang w:val="fr-FR"/>
        </w:rPr>
        <w:t xml:space="preserve"> </w:t>
      </w:r>
      <w:r w:rsidR="00C64141" w:rsidRPr="00E658D3">
        <w:rPr>
          <w:lang w:val="fr-FR"/>
        </w:rPr>
        <w:t>C</w:t>
      </w:r>
      <w:r w:rsidR="00095381" w:rsidRPr="00E658D3">
        <w:rPr>
          <w:lang w:val="fr-FR"/>
        </w:rPr>
        <w:t>onférence de plénipotentiaires et sur la Résolution</w:t>
      </w:r>
      <w:r w:rsidR="00445A64">
        <w:rPr>
          <w:lang w:val="fr-FR"/>
        </w:rPr>
        <w:t> </w:t>
      </w:r>
      <w:r w:rsidR="00095381" w:rsidRPr="00E658D3">
        <w:rPr>
          <w:lang w:val="fr-FR"/>
        </w:rPr>
        <w:t>18 de la CMDT, l</w:t>
      </w:r>
      <w:r w:rsidR="00FD45FE" w:rsidRPr="00E658D3">
        <w:rPr>
          <w:lang w:val="fr-FR"/>
        </w:rPr>
        <w:t>'</w:t>
      </w:r>
      <w:r w:rsidR="00095381" w:rsidRPr="00E658D3">
        <w:rPr>
          <w:lang w:val="fr-FR"/>
        </w:rPr>
        <w:t xml:space="preserve">UIT offre un soutien précieux aux Palestiniens. Nous </w:t>
      </w:r>
      <w:r w:rsidR="00964A6F" w:rsidRPr="00E658D3">
        <w:rPr>
          <w:lang w:val="fr-FR"/>
        </w:rPr>
        <w:t>pens</w:t>
      </w:r>
      <w:r w:rsidR="00095381" w:rsidRPr="00E658D3">
        <w:rPr>
          <w:lang w:val="fr-FR"/>
        </w:rPr>
        <w:t>ons que la Résolution 125 révisée permettra de faire perdurer ce soutien.</w:t>
      </w:r>
    </w:p>
    <w:p w14:paraId="07A61484" w14:textId="5069798D" w:rsidR="00964A6F" w:rsidRPr="00E658D3" w:rsidRDefault="00964A6F" w:rsidP="00E658D3">
      <w:pPr>
        <w:rPr>
          <w:lang w:val="fr-FR"/>
        </w:rPr>
      </w:pPr>
      <w:r w:rsidRPr="00E658D3">
        <w:rPr>
          <w:lang w:val="fr-FR"/>
        </w:rPr>
        <w:t xml:space="preserve">Nous </w:t>
      </w:r>
      <w:r w:rsidR="00170126" w:rsidRPr="00E658D3">
        <w:rPr>
          <w:lang w:val="fr-FR"/>
        </w:rPr>
        <w:t>comprenons que l</w:t>
      </w:r>
      <w:r w:rsidR="00FD45FE" w:rsidRPr="00E658D3">
        <w:rPr>
          <w:lang w:val="fr-FR"/>
        </w:rPr>
        <w:t>'</w:t>
      </w:r>
      <w:r w:rsidR="00170126" w:rsidRPr="00E658D3">
        <w:rPr>
          <w:lang w:val="fr-FR"/>
        </w:rPr>
        <w:t>utilisation de l'expression "l'Etat de Palestine" dans les versions révisées des Résolutions 99 et 125 fait référence à l'appellation privilégiée par les Palestiniens en tant qu'observateurs à l'UIT.</w:t>
      </w:r>
      <w:r w:rsidR="00980E5E" w:rsidRPr="00E658D3">
        <w:rPr>
          <w:lang w:val="fr-FR"/>
        </w:rPr>
        <w:t xml:space="preserve"> </w:t>
      </w:r>
      <w:r w:rsidR="0047728B" w:rsidRPr="00E658D3">
        <w:rPr>
          <w:lang w:val="fr-FR"/>
        </w:rPr>
        <w:t>Cette utilisation ne préjuge pas</w:t>
      </w:r>
      <w:r w:rsidR="007054DE" w:rsidRPr="00E658D3">
        <w:rPr>
          <w:lang w:val="fr-FR"/>
        </w:rPr>
        <w:t xml:space="preserve"> de </w:t>
      </w:r>
      <w:r w:rsidR="00C64141" w:rsidRPr="00E658D3">
        <w:rPr>
          <w:lang w:val="fr-FR"/>
        </w:rPr>
        <w:t>l</w:t>
      </w:r>
      <w:r w:rsidR="00FD45FE" w:rsidRPr="00E658D3">
        <w:rPr>
          <w:lang w:val="fr-FR"/>
        </w:rPr>
        <w:t>'</w:t>
      </w:r>
      <w:r w:rsidR="00C64141" w:rsidRPr="00E658D3">
        <w:rPr>
          <w:lang w:val="fr-FR"/>
        </w:rPr>
        <w:t xml:space="preserve">issue du processus de paix ou </w:t>
      </w:r>
      <w:r w:rsidR="007054DE" w:rsidRPr="00E658D3">
        <w:rPr>
          <w:lang w:val="fr-FR"/>
        </w:rPr>
        <w:t>d</w:t>
      </w:r>
      <w:r w:rsidR="0047728B" w:rsidRPr="00E658D3">
        <w:rPr>
          <w:lang w:val="fr-FR"/>
        </w:rPr>
        <w:t>es accords bilatéraux entre les parties, et ne confère à la participation palestinienne au sein de l'UIT aucun autre droit ou privilège que ceux qui sont énoncés dans ces résolutions.</w:t>
      </w:r>
    </w:p>
    <w:p w14:paraId="08B273AE" w14:textId="45B5D2EA" w:rsidR="00E24551" w:rsidRPr="00E658D3" w:rsidRDefault="007376C4" w:rsidP="00445A64">
      <w:pPr>
        <w:rPr>
          <w:lang w:val="fr-FR"/>
        </w:rPr>
      </w:pPr>
      <w:r w:rsidRPr="00E658D3">
        <w:rPr>
          <w:lang w:val="fr-FR"/>
        </w:rPr>
        <w:t xml:space="preserve">Nous espérons que le Comité technique mixte, principal mécanisme qui permet de résoudre les questions de télécommunication entre la Palestine et Israël, progressera dans ses travaux. Selon notre interprétation, l'Accord intérimaire israélo-palestinien sur la Cisjordanie et Gaza est l'accord bilatéral qui prévaut entre les parties dans le domaine des télécommunications, et </w:t>
      </w:r>
      <w:r w:rsidR="00F173DE" w:rsidRPr="00E658D3">
        <w:rPr>
          <w:lang w:val="fr-FR"/>
        </w:rPr>
        <w:t>la</w:t>
      </w:r>
      <w:r w:rsidRPr="00E658D3">
        <w:rPr>
          <w:lang w:val="fr-FR"/>
        </w:rPr>
        <w:t xml:space="preserve"> Résolution</w:t>
      </w:r>
      <w:r w:rsidR="00445A64">
        <w:rPr>
          <w:lang w:val="fr-FR"/>
        </w:rPr>
        <w:t> </w:t>
      </w:r>
      <w:r w:rsidR="00F173DE" w:rsidRPr="00E658D3">
        <w:rPr>
          <w:lang w:val="fr-FR"/>
        </w:rPr>
        <w:t>125</w:t>
      </w:r>
      <w:r w:rsidRPr="00E658D3">
        <w:rPr>
          <w:lang w:val="fr-FR"/>
        </w:rPr>
        <w:t xml:space="preserve"> n'est pas contraire aux dispositions de l'Accord intérimaire.</w:t>
      </w:r>
    </w:p>
    <w:p w14:paraId="0B001526" w14:textId="410C97CE" w:rsidR="00AB318A" w:rsidRPr="00E658D3" w:rsidRDefault="00AB318A" w:rsidP="007054DE">
      <w:pPr>
        <w:pStyle w:val="PlainText"/>
        <w:spacing w:before="200"/>
        <w:rPr>
          <w:rFonts w:eastAsia="Times New Roman" w:cs="Times New Roman"/>
          <w:sz w:val="24"/>
          <w:szCs w:val="20"/>
          <w:lang w:val="fr-FR" w:eastAsia="en-US"/>
        </w:rPr>
      </w:pPr>
      <w:r w:rsidRPr="00E658D3">
        <w:rPr>
          <w:lang w:val="fr-FR"/>
        </w:rPr>
        <w:br w:type="page"/>
      </w:r>
    </w:p>
    <w:p w14:paraId="1D381A37" w14:textId="364214B8" w:rsidR="008960F0" w:rsidRPr="00E658D3" w:rsidRDefault="00AB318A" w:rsidP="00105739">
      <w:pPr>
        <w:spacing w:before="200"/>
        <w:jc w:val="right"/>
        <w:rPr>
          <w:lang w:val="fr-FR"/>
        </w:rPr>
      </w:pPr>
      <w:r w:rsidRPr="00E658D3">
        <w:rPr>
          <w:lang w:val="fr-FR"/>
        </w:rPr>
        <w:t xml:space="preserve">Original: </w:t>
      </w:r>
      <w:r w:rsidR="00105739" w:rsidRPr="00E658D3">
        <w:rPr>
          <w:lang w:val="fr-FR"/>
        </w:rPr>
        <w:t>anglais</w:t>
      </w:r>
    </w:p>
    <w:p w14:paraId="0C52676E" w14:textId="73DC29A9" w:rsidR="00AB318A" w:rsidRPr="00E658D3" w:rsidRDefault="00AB318A" w:rsidP="0014400C">
      <w:pPr>
        <w:pStyle w:val="AnnexNo"/>
        <w:rPr>
          <w:lang w:val="fr-FR"/>
        </w:rPr>
      </w:pPr>
      <w:r w:rsidRPr="00E658D3">
        <w:rPr>
          <w:lang w:val="fr-FR"/>
        </w:rPr>
        <w:t>Annex</w:t>
      </w:r>
      <w:r w:rsidR="00105739" w:rsidRPr="00E658D3">
        <w:rPr>
          <w:lang w:val="fr-FR"/>
        </w:rPr>
        <w:t>e</w:t>
      </w:r>
      <w:r w:rsidRPr="00E658D3">
        <w:rPr>
          <w:lang w:val="fr-FR"/>
        </w:rPr>
        <w:t xml:space="preserve"> C</w:t>
      </w:r>
    </w:p>
    <w:p w14:paraId="5056AA52" w14:textId="38126BAF" w:rsidR="00AB318A" w:rsidRPr="00E658D3" w:rsidRDefault="00105739" w:rsidP="0014400C">
      <w:pPr>
        <w:pStyle w:val="Annextitle"/>
        <w:rPr>
          <w:lang w:val="fr-FR"/>
        </w:rPr>
      </w:pPr>
      <w:r w:rsidRPr="00E658D3">
        <w:rPr>
          <w:lang w:val="fr-FR"/>
        </w:rPr>
        <w:t>Déclaration de la délégation d</w:t>
      </w:r>
      <w:r w:rsidR="00FD45FE" w:rsidRPr="00E658D3">
        <w:rPr>
          <w:lang w:val="fr-FR"/>
        </w:rPr>
        <w:t>'</w:t>
      </w:r>
      <w:r w:rsidR="00AB318A" w:rsidRPr="00E658D3">
        <w:rPr>
          <w:lang w:val="fr-FR"/>
        </w:rPr>
        <w:t>Isra</w:t>
      </w:r>
      <w:r w:rsidRPr="00E658D3">
        <w:rPr>
          <w:lang w:val="fr-FR"/>
        </w:rPr>
        <w:t>ë</w:t>
      </w:r>
      <w:r w:rsidR="00AB318A" w:rsidRPr="00E658D3">
        <w:rPr>
          <w:lang w:val="fr-FR"/>
        </w:rPr>
        <w:t>l</w:t>
      </w:r>
    </w:p>
    <w:p w14:paraId="70EF17EF" w14:textId="5027806C" w:rsidR="00DE3704" w:rsidRPr="00E658D3" w:rsidRDefault="00105739" w:rsidP="0008212A">
      <w:pPr>
        <w:pStyle w:val="Normalaftertitle"/>
        <w:spacing w:before="480"/>
        <w:rPr>
          <w:lang w:val="fr-FR"/>
        </w:rPr>
      </w:pPr>
      <w:r w:rsidRPr="00E658D3">
        <w:rPr>
          <w:lang w:val="fr-FR"/>
        </w:rPr>
        <w:t>La d</w:t>
      </w:r>
      <w:r w:rsidR="00DE3704" w:rsidRPr="00E658D3">
        <w:rPr>
          <w:lang w:val="fr-FR"/>
        </w:rPr>
        <w:t>é</w:t>
      </w:r>
      <w:r w:rsidRPr="00E658D3">
        <w:rPr>
          <w:lang w:val="fr-FR"/>
        </w:rPr>
        <w:t>l</w:t>
      </w:r>
      <w:r w:rsidR="00DE3704" w:rsidRPr="00E658D3">
        <w:rPr>
          <w:lang w:val="fr-FR"/>
        </w:rPr>
        <w:t>é</w:t>
      </w:r>
      <w:r w:rsidRPr="00E658D3">
        <w:rPr>
          <w:lang w:val="fr-FR"/>
        </w:rPr>
        <w:t>gation de l</w:t>
      </w:r>
      <w:r w:rsidR="00FD45FE" w:rsidRPr="00E658D3">
        <w:rPr>
          <w:lang w:val="fr-FR"/>
        </w:rPr>
        <w:t>'</w:t>
      </w:r>
      <w:r w:rsidRPr="00E658D3">
        <w:rPr>
          <w:lang w:val="fr-FR"/>
        </w:rPr>
        <w:t>Etat d</w:t>
      </w:r>
      <w:r w:rsidR="00FD45FE" w:rsidRPr="00E658D3">
        <w:rPr>
          <w:lang w:val="fr-FR"/>
        </w:rPr>
        <w:t>'</w:t>
      </w:r>
      <w:r w:rsidRPr="00E658D3">
        <w:rPr>
          <w:lang w:val="fr-FR"/>
        </w:rPr>
        <w:t>Israël à la PP-14</w:t>
      </w:r>
      <w:r w:rsidR="00DE3704" w:rsidRPr="00E658D3">
        <w:rPr>
          <w:lang w:val="fr-FR"/>
        </w:rPr>
        <w:t xml:space="preserve"> souhaite réaffirmer la position exprimée par l'Ambassadeur d'Israël auprès de l'ONU le 29 novembre 2012, dans </w:t>
      </w:r>
      <w:r w:rsidR="00E658D3" w:rsidRPr="00E658D3">
        <w:rPr>
          <w:lang w:val="fr-FR"/>
        </w:rPr>
        <w:t>le contexte de l'adoption de la </w:t>
      </w:r>
      <w:r w:rsidR="00DE3704" w:rsidRPr="00E658D3">
        <w:rPr>
          <w:lang w:val="fr-FR"/>
        </w:rPr>
        <w:t xml:space="preserve">Résolution 67/19 de l'Assemblée générale, et au Conseil de sécurité le 23 janvier 2013. Israël déplore et rejette l'utilisation de la terminologie trompeuse d'"Etat de Palestine" et la participation palestinienne à cette séance sous ce titre. Il est contre-productif d'utiliser ce terme alors que cet Etat n'existe pas et qu'il ne peut être créé que </w:t>
      </w:r>
      <w:r w:rsidR="00DE3704" w:rsidRPr="00E658D3">
        <w:rPr>
          <w:u w:val="single"/>
          <w:lang w:val="fr-FR"/>
        </w:rPr>
        <w:t>dans le cadre de négociations directes</w:t>
      </w:r>
      <w:r w:rsidR="00DE3704" w:rsidRPr="00E658D3">
        <w:rPr>
          <w:lang w:val="fr-FR"/>
        </w:rPr>
        <w:t>, comme cela a été réaffirmé à maintes reprises par la communauté internationale et convenu entre les parties.</w:t>
      </w:r>
      <w:r w:rsidRPr="00E658D3">
        <w:rPr>
          <w:lang w:val="fr-FR"/>
        </w:rPr>
        <w:t xml:space="preserve"> </w:t>
      </w:r>
      <w:r w:rsidR="00DE3704" w:rsidRPr="00E658D3">
        <w:rPr>
          <w:lang w:val="fr-FR"/>
        </w:rPr>
        <w:t xml:space="preserve">A cet égard, nous demandons </w:t>
      </w:r>
      <w:r w:rsidR="008A41AA" w:rsidRPr="00E658D3">
        <w:rPr>
          <w:lang w:val="fr-FR"/>
        </w:rPr>
        <w:t>qu</w:t>
      </w:r>
      <w:r w:rsidR="00FD45FE" w:rsidRPr="00E658D3">
        <w:rPr>
          <w:lang w:val="fr-FR"/>
        </w:rPr>
        <w:t>'</w:t>
      </w:r>
      <w:r w:rsidR="008A41AA" w:rsidRPr="00E658D3">
        <w:rPr>
          <w:lang w:val="fr-FR"/>
        </w:rPr>
        <w:t>il soit pris note de</w:t>
      </w:r>
      <w:r w:rsidR="00DE3704" w:rsidRPr="00E658D3">
        <w:rPr>
          <w:lang w:val="fr-FR"/>
        </w:rPr>
        <w:t xml:space="preserve"> cette déclaration dans</w:t>
      </w:r>
      <w:r w:rsidR="008A41AA" w:rsidRPr="00E658D3">
        <w:rPr>
          <w:lang w:val="fr-FR"/>
        </w:rPr>
        <w:t xml:space="preserve"> le procès-verbal officiel de cette séance.</w:t>
      </w:r>
    </w:p>
    <w:p w14:paraId="15B82FA3" w14:textId="77777777" w:rsidR="00AB318A" w:rsidRPr="00E658D3" w:rsidRDefault="00AB318A" w:rsidP="00663617">
      <w:pPr>
        <w:tabs>
          <w:tab w:val="clear" w:pos="567"/>
          <w:tab w:val="clear" w:pos="1134"/>
          <w:tab w:val="clear" w:pos="1701"/>
          <w:tab w:val="clear" w:pos="2268"/>
          <w:tab w:val="clear" w:pos="2835"/>
        </w:tabs>
        <w:overflowPunct/>
        <w:autoSpaceDE/>
        <w:autoSpaceDN/>
        <w:adjustRightInd/>
        <w:spacing w:before="200"/>
        <w:textAlignment w:val="auto"/>
        <w:rPr>
          <w:lang w:val="fr-FR"/>
        </w:rPr>
      </w:pPr>
      <w:r w:rsidRPr="00E658D3">
        <w:rPr>
          <w:lang w:val="fr-FR"/>
        </w:rPr>
        <w:br w:type="page"/>
      </w:r>
    </w:p>
    <w:p w14:paraId="56082AC6" w14:textId="68081F79" w:rsidR="00AB318A" w:rsidRPr="00E658D3" w:rsidRDefault="00B4062E" w:rsidP="0024622A">
      <w:pPr>
        <w:spacing w:before="200"/>
        <w:jc w:val="right"/>
        <w:rPr>
          <w:lang w:val="fr-FR"/>
        </w:rPr>
      </w:pPr>
      <w:r w:rsidRPr="00E658D3">
        <w:rPr>
          <w:lang w:val="fr-FR"/>
        </w:rPr>
        <w:t>Origin</w:t>
      </w:r>
      <w:r w:rsidR="00143550" w:rsidRPr="00E658D3">
        <w:rPr>
          <w:lang w:val="fr-FR"/>
        </w:rPr>
        <w:t>a</w:t>
      </w:r>
      <w:r w:rsidRPr="00E658D3">
        <w:rPr>
          <w:lang w:val="fr-FR"/>
        </w:rPr>
        <w:t xml:space="preserve">l: </w:t>
      </w:r>
      <w:r w:rsidR="0024622A" w:rsidRPr="00E658D3">
        <w:rPr>
          <w:lang w:val="fr-FR"/>
        </w:rPr>
        <w:t>espagn</w:t>
      </w:r>
      <w:r w:rsidRPr="00E658D3">
        <w:rPr>
          <w:lang w:val="fr-FR"/>
        </w:rPr>
        <w:t>ol</w:t>
      </w:r>
    </w:p>
    <w:p w14:paraId="125DCE5E" w14:textId="77777777" w:rsidR="00B4062E" w:rsidRPr="00E658D3" w:rsidRDefault="00B4062E" w:rsidP="00663617">
      <w:pPr>
        <w:spacing w:before="200"/>
        <w:jc w:val="right"/>
        <w:rPr>
          <w:lang w:val="fr-FR"/>
        </w:rPr>
      </w:pPr>
    </w:p>
    <w:p w14:paraId="33C296DC" w14:textId="455E3BA9" w:rsidR="00B4062E" w:rsidRPr="00E658D3" w:rsidRDefault="00B4062E" w:rsidP="0014400C">
      <w:pPr>
        <w:pStyle w:val="AnnexNo"/>
        <w:rPr>
          <w:lang w:val="fr-FR"/>
        </w:rPr>
      </w:pPr>
      <w:r w:rsidRPr="00E658D3">
        <w:rPr>
          <w:lang w:val="fr-FR"/>
        </w:rPr>
        <w:t>An</w:t>
      </w:r>
      <w:r w:rsidR="0024622A" w:rsidRPr="00E658D3">
        <w:rPr>
          <w:lang w:val="fr-FR"/>
        </w:rPr>
        <w:t>n</w:t>
      </w:r>
      <w:r w:rsidRPr="00E658D3">
        <w:rPr>
          <w:lang w:val="fr-FR"/>
        </w:rPr>
        <w:t>ex</w:t>
      </w:r>
      <w:r w:rsidR="0024622A" w:rsidRPr="00E658D3">
        <w:rPr>
          <w:lang w:val="fr-FR"/>
        </w:rPr>
        <w:t>e</w:t>
      </w:r>
      <w:r w:rsidRPr="00E658D3">
        <w:rPr>
          <w:lang w:val="fr-FR"/>
        </w:rPr>
        <w:t xml:space="preserve"> D</w:t>
      </w:r>
    </w:p>
    <w:p w14:paraId="4B223DED" w14:textId="1DC9FAD4" w:rsidR="00B4062E" w:rsidRPr="00E658D3" w:rsidRDefault="00143550" w:rsidP="0014400C">
      <w:pPr>
        <w:pStyle w:val="Annextitle"/>
        <w:rPr>
          <w:lang w:val="fr-FR"/>
        </w:rPr>
      </w:pPr>
      <w:r w:rsidRPr="00E658D3">
        <w:rPr>
          <w:lang w:val="fr-FR"/>
        </w:rPr>
        <w:t>D</w:t>
      </w:r>
      <w:r w:rsidR="0024622A" w:rsidRPr="00E658D3">
        <w:rPr>
          <w:lang w:val="fr-FR"/>
        </w:rPr>
        <w:t>éclaration</w:t>
      </w:r>
      <w:r w:rsidR="00B4062E" w:rsidRPr="00E658D3">
        <w:rPr>
          <w:lang w:val="fr-FR"/>
        </w:rPr>
        <w:t xml:space="preserve"> </w:t>
      </w:r>
      <w:r w:rsidR="00057439" w:rsidRPr="00E658D3">
        <w:rPr>
          <w:lang w:val="fr-FR"/>
        </w:rPr>
        <w:t>de la d</w:t>
      </w:r>
      <w:r w:rsidR="0024622A" w:rsidRPr="00E658D3">
        <w:rPr>
          <w:lang w:val="fr-FR"/>
        </w:rPr>
        <w:t>élégatio</w:t>
      </w:r>
      <w:r w:rsidR="00057439" w:rsidRPr="00E658D3">
        <w:rPr>
          <w:lang w:val="fr-FR"/>
        </w:rPr>
        <w:t>n d</w:t>
      </w:r>
      <w:r w:rsidR="0024622A" w:rsidRPr="00E658D3">
        <w:rPr>
          <w:lang w:val="fr-FR"/>
        </w:rPr>
        <w:t>u</w:t>
      </w:r>
      <w:r w:rsidRPr="00E658D3">
        <w:rPr>
          <w:lang w:val="fr-FR"/>
        </w:rPr>
        <w:t xml:space="preserve"> V</w:t>
      </w:r>
      <w:r w:rsidR="0024622A" w:rsidRPr="00E658D3">
        <w:rPr>
          <w:lang w:val="fr-FR"/>
        </w:rPr>
        <w:t>e</w:t>
      </w:r>
      <w:r w:rsidRPr="00E658D3">
        <w:rPr>
          <w:lang w:val="fr-FR"/>
        </w:rPr>
        <w:t>n</w:t>
      </w:r>
      <w:r w:rsidR="0024622A" w:rsidRPr="00E658D3">
        <w:rPr>
          <w:lang w:val="fr-FR"/>
        </w:rPr>
        <w:t>e</w:t>
      </w:r>
      <w:r w:rsidRPr="00E658D3">
        <w:rPr>
          <w:lang w:val="fr-FR"/>
        </w:rPr>
        <w:t>zuela</w:t>
      </w:r>
    </w:p>
    <w:p w14:paraId="74AEB200" w14:textId="11218CA0" w:rsidR="00057439" w:rsidRPr="00E658D3" w:rsidRDefault="0024622A" w:rsidP="0008212A">
      <w:pPr>
        <w:pStyle w:val="Normalaftertitle"/>
        <w:spacing w:before="480"/>
        <w:rPr>
          <w:lang w:val="fr-FR"/>
        </w:rPr>
      </w:pPr>
      <w:r w:rsidRPr="00E658D3">
        <w:rPr>
          <w:lang w:val="fr-FR"/>
        </w:rPr>
        <w:t>Soutien</w:t>
      </w:r>
      <w:r w:rsidR="00057439" w:rsidRPr="00E658D3">
        <w:rPr>
          <w:lang w:val="fr-FR"/>
        </w:rPr>
        <w:t xml:space="preserve"> de la R</w:t>
      </w:r>
      <w:r w:rsidRPr="00E658D3">
        <w:rPr>
          <w:lang w:val="fr-FR"/>
        </w:rPr>
        <w:t>épublique</w:t>
      </w:r>
      <w:r w:rsidR="00057439" w:rsidRPr="00E658D3">
        <w:rPr>
          <w:lang w:val="fr-FR"/>
        </w:rPr>
        <w:t xml:space="preserve"> </w:t>
      </w:r>
      <w:r w:rsidR="00D53594" w:rsidRPr="00E658D3">
        <w:rPr>
          <w:lang w:val="fr-FR"/>
        </w:rPr>
        <w:t>b</w:t>
      </w:r>
      <w:r w:rsidR="00057439" w:rsidRPr="00E658D3">
        <w:rPr>
          <w:lang w:val="fr-FR"/>
        </w:rPr>
        <w:t>olivari</w:t>
      </w:r>
      <w:r w:rsidRPr="00E658D3">
        <w:rPr>
          <w:lang w:val="fr-FR"/>
        </w:rPr>
        <w:t>e</w:t>
      </w:r>
      <w:r w:rsidR="00057439" w:rsidRPr="00E658D3">
        <w:rPr>
          <w:lang w:val="fr-FR"/>
        </w:rPr>
        <w:t>n</w:t>
      </w:r>
      <w:r w:rsidRPr="00E658D3">
        <w:rPr>
          <w:lang w:val="fr-FR"/>
        </w:rPr>
        <w:t>ne</w:t>
      </w:r>
      <w:r w:rsidR="00057439" w:rsidRPr="00E658D3">
        <w:rPr>
          <w:lang w:val="fr-FR"/>
        </w:rPr>
        <w:t xml:space="preserve"> d</w:t>
      </w:r>
      <w:r w:rsidRPr="00E658D3">
        <w:rPr>
          <w:lang w:val="fr-FR"/>
        </w:rPr>
        <w:t>u</w:t>
      </w:r>
      <w:r w:rsidR="00057439" w:rsidRPr="00E658D3">
        <w:rPr>
          <w:lang w:val="fr-FR"/>
        </w:rPr>
        <w:t xml:space="preserve"> Venezuela </w:t>
      </w:r>
      <w:r w:rsidR="00EF59CA" w:rsidRPr="00E658D3">
        <w:rPr>
          <w:lang w:val="fr-FR"/>
        </w:rPr>
        <w:t>à la Palestine concernant les</w:t>
      </w:r>
      <w:r w:rsidR="00057439" w:rsidRPr="00E658D3">
        <w:rPr>
          <w:lang w:val="fr-FR"/>
        </w:rPr>
        <w:t xml:space="preserve"> R</w:t>
      </w:r>
      <w:r w:rsidR="00D53594" w:rsidRPr="00E658D3">
        <w:rPr>
          <w:lang w:val="fr-FR"/>
        </w:rPr>
        <w:t>ésolution</w:t>
      </w:r>
      <w:r w:rsidR="00057439" w:rsidRPr="00E658D3">
        <w:rPr>
          <w:lang w:val="fr-FR"/>
        </w:rPr>
        <w:t>s</w:t>
      </w:r>
      <w:r w:rsidR="00EF59CA" w:rsidRPr="00E658D3">
        <w:rPr>
          <w:lang w:val="fr-FR"/>
        </w:rPr>
        <w:t> </w:t>
      </w:r>
      <w:r w:rsidR="00057439" w:rsidRPr="00E658D3">
        <w:rPr>
          <w:lang w:val="fr-FR"/>
        </w:rPr>
        <w:t>99</w:t>
      </w:r>
      <w:r w:rsidR="00EF59CA" w:rsidRPr="00E658D3">
        <w:rPr>
          <w:lang w:val="fr-FR"/>
        </w:rPr>
        <w:t xml:space="preserve"> </w:t>
      </w:r>
      <w:r w:rsidR="00D53594" w:rsidRPr="00E658D3">
        <w:rPr>
          <w:lang w:val="fr-FR"/>
        </w:rPr>
        <w:t>et</w:t>
      </w:r>
      <w:r w:rsidR="00EF59CA" w:rsidRPr="00E658D3">
        <w:rPr>
          <w:lang w:val="fr-FR"/>
        </w:rPr>
        <w:t> </w:t>
      </w:r>
      <w:r w:rsidR="00057439" w:rsidRPr="00E658D3">
        <w:rPr>
          <w:lang w:val="fr-FR"/>
        </w:rPr>
        <w:t>125:</w:t>
      </w:r>
    </w:p>
    <w:p w14:paraId="74346C31" w14:textId="1142F4DB" w:rsidR="002A0EE3" w:rsidRPr="00E658D3" w:rsidRDefault="00D53594" w:rsidP="0008212A">
      <w:pPr>
        <w:rPr>
          <w:lang w:val="fr-FR"/>
        </w:rPr>
      </w:pPr>
      <w:r w:rsidRPr="00E658D3">
        <w:rPr>
          <w:lang w:val="fr-FR"/>
        </w:rPr>
        <w:t xml:space="preserve">La République bolivarienne du Venezuela exprime son </w:t>
      </w:r>
      <w:r w:rsidR="00E658D3" w:rsidRPr="00E658D3">
        <w:rPr>
          <w:lang w:val="fr-FR"/>
        </w:rPr>
        <w:t xml:space="preserve">plein </w:t>
      </w:r>
      <w:r w:rsidRPr="00E658D3">
        <w:rPr>
          <w:lang w:val="fr-FR"/>
        </w:rPr>
        <w:t>soutien à l</w:t>
      </w:r>
      <w:r w:rsidR="00FD45FE" w:rsidRPr="00E658D3">
        <w:rPr>
          <w:lang w:val="fr-FR"/>
        </w:rPr>
        <w:t>'</w:t>
      </w:r>
      <w:r w:rsidRPr="00E658D3">
        <w:rPr>
          <w:lang w:val="fr-FR"/>
        </w:rPr>
        <w:t xml:space="preserve">Etat de Palestine </w:t>
      </w:r>
      <w:r w:rsidR="00E658D3" w:rsidRPr="00E658D3">
        <w:rPr>
          <w:lang w:val="fr-FR"/>
        </w:rPr>
        <w:t>en faveur du renforcement et du</w:t>
      </w:r>
      <w:r w:rsidRPr="00E658D3">
        <w:rPr>
          <w:lang w:val="fr-FR"/>
        </w:rPr>
        <w:t xml:space="preserve"> développement </w:t>
      </w:r>
      <w:r w:rsidR="00F56967" w:rsidRPr="00E658D3">
        <w:rPr>
          <w:lang w:val="fr-FR"/>
        </w:rPr>
        <w:t>de ses propres réseaux de télécommunication ainsi que d</w:t>
      </w:r>
      <w:r w:rsidR="00E658D3" w:rsidRPr="00E658D3">
        <w:rPr>
          <w:lang w:val="fr-FR"/>
        </w:rPr>
        <w:t xml:space="preserve">u </w:t>
      </w:r>
      <w:r w:rsidR="00F56967" w:rsidRPr="00E658D3">
        <w:rPr>
          <w:lang w:val="fr-FR"/>
        </w:rPr>
        <w:t xml:space="preserve">changement de son statut actuel </w:t>
      </w:r>
      <w:r w:rsidR="00E658D3" w:rsidRPr="00E658D3">
        <w:rPr>
          <w:lang w:val="fr-FR"/>
        </w:rPr>
        <w:t xml:space="preserve">à </w:t>
      </w:r>
      <w:r w:rsidR="00F56967" w:rsidRPr="00E658D3">
        <w:rPr>
          <w:lang w:val="fr-FR"/>
        </w:rPr>
        <w:t>l</w:t>
      </w:r>
      <w:r w:rsidR="00FD45FE" w:rsidRPr="00E658D3">
        <w:rPr>
          <w:lang w:val="fr-FR"/>
        </w:rPr>
        <w:t>'</w:t>
      </w:r>
      <w:r w:rsidR="007F4630" w:rsidRPr="00E658D3">
        <w:rPr>
          <w:lang w:val="fr-FR"/>
        </w:rPr>
        <w:t>U</w:t>
      </w:r>
      <w:r w:rsidR="00F56967" w:rsidRPr="00E658D3">
        <w:rPr>
          <w:lang w:val="fr-FR"/>
        </w:rPr>
        <w:t>nion</w:t>
      </w:r>
      <w:r w:rsidR="007F4630" w:rsidRPr="00E658D3">
        <w:rPr>
          <w:lang w:val="fr-FR"/>
        </w:rPr>
        <w:t xml:space="preserve">, car </w:t>
      </w:r>
      <w:r w:rsidR="00A47EC1" w:rsidRPr="00E658D3">
        <w:rPr>
          <w:lang w:val="fr-FR"/>
        </w:rPr>
        <w:t>elle</w:t>
      </w:r>
      <w:r w:rsidR="007F4630" w:rsidRPr="00E658D3">
        <w:rPr>
          <w:lang w:val="fr-FR"/>
        </w:rPr>
        <w:t xml:space="preserve"> estim</w:t>
      </w:r>
      <w:r w:rsidR="00A47EC1" w:rsidRPr="00E658D3">
        <w:rPr>
          <w:lang w:val="fr-FR"/>
        </w:rPr>
        <w:t>e</w:t>
      </w:r>
      <w:r w:rsidR="007F4630" w:rsidRPr="00E658D3">
        <w:rPr>
          <w:lang w:val="fr-FR"/>
        </w:rPr>
        <w:t xml:space="preserve"> que tous les peuples doivent jouir</w:t>
      </w:r>
      <w:r w:rsidR="001523C3" w:rsidRPr="00E658D3">
        <w:rPr>
          <w:lang w:val="fr-FR"/>
        </w:rPr>
        <w:t xml:space="preserve"> </w:t>
      </w:r>
      <w:r w:rsidR="007F4630" w:rsidRPr="00E658D3">
        <w:rPr>
          <w:lang w:val="fr-FR"/>
        </w:rPr>
        <w:t>du droit</w:t>
      </w:r>
      <w:r w:rsidR="007470B3" w:rsidRPr="00E658D3">
        <w:rPr>
          <w:lang w:val="fr-FR"/>
        </w:rPr>
        <w:t xml:space="preserve"> au</w:t>
      </w:r>
      <w:r w:rsidR="007F4630" w:rsidRPr="00E658D3">
        <w:rPr>
          <w:lang w:val="fr-FR"/>
        </w:rPr>
        <w:t xml:space="preserve"> </w:t>
      </w:r>
      <w:r w:rsidR="007470B3" w:rsidRPr="00E658D3">
        <w:rPr>
          <w:lang w:val="fr-FR"/>
        </w:rPr>
        <w:t>principe fondamental de</w:t>
      </w:r>
      <w:r w:rsidR="007F4630" w:rsidRPr="00E658D3">
        <w:rPr>
          <w:lang w:val="fr-FR"/>
        </w:rPr>
        <w:t xml:space="preserve"> l</w:t>
      </w:r>
      <w:r w:rsidR="00FD45FE" w:rsidRPr="00E658D3">
        <w:rPr>
          <w:lang w:val="fr-FR"/>
        </w:rPr>
        <w:t>'</w:t>
      </w:r>
      <w:r w:rsidR="007F4630" w:rsidRPr="00E658D3">
        <w:rPr>
          <w:lang w:val="fr-FR"/>
        </w:rPr>
        <w:t>autodétermination</w:t>
      </w:r>
      <w:r w:rsidR="00E658D3" w:rsidRPr="00E658D3">
        <w:rPr>
          <w:lang w:val="fr-FR"/>
        </w:rPr>
        <w:t>, de la souveraineté</w:t>
      </w:r>
      <w:r w:rsidR="007F4630" w:rsidRPr="00E658D3">
        <w:rPr>
          <w:lang w:val="fr-FR"/>
        </w:rPr>
        <w:t xml:space="preserve"> </w:t>
      </w:r>
      <w:r w:rsidR="001523C3" w:rsidRPr="00E658D3">
        <w:rPr>
          <w:lang w:val="fr-FR"/>
        </w:rPr>
        <w:t xml:space="preserve">et </w:t>
      </w:r>
      <w:r w:rsidR="007F4630" w:rsidRPr="00E658D3">
        <w:rPr>
          <w:lang w:val="fr-FR"/>
        </w:rPr>
        <w:t>du développement de</w:t>
      </w:r>
      <w:r w:rsidR="008F34E8" w:rsidRPr="00E658D3">
        <w:rPr>
          <w:lang w:val="fr-FR"/>
        </w:rPr>
        <w:t xml:space="preserve"> leurs capacités humaines et techniques</w:t>
      </w:r>
      <w:r w:rsidR="00272ABD" w:rsidRPr="00E658D3">
        <w:rPr>
          <w:lang w:val="fr-FR"/>
        </w:rPr>
        <w:t>,</w:t>
      </w:r>
      <w:r w:rsidR="008F34E8" w:rsidRPr="00E658D3">
        <w:rPr>
          <w:lang w:val="fr-FR"/>
        </w:rPr>
        <w:t xml:space="preserve"> de sorte</w:t>
      </w:r>
      <w:r w:rsidR="00E54AB0" w:rsidRPr="00E658D3">
        <w:rPr>
          <w:lang w:val="fr-FR"/>
        </w:rPr>
        <w:t xml:space="preserve"> à</w:t>
      </w:r>
      <w:r w:rsidR="008F34E8" w:rsidRPr="00E658D3">
        <w:rPr>
          <w:lang w:val="fr-FR"/>
        </w:rPr>
        <w:t xml:space="preserve"> </w:t>
      </w:r>
      <w:r w:rsidR="00E54AB0" w:rsidRPr="00E658D3">
        <w:rPr>
          <w:lang w:val="fr-FR"/>
        </w:rPr>
        <w:t>rendre possible</w:t>
      </w:r>
      <w:r w:rsidR="00791712" w:rsidRPr="00E658D3">
        <w:rPr>
          <w:lang w:val="fr-FR"/>
        </w:rPr>
        <w:t xml:space="preserve"> la</w:t>
      </w:r>
      <w:r w:rsidR="008F34E8" w:rsidRPr="00E658D3">
        <w:rPr>
          <w:lang w:val="fr-FR"/>
        </w:rPr>
        <w:t xml:space="preserve"> croissance dans des conditions de paix</w:t>
      </w:r>
      <w:r w:rsidR="00301D11" w:rsidRPr="00E658D3">
        <w:rPr>
          <w:lang w:val="fr-FR"/>
        </w:rPr>
        <w:t>, d</w:t>
      </w:r>
      <w:r w:rsidR="00FD45FE" w:rsidRPr="00E658D3">
        <w:rPr>
          <w:lang w:val="fr-FR"/>
        </w:rPr>
        <w:t>'</w:t>
      </w:r>
      <w:r w:rsidR="00301D11" w:rsidRPr="00E658D3">
        <w:rPr>
          <w:lang w:val="fr-FR"/>
        </w:rPr>
        <w:t>harmonie et d</w:t>
      </w:r>
      <w:r w:rsidR="00FD45FE" w:rsidRPr="00E658D3">
        <w:rPr>
          <w:lang w:val="fr-FR"/>
        </w:rPr>
        <w:t>'</w:t>
      </w:r>
      <w:r w:rsidR="00301D11" w:rsidRPr="00E658D3">
        <w:rPr>
          <w:lang w:val="fr-FR"/>
        </w:rPr>
        <w:t>égalité. Nous réaffirmons notre solidarité avec la Palestine et condamnons vigoureusement la nouvelle agression militaire par l</w:t>
      </w:r>
      <w:r w:rsidR="00FD45FE" w:rsidRPr="00E658D3">
        <w:rPr>
          <w:lang w:val="fr-FR"/>
        </w:rPr>
        <w:t>'</w:t>
      </w:r>
      <w:r w:rsidR="00301D11" w:rsidRPr="00E658D3">
        <w:rPr>
          <w:lang w:val="fr-FR"/>
        </w:rPr>
        <w:t>élite politique et militaire des forces d</w:t>
      </w:r>
      <w:r w:rsidR="00FD45FE" w:rsidRPr="00E658D3">
        <w:rPr>
          <w:lang w:val="fr-FR"/>
        </w:rPr>
        <w:t>'</w:t>
      </w:r>
      <w:r w:rsidR="00301D11" w:rsidRPr="00E658D3">
        <w:rPr>
          <w:lang w:val="fr-FR"/>
        </w:rPr>
        <w:t>occupation</w:t>
      </w:r>
      <w:r w:rsidR="005B4D5A" w:rsidRPr="00E658D3">
        <w:rPr>
          <w:lang w:val="fr-FR"/>
        </w:rPr>
        <w:t xml:space="preserve"> contre le peuple palestinien dans la </w:t>
      </w:r>
      <w:r w:rsidR="005A5770" w:rsidRPr="00E658D3">
        <w:rPr>
          <w:lang w:val="fr-FR"/>
        </w:rPr>
        <w:t>B</w:t>
      </w:r>
      <w:r w:rsidR="005B4D5A" w:rsidRPr="00E658D3">
        <w:rPr>
          <w:lang w:val="fr-FR"/>
        </w:rPr>
        <w:t>ande</w:t>
      </w:r>
      <w:r w:rsidR="005A5770" w:rsidRPr="00E658D3">
        <w:rPr>
          <w:lang w:val="fr-FR"/>
        </w:rPr>
        <w:t xml:space="preserve"> de Gaza. L</w:t>
      </w:r>
      <w:r w:rsidR="00162AAC" w:rsidRPr="00E658D3">
        <w:rPr>
          <w:lang w:val="fr-FR"/>
        </w:rPr>
        <w:t xml:space="preserve">es </w:t>
      </w:r>
      <w:r w:rsidR="005A5770" w:rsidRPr="00E658D3">
        <w:rPr>
          <w:lang w:val="fr-FR"/>
        </w:rPr>
        <w:t>actes de terrorisme d</w:t>
      </w:r>
      <w:r w:rsidR="00FD45FE" w:rsidRPr="00E658D3">
        <w:rPr>
          <w:lang w:val="fr-FR"/>
        </w:rPr>
        <w:t>'</w:t>
      </w:r>
      <w:r w:rsidR="005A5770" w:rsidRPr="00E658D3">
        <w:rPr>
          <w:lang w:val="fr-FR"/>
        </w:rPr>
        <w:t xml:space="preserve">Etat et </w:t>
      </w:r>
      <w:r w:rsidR="00162AAC" w:rsidRPr="00E658D3">
        <w:rPr>
          <w:lang w:val="fr-FR"/>
        </w:rPr>
        <w:t>l</w:t>
      </w:r>
      <w:r w:rsidR="005A5770" w:rsidRPr="00E658D3">
        <w:rPr>
          <w:lang w:val="fr-FR"/>
        </w:rPr>
        <w:t>es crimes de guerre perpétrés par la puissance occupante</w:t>
      </w:r>
      <w:r w:rsidR="00162AAC" w:rsidRPr="00E658D3">
        <w:rPr>
          <w:lang w:val="fr-FR"/>
        </w:rPr>
        <w:t xml:space="preserve"> </w:t>
      </w:r>
      <w:r w:rsidR="002A0EE3" w:rsidRPr="00E658D3">
        <w:rPr>
          <w:lang w:val="fr-FR"/>
        </w:rPr>
        <w:t>constituent une violation</w:t>
      </w:r>
      <w:r w:rsidR="00162AAC" w:rsidRPr="00E658D3">
        <w:rPr>
          <w:lang w:val="fr-FR"/>
        </w:rPr>
        <w:t xml:space="preserve"> indéniable</w:t>
      </w:r>
      <w:r w:rsidR="002A0EE3" w:rsidRPr="00E658D3">
        <w:rPr>
          <w:lang w:val="fr-FR"/>
        </w:rPr>
        <w:t xml:space="preserve"> du</w:t>
      </w:r>
      <w:r w:rsidR="005A5770" w:rsidRPr="00E658D3">
        <w:rPr>
          <w:lang w:val="fr-FR"/>
        </w:rPr>
        <w:t xml:space="preserve"> droit international humanitaire et </w:t>
      </w:r>
      <w:r w:rsidR="002A0EE3" w:rsidRPr="00E658D3">
        <w:rPr>
          <w:lang w:val="fr-FR"/>
        </w:rPr>
        <w:t xml:space="preserve">de </w:t>
      </w:r>
      <w:r w:rsidR="005A5770" w:rsidRPr="00E658D3">
        <w:rPr>
          <w:lang w:val="fr-FR"/>
        </w:rPr>
        <w:t>la législation internationale sur les droits de l</w:t>
      </w:r>
      <w:r w:rsidR="00FD45FE" w:rsidRPr="00E658D3">
        <w:rPr>
          <w:lang w:val="fr-FR"/>
        </w:rPr>
        <w:t>'</w:t>
      </w:r>
      <w:r w:rsidR="005A5770" w:rsidRPr="00E658D3">
        <w:rPr>
          <w:lang w:val="fr-FR"/>
        </w:rPr>
        <w:t>homme</w:t>
      </w:r>
      <w:r w:rsidR="00162AAC" w:rsidRPr="00E658D3">
        <w:rPr>
          <w:lang w:val="fr-FR"/>
        </w:rPr>
        <w:t>. Les conséquences potentielles de ces actes</w:t>
      </w:r>
      <w:r w:rsidR="001523C3" w:rsidRPr="00E658D3">
        <w:rPr>
          <w:lang w:val="fr-FR"/>
        </w:rPr>
        <w:t xml:space="preserve">, du point de vue du droit international, </w:t>
      </w:r>
      <w:r w:rsidR="002A0EE3" w:rsidRPr="00E658D3">
        <w:rPr>
          <w:lang w:val="fr-FR"/>
        </w:rPr>
        <w:t>ne peuvent être ignorées.</w:t>
      </w:r>
    </w:p>
    <w:p w14:paraId="777416A2" w14:textId="4C15B625" w:rsidR="00B4062E" w:rsidRPr="00E658D3" w:rsidRDefault="002A0EE3" w:rsidP="00E658D3">
      <w:pPr>
        <w:rPr>
          <w:lang w:val="fr-FR"/>
        </w:rPr>
      </w:pPr>
      <w:r w:rsidRPr="00E658D3">
        <w:rPr>
          <w:lang w:val="fr-FR"/>
        </w:rPr>
        <w:t>Le Venezuela</w:t>
      </w:r>
      <w:r w:rsidR="00C3012D" w:rsidRPr="00E658D3">
        <w:rPr>
          <w:lang w:val="fr-FR"/>
        </w:rPr>
        <w:t xml:space="preserve"> soutient pleinement la cause palestinienne</w:t>
      </w:r>
      <w:r w:rsidR="001523C3" w:rsidRPr="00E658D3">
        <w:rPr>
          <w:lang w:val="fr-FR"/>
        </w:rPr>
        <w:t xml:space="preserve"> et</w:t>
      </w:r>
      <w:r w:rsidR="00C3012D" w:rsidRPr="00E658D3">
        <w:rPr>
          <w:lang w:val="fr-FR"/>
        </w:rPr>
        <w:t xml:space="preserve"> prône la </w:t>
      </w:r>
      <w:r w:rsidR="00E658D3" w:rsidRPr="00E658D3">
        <w:rPr>
          <w:lang w:val="fr-FR"/>
        </w:rPr>
        <w:t>levée</w:t>
      </w:r>
      <w:r w:rsidR="00C3012D" w:rsidRPr="00E658D3">
        <w:rPr>
          <w:lang w:val="fr-FR"/>
        </w:rPr>
        <w:t xml:space="preserve"> définitive du blocus imposé à la Bande de Gaza depuis 200</w:t>
      </w:r>
      <w:r w:rsidR="00BF5DC6" w:rsidRPr="00E658D3">
        <w:rPr>
          <w:lang w:val="fr-FR"/>
        </w:rPr>
        <w:t>7. Ce blocus est une v</w:t>
      </w:r>
      <w:r w:rsidR="00C3012D" w:rsidRPr="00E658D3">
        <w:rPr>
          <w:lang w:val="fr-FR"/>
        </w:rPr>
        <w:t>iol</w:t>
      </w:r>
      <w:r w:rsidR="00BF5DC6" w:rsidRPr="00E658D3">
        <w:rPr>
          <w:lang w:val="fr-FR"/>
        </w:rPr>
        <w:t>ation flagrante d</w:t>
      </w:r>
      <w:r w:rsidR="00C3012D" w:rsidRPr="00E658D3">
        <w:rPr>
          <w:lang w:val="fr-FR"/>
        </w:rPr>
        <w:t>es droits de l</w:t>
      </w:r>
      <w:r w:rsidR="00FD45FE" w:rsidRPr="00E658D3">
        <w:rPr>
          <w:lang w:val="fr-FR"/>
        </w:rPr>
        <w:t>'</w:t>
      </w:r>
      <w:r w:rsidR="00C3012D" w:rsidRPr="00E658D3">
        <w:rPr>
          <w:lang w:val="fr-FR"/>
        </w:rPr>
        <w:t>homme</w:t>
      </w:r>
      <w:r w:rsidR="00AE4E76" w:rsidRPr="00E658D3">
        <w:rPr>
          <w:lang w:val="fr-FR"/>
        </w:rPr>
        <w:t xml:space="preserve"> </w:t>
      </w:r>
      <w:r w:rsidR="00E54AB0" w:rsidRPr="00E658D3">
        <w:rPr>
          <w:lang w:val="fr-FR"/>
        </w:rPr>
        <w:t>infligée à</w:t>
      </w:r>
      <w:r w:rsidR="00AE4E76" w:rsidRPr="00E658D3">
        <w:rPr>
          <w:lang w:val="fr-FR"/>
        </w:rPr>
        <w:t xml:space="preserve"> ce</w:t>
      </w:r>
      <w:r w:rsidR="0057711B" w:rsidRPr="00E658D3">
        <w:rPr>
          <w:lang w:val="fr-FR"/>
        </w:rPr>
        <w:t xml:space="preserve"> peuple ami. Nous soutenons la création d</w:t>
      </w:r>
      <w:r w:rsidR="00FD45FE" w:rsidRPr="00E658D3">
        <w:rPr>
          <w:lang w:val="fr-FR"/>
        </w:rPr>
        <w:t>'</w:t>
      </w:r>
      <w:r w:rsidR="0057711B" w:rsidRPr="00E658D3">
        <w:rPr>
          <w:lang w:val="fr-FR"/>
        </w:rPr>
        <w:t>un Etat palestinien</w:t>
      </w:r>
      <w:r w:rsidR="001523C3" w:rsidRPr="00E658D3">
        <w:rPr>
          <w:lang w:val="fr-FR"/>
        </w:rPr>
        <w:t xml:space="preserve"> ayant pour capitale Jérusalem-Est </w:t>
      </w:r>
      <w:r w:rsidR="00E54AB0" w:rsidRPr="00E658D3">
        <w:rPr>
          <w:lang w:val="fr-FR"/>
        </w:rPr>
        <w:t xml:space="preserve">et </w:t>
      </w:r>
      <w:r w:rsidR="00BF5DC6" w:rsidRPr="00E658D3">
        <w:rPr>
          <w:lang w:val="fr-FR"/>
        </w:rPr>
        <w:t>dont les frontières, sûres et reconnues internationalement, correspondraient au</w:t>
      </w:r>
      <w:r w:rsidR="001523C3" w:rsidRPr="00E658D3">
        <w:rPr>
          <w:lang w:val="fr-FR"/>
        </w:rPr>
        <w:t>x frontières antérieures à 1967</w:t>
      </w:r>
      <w:r w:rsidR="00A4439D" w:rsidRPr="00E658D3">
        <w:rPr>
          <w:lang w:val="fr-FR"/>
        </w:rPr>
        <w:t>. Nous encourageons les parties concernées à poursuivre leurs efforts diplomatiques</w:t>
      </w:r>
      <w:r w:rsidR="00075EBC" w:rsidRPr="00E658D3">
        <w:rPr>
          <w:lang w:val="fr-FR"/>
        </w:rPr>
        <w:t>,</w:t>
      </w:r>
      <w:r w:rsidR="008219AB" w:rsidRPr="00E658D3">
        <w:rPr>
          <w:lang w:val="fr-FR"/>
        </w:rPr>
        <w:t xml:space="preserve"> qui visent à </w:t>
      </w:r>
      <w:r w:rsidR="00075EBC" w:rsidRPr="00E658D3">
        <w:rPr>
          <w:lang w:val="fr-FR"/>
        </w:rPr>
        <w:t>établ</w:t>
      </w:r>
      <w:r w:rsidR="008219AB" w:rsidRPr="00E658D3">
        <w:rPr>
          <w:lang w:val="fr-FR"/>
        </w:rPr>
        <w:t>ir une paix juste et durable</w:t>
      </w:r>
      <w:r w:rsidR="00075EBC" w:rsidRPr="00E658D3">
        <w:rPr>
          <w:lang w:val="fr-FR"/>
        </w:rPr>
        <w:t>, et nous soutenons sans réserve l</w:t>
      </w:r>
      <w:r w:rsidR="00FD45FE" w:rsidRPr="00E658D3">
        <w:rPr>
          <w:lang w:val="fr-FR"/>
        </w:rPr>
        <w:t>'</w:t>
      </w:r>
      <w:r w:rsidR="00075EBC" w:rsidRPr="00E658D3">
        <w:rPr>
          <w:lang w:val="fr-FR"/>
        </w:rPr>
        <w:t xml:space="preserve">admission de la Palestine </w:t>
      </w:r>
      <w:r w:rsidR="00245562" w:rsidRPr="00E658D3">
        <w:rPr>
          <w:lang w:val="fr-FR"/>
        </w:rPr>
        <w:t>aux Nations Unies et à l</w:t>
      </w:r>
      <w:r w:rsidR="00FD45FE" w:rsidRPr="00E658D3">
        <w:rPr>
          <w:lang w:val="fr-FR"/>
        </w:rPr>
        <w:t>'</w:t>
      </w:r>
      <w:r w:rsidR="00245562" w:rsidRPr="00E658D3">
        <w:rPr>
          <w:lang w:val="fr-FR"/>
        </w:rPr>
        <w:t xml:space="preserve">Union internationale des télécommunications </w:t>
      </w:r>
      <w:r w:rsidR="00075EBC" w:rsidRPr="00E658D3">
        <w:rPr>
          <w:lang w:val="fr-FR"/>
        </w:rPr>
        <w:t>en tant qu</w:t>
      </w:r>
      <w:r w:rsidR="00FD45FE" w:rsidRPr="00E658D3">
        <w:rPr>
          <w:lang w:val="fr-FR"/>
        </w:rPr>
        <w:t>'</w:t>
      </w:r>
      <w:r w:rsidR="00075EBC" w:rsidRPr="00E658D3">
        <w:rPr>
          <w:lang w:val="fr-FR"/>
        </w:rPr>
        <w:t>Etat à part entière</w:t>
      </w:r>
      <w:r w:rsidR="00245562" w:rsidRPr="00E658D3">
        <w:rPr>
          <w:lang w:val="fr-FR"/>
        </w:rPr>
        <w:t>.</w:t>
      </w:r>
      <w:r w:rsidR="005B4D5A" w:rsidRPr="00E658D3">
        <w:rPr>
          <w:lang w:val="fr-FR"/>
        </w:rPr>
        <w:t xml:space="preserve"> </w:t>
      </w:r>
    </w:p>
    <w:p w14:paraId="77F993C3" w14:textId="77777777" w:rsidR="00E658D3" w:rsidRPr="00E658D3" w:rsidRDefault="00E658D3" w:rsidP="00E658D3">
      <w:pPr>
        <w:rPr>
          <w:lang w:val="fr-FR"/>
        </w:rPr>
      </w:pPr>
    </w:p>
    <w:p w14:paraId="5DE3C880" w14:textId="77777777" w:rsidR="00E658D3" w:rsidRPr="00E658D3" w:rsidRDefault="00E658D3" w:rsidP="00E658D3">
      <w:pPr>
        <w:rPr>
          <w:lang w:val="fr-FR"/>
        </w:rPr>
      </w:pPr>
    </w:p>
    <w:p w14:paraId="068FB85C" w14:textId="77777777" w:rsidR="00E658D3" w:rsidRPr="00E658D3" w:rsidRDefault="00E658D3">
      <w:pPr>
        <w:jc w:val="center"/>
        <w:rPr>
          <w:lang w:val="fr-FR"/>
        </w:rPr>
      </w:pPr>
      <w:r w:rsidRPr="00E658D3">
        <w:rPr>
          <w:lang w:val="fr-FR"/>
        </w:rPr>
        <w:t>______________</w:t>
      </w:r>
    </w:p>
    <w:p w14:paraId="3CA69660" w14:textId="77777777" w:rsidR="00E658D3" w:rsidRPr="00E658D3" w:rsidRDefault="00E658D3" w:rsidP="00E658D3">
      <w:pPr>
        <w:spacing w:before="200"/>
        <w:rPr>
          <w:rFonts w:asciiTheme="minorHAnsi" w:hAnsiTheme="minorHAnsi"/>
          <w:lang w:val="fr-FR"/>
        </w:rPr>
      </w:pPr>
    </w:p>
    <w:sectPr w:rsidR="00E658D3" w:rsidRPr="00E658D3" w:rsidSect="00361097">
      <w:headerReference w:type="default" r:id="rId17"/>
      <w:footerReference w:type="default" r:id="rId18"/>
      <w:footerReference w:type="first" r:id="rId19"/>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499BB" w14:textId="77777777" w:rsidR="003256D8" w:rsidRDefault="003256D8">
      <w:r>
        <w:separator/>
      </w:r>
    </w:p>
  </w:endnote>
  <w:endnote w:type="continuationSeparator" w:id="0">
    <w:p w14:paraId="69FBB12D" w14:textId="77777777" w:rsidR="003256D8" w:rsidRDefault="00325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3DC02" w14:textId="27848B3C" w:rsidR="007D2ADD" w:rsidRDefault="008D79B3" w:rsidP="007D2ADD">
    <w:pPr>
      <w:pStyle w:val="Footer"/>
    </w:pPr>
    <w:fldSimple w:instr=" FILENAME \p  \* MERGEFORMAT ">
      <w:r w:rsidR="00B92A7D">
        <w:t>P:\FRA\SG\CONF-SG\PP14\100\176F.docx</w:t>
      </w:r>
    </w:fldSimple>
    <w:r w:rsidR="007D2ADD">
      <w:t xml:space="preserve"> (372838)</w:t>
    </w:r>
    <w:r w:rsidR="007D2ADD">
      <w:tab/>
    </w:r>
    <w:r w:rsidR="007D2ADD">
      <w:fldChar w:fldCharType="begin"/>
    </w:r>
    <w:r w:rsidR="007D2ADD">
      <w:instrText xml:space="preserve"> SAVEDATE \@ DD.MM.YY </w:instrText>
    </w:r>
    <w:r w:rsidR="007D2ADD">
      <w:fldChar w:fldCharType="separate"/>
    </w:r>
    <w:r w:rsidR="00B92A7D">
      <w:t>22.12.14</w:t>
    </w:r>
    <w:r w:rsidR="007D2ADD">
      <w:fldChar w:fldCharType="end"/>
    </w:r>
    <w:r w:rsidR="007D2ADD">
      <w:tab/>
    </w:r>
    <w:r w:rsidR="007D2ADD">
      <w:fldChar w:fldCharType="begin"/>
    </w:r>
    <w:r w:rsidR="007D2ADD">
      <w:instrText xml:space="preserve"> PRINTDATE \@ DD.MM.YY </w:instrText>
    </w:r>
    <w:r w:rsidR="007D2ADD">
      <w:fldChar w:fldCharType="separate"/>
    </w:r>
    <w:r w:rsidR="00B92A7D">
      <w:t>22.12.14</w:t>
    </w:r>
    <w:r w:rsidR="007D2AD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BECF7" w14:textId="77777777" w:rsidR="003256D8" w:rsidRDefault="003256D8" w:rsidP="002E08D3">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14:paraId="6259A753" w14:textId="77777777" w:rsidR="007D2ADD" w:rsidRDefault="007D2ADD" w:rsidP="002E08D3">
    <w:pPr>
      <w:pStyle w:val="firstfooter0"/>
      <w:spacing w:before="0" w:beforeAutospacing="0" w:after="0" w:afterAutospacing="0"/>
      <w:jc w:val="center"/>
      <w:rPr>
        <w:rFonts w:ascii="Symbol" w:hAnsi="Symbol"/>
        <w:sz w:val="22"/>
        <w:szCs w:val="20"/>
        <w:lang w:val="en-GB"/>
      </w:rPr>
    </w:pPr>
  </w:p>
  <w:p w14:paraId="412FF464" w14:textId="38990B77" w:rsidR="007D2ADD" w:rsidRPr="007D2ADD" w:rsidRDefault="00B92A7D" w:rsidP="007D2ADD">
    <w:pPr>
      <w:pStyle w:val="Footer"/>
    </w:pPr>
    <w:r>
      <w:fldChar w:fldCharType="begin"/>
    </w:r>
    <w:r>
      <w:instrText xml:space="preserve"> FILENAME \p  \* MERGEFORMAT </w:instrText>
    </w:r>
    <w:r>
      <w:fldChar w:fldCharType="separate"/>
    </w:r>
    <w:r>
      <w:t>P:\FRA\SG\CONF-SG\PP14\100\176F.docx</w:t>
    </w:r>
    <w:r>
      <w:fldChar w:fldCharType="end"/>
    </w:r>
    <w:r w:rsidR="007D2ADD">
      <w:t xml:space="preserve"> (372838)</w:t>
    </w:r>
    <w:r w:rsidR="007D2ADD">
      <w:tab/>
    </w:r>
    <w:r w:rsidR="007D2ADD">
      <w:fldChar w:fldCharType="begin"/>
    </w:r>
    <w:r w:rsidR="007D2ADD">
      <w:instrText xml:space="preserve"> SAVEDATE \@ DD.MM.YY </w:instrText>
    </w:r>
    <w:r w:rsidR="007D2ADD">
      <w:fldChar w:fldCharType="separate"/>
    </w:r>
    <w:r>
      <w:t>22.12.14</w:t>
    </w:r>
    <w:r w:rsidR="007D2ADD">
      <w:fldChar w:fldCharType="end"/>
    </w:r>
    <w:r w:rsidR="007D2ADD">
      <w:tab/>
    </w:r>
    <w:r w:rsidR="007D2ADD">
      <w:fldChar w:fldCharType="begin"/>
    </w:r>
    <w:r w:rsidR="007D2ADD">
      <w:instrText xml:space="preserve"> PRINTDATE \@ DD.MM.YY </w:instrText>
    </w:r>
    <w:r w:rsidR="007D2ADD">
      <w:fldChar w:fldCharType="separate"/>
    </w:r>
    <w:r>
      <w:t>22.12.14</w:t>
    </w:r>
    <w:r w:rsidR="007D2AD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B5AF6" w14:textId="77777777" w:rsidR="003256D8" w:rsidRDefault="003256D8">
      <w:r>
        <w:t>____________________</w:t>
      </w:r>
    </w:p>
  </w:footnote>
  <w:footnote w:type="continuationSeparator" w:id="0">
    <w:p w14:paraId="7B2DDAD2" w14:textId="77777777" w:rsidR="003256D8" w:rsidRDefault="003256D8">
      <w:r>
        <w:continuationSeparator/>
      </w:r>
    </w:p>
  </w:footnote>
  <w:footnote w:id="1">
    <w:p w14:paraId="29027F79" w14:textId="65C16D09" w:rsidR="003256D8" w:rsidRPr="0088224F" w:rsidRDefault="003256D8" w:rsidP="006650C4">
      <w:pPr>
        <w:pStyle w:val="FootnoteText"/>
        <w:rPr>
          <w:lang w:val="fr-CH"/>
        </w:rPr>
      </w:pPr>
      <w:r>
        <w:rPr>
          <w:rStyle w:val="FootnoteReference"/>
        </w:rPr>
        <w:footnoteRef/>
      </w:r>
      <w:r w:rsidR="009A2300">
        <w:rPr>
          <w:lang w:val="fr-CH"/>
        </w:rPr>
        <w:tab/>
      </w:r>
      <w:r w:rsidR="0088224F">
        <w:rPr>
          <w:lang w:val="fr-CH"/>
        </w:rPr>
        <w:t>L</w:t>
      </w:r>
      <w:r w:rsidR="0088224F" w:rsidRPr="0088224F">
        <w:rPr>
          <w:lang w:val="fr-CH"/>
        </w:rPr>
        <w:t>es d</w:t>
      </w:r>
      <w:r w:rsidR="0088224F">
        <w:rPr>
          <w:lang w:val="fr-CH"/>
        </w:rPr>
        <w:t>é</w:t>
      </w:r>
      <w:r w:rsidR="0088224F" w:rsidRPr="0088224F">
        <w:rPr>
          <w:lang w:val="fr-CH"/>
        </w:rPr>
        <w:t>clarations des délégations du</w:t>
      </w:r>
      <w:r w:rsidRPr="0088224F">
        <w:rPr>
          <w:lang w:val="fr-CH"/>
        </w:rPr>
        <w:t xml:space="preserve"> Canada (</w:t>
      </w:r>
      <w:r w:rsidR="006650C4">
        <w:rPr>
          <w:lang w:val="fr-CH"/>
        </w:rPr>
        <w:t>A</w:t>
      </w:r>
      <w:r w:rsidRPr="0088224F">
        <w:rPr>
          <w:lang w:val="fr-CH"/>
        </w:rPr>
        <w:t>nnex</w:t>
      </w:r>
      <w:r w:rsidR="0088224F" w:rsidRPr="0088224F">
        <w:rPr>
          <w:lang w:val="fr-CH"/>
        </w:rPr>
        <w:t>e</w:t>
      </w:r>
      <w:r w:rsidRPr="0088224F">
        <w:rPr>
          <w:lang w:val="fr-CH"/>
        </w:rPr>
        <w:t xml:space="preserve"> A), </w:t>
      </w:r>
      <w:r w:rsidR="0088224F" w:rsidRPr="0088224F">
        <w:rPr>
          <w:lang w:val="fr-CH"/>
        </w:rPr>
        <w:t>des Etats-Unis d</w:t>
      </w:r>
      <w:r w:rsidR="009A2300">
        <w:rPr>
          <w:lang w:val="fr-CH"/>
        </w:rPr>
        <w:t>'</w:t>
      </w:r>
      <w:r w:rsidR="0088224F" w:rsidRPr="0088224F">
        <w:rPr>
          <w:lang w:val="fr-CH"/>
        </w:rPr>
        <w:t>Amérique</w:t>
      </w:r>
      <w:r w:rsidRPr="0088224F">
        <w:rPr>
          <w:lang w:val="fr-CH"/>
        </w:rPr>
        <w:t xml:space="preserve"> (</w:t>
      </w:r>
      <w:r w:rsidR="006650C4">
        <w:rPr>
          <w:lang w:val="fr-CH"/>
        </w:rPr>
        <w:t>A</w:t>
      </w:r>
      <w:r w:rsidRPr="0088224F">
        <w:rPr>
          <w:lang w:val="fr-CH"/>
        </w:rPr>
        <w:t>nnex</w:t>
      </w:r>
      <w:r w:rsidR="0088224F">
        <w:rPr>
          <w:lang w:val="fr-CH"/>
        </w:rPr>
        <w:t>e</w:t>
      </w:r>
      <w:r w:rsidRPr="0088224F">
        <w:rPr>
          <w:lang w:val="fr-CH"/>
        </w:rPr>
        <w:t xml:space="preserve"> B), </w:t>
      </w:r>
      <w:r w:rsidR="0088224F">
        <w:rPr>
          <w:lang w:val="fr-CH"/>
        </w:rPr>
        <w:t>d</w:t>
      </w:r>
      <w:r w:rsidR="009A2300">
        <w:rPr>
          <w:lang w:val="fr-CH"/>
        </w:rPr>
        <w:t>'</w:t>
      </w:r>
      <w:r w:rsidRPr="0088224F">
        <w:rPr>
          <w:lang w:val="fr-CH"/>
        </w:rPr>
        <w:t>Isra</w:t>
      </w:r>
      <w:r w:rsidR="0088224F">
        <w:rPr>
          <w:lang w:val="fr-CH"/>
        </w:rPr>
        <w:t>ë</w:t>
      </w:r>
      <w:r w:rsidRPr="0088224F">
        <w:rPr>
          <w:lang w:val="fr-CH"/>
        </w:rPr>
        <w:t>l (</w:t>
      </w:r>
      <w:r w:rsidR="006650C4">
        <w:rPr>
          <w:lang w:val="fr-CH"/>
        </w:rPr>
        <w:t>A</w:t>
      </w:r>
      <w:r w:rsidRPr="0088224F">
        <w:rPr>
          <w:lang w:val="fr-CH"/>
        </w:rPr>
        <w:t>nnex</w:t>
      </w:r>
      <w:r w:rsidR="0088224F">
        <w:rPr>
          <w:lang w:val="fr-CH"/>
        </w:rPr>
        <w:t>e</w:t>
      </w:r>
      <w:r w:rsidRPr="0088224F">
        <w:rPr>
          <w:lang w:val="fr-CH"/>
        </w:rPr>
        <w:t xml:space="preserve"> C) </w:t>
      </w:r>
      <w:r w:rsidR="0088224F">
        <w:rPr>
          <w:lang w:val="fr-CH"/>
        </w:rPr>
        <w:t>et du</w:t>
      </w:r>
      <w:r w:rsidRPr="0088224F">
        <w:rPr>
          <w:lang w:val="fr-CH"/>
        </w:rPr>
        <w:t xml:space="preserve"> Venezuela (</w:t>
      </w:r>
      <w:r w:rsidR="006650C4">
        <w:rPr>
          <w:lang w:val="fr-CH"/>
        </w:rPr>
        <w:t>A</w:t>
      </w:r>
      <w:r w:rsidRPr="0088224F">
        <w:rPr>
          <w:lang w:val="fr-CH"/>
        </w:rPr>
        <w:t>nnex</w:t>
      </w:r>
      <w:r w:rsidR="0088224F">
        <w:rPr>
          <w:lang w:val="fr-CH"/>
        </w:rPr>
        <w:t>e</w:t>
      </w:r>
      <w:r w:rsidRPr="0088224F">
        <w:rPr>
          <w:lang w:val="fr-CH"/>
        </w:rPr>
        <w:t xml:space="preserve"> D)</w:t>
      </w:r>
      <w:r w:rsidR="0088224F">
        <w:rPr>
          <w:lang w:val="fr-CH"/>
        </w:rPr>
        <w:t xml:space="preserve"> ont été transmises au secrétariat par la suite</w:t>
      </w:r>
      <w:r w:rsidRPr="0088224F">
        <w:rPr>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9B7BE" w14:textId="261DC612" w:rsidR="00445A64" w:rsidRDefault="003256D8" w:rsidP="00445A64">
    <w:pPr>
      <w:pStyle w:val="Header"/>
    </w:pPr>
    <w:r w:rsidRPr="00CA4BB2">
      <w:rPr>
        <w:rStyle w:val="PageNumber"/>
        <w:sz w:val="20"/>
      </w:rPr>
      <w:fldChar w:fldCharType="begin"/>
    </w:r>
    <w:r w:rsidRPr="00CA4BB2">
      <w:rPr>
        <w:rStyle w:val="PageNumber"/>
        <w:sz w:val="20"/>
      </w:rPr>
      <w:instrText xml:space="preserve"> PAGE </w:instrText>
    </w:r>
    <w:r w:rsidRPr="00CA4BB2">
      <w:rPr>
        <w:rStyle w:val="PageNumber"/>
        <w:sz w:val="20"/>
      </w:rPr>
      <w:fldChar w:fldCharType="separate"/>
    </w:r>
    <w:r w:rsidR="00B92A7D">
      <w:rPr>
        <w:rStyle w:val="PageNumber"/>
        <w:noProof/>
        <w:sz w:val="20"/>
      </w:rPr>
      <w:t>10</w:t>
    </w:r>
    <w:r w:rsidRPr="00CA4BB2">
      <w:rPr>
        <w:rStyle w:val="PageNumber"/>
        <w:sz w:val="20"/>
      </w:rPr>
      <w:fldChar w:fldCharType="end"/>
    </w:r>
    <w:r w:rsidRPr="00CA4BB2">
      <w:rPr>
        <w:rStyle w:val="PageNumber"/>
        <w:sz w:val="20"/>
      </w:rPr>
      <w:br/>
      <w:t>PP-14/17</w:t>
    </w:r>
    <w:r>
      <w:rPr>
        <w:rStyle w:val="PageNumber"/>
        <w:sz w:val="20"/>
      </w:rPr>
      <w:t>6</w:t>
    </w:r>
    <w:r w:rsidR="007054DE">
      <w:rPr>
        <w:rStyle w:val="PageNumber"/>
        <w:sz w:val="20"/>
      </w:rPr>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EF80A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23590"/>
    <w:multiLevelType w:val="hybridMultilevel"/>
    <w:tmpl w:val="4120D086"/>
    <w:lvl w:ilvl="0" w:tplc="345C1B36">
      <w:start w:val="2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FF44E9"/>
    <w:multiLevelType w:val="hybridMultilevel"/>
    <w:tmpl w:val="BFFA8C0C"/>
    <w:lvl w:ilvl="0" w:tplc="29FCF7E6">
      <w:start w:val="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4A0721"/>
    <w:multiLevelType w:val="hybridMultilevel"/>
    <w:tmpl w:val="3CDC31EC"/>
    <w:lvl w:ilvl="0" w:tplc="29FCF7E6">
      <w:start w:val="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406403"/>
    <w:multiLevelType w:val="hybridMultilevel"/>
    <w:tmpl w:val="1FA0AB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89138E"/>
    <w:multiLevelType w:val="hybridMultilevel"/>
    <w:tmpl w:val="1FA0AB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844F80"/>
    <w:multiLevelType w:val="hybridMultilevel"/>
    <w:tmpl w:val="244E36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F13DA4"/>
    <w:multiLevelType w:val="hybridMultilevel"/>
    <w:tmpl w:val="3AE8324A"/>
    <w:lvl w:ilvl="0" w:tplc="29FCF7E6">
      <w:start w:val="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8C2E84"/>
    <w:multiLevelType w:val="hybridMultilevel"/>
    <w:tmpl w:val="4196A74C"/>
    <w:lvl w:ilvl="0" w:tplc="31DEA264">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C72AD5"/>
    <w:multiLevelType w:val="hybridMultilevel"/>
    <w:tmpl w:val="CC7AECEC"/>
    <w:lvl w:ilvl="0" w:tplc="29FCF7E6">
      <w:start w:val="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9"/>
  </w:num>
  <w:num w:numId="6">
    <w:abstractNumId w:val="7"/>
  </w:num>
  <w:num w:numId="7">
    <w:abstractNumId w:val="3"/>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7A"/>
    <w:rsid w:val="00000AF8"/>
    <w:rsid w:val="00001935"/>
    <w:rsid w:val="00003C6A"/>
    <w:rsid w:val="00003EB3"/>
    <w:rsid w:val="000048E4"/>
    <w:rsid w:val="00010B2A"/>
    <w:rsid w:val="00011208"/>
    <w:rsid w:val="000143FA"/>
    <w:rsid w:val="00014808"/>
    <w:rsid w:val="00015E97"/>
    <w:rsid w:val="000214F1"/>
    <w:rsid w:val="000218BA"/>
    <w:rsid w:val="000335DF"/>
    <w:rsid w:val="00043F57"/>
    <w:rsid w:val="00056587"/>
    <w:rsid w:val="000573B7"/>
    <w:rsid w:val="00057439"/>
    <w:rsid w:val="00064EC4"/>
    <w:rsid w:val="00075EBC"/>
    <w:rsid w:val="0008212A"/>
    <w:rsid w:val="00082EB9"/>
    <w:rsid w:val="000851E3"/>
    <w:rsid w:val="0008540E"/>
    <w:rsid w:val="000927FC"/>
    <w:rsid w:val="00094B4F"/>
    <w:rsid w:val="00095209"/>
    <w:rsid w:val="00095381"/>
    <w:rsid w:val="000A1015"/>
    <w:rsid w:val="000A2C06"/>
    <w:rsid w:val="000A4844"/>
    <w:rsid w:val="000B03F9"/>
    <w:rsid w:val="000B0A77"/>
    <w:rsid w:val="000B0D6C"/>
    <w:rsid w:val="000B1101"/>
    <w:rsid w:val="000B15A2"/>
    <w:rsid w:val="000B5BB9"/>
    <w:rsid w:val="000B5E72"/>
    <w:rsid w:val="000B7152"/>
    <w:rsid w:val="000C4701"/>
    <w:rsid w:val="000D08B8"/>
    <w:rsid w:val="000D32DF"/>
    <w:rsid w:val="000D45F8"/>
    <w:rsid w:val="000E1758"/>
    <w:rsid w:val="000E1DB1"/>
    <w:rsid w:val="000E4C7A"/>
    <w:rsid w:val="000E5E15"/>
    <w:rsid w:val="000E7035"/>
    <w:rsid w:val="000E7361"/>
    <w:rsid w:val="000F1753"/>
    <w:rsid w:val="000F5A9A"/>
    <w:rsid w:val="000F73D1"/>
    <w:rsid w:val="001001C5"/>
    <w:rsid w:val="00105739"/>
    <w:rsid w:val="00105EFE"/>
    <w:rsid w:val="00106777"/>
    <w:rsid w:val="0011489E"/>
    <w:rsid w:val="00114BA3"/>
    <w:rsid w:val="00115DEC"/>
    <w:rsid w:val="00123F09"/>
    <w:rsid w:val="001344A8"/>
    <w:rsid w:val="00134EC9"/>
    <w:rsid w:val="00136175"/>
    <w:rsid w:val="00140FF0"/>
    <w:rsid w:val="00143550"/>
    <w:rsid w:val="00143732"/>
    <w:rsid w:val="0014400C"/>
    <w:rsid w:val="00146057"/>
    <w:rsid w:val="00147599"/>
    <w:rsid w:val="0015112E"/>
    <w:rsid w:val="00151A05"/>
    <w:rsid w:val="001523C3"/>
    <w:rsid w:val="00152AC3"/>
    <w:rsid w:val="00155FF4"/>
    <w:rsid w:val="0016258D"/>
    <w:rsid w:val="00162AAC"/>
    <w:rsid w:val="00164602"/>
    <w:rsid w:val="0016633C"/>
    <w:rsid w:val="00167895"/>
    <w:rsid w:val="00170126"/>
    <w:rsid w:val="00171990"/>
    <w:rsid w:val="00172258"/>
    <w:rsid w:val="00176922"/>
    <w:rsid w:val="00180194"/>
    <w:rsid w:val="00183E1F"/>
    <w:rsid w:val="00195B70"/>
    <w:rsid w:val="001961C1"/>
    <w:rsid w:val="00197C23"/>
    <w:rsid w:val="001A0EEB"/>
    <w:rsid w:val="001A16ED"/>
    <w:rsid w:val="001A2DA9"/>
    <w:rsid w:val="001A5E36"/>
    <w:rsid w:val="001A6F7A"/>
    <w:rsid w:val="001B18AB"/>
    <w:rsid w:val="001B24BD"/>
    <w:rsid w:val="001B70D1"/>
    <w:rsid w:val="001C3804"/>
    <w:rsid w:val="001D1A0C"/>
    <w:rsid w:val="001D3322"/>
    <w:rsid w:val="001D41B6"/>
    <w:rsid w:val="001E01A5"/>
    <w:rsid w:val="001E18AB"/>
    <w:rsid w:val="001E1C8F"/>
    <w:rsid w:val="001E65ED"/>
    <w:rsid w:val="001E7308"/>
    <w:rsid w:val="001F1FB6"/>
    <w:rsid w:val="002005A5"/>
    <w:rsid w:val="002042F1"/>
    <w:rsid w:val="00206EFA"/>
    <w:rsid w:val="002115E0"/>
    <w:rsid w:val="002132EC"/>
    <w:rsid w:val="0021660D"/>
    <w:rsid w:val="00217697"/>
    <w:rsid w:val="00232B31"/>
    <w:rsid w:val="00235A3B"/>
    <w:rsid w:val="00241870"/>
    <w:rsid w:val="00242B62"/>
    <w:rsid w:val="00243BE4"/>
    <w:rsid w:val="00245562"/>
    <w:rsid w:val="0024622A"/>
    <w:rsid w:val="002548A1"/>
    <w:rsid w:val="00257188"/>
    <w:rsid w:val="002578B4"/>
    <w:rsid w:val="00264CED"/>
    <w:rsid w:val="00267D12"/>
    <w:rsid w:val="00270ECF"/>
    <w:rsid w:val="00272ABD"/>
    <w:rsid w:val="00273CB9"/>
    <w:rsid w:val="00277310"/>
    <w:rsid w:val="00281792"/>
    <w:rsid w:val="0028799E"/>
    <w:rsid w:val="002901FB"/>
    <w:rsid w:val="002962A8"/>
    <w:rsid w:val="002A0EE3"/>
    <w:rsid w:val="002A4DBF"/>
    <w:rsid w:val="002A5440"/>
    <w:rsid w:val="002A56C0"/>
    <w:rsid w:val="002B114D"/>
    <w:rsid w:val="002B2D30"/>
    <w:rsid w:val="002B37B7"/>
    <w:rsid w:val="002B4ECD"/>
    <w:rsid w:val="002C3A09"/>
    <w:rsid w:val="002D70C1"/>
    <w:rsid w:val="002D7578"/>
    <w:rsid w:val="002E08D3"/>
    <w:rsid w:val="002E43A6"/>
    <w:rsid w:val="002E4B3A"/>
    <w:rsid w:val="002F097E"/>
    <w:rsid w:val="002F125B"/>
    <w:rsid w:val="002F36B9"/>
    <w:rsid w:val="002F4E43"/>
    <w:rsid w:val="002F5FA2"/>
    <w:rsid w:val="003007D3"/>
    <w:rsid w:val="00301D11"/>
    <w:rsid w:val="00310AE8"/>
    <w:rsid w:val="003126B0"/>
    <w:rsid w:val="00314127"/>
    <w:rsid w:val="00314C12"/>
    <w:rsid w:val="0032120A"/>
    <w:rsid w:val="00322EB4"/>
    <w:rsid w:val="00323951"/>
    <w:rsid w:val="003256D8"/>
    <w:rsid w:val="003261C3"/>
    <w:rsid w:val="00327F10"/>
    <w:rsid w:val="00342EF6"/>
    <w:rsid w:val="003453DA"/>
    <w:rsid w:val="00347512"/>
    <w:rsid w:val="00351F49"/>
    <w:rsid w:val="003524CD"/>
    <w:rsid w:val="00354470"/>
    <w:rsid w:val="003565DE"/>
    <w:rsid w:val="00357754"/>
    <w:rsid w:val="003578E4"/>
    <w:rsid w:val="00361097"/>
    <w:rsid w:val="0036383E"/>
    <w:rsid w:val="00373A0D"/>
    <w:rsid w:val="00375076"/>
    <w:rsid w:val="00375BBA"/>
    <w:rsid w:val="00393A1C"/>
    <w:rsid w:val="00395CE4"/>
    <w:rsid w:val="00397821"/>
    <w:rsid w:val="003A44DB"/>
    <w:rsid w:val="003A5FFB"/>
    <w:rsid w:val="003A7FB6"/>
    <w:rsid w:val="003B0F3A"/>
    <w:rsid w:val="003B3751"/>
    <w:rsid w:val="003B47D5"/>
    <w:rsid w:val="003C2683"/>
    <w:rsid w:val="003C2771"/>
    <w:rsid w:val="003E275D"/>
    <w:rsid w:val="003E7663"/>
    <w:rsid w:val="003F0763"/>
    <w:rsid w:val="003F5771"/>
    <w:rsid w:val="003F74E6"/>
    <w:rsid w:val="00400081"/>
    <w:rsid w:val="00401216"/>
    <w:rsid w:val="004014B0"/>
    <w:rsid w:val="004040D9"/>
    <w:rsid w:val="00404352"/>
    <w:rsid w:val="004059B0"/>
    <w:rsid w:val="00406655"/>
    <w:rsid w:val="00407D15"/>
    <w:rsid w:val="00424AB6"/>
    <w:rsid w:val="0042506E"/>
    <w:rsid w:val="00426AC1"/>
    <w:rsid w:val="00427CBA"/>
    <w:rsid w:val="004321DC"/>
    <w:rsid w:val="00433C00"/>
    <w:rsid w:val="00435AA4"/>
    <w:rsid w:val="00435EA8"/>
    <w:rsid w:val="004360BB"/>
    <w:rsid w:val="00442A9F"/>
    <w:rsid w:val="00445A64"/>
    <w:rsid w:val="00446381"/>
    <w:rsid w:val="0045042B"/>
    <w:rsid w:val="0045533C"/>
    <w:rsid w:val="00455C29"/>
    <w:rsid w:val="00457058"/>
    <w:rsid w:val="00457866"/>
    <w:rsid w:val="00460568"/>
    <w:rsid w:val="004606DA"/>
    <w:rsid w:val="00463092"/>
    <w:rsid w:val="004662AB"/>
    <w:rsid w:val="004664A0"/>
    <w:rsid w:val="004676C0"/>
    <w:rsid w:val="00473998"/>
    <w:rsid w:val="00474E00"/>
    <w:rsid w:val="0047728B"/>
    <w:rsid w:val="00477E45"/>
    <w:rsid w:val="004835DB"/>
    <w:rsid w:val="00491D2D"/>
    <w:rsid w:val="00494315"/>
    <w:rsid w:val="00494797"/>
    <w:rsid w:val="00496D49"/>
    <w:rsid w:val="00497DAE"/>
    <w:rsid w:val="004A32E7"/>
    <w:rsid w:val="004A4389"/>
    <w:rsid w:val="004A7179"/>
    <w:rsid w:val="004B0C10"/>
    <w:rsid w:val="004C19D7"/>
    <w:rsid w:val="004C297B"/>
    <w:rsid w:val="004C4DB0"/>
    <w:rsid w:val="004C73C9"/>
    <w:rsid w:val="004D004E"/>
    <w:rsid w:val="004E01FA"/>
    <w:rsid w:val="004E52A7"/>
    <w:rsid w:val="004E580E"/>
    <w:rsid w:val="004E6764"/>
    <w:rsid w:val="004F041D"/>
    <w:rsid w:val="004F1C55"/>
    <w:rsid w:val="00504FE5"/>
    <w:rsid w:val="005053ED"/>
    <w:rsid w:val="00507348"/>
    <w:rsid w:val="005076E0"/>
    <w:rsid w:val="00516E60"/>
    <w:rsid w:val="00521A24"/>
    <w:rsid w:val="00522C97"/>
    <w:rsid w:val="00525908"/>
    <w:rsid w:val="0052712C"/>
    <w:rsid w:val="005356FD"/>
    <w:rsid w:val="005356FF"/>
    <w:rsid w:val="00535A70"/>
    <w:rsid w:val="00536452"/>
    <w:rsid w:val="00540485"/>
    <w:rsid w:val="00547D75"/>
    <w:rsid w:val="00550570"/>
    <w:rsid w:val="00551471"/>
    <w:rsid w:val="00551C8B"/>
    <w:rsid w:val="00554E24"/>
    <w:rsid w:val="00555A0F"/>
    <w:rsid w:val="00556FDE"/>
    <w:rsid w:val="00557172"/>
    <w:rsid w:val="00560DE2"/>
    <w:rsid w:val="0056428C"/>
    <w:rsid w:val="00565D32"/>
    <w:rsid w:val="00567130"/>
    <w:rsid w:val="00567DB5"/>
    <w:rsid w:val="0057034B"/>
    <w:rsid w:val="0057711B"/>
    <w:rsid w:val="005810E3"/>
    <w:rsid w:val="00581E8F"/>
    <w:rsid w:val="00586A98"/>
    <w:rsid w:val="00587B29"/>
    <w:rsid w:val="005926A1"/>
    <w:rsid w:val="005927A4"/>
    <w:rsid w:val="00594587"/>
    <w:rsid w:val="00596AFA"/>
    <w:rsid w:val="00596B48"/>
    <w:rsid w:val="005A5770"/>
    <w:rsid w:val="005B10E8"/>
    <w:rsid w:val="005B4D5A"/>
    <w:rsid w:val="005B5026"/>
    <w:rsid w:val="005C3315"/>
    <w:rsid w:val="005D1392"/>
    <w:rsid w:val="005D3009"/>
    <w:rsid w:val="005D3A30"/>
    <w:rsid w:val="005E1CC3"/>
    <w:rsid w:val="005F05C8"/>
    <w:rsid w:val="00604079"/>
    <w:rsid w:val="0060437F"/>
    <w:rsid w:val="006107BB"/>
    <w:rsid w:val="00617BE4"/>
    <w:rsid w:val="00620233"/>
    <w:rsid w:val="00640419"/>
    <w:rsid w:val="006404B0"/>
    <w:rsid w:val="006412B9"/>
    <w:rsid w:val="00652375"/>
    <w:rsid w:val="00663617"/>
    <w:rsid w:val="0066499C"/>
    <w:rsid w:val="006650C4"/>
    <w:rsid w:val="00675E58"/>
    <w:rsid w:val="0069342D"/>
    <w:rsid w:val="006A7108"/>
    <w:rsid w:val="006B40DA"/>
    <w:rsid w:val="006C50EF"/>
    <w:rsid w:val="006C5D5D"/>
    <w:rsid w:val="006D72DA"/>
    <w:rsid w:val="006D76D1"/>
    <w:rsid w:val="006E215D"/>
    <w:rsid w:val="006E4EA9"/>
    <w:rsid w:val="006E57C8"/>
    <w:rsid w:val="006E70E1"/>
    <w:rsid w:val="006F196E"/>
    <w:rsid w:val="006F51FE"/>
    <w:rsid w:val="006F565E"/>
    <w:rsid w:val="0070082D"/>
    <w:rsid w:val="0070102E"/>
    <w:rsid w:val="00701715"/>
    <w:rsid w:val="00701ABB"/>
    <w:rsid w:val="00703298"/>
    <w:rsid w:val="007054DE"/>
    <w:rsid w:val="00711035"/>
    <w:rsid w:val="007130ED"/>
    <w:rsid w:val="007140CF"/>
    <w:rsid w:val="0071582A"/>
    <w:rsid w:val="00722595"/>
    <w:rsid w:val="007261C8"/>
    <w:rsid w:val="00730990"/>
    <w:rsid w:val="0073319E"/>
    <w:rsid w:val="00733C8A"/>
    <w:rsid w:val="00735652"/>
    <w:rsid w:val="00736A5D"/>
    <w:rsid w:val="007376C4"/>
    <w:rsid w:val="00737F2E"/>
    <w:rsid w:val="00741956"/>
    <w:rsid w:val="00745A37"/>
    <w:rsid w:val="00746924"/>
    <w:rsid w:val="007470B3"/>
    <w:rsid w:val="00750829"/>
    <w:rsid w:val="007538C9"/>
    <w:rsid w:val="00753F63"/>
    <w:rsid w:val="007542C4"/>
    <w:rsid w:val="00755067"/>
    <w:rsid w:val="00755FF3"/>
    <w:rsid w:val="007561B6"/>
    <w:rsid w:val="00756CFC"/>
    <w:rsid w:val="00762791"/>
    <w:rsid w:val="007649DA"/>
    <w:rsid w:val="00765553"/>
    <w:rsid w:val="00767280"/>
    <w:rsid w:val="00777B8B"/>
    <w:rsid w:val="00791712"/>
    <w:rsid w:val="00792833"/>
    <w:rsid w:val="00794795"/>
    <w:rsid w:val="007949EA"/>
    <w:rsid w:val="00794C88"/>
    <w:rsid w:val="00796849"/>
    <w:rsid w:val="007A20B2"/>
    <w:rsid w:val="007A3050"/>
    <w:rsid w:val="007A59C3"/>
    <w:rsid w:val="007B0E06"/>
    <w:rsid w:val="007B30FC"/>
    <w:rsid w:val="007C03E0"/>
    <w:rsid w:val="007C3643"/>
    <w:rsid w:val="007D1F4E"/>
    <w:rsid w:val="007D2ADD"/>
    <w:rsid w:val="007D5A8D"/>
    <w:rsid w:val="007E00D2"/>
    <w:rsid w:val="007E2AD4"/>
    <w:rsid w:val="007E646F"/>
    <w:rsid w:val="007F230C"/>
    <w:rsid w:val="007F32F6"/>
    <w:rsid w:val="007F4630"/>
    <w:rsid w:val="007F5554"/>
    <w:rsid w:val="00803133"/>
    <w:rsid w:val="008076F7"/>
    <w:rsid w:val="008117CC"/>
    <w:rsid w:val="00815300"/>
    <w:rsid w:val="00817215"/>
    <w:rsid w:val="008219AB"/>
    <w:rsid w:val="008263C6"/>
    <w:rsid w:val="008272EE"/>
    <w:rsid w:val="0082780C"/>
    <w:rsid w:val="00831716"/>
    <w:rsid w:val="008333C7"/>
    <w:rsid w:val="00833E0F"/>
    <w:rsid w:val="0083654C"/>
    <w:rsid w:val="00836F3E"/>
    <w:rsid w:val="008404FD"/>
    <w:rsid w:val="00843BCA"/>
    <w:rsid w:val="00844BA8"/>
    <w:rsid w:val="00846DBA"/>
    <w:rsid w:val="00847767"/>
    <w:rsid w:val="00847DCB"/>
    <w:rsid w:val="00850AEF"/>
    <w:rsid w:val="00851042"/>
    <w:rsid w:val="00860C6A"/>
    <w:rsid w:val="00861F27"/>
    <w:rsid w:val="00862891"/>
    <w:rsid w:val="0087376A"/>
    <w:rsid w:val="00873A8F"/>
    <w:rsid w:val="00875048"/>
    <w:rsid w:val="00875BE1"/>
    <w:rsid w:val="008774EF"/>
    <w:rsid w:val="00877715"/>
    <w:rsid w:val="00880CE1"/>
    <w:rsid w:val="0088224F"/>
    <w:rsid w:val="008926A1"/>
    <w:rsid w:val="00892CA4"/>
    <w:rsid w:val="00895CE3"/>
    <w:rsid w:val="0089603F"/>
    <w:rsid w:val="008960F0"/>
    <w:rsid w:val="00896DA5"/>
    <w:rsid w:val="00897970"/>
    <w:rsid w:val="008A0B99"/>
    <w:rsid w:val="008A41AA"/>
    <w:rsid w:val="008A43F7"/>
    <w:rsid w:val="008B1DED"/>
    <w:rsid w:val="008B4E96"/>
    <w:rsid w:val="008B5A71"/>
    <w:rsid w:val="008C1A26"/>
    <w:rsid w:val="008C475A"/>
    <w:rsid w:val="008C564E"/>
    <w:rsid w:val="008D20CF"/>
    <w:rsid w:val="008D3BE2"/>
    <w:rsid w:val="008D4D98"/>
    <w:rsid w:val="008D79B3"/>
    <w:rsid w:val="008E0400"/>
    <w:rsid w:val="008E2A7B"/>
    <w:rsid w:val="008E2FA9"/>
    <w:rsid w:val="008E3926"/>
    <w:rsid w:val="008E6E9B"/>
    <w:rsid w:val="008F0F53"/>
    <w:rsid w:val="008F2C56"/>
    <w:rsid w:val="008F34E8"/>
    <w:rsid w:val="008F3C99"/>
    <w:rsid w:val="008F4E36"/>
    <w:rsid w:val="00900D5B"/>
    <w:rsid w:val="00901613"/>
    <w:rsid w:val="00912F47"/>
    <w:rsid w:val="00913618"/>
    <w:rsid w:val="009214C6"/>
    <w:rsid w:val="009226DA"/>
    <w:rsid w:val="009236FE"/>
    <w:rsid w:val="009323F8"/>
    <w:rsid w:val="00940E00"/>
    <w:rsid w:val="00941EAC"/>
    <w:rsid w:val="009428F4"/>
    <w:rsid w:val="009438EA"/>
    <w:rsid w:val="00945D4B"/>
    <w:rsid w:val="00946818"/>
    <w:rsid w:val="00950E0F"/>
    <w:rsid w:val="00955D27"/>
    <w:rsid w:val="00957A94"/>
    <w:rsid w:val="00962DD4"/>
    <w:rsid w:val="009630FA"/>
    <w:rsid w:val="00964A6F"/>
    <w:rsid w:val="00965E84"/>
    <w:rsid w:val="00967103"/>
    <w:rsid w:val="00967670"/>
    <w:rsid w:val="00970996"/>
    <w:rsid w:val="009800CC"/>
    <w:rsid w:val="00980E5E"/>
    <w:rsid w:val="009827B9"/>
    <w:rsid w:val="00982AE2"/>
    <w:rsid w:val="009901B1"/>
    <w:rsid w:val="009A078E"/>
    <w:rsid w:val="009A145E"/>
    <w:rsid w:val="009A2300"/>
    <w:rsid w:val="009A2B30"/>
    <w:rsid w:val="009A4211"/>
    <w:rsid w:val="009A446F"/>
    <w:rsid w:val="009A47A2"/>
    <w:rsid w:val="009A52E0"/>
    <w:rsid w:val="009B4377"/>
    <w:rsid w:val="009B68AA"/>
    <w:rsid w:val="009C2BD5"/>
    <w:rsid w:val="009D0CA7"/>
    <w:rsid w:val="009D1907"/>
    <w:rsid w:val="009E425E"/>
    <w:rsid w:val="009E4322"/>
    <w:rsid w:val="009E6210"/>
    <w:rsid w:val="009F4384"/>
    <w:rsid w:val="009F442D"/>
    <w:rsid w:val="009F50DA"/>
    <w:rsid w:val="009F5762"/>
    <w:rsid w:val="009F77C3"/>
    <w:rsid w:val="00A00C41"/>
    <w:rsid w:val="00A0557B"/>
    <w:rsid w:val="00A06D56"/>
    <w:rsid w:val="00A17460"/>
    <w:rsid w:val="00A24EBE"/>
    <w:rsid w:val="00A30134"/>
    <w:rsid w:val="00A314A2"/>
    <w:rsid w:val="00A35B2A"/>
    <w:rsid w:val="00A4439D"/>
    <w:rsid w:val="00A47EC1"/>
    <w:rsid w:val="00A50A38"/>
    <w:rsid w:val="00A51663"/>
    <w:rsid w:val="00A5242E"/>
    <w:rsid w:val="00A619C5"/>
    <w:rsid w:val="00A61FBE"/>
    <w:rsid w:val="00A7077D"/>
    <w:rsid w:val="00A808E1"/>
    <w:rsid w:val="00A8262F"/>
    <w:rsid w:val="00A84B32"/>
    <w:rsid w:val="00A84B3A"/>
    <w:rsid w:val="00A9237A"/>
    <w:rsid w:val="00A93B71"/>
    <w:rsid w:val="00A94AB7"/>
    <w:rsid w:val="00AA0065"/>
    <w:rsid w:val="00AA2010"/>
    <w:rsid w:val="00AB0B32"/>
    <w:rsid w:val="00AB318A"/>
    <w:rsid w:val="00AB495B"/>
    <w:rsid w:val="00AB5C39"/>
    <w:rsid w:val="00AB6B44"/>
    <w:rsid w:val="00AB75A9"/>
    <w:rsid w:val="00AC2692"/>
    <w:rsid w:val="00AD0F3F"/>
    <w:rsid w:val="00AD1C5C"/>
    <w:rsid w:val="00AD566F"/>
    <w:rsid w:val="00AD61C4"/>
    <w:rsid w:val="00AE4E76"/>
    <w:rsid w:val="00AF1E28"/>
    <w:rsid w:val="00AF43E8"/>
    <w:rsid w:val="00AF567B"/>
    <w:rsid w:val="00B14B4F"/>
    <w:rsid w:val="00B1615B"/>
    <w:rsid w:val="00B1733E"/>
    <w:rsid w:val="00B203DA"/>
    <w:rsid w:val="00B25A86"/>
    <w:rsid w:val="00B304B9"/>
    <w:rsid w:val="00B30CA0"/>
    <w:rsid w:val="00B335EF"/>
    <w:rsid w:val="00B35E47"/>
    <w:rsid w:val="00B4062E"/>
    <w:rsid w:val="00B55E1A"/>
    <w:rsid w:val="00B57988"/>
    <w:rsid w:val="00B62032"/>
    <w:rsid w:val="00B63BB9"/>
    <w:rsid w:val="00B6452E"/>
    <w:rsid w:val="00B65F8C"/>
    <w:rsid w:val="00B7263B"/>
    <w:rsid w:val="00B73F47"/>
    <w:rsid w:val="00B7638A"/>
    <w:rsid w:val="00B80DF9"/>
    <w:rsid w:val="00B840D8"/>
    <w:rsid w:val="00B84410"/>
    <w:rsid w:val="00B86535"/>
    <w:rsid w:val="00B91CCD"/>
    <w:rsid w:val="00B92A7D"/>
    <w:rsid w:val="00B93CE4"/>
    <w:rsid w:val="00B96467"/>
    <w:rsid w:val="00BA154E"/>
    <w:rsid w:val="00BA2BB3"/>
    <w:rsid w:val="00BA37CE"/>
    <w:rsid w:val="00BA4692"/>
    <w:rsid w:val="00BA6986"/>
    <w:rsid w:val="00BC270D"/>
    <w:rsid w:val="00BC37B4"/>
    <w:rsid w:val="00BC6FDB"/>
    <w:rsid w:val="00BC71F7"/>
    <w:rsid w:val="00BC7DE8"/>
    <w:rsid w:val="00BD08C9"/>
    <w:rsid w:val="00BD1F95"/>
    <w:rsid w:val="00BD49E1"/>
    <w:rsid w:val="00BE0966"/>
    <w:rsid w:val="00BE7C70"/>
    <w:rsid w:val="00BF0499"/>
    <w:rsid w:val="00BF43BA"/>
    <w:rsid w:val="00BF4E15"/>
    <w:rsid w:val="00BF5722"/>
    <w:rsid w:val="00BF5DC6"/>
    <w:rsid w:val="00BF6268"/>
    <w:rsid w:val="00BF720B"/>
    <w:rsid w:val="00C04511"/>
    <w:rsid w:val="00C12720"/>
    <w:rsid w:val="00C13C68"/>
    <w:rsid w:val="00C15D97"/>
    <w:rsid w:val="00C163DA"/>
    <w:rsid w:val="00C16846"/>
    <w:rsid w:val="00C17B2C"/>
    <w:rsid w:val="00C27EAB"/>
    <w:rsid w:val="00C3012D"/>
    <w:rsid w:val="00C34851"/>
    <w:rsid w:val="00C35940"/>
    <w:rsid w:val="00C42A5B"/>
    <w:rsid w:val="00C42F57"/>
    <w:rsid w:val="00C431BA"/>
    <w:rsid w:val="00C44535"/>
    <w:rsid w:val="00C452CB"/>
    <w:rsid w:val="00C45FD8"/>
    <w:rsid w:val="00C56038"/>
    <w:rsid w:val="00C62C6D"/>
    <w:rsid w:val="00C631D5"/>
    <w:rsid w:val="00C64141"/>
    <w:rsid w:val="00C6431E"/>
    <w:rsid w:val="00C72664"/>
    <w:rsid w:val="00C801C6"/>
    <w:rsid w:val="00C813AE"/>
    <w:rsid w:val="00C81E45"/>
    <w:rsid w:val="00C86F24"/>
    <w:rsid w:val="00C91344"/>
    <w:rsid w:val="00C97522"/>
    <w:rsid w:val="00CA38C9"/>
    <w:rsid w:val="00CA3DEB"/>
    <w:rsid w:val="00CA4A62"/>
    <w:rsid w:val="00CB0A64"/>
    <w:rsid w:val="00CB1AD0"/>
    <w:rsid w:val="00CB477D"/>
    <w:rsid w:val="00CB4984"/>
    <w:rsid w:val="00CB5DD7"/>
    <w:rsid w:val="00CB77D5"/>
    <w:rsid w:val="00CC14F0"/>
    <w:rsid w:val="00CC5A13"/>
    <w:rsid w:val="00CC6B4B"/>
    <w:rsid w:val="00CE3B0F"/>
    <w:rsid w:val="00CE40BB"/>
    <w:rsid w:val="00CF06A8"/>
    <w:rsid w:val="00CF0703"/>
    <w:rsid w:val="00CF1C71"/>
    <w:rsid w:val="00CF613F"/>
    <w:rsid w:val="00D00544"/>
    <w:rsid w:val="00D0068D"/>
    <w:rsid w:val="00D047F1"/>
    <w:rsid w:val="00D07696"/>
    <w:rsid w:val="00D077AB"/>
    <w:rsid w:val="00D11956"/>
    <w:rsid w:val="00D13990"/>
    <w:rsid w:val="00D15A98"/>
    <w:rsid w:val="00D26BAF"/>
    <w:rsid w:val="00D272EC"/>
    <w:rsid w:val="00D31AC2"/>
    <w:rsid w:val="00D44703"/>
    <w:rsid w:val="00D44C64"/>
    <w:rsid w:val="00D500DC"/>
    <w:rsid w:val="00D5041F"/>
    <w:rsid w:val="00D50CEB"/>
    <w:rsid w:val="00D53594"/>
    <w:rsid w:val="00D54B39"/>
    <w:rsid w:val="00D62A3A"/>
    <w:rsid w:val="00D64FF3"/>
    <w:rsid w:val="00D65784"/>
    <w:rsid w:val="00D657A2"/>
    <w:rsid w:val="00D7120B"/>
    <w:rsid w:val="00D760C8"/>
    <w:rsid w:val="00D81BF0"/>
    <w:rsid w:val="00D83FFD"/>
    <w:rsid w:val="00D850C2"/>
    <w:rsid w:val="00D8617D"/>
    <w:rsid w:val="00D900B0"/>
    <w:rsid w:val="00D92563"/>
    <w:rsid w:val="00D97205"/>
    <w:rsid w:val="00DA2878"/>
    <w:rsid w:val="00DA32FE"/>
    <w:rsid w:val="00DA6175"/>
    <w:rsid w:val="00DA6261"/>
    <w:rsid w:val="00DB01E8"/>
    <w:rsid w:val="00DC3389"/>
    <w:rsid w:val="00DC7C10"/>
    <w:rsid w:val="00DD26B1"/>
    <w:rsid w:val="00DD3E74"/>
    <w:rsid w:val="00DD5177"/>
    <w:rsid w:val="00DE16B8"/>
    <w:rsid w:val="00DE3704"/>
    <w:rsid w:val="00DE4CC2"/>
    <w:rsid w:val="00DF0096"/>
    <w:rsid w:val="00DF23FC"/>
    <w:rsid w:val="00DF39CD"/>
    <w:rsid w:val="00DF3A95"/>
    <w:rsid w:val="00E0094D"/>
    <w:rsid w:val="00E016D9"/>
    <w:rsid w:val="00E07938"/>
    <w:rsid w:val="00E13427"/>
    <w:rsid w:val="00E1374D"/>
    <w:rsid w:val="00E14032"/>
    <w:rsid w:val="00E14476"/>
    <w:rsid w:val="00E15EE6"/>
    <w:rsid w:val="00E20134"/>
    <w:rsid w:val="00E24551"/>
    <w:rsid w:val="00E24CB2"/>
    <w:rsid w:val="00E30C87"/>
    <w:rsid w:val="00E32C84"/>
    <w:rsid w:val="00E3536D"/>
    <w:rsid w:val="00E41541"/>
    <w:rsid w:val="00E415A1"/>
    <w:rsid w:val="00E44456"/>
    <w:rsid w:val="00E52BAD"/>
    <w:rsid w:val="00E54AB0"/>
    <w:rsid w:val="00E553B9"/>
    <w:rsid w:val="00E56E57"/>
    <w:rsid w:val="00E62BDE"/>
    <w:rsid w:val="00E658D3"/>
    <w:rsid w:val="00E6599B"/>
    <w:rsid w:val="00E66468"/>
    <w:rsid w:val="00E664F5"/>
    <w:rsid w:val="00E726DE"/>
    <w:rsid w:val="00E74420"/>
    <w:rsid w:val="00E7699D"/>
    <w:rsid w:val="00E86427"/>
    <w:rsid w:val="00E871C2"/>
    <w:rsid w:val="00E90A8F"/>
    <w:rsid w:val="00E966E1"/>
    <w:rsid w:val="00EA1BAA"/>
    <w:rsid w:val="00EB182E"/>
    <w:rsid w:val="00EB6B1F"/>
    <w:rsid w:val="00EC2545"/>
    <w:rsid w:val="00EC2748"/>
    <w:rsid w:val="00ED401C"/>
    <w:rsid w:val="00ED69FA"/>
    <w:rsid w:val="00EE333B"/>
    <w:rsid w:val="00EF2642"/>
    <w:rsid w:val="00EF3681"/>
    <w:rsid w:val="00EF59CA"/>
    <w:rsid w:val="00F05B96"/>
    <w:rsid w:val="00F10790"/>
    <w:rsid w:val="00F10E7C"/>
    <w:rsid w:val="00F13C1E"/>
    <w:rsid w:val="00F140A2"/>
    <w:rsid w:val="00F16F17"/>
    <w:rsid w:val="00F173DE"/>
    <w:rsid w:val="00F20BC2"/>
    <w:rsid w:val="00F22CE2"/>
    <w:rsid w:val="00F265B7"/>
    <w:rsid w:val="00F2779A"/>
    <w:rsid w:val="00F27FE9"/>
    <w:rsid w:val="00F301C2"/>
    <w:rsid w:val="00F342E4"/>
    <w:rsid w:val="00F35330"/>
    <w:rsid w:val="00F41C91"/>
    <w:rsid w:val="00F433A4"/>
    <w:rsid w:val="00F4421A"/>
    <w:rsid w:val="00F45733"/>
    <w:rsid w:val="00F47316"/>
    <w:rsid w:val="00F50ABA"/>
    <w:rsid w:val="00F55CEA"/>
    <w:rsid w:val="00F55DA5"/>
    <w:rsid w:val="00F5694F"/>
    <w:rsid w:val="00F56967"/>
    <w:rsid w:val="00F611B7"/>
    <w:rsid w:val="00F616B6"/>
    <w:rsid w:val="00F66B4E"/>
    <w:rsid w:val="00F72702"/>
    <w:rsid w:val="00F72825"/>
    <w:rsid w:val="00F80C3C"/>
    <w:rsid w:val="00F87944"/>
    <w:rsid w:val="00F935A3"/>
    <w:rsid w:val="00F95ABE"/>
    <w:rsid w:val="00F9756D"/>
    <w:rsid w:val="00FA1417"/>
    <w:rsid w:val="00FA2B66"/>
    <w:rsid w:val="00FA3BF1"/>
    <w:rsid w:val="00FB5F12"/>
    <w:rsid w:val="00FC0913"/>
    <w:rsid w:val="00FC5B20"/>
    <w:rsid w:val="00FC7104"/>
    <w:rsid w:val="00FD08BB"/>
    <w:rsid w:val="00FD211C"/>
    <w:rsid w:val="00FD417F"/>
    <w:rsid w:val="00FD45FE"/>
    <w:rsid w:val="00FD7B1D"/>
    <w:rsid w:val="00FE1E22"/>
    <w:rsid w:val="00FE2CAD"/>
    <w:rsid w:val="00FE388E"/>
    <w:rsid w:val="00FE4F34"/>
    <w:rsid w:val="00FF167D"/>
    <w:rsid w:val="00FF60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9F793FA"/>
  <w15:docId w15:val="{20144E53-C592-4A58-88D6-8D6F4095D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C6D"/>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qFormat/>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AD566F"/>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No"/>
    <w:next w:val="Normalaftertitle"/>
    <w:qFormat/>
    <w:rsid w:val="001E18AB"/>
  </w:style>
  <w:style w:type="paragraph" w:customStyle="1" w:styleId="DecNo">
    <w:name w:val="Dec_No"/>
    <w:basedOn w:val="RecNo"/>
    <w:next w:val="Dectitle"/>
    <w:qFormat/>
    <w:rsid w:val="001E18AB"/>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A808E1"/>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1A16ED"/>
    <w:pPr>
      <w:framePr w:hSpace="180" w:wrap="around" w:hAnchor="margin" w:y="-675"/>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 w:val="22"/>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table" w:styleId="TableGrid">
    <w:name w:val="Table Grid"/>
    <w:basedOn w:val="TableNormal"/>
    <w:rsid w:val="007A3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4EBE"/>
    <w:pPr>
      <w:ind w:left="720"/>
      <w:contextualSpacing/>
    </w:pPr>
  </w:style>
  <w:style w:type="paragraph" w:customStyle="1" w:styleId="Colloquy">
    <w:name w:val="Colloquy"/>
    <w:basedOn w:val="Normal"/>
    <w:uiPriority w:val="99"/>
    <w:rsid w:val="000A2C06"/>
    <w:pPr>
      <w:tabs>
        <w:tab w:val="clear" w:pos="567"/>
        <w:tab w:val="clear" w:pos="1134"/>
        <w:tab w:val="clear" w:pos="1701"/>
        <w:tab w:val="clear" w:pos="2268"/>
        <w:tab w:val="clear" w:pos="2835"/>
      </w:tabs>
      <w:overflowPunct/>
      <w:adjustRightInd/>
      <w:spacing w:before="0" w:line="528" w:lineRule="atLeast"/>
      <w:ind w:right="1440" w:firstLine="432"/>
      <w:textAlignment w:val="auto"/>
    </w:pPr>
    <w:rPr>
      <w:rFonts w:ascii="Courier New" w:eastAsiaTheme="minorEastAsia" w:hAnsi="Courier New" w:cs="Courier New"/>
      <w:szCs w:val="24"/>
      <w:lang w:val="en-US"/>
    </w:rPr>
  </w:style>
  <w:style w:type="paragraph" w:customStyle="1" w:styleId="ContinCol">
    <w:name w:val="Contin Col"/>
    <w:basedOn w:val="Normal"/>
    <w:uiPriority w:val="99"/>
    <w:rsid w:val="000A2C06"/>
    <w:pPr>
      <w:tabs>
        <w:tab w:val="clear" w:pos="567"/>
        <w:tab w:val="clear" w:pos="1134"/>
        <w:tab w:val="clear" w:pos="1701"/>
        <w:tab w:val="clear" w:pos="2268"/>
        <w:tab w:val="clear" w:pos="2835"/>
      </w:tabs>
      <w:overflowPunct/>
      <w:adjustRightInd/>
      <w:spacing w:before="0" w:line="528" w:lineRule="atLeast"/>
      <w:ind w:right="1440" w:firstLine="432"/>
      <w:textAlignment w:val="auto"/>
    </w:pPr>
    <w:rPr>
      <w:rFonts w:ascii="Courier New" w:eastAsiaTheme="minorEastAsia" w:hAnsi="Courier New" w:cs="Courier New"/>
      <w:szCs w:val="24"/>
      <w:lang w:val="en-US"/>
    </w:rPr>
  </w:style>
  <w:style w:type="paragraph" w:styleId="ListBullet">
    <w:name w:val="List Bullet"/>
    <w:basedOn w:val="Normal"/>
    <w:unhideWhenUsed/>
    <w:rsid w:val="005D3A30"/>
    <w:pPr>
      <w:numPr>
        <w:numId w:val="10"/>
      </w:numPr>
      <w:contextualSpacing/>
    </w:pPr>
  </w:style>
  <w:style w:type="paragraph" w:styleId="PlainText">
    <w:name w:val="Plain Text"/>
    <w:basedOn w:val="Normal"/>
    <w:link w:val="PlainTextChar"/>
    <w:uiPriority w:val="99"/>
    <w:unhideWhenUsed/>
    <w:rsid w:val="00AB318A"/>
    <w:pPr>
      <w:tabs>
        <w:tab w:val="clear" w:pos="567"/>
        <w:tab w:val="clear" w:pos="1134"/>
        <w:tab w:val="clear" w:pos="1701"/>
        <w:tab w:val="clear" w:pos="2268"/>
        <w:tab w:val="clear" w:pos="2835"/>
      </w:tabs>
      <w:overflowPunct/>
      <w:autoSpaceDE/>
      <w:autoSpaceDN/>
      <w:adjustRightInd/>
      <w:spacing w:before="0"/>
      <w:textAlignment w:val="auto"/>
    </w:pPr>
    <w:rPr>
      <w:rFonts w:eastAsiaTheme="minorEastAsia" w:cstheme="minorBidi"/>
      <w:sz w:val="22"/>
      <w:szCs w:val="21"/>
      <w:lang w:val="en-US" w:eastAsia="zh-CN"/>
    </w:rPr>
  </w:style>
  <w:style w:type="character" w:customStyle="1" w:styleId="PlainTextChar">
    <w:name w:val="Plain Text Char"/>
    <w:basedOn w:val="DefaultParagraphFont"/>
    <w:link w:val="PlainText"/>
    <w:uiPriority w:val="99"/>
    <w:rsid w:val="00AB318A"/>
    <w:rPr>
      <w:rFonts w:ascii="Calibri" w:eastAsiaTheme="minorEastAsia" w:hAnsi="Calibri" w:cstheme="minorBidi"/>
      <w:sz w:val="22"/>
      <w:szCs w:val="21"/>
    </w:rPr>
  </w:style>
  <w:style w:type="character" w:styleId="CommentReference">
    <w:name w:val="annotation reference"/>
    <w:basedOn w:val="DefaultParagraphFont"/>
    <w:semiHidden/>
    <w:unhideWhenUsed/>
    <w:rsid w:val="00A50A38"/>
    <w:rPr>
      <w:sz w:val="16"/>
      <w:szCs w:val="16"/>
    </w:rPr>
  </w:style>
  <w:style w:type="paragraph" w:styleId="CommentText">
    <w:name w:val="annotation text"/>
    <w:basedOn w:val="Normal"/>
    <w:link w:val="CommentTextChar"/>
    <w:semiHidden/>
    <w:unhideWhenUsed/>
    <w:rsid w:val="00A50A38"/>
    <w:rPr>
      <w:sz w:val="20"/>
    </w:rPr>
  </w:style>
  <w:style w:type="character" w:customStyle="1" w:styleId="CommentTextChar">
    <w:name w:val="Comment Text Char"/>
    <w:basedOn w:val="DefaultParagraphFont"/>
    <w:link w:val="CommentText"/>
    <w:semiHidden/>
    <w:rsid w:val="00A50A38"/>
    <w:rPr>
      <w:rFonts w:ascii="Calibri" w:hAnsi="Calibri"/>
      <w:lang w:val="en-GB" w:eastAsia="en-US"/>
    </w:rPr>
  </w:style>
  <w:style w:type="paragraph" w:styleId="CommentSubject">
    <w:name w:val="annotation subject"/>
    <w:basedOn w:val="CommentText"/>
    <w:next w:val="CommentText"/>
    <w:link w:val="CommentSubjectChar"/>
    <w:semiHidden/>
    <w:unhideWhenUsed/>
    <w:rsid w:val="00A50A38"/>
    <w:rPr>
      <w:b/>
      <w:bCs/>
    </w:rPr>
  </w:style>
  <w:style w:type="character" w:customStyle="1" w:styleId="CommentSubjectChar">
    <w:name w:val="Comment Subject Char"/>
    <w:basedOn w:val="CommentTextChar"/>
    <w:link w:val="CommentSubject"/>
    <w:semiHidden/>
    <w:rsid w:val="00A50A38"/>
    <w:rPr>
      <w:rFonts w:ascii="Calibri" w:hAnsi="Calibri"/>
      <w:b/>
      <w:bCs/>
      <w:lang w:val="en-GB" w:eastAsia="en-US"/>
    </w:rPr>
  </w:style>
  <w:style w:type="paragraph" w:styleId="Revision">
    <w:name w:val="Revision"/>
    <w:hidden/>
    <w:uiPriority w:val="99"/>
    <w:semiHidden/>
    <w:rsid w:val="00A50A38"/>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 w:id="982154771">
      <w:bodyDiv w:val="1"/>
      <w:marLeft w:val="0"/>
      <w:marRight w:val="0"/>
      <w:marTop w:val="0"/>
      <w:marBottom w:val="0"/>
      <w:divBdr>
        <w:top w:val="none" w:sz="0" w:space="0" w:color="auto"/>
        <w:left w:val="none" w:sz="0" w:space="0" w:color="auto"/>
        <w:bottom w:val="none" w:sz="0" w:space="0" w:color="auto"/>
        <w:right w:val="none" w:sz="0" w:space="0" w:color="auto"/>
      </w:divBdr>
    </w:div>
    <w:div w:id="1387027918">
      <w:bodyDiv w:val="1"/>
      <w:marLeft w:val="0"/>
      <w:marRight w:val="0"/>
      <w:marTop w:val="0"/>
      <w:marBottom w:val="0"/>
      <w:divBdr>
        <w:top w:val="none" w:sz="0" w:space="0" w:color="auto"/>
        <w:left w:val="none" w:sz="0" w:space="0" w:color="auto"/>
        <w:bottom w:val="none" w:sz="0" w:space="0" w:color="auto"/>
        <w:right w:val="none" w:sz="0" w:space="0" w:color="auto"/>
      </w:divBdr>
    </w:div>
    <w:div w:id="1576747590">
      <w:bodyDiv w:val="1"/>
      <w:marLeft w:val="0"/>
      <w:marRight w:val="0"/>
      <w:marTop w:val="0"/>
      <w:marBottom w:val="0"/>
      <w:divBdr>
        <w:top w:val="none" w:sz="0" w:space="0" w:color="auto"/>
        <w:left w:val="none" w:sz="0" w:space="0" w:color="auto"/>
        <w:bottom w:val="none" w:sz="0" w:space="0" w:color="auto"/>
        <w:right w:val="none" w:sz="0" w:space="0" w:color="auto"/>
      </w:divBdr>
    </w:div>
    <w:div w:id="1606427445">
      <w:bodyDiv w:val="1"/>
      <w:marLeft w:val="0"/>
      <w:marRight w:val="0"/>
      <w:marTop w:val="0"/>
      <w:marBottom w:val="0"/>
      <w:divBdr>
        <w:top w:val="none" w:sz="0" w:space="0" w:color="auto"/>
        <w:left w:val="none" w:sz="0" w:space="0" w:color="auto"/>
        <w:bottom w:val="none" w:sz="0" w:space="0" w:color="auto"/>
        <w:right w:val="none" w:sz="0" w:space="0" w:color="auto"/>
      </w:divBdr>
    </w:div>
    <w:div w:id="193397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md/S14-PP-C-0156/e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md/S14-PP-C-0126/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tu.int/en/plenipotentiary/2014/statements/file/Pages/valedictory-toure.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S14-PP-C-0164/en" TargetMode="External"/><Relationship Id="rId5" Type="http://schemas.openxmlformats.org/officeDocument/2006/relationships/webSettings" Target="webSettings.xml"/><Relationship Id="rId15" Type="http://schemas.openxmlformats.org/officeDocument/2006/relationships/hyperlink" Target="http://www.itu.int/md/S14-PP-C-0146/en" TargetMode="External"/><Relationship Id="rId10" Type="http://schemas.openxmlformats.org/officeDocument/2006/relationships/hyperlink" Target="http://www.itu.int/md/S14-PP-C-0150/e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tu.int/md/S14-PP-141020-TD-0083/en" TargetMode="External"/><Relationship Id="rId14" Type="http://schemas.openxmlformats.org/officeDocument/2006/relationships/hyperlink" Target="http://www.itu.int/md/S14-PP-C-0145/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0D4FC-E352-4646-B8CE-B20B2D6B0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10</Pages>
  <Words>3038</Words>
  <Characters>17134</Characters>
  <Application>Microsoft Office Word</Application>
  <DocSecurity>0</DocSecurity>
  <Lines>142</Lines>
  <Paragraphs>40</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20132</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(PP-10)</dc:subject>
  <dc:creator>unknown</dc:creator>
  <cp:keywords>PP-10</cp:keywords>
  <cp:lastModifiedBy>Saxod, Nathalie</cp:lastModifiedBy>
  <cp:revision>27</cp:revision>
  <cp:lastPrinted>2014-12-22T11:35:00Z</cp:lastPrinted>
  <dcterms:created xsi:type="dcterms:W3CDTF">2014-12-19T07:24:00Z</dcterms:created>
  <dcterms:modified xsi:type="dcterms:W3CDTF">2014-12-22T11:35:00Z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PE_PP14.dotx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