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37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F9182B" w:rsidRPr="000B0D00" w:rsidTr="00F9182B">
        <w:trPr>
          <w:cantSplit/>
        </w:trPr>
        <w:tc>
          <w:tcPr>
            <w:tcW w:w="6912" w:type="dxa"/>
          </w:tcPr>
          <w:p w:rsidR="00F9182B" w:rsidRPr="000B0D00" w:rsidRDefault="00F9182B" w:rsidP="00F9182B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F9182B">
              <w:rPr>
                <w:b/>
                <w:bCs/>
                <w:sz w:val="30"/>
                <w:szCs w:val="30"/>
              </w:rPr>
              <w:t>Consejo 2015</w:t>
            </w:r>
            <w:r w:rsidRPr="00F9182B">
              <w:rPr>
                <w:b/>
                <w:bCs/>
                <w:sz w:val="26"/>
                <w:szCs w:val="26"/>
              </w:rPr>
              <w:br/>
            </w:r>
            <w:r w:rsidRPr="00F9182B">
              <w:rPr>
                <w:b/>
                <w:bCs/>
                <w:szCs w:val="24"/>
              </w:rPr>
              <w:t>Ginebra, 12-22 de mayo de 2015</w:t>
            </w:r>
          </w:p>
        </w:tc>
        <w:tc>
          <w:tcPr>
            <w:tcW w:w="3261" w:type="dxa"/>
          </w:tcPr>
          <w:p w:rsidR="00F9182B" w:rsidRPr="000B0D00" w:rsidRDefault="00F9182B" w:rsidP="00F9182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F9182B">
              <w:rPr>
                <w:noProof/>
                <w:szCs w:val="24"/>
                <w:lang w:val="en-US" w:eastAsia="zh-CN"/>
              </w:rPr>
              <w:drawing>
                <wp:inline distT="0" distB="0" distL="0" distR="0" wp14:anchorId="40AB8837" wp14:editId="0F95830B">
                  <wp:extent cx="1247775" cy="935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82B" w:rsidRPr="000B0D00" w:rsidTr="00F9182B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F9182B" w:rsidRPr="00EB1212" w:rsidRDefault="00F9182B" w:rsidP="00F9182B">
            <w:pPr>
              <w:spacing w:before="0"/>
              <w:rPr>
                <w:b/>
                <w:bCs/>
                <w:szCs w:val="24"/>
              </w:rPr>
            </w:pPr>
            <w:r w:rsidRPr="00EB1212">
              <w:rPr>
                <w:b/>
                <w:bCs/>
                <w:szCs w:val="24"/>
              </w:rPr>
              <w:t>UNIÓN INTERNACIONAL DE TELECOMUNICACIONES</w:t>
            </w:r>
          </w:p>
        </w:tc>
      </w:tr>
      <w:tr w:rsidR="00F9182B" w:rsidRPr="000B0D00" w:rsidTr="00F9182B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F9182B" w:rsidRPr="000B0D00" w:rsidRDefault="00F9182B" w:rsidP="00F9182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F9182B" w:rsidRPr="000B0D00" w:rsidRDefault="00F9182B" w:rsidP="00F9182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F9182B" w:rsidRPr="000B0D00" w:rsidTr="00F9182B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F9182B" w:rsidRPr="00F9182B" w:rsidRDefault="00F9182B" w:rsidP="00F9182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szCs w:val="24"/>
              </w:rPr>
              <w:t>Punto del orden del día: ADM 7</w:t>
            </w:r>
          </w:p>
        </w:tc>
        <w:tc>
          <w:tcPr>
            <w:tcW w:w="3261" w:type="dxa"/>
          </w:tcPr>
          <w:p w:rsidR="00F9182B" w:rsidRPr="00F9182B" w:rsidRDefault="00820AF7" w:rsidP="00F9182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Addéndum 1 al</w:t>
            </w:r>
            <w:r>
              <w:rPr>
                <w:b/>
                <w:bCs/>
                <w:szCs w:val="24"/>
              </w:rPr>
              <w:br/>
            </w:r>
            <w:r w:rsidR="00F9182B">
              <w:rPr>
                <w:b/>
                <w:bCs/>
                <w:szCs w:val="24"/>
              </w:rPr>
              <w:t>Documento C15/22-S</w:t>
            </w:r>
          </w:p>
        </w:tc>
      </w:tr>
      <w:tr w:rsidR="00F9182B" w:rsidRPr="000B0D00" w:rsidTr="00F9182B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F9182B" w:rsidRPr="000B0D00" w:rsidRDefault="00F9182B" w:rsidP="00F9182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F9182B" w:rsidRPr="00F9182B" w:rsidRDefault="00F9182B" w:rsidP="00F9182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 de mayo de 2015</w:t>
            </w:r>
          </w:p>
        </w:tc>
      </w:tr>
      <w:tr w:rsidR="00F9182B" w:rsidRPr="000B0D00" w:rsidTr="00F9182B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F9182B" w:rsidRPr="000B0D00" w:rsidRDefault="00F9182B" w:rsidP="00F9182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F9182B" w:rsidRPr="00F9182B" w:rsidRDefault="00F9182B" w:rsidP="00F9182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F9182B" w:rsidRPr="000B0D00" w:rsidTr="00F9182B">
        <w:trPr>
          <w:cantSplit/>
        </w:trPr>
        <w:tc>
          <w:tcPr>
            <w:tcW w:w="10173" w:type="dxa"/>
            <w:gridSpan w:val="2"/>
          </w:tcPr>
          <w:p w:rsidR="00F9182B" w:rsidRPr="000B0D00" w:rsidRDefault="00F9182B" w:rsidP="00F9182B">
            <w:pPr>
              <w:pStyle w:val="Source"/>
            </w:pPr>
            <w:bookmarkStart w:id="6" w:name="dsource" w:colFirst="0" w:colLast="0"/>
            <w:bookmarkEnd w:id="0"/>
            <w:bookmarkEnd w:id="5"/>
            <w:r>
              <w:t>Informe del Secretario General</w:t>
            </w:r>
          </w:p>
        </w:tc>
      </w:tr>
      <w:tr w:rsidR="00F9182B" w:rsidRPr="000B0D00" w:rsidTr="00F9182B">
        <w:trPr>
          <w:cantSplit/>
        </w:trPr>
        <w:tc>
          <w:tcPr>
            <w:tcW w:w="10173" w:type="dxa"/>
            <w:gridSpan w:val="2"/>
          </w:tcPr>
          <w:p w:rsidR="00F9182B" w:rsidRPr="00F9182B" w:rsidRDefault="00F9182B" w:rsidP="00F9182B">
            <w:pPr>
              <w:pStyle w:val="Title1"/>
            </w:pPr>
            <w:bookmarkStart w:id="7" w:name="dtitle1" w:colFirst="0" w:colLast="0"/>
            <w:bookmarkEnd w:id="6"/>
            <w:r w:rsidRPr="00F9182B">
              <w:rPr>
                <w:rFonts w:eastAsia="SimSun"/>
              </w:rPr>
              <w:t xml:space="preserve">CUARTO INFORME ANUAL DEL </w:t>
            </w:r>
            <w:r w:rsidRPr="00F9182B">
              <w:rPr>
                <w:rFonts w:eastAsia="SimSun"/>
              </w:rPr>
              <w:br/>
              <w:t>COMITÉ ASESOR INDEDENDIENTE SOBRE LA GESTIÓN (CAIG)</w:t>
            </w:r>
          </w:p>
        </w:tc>
      </w:tr>
      <w:tr w:rsidR="00F9182B" w:rsidRPr="000B0D00" w:rsidTr="00F9182B">
        <w:trPr>
          <w:cantSplit/>
        </w:trPr>
        <w:tc>
          <w:tcPr>
            <w:tcW w:w="10173" w:type="dxa"/>
            <w:gridSpan w:val="2"/>
          </w:tcPr>
          <w:p w:rsidR="00F9182B" w:rsidRPr="00F9182B" w:rsidRDefault="00F9182B" w:rsidP="00F9182B">
            <w:pPr>
              <w:pStyle w:val="Title4"/>
              <w:rPr>
                <w:rFonts w:eastAsia="SimSun"/>
              </w:rPr>
            </w:pPr>
            <w:r>
              <w:rPr>
                <w:rFonts w:eastAsia="SimSun"/>
              </w:rPr>
              <w:t xml:space="preserve">Addéndum 1, Auditoría </w:t>
            </w:r>
            <w:r w:rsidR="00611514">
              <w:rPr>
                <w:rFonts w:eastAsia="SimSun"/>
              </w:rPr>
              <w:t>E</w:t>
            </w:r>
            <w:r>
              <w:rPr>
                <w:rFonts w:eastAsia="SimSun"/>
              </w:rPr>
              <w:t>xterna</w:t>
            </w:r>
          </w:p>
        </w:tc>
      </w:tr>
      <w:bookmarkEnd w:id="7"/>
    </w:tbl>
    <w:p w:rsidR="00F9182B" w:rsidRPr="000B0D00" w:rsidRDefault="00F9182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9182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82B" w:rsidRPr="000B0D00" w:rsidRDefault="00F9182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F9182B" w:rsidRPr="000B0D00" w:rsidRDefault="00F9182B">
            <w:pPr>
              <w:rPr>
                <w:lang w:val="es-ES"/>
              </w:rPr>
            </w:pPr>
            <w:r w:rsidRPr="001824E0">
              <w:rPr>
                <w:bCs/>
                <w:szCs w:val="24"/>
                <w:lang w:val="es-ES" w:bidi="en-US"/>
              </w:rPr>
              <w:t>El presente documento contiene un Addéndum al cuarto Informe Anual del CAIG y</w:t>
            </w:r>
            <w:r w:rsidRPr="001824E0">
              <w:rPr>
                <w:lang w:val="es-ES"/>
              </w:rPr>
              <w:t xml:space="preserve"> s</w:t>
            </w:r>
            <w:r w:rsidRPr="001824E0">
              <w:rPr>
                <w:bCs/>
                <w:szCs w:val="24"/>
                <w:lang w:val="es-ES" w:bidi="en-US"/>
              </w:rPr>
              <w:t>e somete a la consideración del Consejo de la UIT</w:t>
            </w:r>
            <w:r>
              <w:rPr>
                <w:bCs/>
                <w:szCs w:val="24"/>
                <w:lang w:val="es-ES" w:bidi="en-US"/>
              </w:rPr>
              <w:t xml:space="preserve"> en cumplimiento de</w:t>
            </w:r>
            <w:r w:rsidRPr="001824E0">
              <w:rPr>
                <w:bCs/>
                <w:szCs w:val="24"/>
                <w:lang w:val="es-ES" w:bidi="en-US"/>
              </w:rPr>
              <w:t xml:space="preserve"> la</w:t>
            </w:r>
            <w:r>
              <w:rPr>
                <w:bCs/>
                <w:szCs w:val="24"/>
                <w:lang w:val="es-ES" w:bidi="en-US"/>
              </w:rPr>
              <w:t>s</w:t>
            </w:r>
            <w:r w:rsidRPr="001824E0">
              <w:rPr>
                <w:bCs/>
                <w:szCs w:val="24"/>
                <w:lang w:val="es-ES" w:bidi="en-US"/>
              </w:rPr>
              <w:t xml:space="preserve"> responsabilidad</w:t>
            </w:r>
            <w:r>
              <w:rPr>
                <w:bCs/>
                <w:szCs w:val="24"/>
                <w:lang w:val="es-ES" w:bidi="en-US"/>
              </w:rPr>
              <w:t>es</w:t>
            </w:r>
            <w:r w:rsidRPr="001824E0">
              <w:rPr>
                <w:bCs/>
                <w:szCs w:val="24"/>
                <w:lang w:val="es-ES" w:bidi="en-US"/>
              </w:rPr>
              <w:t xml:space="preserve"> específica</w:t>
            </w:r>
            <w:r>
              <w:rPr>
                <w:bCs/>
                <w:szCs w:val="24"/>
                <w:lang w:val="es-ES" w:bidi="en-US"/>
              </w:rPr>
              <w:t>s</w:t>
            </w:r>
            <w:r w:rsidRPr="001824E0">
              <w:rPr>
                <w:bCs/>
                <w:szCs w:val="24"/>
                <w:lang w:val="es-ES" w:bidi="en-US"/>
              </w:rPr>
              <w:t xml:space="preserve"> del Comité</w:t>
            </w:r>
            <w:r>
              <w:rPr>
                <w:bCs/>
                <w:szCs w:val="24"/>
                <w:lang w:val="es-ES" w:bidi="en-US"/>
              </w:rPr>
              <w:t>, que consisten en</w:t>
            </w:r>
            <w:r w:rsidRPr="001824E0">
              <w:rPr>
                <w:bCs/>
                <w:szCs w:val="24"/>
                <w:lang w:val="es-ES" w:bidi="en-US"/>
              </w:rPr>
              <w:t xml:space="preserve"> </w:t>
            </w:r>
            <w:r w:rsidRPr="001C3369">
              <w:rPr>
                <w:bCs/>
                <w:szCs w:val="24"/>
                <w:lang w:val="es-ES" w:bidi="en-US"/>
              </w:rPr>
              <w:t xml:space="preserve">asesorar al Consejo acerca de los problemas </w:t>
            </w:r>
            <w:r>
              <w:rPr>
                <w:bCs/>
                <w:szCs w:val="24"/>
                <w:lang w:val="es-ES" w:bidi="en-US"/>
              </w:rPr>
              <w:t>planteados</w:t>
            </w:r>
            <w:r w:rsidRPr="001C3369">
              <w:rPr>
                <w:bCs/>
                <w:szCs w:val="24"/>
                <w:lang w:val="es-ES" w:bidi="en-US"/>
              </w:rPr>
              <w:t xml:space="preserve"> </w:t>
            </w:r>
            <w:r w:rsidRPr="001824E0">
              <w:rPr>
                <w:bCs/>
                <w:szCs w:val="24"/>
                <w:lang w:val="es-ES" w:bidi="en-US"/>
              </w:rPr>
              <w:t>por los estados financieros verificados de la UIT</w:t>
            </w:r>
            <w:r>
              <w:rPr>
                <w:bCs/>
                <w:szCs w:val="24"/>
                <w:lang w:val="es-ES" w:bidi="en-US"/>
              </w:rPr>
              <w:t xml:space="preserve"> y </w:t>
            </w:r>
            <w:r w:rsidRPr="001824E0">
              <w:rPr>
                <w:bCs/>
                <w:szCs w:val="24"/>
                <w:lang w:val="es-ES" w:bidi="en-US"/>
              </w:rPr>
              <w:t>los Informes elaborados por el Auditor Exte</w:t>
            </w:r>
            <w:r>
              <w:rPr>
                <w:bCs/>
                <w:szCs w:val="24"/>
                <w:lang w:val="es-ES" w:bidi="en-US"/>
              </w:rPr>
              <w:t>rno, y facilitar y fundamentar su</w:t>
            </w:r>
            <w:r w:rsidRPr="001824E0">
              <w:rPr>
                <w:bCs/>
                <w:szCs w:val="24"/>
                <w:lang w:val="es-ES" w:bidi="en-US"/>
              </w:rPr>
              <w:t xml:space="preserve"> examen de los estados financieros y el Informe de </w:t>
            </w:r>
            <w:r w:rsidR="00820AF7" w:rsidRPr="001824E0">
              <w:rPr>
                <w:bCs/>
                <w:szCs w:val="24"/>
                <w:lang w:val="es-ES" w:bidi="en-US"/>
              </w:rPr>
              <w:t>A</w:t>
            </w:r>
            <w:r w:rsidRPr="001824E0">
              <w:rPr>
                <w:bCs/>
                <w:szCs w:val="24"/>
                <w:lang w:val="es-ES" w:bidi="en-US"/>
              </w:rPr>
              <w:t xml:space="preserve">uditoría </w:t>
            </w:r>
            <w:r w:rsidR="00611514" w:rsidRPr="001824E0">
              <w:rPr>
                <w:bCs/>
                <w:szCs w:val="24"/>
                <w:lang w:val="es-ES" w:bidi="en-US"/>
              </w:rPr>
              <w:t>E</w:t>
            </w:r>
            <w:r w:rsidRPr="001824E0">
              <w:rPr>
                <w:bCs/>
                <w:szCs w:val="24"/>
                <w:lang w:val="es-ES" w:bidi="en-US"/>
              </w:rPr>
              <w:t>xterna correspondientes al ejercicio 2014.</w:t>
            </w:r>
          </w:p>
          <w:p w:rsidR="00F9182B" w:rsidRPr="000B0D00" w:rsidRDefault="00F9182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F9182B" w:rsidRPr="000B0D00" w:rsidRDefault="00F9182B">
            <w:pPr>
              <w:rPr>
                <w:lang w:val="es-ES"/>
              </w:rPr>
            </w:pPr>
            <w:r w:rsidRPr="001824E0">
              <w:rPr>
                <w:bCs/>
                <w:szCs w:val="24"/>
                <w:lang w:val="es-ES" w:bidi="en-US"/>
              </w:rPr>
              <w:t>Se invita al Consejo a</w:t>
            </w:r>
            <w:r w:rsidRPr="001824E0">
              <w:rPr>
                <w:szCs w:val="24"/>
                <w:lang w:val="es-ES" w:bidi="en-US"/>
              </w:rPr>
              <w:t xml:space="preserve"> </w:t>
            </w:r>
            <w:r w:rsidRPr="00820AF7">
              <w:rPr>
                <w:b/>
                <w:bCs/>
                <w:szCs w:val="24"/>
                <w:lang w:val="es-ES" w:bidi="en-US"/>
              </w:rPr>
              <w:t>refrendar</w:t>
            </w:r>
            <w:r w:rsidRPr="001824E0">
              <w:rPr>
                <w:bCs/>
                <w:szCs w:val="24"/>
                <w:lang w:val="es-ES" w:bidi="en-US"/>
              </w:rPr>
              <w:t xml:space="preserve"> el Addéndum 1 al cuarto Informe Anual del CAIG.</w:t>
            </w:r>
          </w:p>
          <w:p w:rsidR="00F9182B" w:rsidRPr="000B0D00" w:rsidRDefault="00F9182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F9182B" w:rsidRPr="000B0D00" w:rsidRDefault="00F9182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  <w:r w:rsidR="00820AF7">
              <w:rPr>
                <w:lang w:val="es-ES"/>
              </w:rPr>
              <w:t>s</w:t>
            </w:r>
          </w:p>
          <w:p w:rsidR="00F9182B" w:rsidRPr="000B0D00" w:rsidRDefault="00F9182B" w:rsidP="00F9182B">
            <w:pPr>
              <w:spacing w:after="120"/>
              <w:rPr>
                <w:i/>
                <w:iCs/>
                <w:lang w:val="es-ES"/>
              </w:rPr>
            </w:pPr>
            <w:r w:rsidRPr="001824E0">
              <w:rPr>
                <w:bCs/>
                <w:i/>
                <w:iCs/>
                <w:szCs w:val="24"/>
                <w:lang w:val="es-ES" w:bidi="en-US"/>
              </w:rPr>
              <w:t>Documento C15/22</w:t>
            </w:r>
            <w:r>
              <w:rPr>
                <w:bCs/>
                <w:i/>
                <w:iCs/>
                <w:szCs w:val="24"/>
                <w:lang w:val="es-ES" w:bidi="en-US"/>
              </w:rPr>
              <w:t>,</w:t>
            </w:r>
            <w:r w:rsidRPr="001824E0">
              <w:rPr>
                <w:bCs/>
                <w:i/>
                <w:iCs/>
                <w:szCs w:val="24"/>
                <w:lang w:val="es-ES" w:bidi="en-US"/>
              </w:rPr>
              <w:t xml:space="preserve"> cuarto Informe Anual del CAIG al Consejo. </w:t>
            </w:r>
            <w:r w:rsidRPr="001824E0">
              <w:rPr>
                <w:bCs/>
                <w:i/>
                <w:iCs/>
                <w:szCs w:val="24"/>
                <w:lang w:val="es-ES" w:bidi="en-US"/>
              </w:rPr>
              <w:br/>
              <w:t>Documento C15/65</w:t>
            </w:r>
            <w:r>
              <w:rPr>
                <w:bCs/>
                <w:i/>
                <w:iCs/>
                <w:szCs w:val="24"/>
                <w:lang w:val="es-ES" w:bidi="en-US"/>
              </w:rPr>
              <w:t>,</w:t>
            </w:r>
            <w:r w:rsidRPr="001824E0">
              <w:rPr>
                <w:bCs/>
                <w:i/>
                <w:iCs/>
                <w:szCs w:val="24"/>
                <w:lang w:val="es-ES" w:bidi="en-US"/>
              </w:rPr>
              <w:t xml:space="preserve"> Informe del Auditor Externo</w:t>
            </w:r>
          </w:p>
        </w:tc>
      </w:tr>
    </w:tbl>
    <w:p w:rsidR="00F9182B" w:rsidRPr="001824E0" w:rsidRDefault="00F9182B" w:rsidP="00F9182B">
      <w:pPr>
        <w:pStyle w:val="Heading1"/>
        <w:rPr>
          <w:rFonts w:eastAsia="SimSun"/>
          <w:lang w:val="es-ES" w:eastAsia="en-GB" w:bidi="en-US"/>
        </w:rPr>
      </w:pPr>
      <w:bookmarkStart w:id="8" w:name="dc06"/>
      <w:bookmarkEnd w:id="8"/>
      <w:r>
        <w:rPr>
          <w:rFonts w:eastAsia="SimSun"/>
          <w:lang w:val="es-ES" w:eastAsia="en-GB" w:bidi="en-US"/>
        </w:rPr>
        <w:t>1</w:t>
      </w:r>
      <w:r w:rsidRPr="001824E0">
        <w:rPr>
          <w:rFonts w:eastAsia="SimSun"/>
          <w:lang w:val="es-ES" w:eastAsia="en-GB" w:bidi="en-US"/>
        </w:rPr>
        <w:tab/>
        <w:t>Finalidad del presente Addéndum</w:t>
      </w:r>
    </w:p>
    <w:p w:rsidR="00F9182B" w:rsidRPr="001824E0" w:rsidRDefault="00F9182B" w:rsidP="00F9182B">
      <w:pPr>
        <w:rPr>
          <w:rFonts w:eastAsia="SimSun"/>
          <w:lang w:val="es-ES" w:eastAsia="en-GB" w:bidi="en-US"/>
        </w:rPr>
      </w:pPr>
      <w:r w:rsidRPr="001824E0">
        <w:rPr>
          <w:rFonts w:eastAsia="SimSun"/>
          <w:lang w:val="es-ES" w:eastAsia="en-GB" w:bidi="en-US"/>
        </w:rPr>
        <w:t>1.1</w:t>
      </w:r>
      <w:r w:rsidRPr="001824E0">
        <w:rPr>
          <w:rFonts w:eastAsia="SimSun"/>
          <w:lang w:val="es-ES" w:eastAsia="en-GB" w:bidi="en-US"/>
        </w:rPr>
        <w:tab/>
        <w:t xml:space="preserve">En su cuarto Informe Anual, el CAIG señaló que, una vez examinado el Informe del Auditor Externo, </w:t>
      </w:r>
      <w:r w:rsidRPr="00F9182B">
        <w:rPr>
          <w:rFonts w:eastAsia="SimSun"/>
        </w:rPr>
        <w:t>formularía</w:t>
      </w:r>
      <w:r w:rsidRPr="001824E0">
        <w:rPr>
          <w:rFonts w:eastAsia="SimSun"/>
          <w:lang w:val="es-ES" w:eastAsia="en-GB" w:bidi="en-US"/>
        </w:rPr>
        <w:t xml:space="preserve"> observaciones relativas a la </w:t>
      </w:r>
      <w:r w:rsidR="00820AF7" w:rsidRPr="001824E0">
        <w:rPr>
          <w:rFonts w:eastAsia="SimSun"/>
          <w:lang w:val="es-ES" w:eastAsia="en-GB" w:bidi="en-US"/>
        </w:rPr>
        <w:t>A</w:t>
      </w:r>
      <w:r w:rsidRPr="001824E0">
        <w:rPr>
          <w:rFonts w:eastAsia="SimSun"/>
          <w:lang w:val="es-ES" w:eastAsia="en-GB" w:bidi="en-US"/>
        </w:rPr>
        <w:t xml:space="preserve">uditoría </w:t>
      </w:r>
      <w:r w:rsidR="00611514" w:rsidRPr="001824E0">
        <w:rPr>
          <w:rFonts w:eastAsia="SimSun"/>
          <w:lang w:val="es-ES" w:eastAsia="en-GB" w:bidi="en-US"/>
        </w:rPr>
        <w:t>E</w:t>
      </w:r>
      <w:r w:rsidRPr="001824E0">
        <w:rPr>
          <w:rFonts w:eastAsia="SimSun"/>
          <w:lang w:val="es-ES" w:eastAsia="en-GB" w:bidi="en-US"/>
        </w:rPr>
        <w:t xml:space="preserve">xterna en un Addéndum a su Informe. El 5 de mayo de 2015, el CAIG se reunió con los auditores de la </w:t>
      </w:r>
      <w:r w:rsidRPr="001824E0">
        <w:rPr>
          <w:rFonts w:eastAsia="SimSun"/>
          <w:i/>
          <w:iCs/>
          <w:lang w:val="es-ES" w:eastAsia="en-GB" w:bidi="en-US"/>
        </w:rPr>
        <w:t>Corte dei Conti</w:t>
      </w:r>
      <w:r w:rsidRPr="001824E0">
        <w:rPr>
          <w:rFonts w:eastAsia="SimSun"/>
          <w:lang w:val="es-ES" w:eastAsia="en-GB" w:bidi="en-US"/>
        </w:rPr>
        <w:t xml:space="preserve"> </w:t>
      </w:r>
      <w:r>
        <w:rPr>
          <w:rFonts w:eastAsia="SimSun"/>
          <w:lang w:val="es-ES" w:eastAsia="en-GB" w:bidi="en-US"/>
        </w:rPr>
        <w:t>para</w:t>
      </w:r>
      <w:r w:rsidRPr="001824E0">
        <w:rPr>
          <w:rFonts w:eastAsia="SimSun"/>
          <w:lang w:val="es-ES" w:eastAsia="en-GB" w:bidi="en-US"/>
        </w:rPr>
        <w:t xml:space="preserve"> debatir sus conclusiones</w:t>
      </w:r>
      <w:r>
        <w:rPr>
          <w:rFonts w:eastAsia="SimSun"/>
          <w:lang w:val="es-ES" w:eastAsia="en-GB" w:bidi="en-US"/>
        </w:rPr>
        <w:t xml:space="preserve"> referentes a</w:t>
      </w:r>
      <w:r w:rsidRPr="001824E0">
        <w:rPr>
          <w:rFonts w:eastAsia="SimSun"/>
          <w:lang w:val="es-ES" w:eastAsia="en-GB" w:bidi="en-US"/>
        </w:rPr>
        <w:t xml:space="preserve"> la </w:t>
      </w:r>
      <w:r w:rsidR="00820AF7" w:rsidRPr="001824E0">
        <w:rPr>
          <w:rFonts w:eastAsia="SimSun"/>
          <w:lang w:val="es-ES" w:eastAsia="en-GB" w:bidi="en-US"/>
        </w:rPr>
        <w:t>A</w:t>
      </w:r>
      <w:r w:rsidRPr="001824E0">
        <w:rPr>
          <w:rFonts w:eastAsia="SimSun"/>
          <w:lang w:val="es-ES" w:eastAsia="en-GB" w:bidi="en-US"/>
        </w:rPr>
        <w:t xml:space="preserve">uditoría </w:t>
      </w:r>
      <w:r>
        <w:rPr>
          <w:rFonts w:eastAsia="SimSun"/>
          <w:lang w:val="es-ES" w:eastAsia="en-GB" w:bidi="en-US"/>
        </w:rPr>
        <w:t>de</w:t>
      </w:r>
      <w:r w:rsidRPr="001824E0">
        <w:rPr>
          <w:rFonts w:eastAsia="SimSun"/>
          <w:lang w:val="es-ES" w:eastAsia="en-GB" w:bidi="en-US"/>
        </w:rPr>
        <w:t>l ejercicio 2014.</w:t>
      </w:r>
    </w:p>
    <w:p w:rsidR="00F9182B" w:rsidRPr="001824E0" w:rsidRDefault="00F9182B" w:rsidP="00F9182B">
      <w:pPr>
        <w:keepLines/>
        <w:spacing w:after="120"/>
        <w:rPr>
          <w:rFonts w:eastAsia="SimSun" w:cs="SimSun"/>
          <w:szCs w:val="24"/>
          <w:lang w:val="es-ES" w:eastAsia="en-GB" w:bidi="en-US"/>
        </w:rPr>
      </w:pPr>
      <w:r w:rsidRPr="001824E0">
        <w:rPr>
          <w:rFonts w:eastAsia="SimSun" w:cs="SimSun"/>
          <w:szCs w:val="24"/>
          <w:lang w:val="es-ES" w:eastAsia="en-GB" w:bidi="en-US"/>
        </w:rPr>
        <w:lastRenderedPageBreak/>
        <w:t>1.2</w:t>
      </w:r>
      <w:r w:rsidRPr="001824E0">
        <w:rPr>
          <w:rFonts w:eastAsia="SimSun" w:cs="SimSun"/>
          <w:szCs w:val="24"/>
          <w:lang w:val="es-ES" w:eastAsia="en-GB" w:bidi="en-US"/>
        </w:rPr>
        <w:tab/>
        <w:t xml:space="preserve">Por </w:t>
      </w:r>
      <w:r>
        <w:rPr>
          <w:rFonts w:eastAsia="SimSun" w:cs="SimSun"/>
          <w:szCs w:val="24"/>
          <w:lang w:val="es-ES" w:eastAsia="en-GB" w:bidi="en-US"/>
        </w:rPr>
        <w:t>tanto</w:t>
      </w:r>
      <w:r w:rsidRPr="001824E0">
        <w:rPr>
          <w:rFonts w:eastAsia="SimSun" w:cs="SimSun"/>
          <w:szCs w:val="24"/>
          <w:lang w:val="es-ES" w:eastAsia="en-GB" w:bidi="en-US"/>
        </w:rPr>
        <w:t xml:space="preserve">, </w:t>
      </w:r>
      <w:r>
        <w:rPr>
          <w:rFonts w:eastAsia="SimSun" w:cs="SimSun"/>
          <w:szCs w:val="24"/>
          <w:lang w:val="es-ES" w:eastAsia="en-GB" w:bidi="en-US"/>
        </w:rPr>
        <w:t>la finalidad d</w:t>
      </w:r>
      <w:r w:rsidRPr="001824E0">
        <w:rPr>
          <w:rFonts w:eastAsia="SimSun" w:cs="SimSun"/>
          <w:szCs w:val="24"/>
          <w:lang w:val="es-ES" w:eastAsia="en-GB" w:bidi="en-US"/>
        </w:rPr>
        <w:t xml:space="preserve">el presente Addéndum al cuarto Informe Anual del CAIG </w:t>
      </w:r>
      <w:r>
        <w:rPr>
          <w:rFonts w:eastAsia="SimSun" w:cs="SimSun"/>
          <w:szCs w:val="24"/>
          <w:lang w:val="es-ES" w:eastAsia="en-GB" w:bidi="en-US"/>
        </w:rPr>
        <w:t>es asesorar al Consejo</w:t>
      </w:r>
      <w:r w:rsidRPr="001824E0">
        <w:rPr>
          <w:rFonts w:eastAsia="SimSun" w:cs="SimSun"/>
          <w:szCs w:val="24"/>
          <w:lang w:val="es-ES" w:eastAsia="en-GB" w:bidi="en-US"/>
        </w:rPr>
        <w:t xml:space="preserve"> respecto de las cuestiones que plantea el Informe de</w:t>
      </w:r>
      <w:r>
        <w:rPr>
          <w:rFonts w:eastAsia="SimSun" w:cs="SimSun"/>
          <w:szCs w:val="24"/>
          <w:lang w:val="es-ES" w:eastAsia="en-GB" w:bidi="en-US"/>
        </w:rPr>
        <w:t>l Auditor Externo</w:t>
      </w:r>
      <w:r w:rsidRPr="001824E0">
        <w:rPr>
          <w:rFonts w:eastAsia="SimSun" w:cs="SimSun"/>
          <w:szCs w:val="24"/>
          <w:lang w:val="es-ES" w:eastAsia="en-GB" w:bidi="en-US"/>
        </w:rPr>
        <w:t xml:space="preserve"> sobre la verificación de los estados financieros de la UIT, y fundamentar </w:t>
      </w:r>
      <w:r>
        <w:rPr>
          <w:rFonts w:eastAsia="SimSun" w:cs="SimSun"/>
          <w:szCs w:val="24"/>
          <w:lang w:val="es-ES" w:eastAsia="en-GB" w:bidi="en-US"/>
        </w:rPr>
        <w:t>su</w:t>
      </w:r>
      <w:r w:rsidRPr="001824E0">
        <w:rPr>
          <w:rFonts w:eastAsia="SimSun" w:cs="SimSun"/>
          <w:szCs w:val="24"/>
          <w:lang w:val="es-ES" w:eastAsia="en-GB" w:bidi="en-US"/>
        </w:rPr>
        <w:t xml:space="preserve"> exame</w:t>
      </w:r>
      <w:r>
        <w:rPr>
          <w:rFonts w:eastAsia="SimSun" w:cs="SimSun"/>
          <w:szCs w:val="24"/>
          <w:lang w:val="es-ES" w:eastAsia="en-GB" w:bidi="en-US"/>
        </w:rPr>
        <w:t xml:space="preserve">n de los estados financieros y el </w:t>
      </w:r>
      <w:r w:rsidR="00820AF7">
        <w:rPr>
          <w:rFonts w:eastAsia="SimSun" w:cs="SimSun"/>
          <w:szCs w:val="24"/>
          <w:lang w:val="es-ES" w:eastAsia="en-GB" w:bidi="en-US"/>
        </w:rPr>
        <w:t>I</w:t>
      </w:r>
      <w:r w:rsidRPr="001824E0">
        <w:rPr>
          <w:rFonts w:eastAsia="SimSun" w:cs="SimSun"/>
          <w:szCs w:val="24"/>
          <w:lang w:val="es-ES" w:eastAsia="en-GB" w:bidi="en-US"/>
        </w:rPr>
        <w:t xml:space="preserve">nforme de </w:t>
      </w:r>
      <w:r w:rsidR="00820AF7" w:rsidRPr="001824E0">
        <w:rPr>
          <w:rFonts w:eastAsia="SimSun" w:cs="SimSun"/>
          <w:szCs w:val="24"/>
          <w:lang w:val="es-ES" w:eastAsia="en-GB" w:bidi="en-US"/>
        </w:rPr>
        <w:t>A</w:t>
      </w:r>
      <w:r w:rsidRPr="001824E0">
        <w:rPr>
          <w:rFonts w:eastAsia="SimSun" w:cs="SimSun"/>
          <w:szCs w:val="24"/>
          <w:lang w:val="es-ES" w:eastAsia="en-GB" w:bidi="en-US"/>
        </w:rPr>
        <w:t xml:space="preserve">uditoría </w:t>
      </w:r>
      <w:r w:rsidR="00611514" w:rsidRPr="001824E0">
        <w:rPr>
          <w:rFonts w:eastAsia="SimSun" w:cs="SimSun"/>
          <w:szCs w:val="24"/>
          <w:lang w:val="es-ES" w:eastAsia="en-GB" w:bidi="en-US"/>
        </w:rPr>
        <w:t>E</w:t>
      </w:r>
      <w:r w:rsidRPr="001824E0">
        <w:rPr>
          <w:rFonts w:eastAsia="SimSun" w:cs="SimSun"/>
          <w:szCs w:val="24"/>
          <w:lang w:val="es-ES" w:eastAsia="en-GB" w:bidi="en-US"/>
        </w:rPr>
        <w:t>xterna correspondientes al ejercicio 2014.</w:t>
      </w:r>
    </w:p>
    <w:p w:rsidR="00F9182B" w:rsidRPr="001824E0" w:rsidRDefault="00F9182B" w:rsidP="00F9182B">
      <w:pPr>
        <w:pStyle w:val="Heading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t>2</w:t>
      </w:r>
      <w:r w:rsidRPr="001824E0">
        <w:rPr>
          <w:rFonts w:eastAsia="SimSun"/>
          <w:lang w:val="es-ES" w:eastAsia="en-GB" w:bidi="en-US"/>
        </w:rPr>
        <w:tab/>
        <w:t xml:space="preserve">Informe de 2014 del Auditor </w:t>
      </w:r>
      <w:r w:rsidR="00611514" w:rsidRPr="001824E0">
        <w:rPr>
          <w:rFonts w:eastAsia="SimSun"/>
          <w:lang w:val="es-ES" w:eastAsia="en-GB" w:bidi="en-US"/>
        </w:rPr>
        <w:t>E</w:t>
      </w:r>
      <w:r w:rsidRPr="001824E0">
        <w:rPr>
          <w:rFonts w:eastAsia="SimSun"/>
          <w:lang w:val="es-ES" w:eastAsia="en-GB" w:bidi="en-US"/>
        </w:rPr>
        <w:t xml:space="preserve">xterno: </w:t>
      </w:r>
      <w:r>
        <w:rPr>
          <w:rFonts w:eastAsia="SimSun"/>
          <w:lang w:val="es-ES" w:eastAsia="en-GB" w:bidi="en-US"/>
        </w:rPr>
        <w:t>Opinión</w:t>
      </w:r>
      <w:r w:rsidRPr="001824E0">
        <w:rPr>
          <w:rFonts w:eastAsia="SimSun"/>
          <w:lang w:val="es-ES" w:eastAsia="en-GB" w:bidi="en-US"/>
        </w:rPr>
        <w:t xml:space="preserve"> </w:t>
      </w:r>
      <w:r>
        <w:rPr>
          <w:rFonts w:eastAsia="SimSun"/>
          <w:lang w:val="es-ES" w:eastAsia="en-GB" w:bidi="en-US"/>
        </w:rPr>
        <w:t>favorable</w:t>
      </w:r>
    </w:p>
    <w:p w:rsidR="00F9182B" w:rsidRPr="001824E0" w:rsidRDefault="00F9182B" w:rsidP="00F9182B">
      <w:pPr>
        <w:rPr>
          <w:rFonts w:eastAsia="SimSun"/>
          <w:lang w:val="es-ES" w:eastAsia="en-GB" w:bidi="en-US"/>
        </w:rPr>
      </w:pPr>
      <w:r w:rsidRPr="001824E0">
        <w:rPr>
          <w:rFonts w:eastAsia="SimSun"/>
          <w:lang w:val="es-ES" w:eastAsia="en-GB" w:bidi="en-US"/>
        </w:rPr>
        <w:t>2.1</w:t>
      </w:r>
      <w:r w:rsidRPr="001824E0">
        <w:rPr>
          <w:rFonts w:eastAsia="SimSun"/>
          <w:lang w:val="es-ES" w:eastAsia="en-GB" w:bidi="en-US"/>
        </w:rPr>
        <w:tab/>
      </w:r>
      <w:r>
        <w:rPr>
          <w:rFonts w:eastAsia="SimSun"/>
          <w:lang w:val="es-ES" w:eastAsia="en-GB" w:bidi="en-US"/>
        </w:rPr>
        <w:t>El</w:t>
      </w:r>
      <w:r w:rsidRPr="001824E0">
        <w:rPr>
          <w:rFonts w:eastAsia="SimSun"/>
          <w:lang w:val="es-ES" w:eastAsia="en-GB" w:bidi="en-US"/>
        </w:rPr>
        <w:t xml:space="preserve"> </w:t>
      </w:r>
      <w:r>
        <w:rPr>
          <w:rFonts w:eastAsia="SimSun"/>
          <w:lang w:val="es-ES" w:eastAsia="en-GB" w:bidi="en-US"/>
        </w:rPr>
        <w:t>A</w:t>
      </w:r>
      <w:r w:rsidRPr="001824E0">
        <w:rPr>
          <w:rFonts w:eastAsia="SimSun"/>
          <w:lang w:val="es-ES" w:eastAsia="en-GB" w:bidi="en-US"/>
        </w:rPr>
        <w:t>uditor</w:t>
      </w:r>
      <w:r>
        <w:rPr>
          <w:rFonts w:eastAsia="SimSun"/>
          <w:lang w:val="es-ES" w:eastAsia="en-GB" w:bidi="en-US"/>
        </w:rPr>
        <w:t xml:space="preserve"> </w:t>
      </w:r>
      <w:r w:rsidR="00611514">
        <w:rPr>
          <w:rFonts w:eastAsia="SimSun"/>
          <w:lang w:val="es-ES" w:eastAsia="en-GB" w:bidi="en-US"/>
        </w:rPr>
        <w:t>E</w:t>
      </w:r>
      <w:r w:rsidRPr="001824E0">
        <w:rPr>
          <w:rFonts w:eastAsia="SimSun"/>
          <w:lang w:val="es-ES" w:eastAsia="en-GB" w:bidi="en-US"/>
        </w:rPr>
        <w:t xml:space="preserve">xterno ha emitido una opinión de auditoría </w:t>
      </w:r>
      <w:r>
        <w:rPr>
          <w:rFonts w:eastAsia="SimSun"/>
          <w:lang w:val="es-ES" w:eastAsia="en-GB" w:bidi="en-US"/>
        </w:rPr>
        <w:t xml:space="preserve">favorable y </w:t>
      </w:r>
      <w:r w:rsidRPr="001824E0">
        <w:rPr>
          <w:rFonts w:eastAsia="SimSun"/>
          <w:lang w:val="es-ES" w:eastAsia="en-GB" w:bidi="en-US"/>
        </w:rPr>
        <w:t>sin salvedades respecto de los estados financieros de la UIT correspondientes al ejercicio 2014, que incluye un párrafo de énfasis relativo a los activos netos negativos</w:t>
      </w:r>
      <w:r>
        <w:rPr>
          <w:rFonts w:eastAsia="SimSun"/>
          <w:lang w:val="es-ES" w:eastAsia="en-GB" w:bidi="en-US"/>
        </w:rPr>
        <w:t xml:space="preserve"> que</w:t>
      </w:r>
      <w:r w:rsidRPr="001824E0">
        <w:rPr>
          <w:rFonts w:eastAsia="SimSun"/>
          <w:lang w:val="es-ES" w:eastAsia="en-GB" w:bidi="en-US"/>
        </w:rPr>
        <w:t xml:space="preserve"> deriva</w:t>
      </w:r>
      <w:r>
        <w:rPr>
          <w:rFonts w:eastAsia="SimSun"/>
          <w:lang w:val="es-ES" w:eastAsia="en-GB" w:bidi="en-US"/>
        </w:rPr>
        <w:t>n</w:t>
      </w:r>
      <w:r w:rsidRPr="001824E0">
        <w:rPr>
          <w:rFonts w:eastAsia="SimSun"/>
          <w:lang w:val="es-ES" w:eastAsia="en-GB" w:bidi="en-US"/>
        </w:rPr>
        <w:t xml:space="preserve"> de los pasivos actuariales</w:t>
      </w:r>
      <w:r>
        <w:rPr>
          <w:rFonts w:eastAsia="SimSun"/>
          <w:lang w:val="es-ES" w:eastAsia="en-GB" w:bidi="en-US"/>
        </w:rPr>
        <w:t xml:space="preserve"> r</w:t>
      </w:r>
      <w:r w:rsidRPr="001824E0">
        <w:rPr>
          <w:rFonts w:eastAsia="SimSun"/>
          <w:lang w:val="es-ES" w:eastAsia="en-GB" w:bidi="en-US"/>
        </w:rPr>
        <w:t>elaci</w:t>
      </w:r>
      <w:r>
        <w:rPr>
          <w:rFonts w:eastAsia="SimSun"/>
          <w:lang w:val="es-ES" w:eastAsia="en-GB" w:bidi="en-US"/>
        </w:rPr>
        <w:t>onados</w:t>
      </w:r>
      <w:r w:rsidRPr="001824E0">
        <w:rPr>
          <w:rFonts w:eastAsia="SimSun"/>
          <w:lang w:val="es-ES" w:eastAsia="en-GB" w:bidi="en-US"/>
        </w:rPr>
        <w:t xml:space="preserve"> con las prestaciones a largo plazo adeudadas al personal. Dicho párrafo no </w:t>
      </w:r>
      <w:r>
        <w:rPr>
          <w:rFonts w:eastAsia="SimSun"/>
          <w:lang w:val="es-ES" w:eastAsia="en-GB" w:bidi="en-US"/>
        </w:rPr>
        <w:t>cambia</w:t>
      </w:r>
      <w:r w:rsidRPr="001824E0">
        <w:rPr>
          <w:rFonts w:eastAsia="SimSun"/>
          <w:lang w:val="es-ES" w:eastAsia="en-GB" w:bidi="en-US"/>
        </w:rPr>
        <w:t xml:space="preserve"> la opinión de auditoría </w:t>
      </w:r>
      <w:r>
        <w:rPr>
          <w:rFonts w:eastAsia="SimSun"/>
          <w:lang w:val="es-ES" w:eastAsia="en-GB" w:bidi="en-US"/>
        </w:rPr>
        <w:t>favorable</w:t>
      </w:r>
      <w:r w:rsidRPr="001824E0">
        <w:rPr>
          <w:rFonts w:eastAsia="SimSun"/>
          <w:lang w:val="es-ES" w:eastAsia="en-GB" w:bidi="en-US"/>
        </w:rPr>
        <w:t xml:space="preserve">. En el extenso </w:t>
      </w:r>
      <w:r>
        <w:rPr>
          <w:rFonts w:eastAsia="SimSun"/>
          <w:lang w:val="es-ES" w:eastAsia="en-GB" w:bidi="en-US"/>
        </w:rPr>
        <w:t>I</w:t>
      </w:r>
      <w:r w:rsidRPr="001824E0">
        <w:rPr>
          <w:rFonts w:eastAsia="SimSun"/>
          <w:lang w:val="es-ES" w:eastAsia="en-GB" w:bidi="en-US"/>
        </w:rPr>
        <w:t>nforme de</w:t>
      </w:r>
      <w:r>
        <w:rPr>
          <w:rFonts w:eastAsia="SimSun"/>
          <w:lang w:val="es-ES" w:eastAsia="en-GB" w:bidi="en-US"/>
        </w:rPr>
        <w:t xml:space="preserve">l </w:t>
      </w:r>
      <w:r w:rsidRPr="001824E0">
        <w:rPr>
          <w:rFonts w:eastAsia="SimSun"/>
          <w:lang w:val="es-ES" w:eastAsia="en-GB" w:bidi="en-US"/>
        </w:rPr>
        <w:t xml:space="preserve">Auditor </w:t>
      </w:r>
      <w:r w:rsidR="00611514" w:rsidRPr="001824E0">
        <w:rPr>
          <w:rFonts w:eastAsia="SimSun"/>
          <w:lang w:val="es-ES" w:eastAsia="en-GB" w:bidi="en-US"/>
        </w:rPr>
        <w:t>E</w:t>
      </w:r>
      <w:r w:rsidRPr="001824E0">
        <w:rPr>
          <w:rFonts w:eastAsia="SimSun"/>
          <w:lang w:val="es-ES" w:eastAsia="en-GB" w:bidi="en-US"/>
        </w:rPr>
        <w:t>xterno se examinan y comentan los estados financieros de forma integral y exhaustiva, y se formulan cuatro recomendaciones y siete sugerencias</w:t>
      </w:r>
      <w:r>
        <w:rPr>
          <w:rFonts w:eastAsia="SimSun"/>
          <w:lang w:val="es-ES" w:eastAsia="en-GB" w:bidi="en-US"/>
        </w:rPr>
        <w:t xml:space="preserve"> destinadas</w:t>
      </w:r>
      <w:r w:rsidRPr="001824E0">
        <w:rPr>
          <w:rFonts w:eastAsia="SimSun"/>
          <w:lang w:val="es-ES" w:eastAsia="en-GB" w:bidi="en-US"/>
        </w:rPr>
        <w:t xml:space="preserve"> </w:t>
      </w:r>
      <w:r>
        <w:rPr>
          <w:rFonts w:eastAsia="SimSun"/>
          <w:lang w:val="es-ES" w:eastAsia="en-GB" w:bidi="en-US"/>
        </w:rPr>
        <w:t>a la Dirección</w:t>
      </w:r>
      <w:r w:rsidRPr="001824E0">
        <w:rPr>
          <w:rFonts w:eastAsia="SimSun"/>
          <w:lang w:val="es-ES" w:eastAsia="en-GB" w:bidi="en-US"/>
        </w:rPr>
        <w:t xml:space="preserve">. </w:t>
      </w:r>
    </w:p>
    <w:p w:rsidR="00F9182B" w:rsidRPr="001824E0" w:rsidRDefault="00F9182B" w:rsidP="00F9182B">
      <w:pPr>
        <w:pStyle w:val="Heading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t>3</w:t>
      </w:r>
      <w:r w:rsidRPr="001824E0">
        <w:rPr>
          <w:rFonts w:eastAsia="SimSun"/>
          <w:lang w:val="es-ES" w:eastAsia="en-GB" w:bidi="en-US"/>
        </w:rPr>
        <w:tab/>
        <w:t xml:space="preserve">Recomendaciones y sugerencias del Auditor </w:t>
      </w:r>
      <w:r w:rsidR="00611514" w:rsidRPr="001824E0">
        <w:rPr>
          <w:rFonts w:eastAsia="SimSun"/>
          <w:lang w:val="es-ES" w:eastAsia="en-GB" w:bidi="en-US"/>
        </w:rPr>
        <w:t>E</w:t>
      </w:r>
      <w:r w:rsidRPr="001824E0">
        <w:rPr>
          <w:rFonts w:eastAsia="SimSun"/>
          <w:lang w:val="es-ES" w:eastAsia="en-GB" w:bidi="en-US"/>
        </w:rPr>
        <w:t>xterno</w:t>
      </w:r>
    </w:p>
    <w:p w:rsidR="00F9182B" w:rsidRPr="001824E0" w:rsidRDefault="00F9182B" w:rsidP="00F01BFF">
      <w:pPr>
        <w:spacing w:after="120"/>
        <w:rPr>
          <w:rFonts w:eastAsia="SimSun" w:cs="SimSun"/>
          <w:szCs w:val="24"/>
          <w:lang w:val="es-ES" w:eastAsia="en-GB" w:bidi="en-US"/>
        </w:rPr>
      </w:pPr>
      <w:r w:rsidRPr="001824E0">
        <w:rPr>
          <w:rFonts w:eastAsia="SimSun" w:cs="SimSun"/>
          <w:szCs w:val="24"/>
          <w:lang w:val="es-ES" w:eastAsia="en-GB" w:bidi="en-US"/>
        </w:rPr>
        <w:t>3.1</w:t>
      </w:r>
      <w:r w:rsidRPr="001824E0">
        <w:rPr>
          <w:rFonts w:eastAsia="SimSun" w:cs="SimSun"/>
          <w:szCs w:val="24"/>
          <w:lang w:val="es-ES" w:eastAsia="en-GB" w:bidi="en-US"/>
        </w:rPr>
        <w:tab/>
        <w:t xml:space="preserve">El Auditor </w:t>
      </w:r>
      <w:r w:rsidR="00611514" w:rsidRPr="001824E0">
        <w:rPr>
          <w:rFonts w:eastAsia="SimSun" w:cs="SimSun"/>
          <w:szCs w:val="24"/>
          <w:lang w:val="es-ES" w:eastAsia="en-GB" w:bidi="en-US"/>
        </w:rPr>
        <w:t>E</w:t>
      </w:r>
      <w:r w:rsidRPr="001824E0">
        <w:rPr>
          <w:rFonts w:eastAsia="SimSun" w:cs="SimSun"/>
          <w:szCs w:val="24"/>
          <w:lang w:val="es-ES" w:eastAsia="en-GB" w:bidi="en-US"/>
        </w:rPr>
        <w:t>xterno recomienda:</w:t>
      </w:r>
    </w:p>
    <w:p w:rsidR="00F9182B" w:rsidRPr="001824E0" w:rsidRDefault="00F9182B" w:rsidP="00F9182B">
      <w:pPr>
        <w:pStyle w:val="enumlev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t>1)</w:t>
      </w:r>
      <w:r>
        <w:rPr>
          <w:rFonts w:eastAsia="SimSun"/>
          <w:lang w:val="es-ES" w:eastAsia="en-GB" w:bidi="en-US"/>
        </w:rPr>
        <w:tab/>
      </w:r>
      <w:r w:rsidRPr="001824E0">
        <w:rPr>
          <w:rFonts w:eastAsia="SimSun"/>
          <w:lang w:val="es-ES" w:eastAsia="en-GB" w:bidi="en-US"/>
        </w:rPr>
        <w:t>que se refuercen los procedimientos de eliminación de los objetos perdidos o robados;</w:t>
      </w:r>
    </w:p>
    <w:p w:rsidR="00F9182B" w:rsidRPr="001824E0" w:rsidRDefault="00F9182B" w:rsidP="00F9182B">
      <w:pPr>
        <w:pStyle w:val="enumlev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t>2)</w:t>
      </w:r>
      <w:r>
        <w:rPr>
          <w:rFonts w:eastAsia="SimSun"/>
          <w:lang w:val="es-ES" w:eastAsia="en-GB" w:bidi="en-US"/>
        </w:rPr>
        <w:tab/>
      </w:r>
      <w:r w:rsidRPr="001824E0">
        <w:rPr>
          <w:rFonts w:eastAsia="SimSun"/>
          <w:lang w:val="es-ES" w:eastAsia="en-GB" w:bidi="en-US"/>
        </w:rPr>
        <w:t>que la Dirección inicie un procedimiento de licitación para seleccionar al actuario que realizará las valoraciones actuariales con arreglo a la NICSP 25;</w:t>
      </w:r>
    </w:p>
    <w:p w:rsidR="00F9182B" w:rsidRPr="001824E0" w:rsidRDefault="00F9182B" w:rsidP="00F9182B">
      <w:pPr>
        <w:pStyle w:val="enumlev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t>3)</w:t>
      </w:r>
      <w:r>
        <w:rPr>
          <w:rFonts w:eastAsia="SimSun"/>
          <w:lang w:val="es-ES" w:eastAsia="en-GB" w:bidi="en-US"/>
        </w:rPr>
        <w:tab/>
      </w:r>
      <w:r w:rsidRPr="001824E0">
        <w:rPr>
          <w:rFonts w:eastAsia="SimSun"/>
          <w:lang w:val="es-ES" w:eastAsia="en-GB" w:bidi="en-US"/>
        </w:rPr>
        <w:t>que se realice un estudio actuarial completo destinado a evaluar cuándo podrían afectar a la salud financiera de la UIT las disposiciones del Plan de seguro de salud;</w:t>
      </w:r>
    </w:p>
    <w:p w:rsidR="00F9182B" w:rsidRPr="001824E0" w:rsidRDefault="00F9182B" w:rsidP="00C100E6">
      <w:pPr>
        <w:pStyle w:val="enumlev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t>4)</w:t>
      </w:r>
      <w:r>
        <w:rPr>
          <w:rFonts w:eastAsia="SimSun"/>
          <w:lang w:val="es-ES" w:eastAsia="en-GB" w:bidi="en-US"/>
        </w:rPr>
        <w:tab/>
      </w:r>
      <w:r w:rsidRPr="001824E0">
        <w:rPr>
          <w:rFonts w:eastAsia="SimSun"/>
          <w:lang w:val="es-ES" w:eastAsia="en-GB" w:bidi="en-US"/>
        </w:rPr>
        <w:t>que se supervisen los cinco vectores</w:t>
      </w:r>
      <w:r w:rsidR="00611514">
        <w:rPr>
          <w:rFonts w:eastAsia="SimSun"/>
          <w:lang w:val="es-ES" w:eastAsia="en-GB" w:bidi="en-US"/>
        </w:rPr>
        <w:t xml:space="preserve"> o factores principales </w:t>
      </w:r>
      <w:r w:rsidRPr="001824E0">
        <w:rPr>
          <w:rFonts w:eastAsia="SimSun"/>
          <w:lang w:val="es-ES" w:eastAsia="en-GB" w:bidi="en-US"/>
        </w:rPr>
        <w:t xml:space="preserve">que son relevantes para la financiación y la gestión de las obligaciones por concepto de prestaciones al personal, a fin de garantizar la adecuada financiación con los ingresos corrientes y a largo plazo (véase la </w:t>
      </w:r>
      <w:r>
        <w:rPr>
          <w:rFonts w:eastAsia="SimSun"/>
          <w:lang w:val="es-ES" w:eastAsia="en-GB" w:bidi="en-US"/>
        </w:rPr>
        <w:t>s</w:t>
      </w:r>
      <w:r w:rsidRPr="001824E0">
        <w:rPr>
          <w:rFonts w:eastAsia="SimSun"/>
          <w:lang w:val="es-ES" w:eastAsia="en-GB" w:bidi="en-US"/>
        </w:rPr>
        <w:t xml:space="preserve">ugerencia </w:t>
      </w:r>
      <w:r w:rsidR="00C100E6">
        <w:rPr>
          <w:rFonts w:eastAsia="SimSun"/>
          <w:lang w:val="es-ES" w:eastAsia="en-GB" w:bidi="en-US"/>
        </w:rPr>
        <w:t xml:space="preserve">número </w:t>
      </w:r>
      <w:r w:rsidRPr="001824E0">
        <w:rPr>
          <w:rFonts w:eastAsia="SimSun"/>
          <w:lang w:val="es-ES" w:eastAsia="en-GB" w:bidi="en-US"/>
        </w:rPr>
        <w:t xml:space="preserve">3). </w:t>
      </w:r>
    </w:p>
    <w:p w:rsidR="00F9182B" w:rsidRPr="001824E0" w:rsidRDefault="00F9182B" w:rsidP="00F01BFF">
      <w:pPr>
        <w:spacing w:after="120"/>
        <w:rPr>
          <w:rFonts w:eastAsia="SimSun" w:cs="SimSun"/>
          <w:szCs w:val="24"/>
          <w:lang w:val="es-ES" w:eastAsia="en-GB" w:bidi="en-US"/>
        </w:rPr>
      </w:pPr>
      <w:r w:rsidRPr="001824E0">
        <w:rPr>
          <w:rFonts w:eastAsia="SimSun" w:cs="SimSun"/>
          <w:szCs w:val="24"/>
          <w:lang w:val="es-ES" w:eastAsia="en-GB" w:bidi="en-US"/>
        </w:rPr>
        <w:t>3.2</w:t>
      </w:r>
      <w:r w:rsidRPr="001824E0">
        <w:rPr>
          <w:rFonts w:eastAsia="SimSun" w:cs="SimSun"/>
          <w:szCs w:val="24"/>
          <w:lang w:val="es-ES" w:eastAsia="en-GB" w:bidi="en-US"/>
        </w:rPr>
        <w:tab/>
        <w:t xml:space="preserve">El Auditor Externo sugiere: </w:t>
      </w:r>
    </w:p>
    <w:p w:rsidR="00F9182B" w:rsidRPr="001824E0" w:rsidRDefault="00C100E6" w:rsidP="00C100E6">
      <w:pPr>
        <w:pStyle w:val="enumlev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t>1)</w:t>
      </w:r>
      <w:r>
        <w:rPr>
          <w:rFonts w:eastAsia="SimSun"/>
          <w:lang w:val="es-ES" w:eastAsia="en-GB" w:bidi="en-US"/>
        </w:rPr>
        <w:tab/>
      </w:r>
      <w:r w:rsidR="00F9182B" w:rsidRPr="001824E0">
        <w:rPr>
          <w:rFonts w:eastAsia="SimSun"/>
          <w:lang w:val="es-ES" w:eastAsia="en-GB" w:bidi="en-US"/>
        </w:rPr>
        <w:t>que la Dirección considere la posibilidad de revisar el umbral de activos fijos de poco valor (véase la Nota 12 del</w:t>
      </w:r>
      <w:r w:rsidR="00F9182B" w:rsidRPr="001824E0">
        <w:rPr>
          <w:lang w:val="es-ES"/>
        </w:rPr>
        <w:t xml:space="preserve"> </w:t>
      </w:r>
      <w:r w:rsidR="00F9182B" w:rsidRPr="001824E0">
        <w:rPr>
          <w:rFonts w:eastAsia="SimSun"/>
          <w:lang w:val="es-ES" w:eastAsia="en-GB" w:bidi="en-US"/>
        </w:rPr>
        <w:t xml:space="preserve">Informe de Gestión Financiera), </w:t>
      </w:r>
      <w:r w:rsidR="00F9182B">
        <w:rPr>
          <w:rFonts w:eastAsia="SimSun"/>
          <w:lang w:val="es-ES" w:eastAsia="en-GB" w:bidi="en-US"/>
        </w:rPr>
        <w:t>teniendo en</w:t>
      </w:r>
      <w:r w:rsidR="00F9182B" w:rsidRPr="001824E0">
        <w:rPr>
          <w:rFonts w:eastAsia="SimSun"/>
          <w:lang w:val="es-ES" w:eastAsia="en-GB" w:bidi="en-US"/>
        </w:rPr>
        <w:t xml:space="preserve"> cuenta las </w:t>
      </w:r>
      <w:r w:rsidR="00F9182B">
        <w:rPr>
          <w:rFonts w:eastAsia="SimSun"/>
          <w:lang w:val="es-ES" w:eastAsia="en-GB" w:bidi="en-US"/>
        </w:rPr>
        <w:t>diferencias en las</w:t>
      </w:r>
      <w:r w:rsidR="00F9182B" w:rsidRPr="001824E0">
        <w:rPr>
          <w:rFonts w:eastAsia="SimSun"/>
          <w:lang w:val="es-ES" w:eastAsia="en-GB" w:bidi="en-US"/>
        </w:rPr>
        <w:t xml:space="preserve"> categorías y la amortización de estos activos;</w:t>
      </w:r>
    </w:p>
    <w:p w:rsidR="00F9182B" w:rsidRDefault="00C100E6" w:rsidP="00C100E6">
      <w:pPr>
        <w:pStyle w:val="enumlev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t>2)</w:t>
      </w:r>
      <w:r>
        <w:rPr>
          <w:rFonts w:eastAsia="SimSun"/>
          <w:lang w:val="es-ES" w:eastAsia="en-GB" w:bidi="en-US"/>
        </w:rPr>
        <w:tab/>
      </w:r>
      <w:r w:rsidR="00F9182B" w:rsidRPr="001824E0">
        <w:rPr>
          <w:rFonts w:eastAsia="SimSun"/>
          <w:lang w:val="es-ES" w:eastAsia="en-GB" w:bidi="en-US"/>
        </w:rPr>
        <w:t xml:space="preserve">que la Dirección realice un examen a finales de 2015 para determinar si los supuestos actuariales utilizados en la valoración de los pasivos requieren un </w:t>
      </w:r>
      <w:r w:rsidR="00F9182B">
        <w:rPr>
          <w:rFonts w:eastAsia="SimSun"/>
          <w:lang w:val="es-ES" w:eastAsia="en-GB" w:bidi="en-US"/>
        </w:rPr>
        <w:t>análisis más exhaustivo</w:t>
      </w:r>
      <w:r w:rsidR="00F9182B" w:rsidRPr="001824E0">
        <w:rPr>
          <w:rFonts w:eastAsia="SimSun"/>
          <w:lang w:val="es-ES" w:eastAsia="en-GB" w:bidi="en-US"/>
        </w:rPr>
        <w:t>;</w:t>
      </w:r>
    </w:p>
    <w:p w:rsidR="00F9182B" w:rsidRPr="001A76B9" w:rsidRDefault="00C100E6" w:rsidP="00611514">
      <w:pPr>
        <w:pStyle w:val="enumlev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t>3)</w:t>
      </w:r>
      <w:r>
        <w:rPr>
          <w:rFonts w:eastAsia="SimSun"/>
          <w:lang w:val="es-ES" w:eastAsia="en-GB" w:bidi="en-US"/>
        </w:rPr>
        <w:tab/>
      </w:r>
      <w:r w:rsidR="00F9182B" w:rsidRPr="001A76B9">
        <w:rPr>
          <w:rFonts w:eastAsia="SimSun"/>
          <w:lang w:val="es-ES" w:eastAsia="en-GB" w:bidi="en-US"/>
        </w:rPr>
        <w:t xml:space="preserve">en relación con las obligaciones por concepto de prestaciones al personal, que la Dirección defina un conjunto exhaustivo de factores y subfactores, y utilice los más pertinentes para supervisar eficazmente y resolver la situación financiera del seguro de salud de jubilados o ASHI (véase la </w:t>
      </w:r>
      <w:r w:rsidR="00611514">
        <w:rPr>
          <w:rFonts w:eastAsia="SimSun"/>
          <w:lang w:val="es-ES" w:eastAsia="en-GB" w:bidi="en-US"/>
        </w:rPr>
        <w:t>r</w:t>
      </w:r>
      <w:r w:rsidR="00F9182B" w:rsidRPr="001A76B9">
        <w:rPr>
          <w:rFonts w:eastAsia="SimSun"/>
          <w:lang w:val="es-ES" w:eastAsia="en-GB" w:bidi="en-US"/>
        </w:rPr>
        <w:t xml:space="preserve">ecomendación </w:t>
      </w:r>
      <w:r w:rsidR="00611514">
        <w:rPr>
          <w:rFonts w:eastAsia="SimSun"/>
          <w:lang w:val="es-ES" w:eastAsia="en-GB" w:bidi="en-US"/>
        </w:rPr>
        <w:t xml:space="preserve">número </w:t>
      </w:r>
      <w:r w:rsidR="00F9182B" w:rsidRPr="001A76B9">
        <w:rPr>
          <w:rFonts w:eastAsia="SimSun"/>
          <w:lang w:val="es-ES" w:eastAsia="en-GB" w:bidi="en-US"/>
        </w:rPr>
        <w:t>4);</w:t>
      </w:r>
    </w:p>
    <w:p w:rsidR="00F9182B" w:rsidRPr="001824E0" w:rsidRDefault="00C100E6" w:rsidP="00C100E6">
      <w:pPr>
        <w:pStyle w:val="enumlev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t>4)</w:t>
      </w:r>
      <w:r>
        <w:rPr>
          <w:rFonts w:eastAsia="SimSun"/>
          <w:lang w:val="es-ES" w:eastAsia="en-GB" w:bidi="en-US"/>
        </w:rPr>
        <w:tab/>
      </w:r>
      <w:r w:rsidR="00F9182B" w:rsidRPr="001824E0">
        <w:rPr>
          <w:rFonts w:eastAsia="SimSun"/>
          <w:lang w:val="es-ES" w:eastAsia="en-GB" w:bidi="en-US"/>
        </w:rPr>
        <w:t xml:space="preserve">que la Dirección </w:t>
      </w:r>
      <w:r w:rsidR="00F9182B" w:rsidRPr="001A76B9">
        <w:rPr>
          <w:rFonts w:eastAsia="SimSun"/>
          <w:lang w:eastAsia="en-GB" w:bidi="en-US"/>
        </w:rPr>
        <w:t xml:space="preserve">inicie un análisis interno </w:t>
      </w:r>
      <w:r w:rsidR="00F9182B">
        <w:rPr>
          <w:rFonts w:eastAsia="SimSun"/>
          <w:lang w:eastAsia="en-GB" w:bidi="en-US"/>
        </w:rPr>
        <w:t>encaminado a determinar</w:t>
      </w:r>
      <w:r w:rsidR="00F9182B" w:rsidRPr="001A76B9">
        <w:rPr>
          <w:rFonts w:eastAsia="SimSun"/>
          <w:lang w:eastAsia="en-GB" w:bidi="en-US"/>
        </w:rPr>
        <w:t xml:space="preserve"> si podría mejorarse la distribución</w:t>
      </w:r>
      <w:r w:rsidR="00F9182B">
        <w:rPr>
          <w:rFonts w:eastAsia="SimSun"/>
          <w:lang w:eastAsia="en-GB" w:bidi="en-US"/>
        </w:rPr>
        <w:t xml:space="preserve"> de publicaciones de la UIT</w:t>
      </w:r>
      <w:r w:rsidR="00F9182B" w:rsidRPr="001A76B9">
        <w:rPr>
          <w:rFonts w:eastAsia="SimSun"/>
          <w:lang w:eastAsia="en-GB" w:bidi="en-US"/>
        </w:rPr>
        <w:t xml:space="preserve"> mediante un</w:t>
      </w:r>
      <w:r w:rsidR="00611514">
        <w:rPr>
          <w:rFonts w:eastAsia="SimSun"/>
          <w:lang w:eastAsia="en-GB" w:bidi="en-US"/>
        </w:rPr>
        <w:t>a</w:t>
      </w:r>
      <w:r w:rsidR="00F9182B" w:rsidRPr="001A76B9">
        <w:rPr>
          <w:rFonts w:eastAsia="SimSun"/>
          <w:lang w:eastAsia="en-GB" w:bidi="en-US"/>
        </w:rPr>
        <w:t xml:space="preserve"> mayor presencia de distribuidore</w:t>
      </w:r>
      <w:r w:rsidR="00F9182B">
        <w:rPr>
          <w:rFonts w:eastAsia="SimSun"/>
          <w:lang w:eastAsia="en-GB" w:bidi="en-US"/>
        </w:rPr>
        <w:t>s en las distintas</w:t>
      </w:r>
      <w:r w:rsidR="00F9182B" w:rsidRPr="001A76B9">
        <w:rPr>
          <w:rFonts w:eastAsia="SimSun"/>
          <w:lang w:eastAsia="en-GB" w:bidi="en-US"/>
        </w:rPr>
        <w:t xml:space="preserve"> Regiones</w:t>
      </w:r>
      <w:r w:rsidR="00F9182B" w:rsidRPr="001824E0">
        <w:rPr>
          <w:rFonts w:eastAsia="SimSun"/>
          <w:lang w:val="es-ES" w:eastAsia="en-GB" w:bidi="en-US"/>
        </w:rPr>
        <w:t>;</w:t>
      </w:r>
    </w:p>
    <w:p w:rsidR="00F9182B" w:rsidRPr="001824E0" w:rsidRDefault="00C100E6" w:rsidP="00611514">
      <w:pPr>
        <w:pStyle w:val="enumlev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lastRenderedPageBreak/>
        <w:t>5)</w:t>
      </w:r>
      <w:r>
        <w:rPr>
          <w:rFonts w:eastAsia="SimSun"/>
          <w:lang w:val="es-ES" w:eastAsia="en-GB" w:bidi="en-US"/>
        </w:rPr>
        <w:tab/>
      </w:r>
      <w:r w:rsidR="00F9182B" w:rsidRPr="001824E0">
        <w:rPr>
          <w:rFonts w:eastAsia="SimSun"/>
          <w:lang w:val="es-ES" w:eastAsia="en-GB" w:bidi="en-US"/>
        </w:rPr>
        <w:t xml:space="preserve">que, una vez transcurrido el primer periodo de prueba de un año, la Dirección </w:t>
      </w:r>
      <w:r w:rsidR="00F9182B">
        <w:rPr>
          <w:rFonts w:eastAsia="SimSun"/>
          <w:lang w:val="es-ES" w:eastAsia="en-GB" w:bidi="en-US"/>
        </w:rPr>
        <w:t>compruebe</w:t>
      </w:r>
      <w:r w:rsidR="00F9182B" w:rsidRPr="001824E0">
        <w:rPr>
          <w:rFonts w:eastAsia="SimSun"/>
          <w:lang w:val="es-ES" w:eastAsia="en-GB" w:bidi="en-US"/>
        </w:rPr>
        <w:t xml:space="preserve"> si la </w:t>
      </w:r>
      <w:r w:rsidR="00611514">
        <w:rPr>
          <w:rFonts w:eastAsia="SimSun"/>
          <w:lang w:val="es-ES" w:eastAsia="en-GB" w:bidi="en-US"/>
        </w:rPr>
        <w:t>"</w:t>
      </w:r>
      <w:r w:rsidR="00F9182B" w:rsidRPr="001824E0">
        <w:rPr>
          <w:rFonts w:eastAsia="SimSun"/>
          <w:lang w:val="es-ES" w:eastAsia="en-GB" w:bidi="en-US"/>
        </w:rPr>
        <w:t>política de devoluciones</w:t>
      </w:r>
      <w:r w:rsidR="00611514">
        <w:rPr>
          <w:rFonts w:eastAsia="SimSun"/>
          <w:lang w:val="es-ES" w:eastAsia="en-GB" w:bidi="en-US"/>
        </w:rPr>
        <w:t>"</w:t>
      </w:r>
      <w:r w:rsidR="00F9182B" w:rsidRPr="001824E0">
        <w:rPr>
          <w:rFonts w:eastAsia="SimSun"/>
          <w:lang w:val="es-ES" w:eastAsia="en-GB" w:bidi="en-US"/>
        </w:rPr>
        <w:t>, que permite devolver hasta un 5% de los ejemplares no vendidos, ha dado los frutos esperados;</w:t>
      </w:r>
    </w:p>
    <w:p w:rsidR="00F9182B" w:rsidRPr="001824E0" w:rsidRDefault="00C100E6" w:rsidP="00C100E6">
      <w:pPr>
        <w:pStyle w:val="enumlev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t>6)</w:t>
      </w:r>
      <w:r>
        <w:rPr>
          <w:rFonts w:eastAsia="SimSun"/>
          <w:lang w:val="es-ES" w:eastAsia="en-GB" w:bidi="en-US"/>
        </w:rPr>
        <w:tab/>
      </w:r>
      <w:r w:rsidR="00F9182B" w:rsidRPr="001824E0">
        <w:rPr>
          <w:rFonts w:eastAsia="SimSun"/>
          <w:lang w:val="es-ES" w:eastAsia="en-GB" w:bidi="en-US"/>
        </w:rPr>
        <w:t xml:space="preserve">habida cuenta de que la nueva oferta de acceso en línea gratuito </w:t>
      </w:r>
      <w:r w:rsidR="00F9182B">
        <w:rPr>
          <w:rFonts w:eastAsia="SimSun"/>
          <w:lang w:val="es-ES" w:eastAsia="en-GB" w:bidi="en-US"/>
        </w:rPr>
        <w:t xml:space="preserve">podría influir en </w:t>
      </w:r>
      <w:r w:rsidR="00F9182B" w:rsidRPr="001824E0">
        <w:rPr>
          <w:rFonts w:eastAsia="SimSun"/>
          <w:lang w:val="es-ES" w:eastAsia="en-GB" w:bidi="en-US"/>
        </w:rPr>
        <w:t xml:space="preserve">los ingresos derivados de publicaciones, que </w:t>
      </w:r>
      <w:r w:rsidR="00F9182B">
        <w:rPr>
          <w:rFonts w:eastAsia="SimSun"/>
          <w:lang w:val="es-ES" w:eastAsia="en-GB" w:bidi="en-US"/>
        </w:rPr>
        <w:t>la Dirección</w:t>
      </w:r>
      <w:r w:rsidR="00F9182B" w:rsidRPr="001824E0">
        <w:rPr>
          <w:rFonts w:eastAsia="SimSun"/>
          <w:lang w:val="es-ES" w:eastAsia="en-GB" w:bidi="en-US"/>
        </w:rPr>
        <w:t xml:space="preserve"> supervise y analice la evolución de la venta de ejemplares en papel a fin de disponer de datos que permitan tomar medidas al respecto;</w:t>
      </w:r>
    </w:p>
    <w:p w:rsidR="00F9182B" w:rsidRPr="001824E0" w:rsidRDefault="00C100E6" w:rsidP="00C100E6">
      <w:pPr>
        <w:pStyle w:val="enumlev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t>7)</w:t>
      </w:r>
      <w:r>
        <w:rPr>
          <w:rFonts w:eastAsia="SimSun"/>
          <w:lang w:val="es-ES" w:eastAsia="en-GB" w:bidi="en-US"/>
        </w:rPr>
        <w:tab/>
      </w:r>
      <w:r w:rsidR="00F9182B" w:rsidRPr="001824E0">
        <w:rPr>
          <w:rFonts w:eastAsia="SimSun"/>
          <w:lang w:val="es-ES" w:eastAsia="en-GB" w:bidi="en-US"/>
        </w:rPr>
        <w:t>con respecto a los cambios en la dotación de personal, la contratación y la rotación (</w:t>
      </w:r>
      <w:r w:rsidR="00F9182B">
        <w:rPr>
          <w:rFonts w:eastAsia="SimSun"/>
          <w:lang w:val="es-ES" w:eastAsia="en-GB" w:bidi="en-US"/>
        </w:rPr>
        <w:t>tendentes</w:t>
      </w:r>
      <w:r w:rsidR="00F9182B" w:rsidRPr="001824E0">
        <w:rPr>
          <w:rFonts w:eastAsia="SimSun"/>
          <w:lang w:val="es-ES" w:eastAsia="en-GB" w:bidi="en-US"/>
        </w:rPr>
        <w:t xml:space="preserve"> a mermar la estabilidad </w:t>
      </w:r>
      <w:r w:rsidR="00F9182B">
        <w:rPr>
          <w:rFonts w:eastAsia="SimSun"/>
          <w:lang w:val="es-ES" w:eastAsia="en-GB" w:bidi="en-US"/>
        </w:rPr>
        <w:t xml:space="preserve">estructural de la plantilla), que la Dirección analice las repercusiones en términos de </w:t>
      </w:r>
      <w:r w:rsidR="00F9182B" w:rsidRPr="001824E0">
        <w:rPr>
          <w:rFonts w:eastAsia="SimSun"/>
          <w:lang w:val="es-ES" w:eastAsia="en-GB" w:bidi="en-US"/>
        </w:rPr>
        <w:t>pérdida de experiencia</w:t>
      </w:r>
      <w:r w:rsidR="00F9182B">
        <w:rPr>
          <w:rFonts w:eastAsia="SimSun"/>
          <w:lang w:val="es-ES" w:eastAsia="en-GB" w:bidi="en-US"/>
        </w:rPr>
        <w:t xml:space="preserve"> que pueden resultar</w:t>
      </w:r>
      <w:r w:rsidR="00F9182B" w:rsidRPr="001824E0">
        <w:rPr>
          <w:rFonts w:eastAsia="SimSun"/>
          <w:lang w:val="es-ES" w:eastAsia="en-GB" w:bidi="en-US"/>
        </w:rPr>
        <w:t xml:space="preserve"> de la rápida rotación de personas y las jubilaciones previstas, y que establezca prioridades de requisitos de personal a medio plazo.</w:t>
      </w:r>
    </w:p>
    <w:p w:rsidR="00F9182B" w:rsidRPr="001824E0" w:rsidRDefault="00820AF7" w:rsidP="00820AF7">
      <w:pPr>
        <w:pStyle w:val="Heading1"/>
        <w:rPr>
          <w:rFonts w:eastAsia="SimSun"/>
          <w:lang w:val="es-ES" w:eastAsia="en-GB" w:bidi="en-US"/>
        </w:rPr>
      </w:pPr>
      <w:r>
        <w:rPr>
          <w:rFonts w:eastAsia="SimSun"/>
          <w:lang w:val="es-ES" w:eastAsia="en-GB" w:bidi="en-US"/>
        </w:rPr>
        <w:t>4</w:t>
      </w:r>
      <w:r w:rsidR="00F9182B" w:rsidRPr="001824E0">
        <w:rPr>
          <w:rFonts w:eastAsia="SimSun"/>
          <w:lang w:val="es-ES" w:eastAsia="en-GB" w:bidi="en-US"/>
        </w:rPr>
        <w:tab/>
        <w:t>Observaciones y recomendación del CAIG</w:t>
      </w:r>
    </w:p>
    <w:p w:rsidR="00F9182B" w:rsidRPr="001824E0" w:rsidRDefault="00F9182B" w:rsidP="008D355B">
      <w:pPr>
        <w:spacing w:after="120"/>
        <w:rPr>
          <w:rFonts w:eastAsia="SimSun" w:cs="SimSun"/>
          <w:szCs w:val="24"/>
          <w:lang w:val="es-ES" w:eastAsia="en-GB" w:bidi="en-US"/>
        </w:rPr>
      </w:pPr>
      <w:r w:rsidRPr="001824E0">
        <w:rPr>
          <w:rFonts w:eastAsia="SimSun" w:cs="SimSun"/>
          <w:szCs w:val="24"/>
          <w:lang w:val="es-ES" w:eastAsia="en-GB" w:bidi="en-US"/>
        </w:rPr>
        <w:t>4.1</w:t>
      </w:r>
      <w:r w:rsidRPr="001824E0">
        <w:rPr>
          <w:rFonts w:eastAsia="SimSun" w:cs="SimSun"/>
          <w:szCs w:val="24"/>
          <w:lang w:val="es-ES" w:eastAsia="en-GB" w:bidi="en-US"/>
        </w:rPr>
        <w:tab/>
        <w:t>EL CAIG considera que la aplicación de las recomendaciones y sugerencias del Auditor Externo contribuirá a mejorar la gestión financiera y el control en la UIT, y secunda</w:t>
      </w:r>
      <w:r>
        <w:rPr>
          <w:rFonts w:eastAsia="SimSun" w:cs="SimSun"/>
          <w:szCs w:val="24"/>
          <w:lang w:val="es-ES" w:eastAsia="en-GB" w:bidi="en-US"/>
        </w:rPr>
        <w:t xml:space="preserve"> todas</w:t>
      </w:r>
      <w:r w:rsidRPr="001824E0">
        <w:rPr>
          <w:rFonts w:eastAsia="SimSun" w:cs="SimSun"/>
          <w:szCs w:val="24"/>
          <w:lang w:val="es-ES" w:eastAsia="en-GB" w:bidi="en-US"/>
        </w:rPr>
        <w:t xml:space="preserve"> las recomendaciones del Auditor Externo.</w:t>
      </w:r>
    </w:p>
    <w:p w:rsidR="00F9182B" w:rsidRPr="001824E0" w:rsidRDefault="00F9182B" w:rsidP="001A76B9">
      <w:pPr>
        <w:spacing w:after="120"/>
        <w:rPr>
          <w:rFonts w:eastAsia="SimSun" w:cs="SimSun"/>
          <w:szCs w:val="24"/>
          <w:lang w:val="es-ES" w:eastAsia="en-GB" w:bidi="en-US"/>
        </w:rPr>
      </w:pPr>
      <w:r w:rsidRPr="001824E0">
        <w:rPr>
          <w:rFonts w:eastAsia="SimSun" w:cs="SimSun"/>
          <w:szCs w:val="24"/>
          <w:lang w:val="es-ES" w:eastAsia="en-GB" w:bidi="en-US"/>
        </w:rPr>
        <w:t>4.2</w:t>
      </w:r>
      <w:r w:rsidRPr="001824E0">
        <w:rPr>
          <w:rFonts w:eastAsia="SimSun" w:cs="SimSun"/>
          <w:szCs w:val="24"/>
          <w:lang w:val="es-ES" w:eastAsia="en-GB" w:bidi="en-US"/>
        </w:rPr>
        <w:tab/>
        <w:t>Además de las cuestiones antes mencionadas, el CAIG señaló la necesidad de examinar y evaluar los servicios de salud reembolsados como atención médica y la sostenibilidad de los costes de los arreglos, así como de</w:t>
      </w:r>
      <w:r w:rsidRPr="001824E0">
        <w:rPr>
          <w:lang w:val="es-ES"/>
        </w:rPr>
        <w:t xml:space="preserve"> </w:t>
      </w:r>
      <w:r w:rsidRPr="001824E0">
        <w:rPr>
          <w:rFonts w:eastAsia="SimSun" w:cs="SimSun"/>
          <w:szCs w:val="24"/>
          <w:lang w:val="es-ES" w:eastAsia="en-GB" w:bidi="en-US"/>
        </w:rPr>
        <w:t xml:space="preserve">definir directrices que abarquen la contabilidad de los fondos extrapresupuestarios y la </w:t>
      </w:r>
      <w:r>
        <w:rPr>
          <w:rFonts w:eastAsia="SimSun" w:cs="SimSun"/>
          <w:szCs w:val="24"/>
          <w:lang w:val="es-ES" w:eastAsia="en-GB" w:bidi="en-US"/>
        </w:rPr>
        <w:t>presentación de informes</w:t>
      </w:r>
      <w:r w:rsidRPr="001824E0">
        <w:rPr>
          <w:rFonts w:eastAsia="SimSun" w:cs="SimSun"/>
          <w:szCs w:val="24"/>
          <w:lang w:val="es-ES" w:eastAsia="en-GB" w:bidi="en-US"/>
        </w:rPr>
        <w:t xml:space="preserve"> al respecto.</w:t>
      </w:r>
    </w:p>
    <w:p w:rsidR="00F9182B" w:rsidRDefault="00F9182B" w:rsidP="008D355B">
      <w:pPr>
        <w:spacing w:after="120"/>
        <w:rPr>
          <w:rFonts w:eastAsia="SimSun" w:cs="SimSun"/>
          <w:szCs w:val="24"/>
          <w:lang w:val="es-ES" w:eastAsia="en-GB" w:bidi="en-US"/>
        </w:rPr>
      </w:pPr>
      <w:r w:rsidRPr="001824E0">
        <w:rPr>
          <w:rFonts w:eastAsia="SimSun" w:cs="SimSun"/>
          <w:szCs w:val="24"/>
          <w:lang w:val="es-ES" w:eastAsia="en-GB" w:bidi="en-US"/>
        </w:rPr>
        <w:t>4.3</w:t>
      </w:r>
      <w:r w:rsidRPr="001824E0">
        <w:rPr>
          <w:rFonts w:eastAsia="SimSun" w:cs="SimSun"/>
          <w:szCs w:val="24"/>
          <w:lang w:val="es-ES" w:eastAsia="en-GB" w:bidi="en-US"/>
        </w:rPr>
        <w:tab/>
        <w:t>En el Anexo 1 al Informe del Auditor Externo se facilita información sobre el estado de aplicación de las recomendaciones de auditoría de años anteriores. El CAIG señala que un total de 9 recomendaciones</w:t>
      </w:r>
      <w:r>
        <w:rPr>
          <w:rFonts w:eastAsia="SimSun" w:cs="SimSun"/>
          <w:szCs w:val="24"/>
          <w:lang w:val="es-ES" w:eastAsia="en-GB" w:bidi="en-US"/>
        </w:rPr>
        <w:t xml:space="preserve"> de</w:t>
      </w:r>
      <w:r w:rsidRPr="001824E0">
        <w:rPr>
          <w:rFonts w:eastAsia="SimSun" w:cs="SimSun"/>
          <w:szCs w:val="24"/>
          <w:lang w:val="es-ES" w:eastAsia="en-GB" w:bidi="en-US"/>
        </w:rPr>
        <w:t xml:space="preserve"> 2008, 2009, 2012 y 2013 sigue pendiente.</w:t>
      </w:r>
    </w:p>
    <w:p w:rsidR="00820AF7" w:rsidRDefault="00820AF7" w:rsidP="0032202E">
      <w:pPr>
        <w:pStyle w:val="Reasons"/>
      </w:pPr>
    </w:p>
    <w:p w:rsidR="00820AF7" w:rsidRDefault="00820AF7">
      <w:pPr>
        <w:jc w:val="center"/>
      </w:pPr>
      <w:r>
        <w:t>______________</w:t>
      </w:r>
    </w:p>
    <w:p w:rsidR="00820AF7" w:rsidRPr="001824E0" w:rsidRDefault="00820AF7" w:rsidP="008D355B">
      <w:pPr>
        <w:spacing w:after="120"/>
        <w:rPr>
          <w:rFonts w:eastAsia="SimSun" w:cs="SimSun"/>
          <w:szCs w:val="24"/>
          <w:lang w:val="es-ES" w:eastAsia="en-GB" w:bidi="en-US"/>
        </w:rPr>
      </w:pPr>
      <w:bookmarkStart w:id="9" w:name="_GoBack"/>
      <w:bookmarkEnd w:id="9"/>
    </w:p>
    <w:sectPr w:rsidR="00820AF7" w:rsidRPr="001824E0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2B" w:rsidRDefault="00F9182B">
      <w:r>
        <w:separator/>
      </w:r>
    </w:p>
  </w:endnote>
  <w:endnote w:type="continuationSeparator" w:id="0">
    <w:p w:rsidR="00F9182B" w:rsidRDefault="00F9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EB1212">
    <w:pPr>
      <w:pStyle w:val="Footer"/>
      <w:rPr>
        <w:lang w:val="en-US"/>
      </w:rPr>
    </w:pPr>
    <w:fldSimple w:instr=" FILENAME \p \* MERGEFORMAT ">
      <w:r w:rsidR="00820AF7" w:rsidRPr="00820AF7">
        <w:rPr>
          <w:lang w:val="en-US"/>
        </w:rPr>
        <w:t>P</w:t>
      </w:r>
      <w:r w:rsidR="00820AF7">
        <w:t>:\ESP\SG\CONSEIL\C15\000\022ADD1S.docx</w:t>
      </w:r>
    </w:fldSimple>
    <w:r w:rsidR="00820AF7">
      <w:rPr>
        <w:lang w:val="en-US"/>
      </w:rPr>
      <w:t xml:space="preserve"> (381034)</w:t>
    </w:r>
    <w:r w:rsidR="00820AF7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F9182B">
      <w:t>00.00.00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F9182B">
      <w:t>15.05.15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Default="00EB1212" w:rsidP="00820AF7">
    <w:pPr>
      <w:pStyle w:val="Footer"/>
      <w:rPr>
        <w:lang w:val="en-US"/>
      </w:rPr>
    </w:pPr>
    <w:fldSimple w:instr=" FILENAME \p \* MERGEFORMAT ">
      <w:r w:rsidR="00820AF7" w:rsidRPr="00820AF7">
        <w:rPr>
          <w:lang w:val="en-US"/>
        </w:rPr>
        <w:t>P</w:t>
      </w:r>
      <w:r w:rsidR="00820AF7">
        <w:t>:\ESP\SG\CONSEIL\C15\000\022ADD1S.docx</w:t>
      </w:r>
    </w:fldSimple>
    <w:r w:rsidR="00820AF7">
      <w:rPr>
        <w:lang w:val="en-US"/>
      </w:rPr>
      <w:t xml:space="preserve"> (381034)</w:t>
    </w:r>
    <w:r w:rsidR="00820AF7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F9182B">
      <w:t>00.00.00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F9182B">
      <w:t>15.05.15</w:t>
    </w:r>
    <w:r w:rsidR="00CF1A6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2B" w:rsidRDefault="00F9182B">
      <w:r>
        <w:t>____________________</w:t>
      </w:r>
    </w:p>
  </w:footnote>
  <w:footnote w:type="continuationSeparator" w:id="0">
    <w:p w:rsidR="00F9182B" w:rsidRDefault="00F9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5638E">
      <w:rPr>
        <w:noProof/>
      </w:rPr>
      <w:t>3</w:t>
    </w:r>
    <w:r>
      <w:rPr>
        <w:noProof/>
      </w:rPr>
      <w:fldChar w:fldCharType="end"/>
    </w:r>
  </w:p>
  <w:p w:rsidR="00760F1C" w:rsidRDefault="00760F1C" w:rsidP="00820AF7">
    <w:pPr>
      <w:pStyle w:val="Header"/>
    </w:pPr>
    <w:r>
      <w:t>C</w:t>
    </w:r>
    <w:r w:rsidR="007F350B">
      <w:t>1</w:t>
    </w:r>
    <w:r w:rsidR="00F75F57">
      <w:t>5</w:t>
    </w:r>
    <w:r>
      <w:t>/</w:t>
    </w:r>
    <w:r w:rsidR="00820AF7">
      <w:t>22(Add.1)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C1935"/>
    <w:multiLevelType w:val="hybridMultilevel"/>
    <w:tmpl w:val="821E2A96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B1C041C"/>
    <w:multiLevelType w:val="hybridMultilevel"/>
    <w:tmpl w:val="E55203CA"/>
    <w:lvl w:ilvl="0" w:tplc="D21898A8">
      <w:start w:val="1"/>
      <w:numFmt w:val="lowerRoman"/>
      <w:lvlText w:val="(%1)"/>
      <w:lvlJc w:val="left"/>
      <w:pPr>
        <w:tabs>
          <w:tab w:val="num" w:pos="-345"/>
        </w:tabs>
        <w:ind w:left="1065" w:hanging="705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2B"/>
    <w:rsid w:val="000B0D00"/>
    <w:rsid w:val="000B7C15"/>
    <w:rsid w:val="000D1D0F"/>
    <w:rsid w:val="0010165C"/>
    <w:rsid w:val="00146BFB"/>
    <w:rsid w:val="001F14A2"/>
    <w:rsid w:val="002801AA"/>
    <w:rsid w:val="002C70B0"/>
    <w:rsid w:val="00513630"/>
    <w:rsid w:val="00560125"/>
    <w:rsid w:val="00585553"/>
    <w:rsid w:val="005B34D9"/>
    <w:rsid w:val="005D0CCF"/>
    <w:rsid w:val="005F410F"/>
    <w:rsid w:val="00601924"/>
    <w:rsid w:val="00611514"/>
    <w:rsid w:val="0064731F"/>
    <w:rsid w:val="006710F6"/>
    <w:rsid w:val="006C1B56"/>
    <w:rsid w:val="006D4761"/>
    <w:rsid w:val="00760F1C"/>
    <w:rsid w:val="007657F0"/>
    <w:rsid w:val="007E5DD3"/>
    <w:rsid w:val="007F350B"/>
    <w:rsid w:val="00820AF7"/>
    <w:rsid w:val="00820BE4"/>
    <w:rsid w:val="008451E8"/>
    <w:rsid w:val="00913B9C"/>
    <w:rsid w:val="00956E77"/>
    <w:rsid w:val="00AA390C"/>
    <w:rsid w:val="00B574DB"/>
    <w:rsid w:val="00B826C2"/>
    <w:rsid w:val="00BD0723"/>
    <w:rsid w:val="00C100E6"/>
    <w:rsid w:val="00C20C59"/>
    <w:rsid w:val="00C55B1F"/>
    <w:rsid w:val="00C5638E"/>
    <w:rsid w:val="00CF1A67"/>
    <w:rsid w:val="00D62446"/>
    <w:rsid w:val="00DA4EA2"/>
    <w:rsid w:val="00DE2C90"/>
    <w:rsid w:val="00DE3B24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9182B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94676F-C552-4E09-82CE-4A4F4982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link w:val="Header"/>
    <w:rsid w:val="00F9182B"/>
    <w:rPr>
      <w:rFonts w:ascii="Calibri" w:hAnsi="Calibri"/>
      <w:sz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esfer\AppData\Roaming\Microsoft\Templates\POOL%20S%20-%20ITU\PS_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PS_C15.dotm</Template>
  <TotalTime>23</TotalTime>
  <Pages>3</Pages>
  <Words>953</Words>
  <Characters>5061</Characters>
  <Application>Microsoft Office Word</Application>
  <DocSecurity>0</DocSecurity>
  <Lines>99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5979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CUARTO INFORME ANUAL DEL COMITÉ ASESOR INDEDENDIENTE SOBRE LA GESTIÓN (CAIG)</dc:title>
  <dc:subject>Consejo 2010</dc:subject>
  <dc:creator>Informe del Secretario General</dc:creator>
  <cp:keywords>C2010, C10</cp:keywords>
  <dc:description>Addéndum 1 al Documento C15/22-S  Para: Punto del orden del día: ADM 7_x000d_Fecha del documento: 13 de mayo de 2015_x000d_Registrado por ITU51007821 a 21:46:01 el 15/05/15</dc:description>
  <cp:lastModifiedBy>Jones, Jacqueline</cp:lastModifiedBy>
  <cp:revision>3</cp:revision>
  <cp:lastPrinted>2015-05-15T19:28:00Z</cp:lastPrinted>
  <dcterms:created xsi:type="dcterms:W3CDTF">2015-05-15T19:19:00Z</dcterms:created>
  <dcterms:modified xsi:type="dcterms:W3CDTF">2015-05-15T19:46:00Z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Addéndum 1 al Documento C15/22-S</vt:lpwstr>
  </property>
  <property fmtid="{D5CDD505-2E9C-101B-9397-08002B2CF9AE}" pid="3" name="Docdate">
    <vt:lpwstr>13 de mayo de 2015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2015 Ginebra, 12-22 de mayo de 2015</vt:lpwstr>
  </property>
  <property fmtid="{D5CDD505-2E9C-101B-9397-08002B2CF9AE}" pid="6" name="Docdest">
    <vt:lpwstr>Punto del orden del día: ADM 7</vt:lpwstr>
  </property>
  <property fmtid="{D5CDD505-2E9C-101B-9397-08002B2CF9AE}" pid="7" name="Docauthor">
    <vt:lpwstr>Informe del Secretario General</vt:lpwstr>
  </property>
</Properties>
</file>