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rsidRPr="00092DDC" w14:paraId="78A951D7" w14:textId="77777777">
        <w:trPr>
          <w:cantSplit/>
        </w:trPr>
        <w:tc>
          <w:tcPr>
            <w:tcW w:w="6911" w:type="dxa"/>
          </w:tcPr>
          <w:p w14:paraId="412AE7C6" w14:textId="77777777" w:rsidR="00700D1F" w:rsidRPr="00092DDC" w:rsidRDefault="00D94637" w:rsidP="00E2352B">
            <w:pPr>
              <w:spacing w:before="360" w:after="48"/>
              <w:rPr>
                <w:rFonts w:ascii="Verdana" w:hAnsi="Verdana"/>
                <w:position w:val="6"/>
                <w:szCs w:val="24"/>
                <w:lang w:eastAsia="zh-CN"/>
              </w:rPr>
            </w:pPr>
            <w:r w:rsidRPr="00092DDC">
              <w:rPr>
                <w:rFonts w:ascii="SimSun" w:hAnsi="SimSun" w:hint="eastAsia"/>
                <w:b/>
                <w:bCs/>
                <w:szCs w:val="24"/>
                <w:lang w:val="en-US" w:eastAsia="zh-CN"/>
              </w:rPr>
              <w:t>理事会</w:t>
            </w:r>
            <w:r w:rsidRPr="00092DDC">
              <w:rPr>
                <w:rFonts w:cs="Arial"/>
                <w:b/>
                <w:bCs/>
                <w:szCs w:val="24"/>
                <w:lang w:val="en-US" w:eastAsia="zh-CN"/>
              </w:rPr>
              <w:t>20</w:t>
            </w:r>
            <w:r w:rsidR="00325C25" w:rsidRPr="00092DDC">
              <w:rPr>
                <w:rFonts w:cs="Arial"/>
                <w:b/>
                <w:bCs/>
                <w:szCs w:val="24"/>
                <w:lang w:val="en-US" w:eastAsia="zh-CN"/>
              </w:rPr>
              <w:t>1</w:t>
            </w:r>
            <w:r w:rsidR="00DE196D" w:rsidRPr="00092DDC">
              <w:rPr>
                <w:rFonts w:cs="Arial"/>
                <w:b/>
                <w:bCs/>
                <w:szCs w:val="24"/>
                <w:lang w:val="en-US" w:eastAsia="zh-CN"/>
              </w:rPr>
              <w:t>5</w:t>
            </w:r>
            <w:r w:rsidRPr="00092DDC">
              <w:rPr>
                <w:rFonts w:ascii="SimSun" w:hAnsi="SimSun" w:hint="eastAsia"/>
                <w:b/>
                <w:bCs/>
                <w:szCs w:val="24"/>
                <w:lang w:val="en-US" w:eastAsia="zh-CN"/>
              </w:rPr>
              <w:t>年会议</w:t>
            </w:r>
            <w:r w:rsidRPr="00092DDC">
              <w:rPr>
                <w:rFonts w:ascii="Arial" w:hAnsi="Arial" w:cs="Arial"/>
                <w:b/>
                <w:bCs/>
                <w:szCs w:val="24"/>
                <w:lang w:val="en-US" w:eastAsia="zh-CN"/>
              </w:rPr>
              <w:br/>
            </w:r>
            <w:r w:rsidR="009625D8" w:rsidRPr="00092DDC">
              <w:rPr>
                <w:b/>
                <w:bCs/>
                <w:color w:val="000000"/>
                <w:szCs w:val="24"/>
                <w:lang w:eastAsia="zh-CN"/>
              </w:rPr>
              <w:t>2015</w:t>
            </w:r>
            <w:r w:rsidR="009625D8" w:rsidRPr="00092DDC">
              <w:rPr>
                <w:rFonts w:ascii="SimSun" w:hAnsi="SimSun" w:hint="eastAsia"/>
                <w:b/>
                <w:bCs/>
                <w:color w:val="000000"/>
                <w:szCs w:val="24"/>
                <w:lang w:eastAsia="zh-CN"/>
              </w:rPr>
              <w:t>年</w:t>
            </w:r>
            <w:r w:rsidR="009625D8" w:rsidRPr="00092DDC">
              <w:rPr>
                <w:b/>
                <w:bCs/>
                <w:color w:val="000000"/>
                <w:szCs w:val="24"/>
                <w:lang w:eastAsia="zh-CN"/>
              </w:rPr>
              <w:t>5</w:t>
            </w:r>
            <w:r w:rsidR="009625D8" w:rsidRPr="00092DDC">
              <w:rPr>
                <w:rFonts w:ascii="SimSun" w:hAnsi="SimSun" w:hint="eastAsia"/>
                <w:b/>
                <w:bCs/>
                <w:color w:val="000000"/>
                <w:szCs w:val="24"/>
                <w:lang w:eastAsia="zh-CN"/>
              </w:rPr>
              <w:t>月</w:t>
            </w:r>
            <w:r w:rsidR="009625D8" w:rsidRPr="00092DDC">
              <w:rPr>
                <w:b/>
                <w:bCs/>
                <w:color w:val="000000"/>
                <w:szCs w:val="24"/>
                <w:lang w:eastAsia="zh-CN"/>
              </w:rPr>
              <w:t>12-22</w:t>
            </w:r>
            <w:r w:rsidR="009625D8" w:rsidRPr="00092DDC">
              <w:rPr>
                <w:rFonts w:ascii="SimSun" w:hAnsi="SimSun" w:hint="eastAsia"/>
                <w:b/>
                <w:bCs/>
                <w:color w:val="000000"/>
                <w:szCs w:val="24"/>
                <w:lang w:eastAsia="zh-CN"/>
              </w:rPr>
              <w:t>日</w:t>
            </w:r>
            <w:r w:rsidR="009625D8" w:rsidRPr="00092DDC">
              <w:rPr>
                <w:rFonts w:ascii="SimSun" w:hAnsi="SimSun" w:cs="SimSun" w:hint="eastAsia"/>
                <w:b/>
                <w:bCs/>
                <w:smallCaps/>
                <w:szCs w:val="24"/>
                <w:lang w:val="en-US" w:eastAsia="zh-CN"/>
              </w:rPr>
              <w:t>，</w:t>
            </w:r>
            <w:r w:rsidR="009625D8" w:rsidRPr="00092DDC">
              <w:rPr>
                <w:rFonts w:ascii="SimSun" w:hAnsi="SimSun" w:hint="eastAsia"/>
                <w:b/>
                <w:bCs/>
                <w:szCs w:val="24"/>
                <w:lang w:eastAsia="zh-CN"/>
              </w:rPr>
              <w:t>日内瓦</w:t>
            </w:r>
          </w:p>
        </w:tc>
        <w:tc>
          <w:tcPr>
            <w:tcW w:w="3120" w:type="dxa"/>
          </w:tcPr>
          <w:p w14:paraId="260A6AA0" w14:textId="77777777" w:rsidR="00700D1F" w:rsidRPr="00092DDC" w:rsidRDefault="00A272FF" w:rsidP="00E2352B">
            <w:pPr>
              <w:spacing w:before="0"/>
              <w:jc w:val="right"/>
              <w:rPr>
                <w:szCs w:val="24"/>
              </w:rPr>
            </w:pPr>
            <w:bookmarkStart w:id="0" w:name="ditulogo"/>
            <w:bookmarkEnd w:id="0"/>
            <w:r w:rsidRPr="00092DDC">
              <w:rPr>
                <w:noProof/>
                <w:szCs w:val="24"/>
                <w:lang w:val="en-US" w:eastAsia="zh-CN"/>
              </w:rPr>
              <w:drawing>
                <wp:inline distT="0" distB="0" distL="0" distR="0" wp14:anchorId="64456B0C" wp14:editId="56288F50">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700D1F" w:rsidRPr="00092DDC" w14:paraId="35D78625" w14:textId="77777777">
        <w:trPr>
          <w:cantSplit/>
        </w:trPr>
        <w:tc>
          <w:tcPr>
            <w:tcW w:w="6911" w:type="dxa"/>
            <w:tcBorders>
              <w:bottom w:val="single" w:sz="12" w:space="0" w:color="auto"/>
            </w:tcBorders>
          </w:tcPr>
          <w:p w14:paraId="12B59D85" w14:textId="77777777" w:rsidR="00700D1F" w:rsidRPr="00092DDC" w:rsidRDefault="00A272FF" w:rsidP="00E2352B">
            <w:pPr>
              <w:spacing w:before="0" w:after="48"/>
              <w:rPr>
                <w:b/>
                <w:smallCaps/>
                <w:szCs w:val="24"/>
              </w:rPr>
            </w:pPr>
            <w:r w:rsidRPr="00092DDC">
              <w:rPr>
                <w:rFonts w:hAnsi="SimSun" w:hint="eastAsia"/>
                <w:b/>
                <w:bCs/>
                <w:szCs w:val="24"/>
                <w:lang w:eastAsia="zh-CN"/>
              </w:rPr>
              <w:t>国</w:t>
            </w:r>
            <w:r w:rsidRPr="00092DDC">
              <w:rPr>
                <w:rFonts w:hAnsi="SimSun" w:hint="eastAsia"/>
                <w:b/>
                <w:bCs/>
                <w:szCs w:val="24"/>
                <w:lang w:eastAsia="zh-CN"/>
              </w:rPr>
              <w:t xml:space="preserve"> </w:t>
            </w:r>
            <w:r w:rsidRPr="00092DDC">
              <w:rPr>
                <w:rFonts w:hAnsi="SimSun" w:hint="eastAsia"/>
                <w:b/>
                <w:bCs/>
                <w:szCs w:val="24"/>
                <w:lang w:eastAsia="zh-CN"/>
              </w:rPr>
              <w:t>际</w:t>
            </w:r>
            <w:r w:rsidRPr="00092DDC">
              <w:rPr>
                <w:rFonts w:hAnsi="SimSun" w:hint="eastAsia"/>
                <w:b/>
                <w:bCs/>
                <w:szCs w:val="24"/>
                <w:lang w:eastAsia="zh-CN"/>
              </w:rPr>
              <w:t xml:space="preserve"> </w:t>
            </w:r>
            <w:r w:rsidRPr="00092DDC">
              <w:rPr>
                <w:rFonts w:hAnsi="SimSun" w:hint="eastAsia"/>
                <w:b/>
                <w:bCs/>
                <w:szCs w:val="24"/>
                <w:lang w:eastAsia="zh-CN"/>
              </w:rPr>
              <w:t>电</w:t>
            </w:r>
            <w:r w:rsidRPr="00092DDC">
              <w:rPr>
                <w:rFonts w:hAnsi="SimSun" w:hint="eastAsia"/>
                <w:b/>
                <w:bCs/>
                <w:szCs w:val="24"/>
                <w:lang w:eastAsia="zh-CN"/>
              </w:rPr>
              <w:t xml:space="preserve"> </w:t>
            </w:r>
            <w:r w:rsidRPr="00092DDC">
              <w:rPr>
                <w:rFonts w:hAnsi="SimSun" w:hint="eastAsia"/>
                <w:b/>
                <w:bCs/>
                <w:szCs w:val="24"/>
                <w:lang w:eastAsia="zh-CN"/>
              </w:rPr>
              <w:t>信</w:t>
            </w:r>
            <w:r w:rsidRPr="00092DDC">
              <w:rPr>
                <w:rFonts w:hAnsi="SimSun" w:hint="eastAsia"/>
                <w:b/>
                <w:bCs/>
                <w:szCs w:val="24"/>
                <w:lang w:eastAsia="zh-CN"/>
              </w:rPr>
              <w:t xml:space="preserve"> </w:t>
            </w:r>
            <w:r w:rsidRPr="00092DDC">
              <w:rPr>
                <w:rFonts w:hAnsi="SimSun" w:hint="eastAsia"/>
                <w:b/>
                <w:bCs/>
                <w:szCs w:val="24"/>
                <w:lang w:eastAsia="zh-CN"/>
              </w:rPr>
              <w:t>联</w:t>
            </w:r>
            <w:r w:rsidRPr="00092DDC">
              <w:rPr>
                <w:rFonts w:hAnsi="SimSun" w:hint="eastAsia"/>
                <w:b/>
                <w:bCs/>
                <w:szCs w:val="24"/>
                <w:lang w:eastAsia="zh-CN"/>
              </w:rPr>
              <w:t xml:space="preserve"> </w:t>
            </w:r>
            <w:r w:rsidRPr="00092DDC">
              <w:rPr>
                <w:rFonts w:hAnsi="SimSun" w:hint="eastAsia"/>
                <w:b/>
                <w:bCs/>
                <w:szCs w:val="24"/>
                <w:lang w:eastAsia="zh-CN"/>
              </w:rPr>
              <w:t>盟</w:t>
            </w:r>
          </w:p>
        </w:tc>
        <w:tc>
          <w:tcPr>
            <w:tcW w:w="3120" w:type="dxa"/>
            <w:tcBorders>
              <w:bottom w:val="single" w:sz="12" w:space="0" w:color="auto"/>
            </w:tcBorders>
          </w:tcPr>
          <w:p w14:paraId="5C68A6E5" w14:textId="77777777" w:rsidR="00700D1F" w:rsidRPr="00092DDC" w:rsidRDefault="00700D1F" w:rsidP="00E2352B">
            <w:pPr>
              <w:spacing w:before="0"/>
              <w:rPr>
                <w:rFonts w:ascii="Verdana" w:hAnsi="Verdana"/>
                <w:szCs w:val="24"/>
              </w:rPr>
            </w:pPr>
          </w:p>
        </w:tc>
      </w:tr>
      <w:tr w:rsidR="00700D1F" w:rsidRPr="00092DDC" w14:paraId="1CB3AC3E" w14:textId="77777777">
        <w:trPr>
          <w:cantSplit/>
        </w:trPr>
        <w:tc>
          <w:tcPr>
            <w:tcW w:w="6911" w:type="dxa"/>
            <w:tcBorders>
              <w:top w:val="single" w:sz="12" w:space="0" w:color="auto"/>
            </w:tcBorders>
          </w:tcPr>
          <w:p w14:paraId="284202F3" w14:textId="77777777" w:rsidR="00700D1F" w:rsidRPr="00092DDC" w:rsidRDefault="00700D1F" w:rsidP="00E2352B">
            <w:pPr>
              <w:spacing w:before="0" w:after="48"/>
              <w:rPr>
                <w:b/>
                <w:smallCaps/>
                <w:szCs w:val="24"/>
              </w:rPr>
            </w:pPr>
          </w:p>
        </w:tc>
        <w:tc>
          <w:tcPr>
            <w:tcW w:w="3120" w:type="dxa"/>
            <w:tcBorders>
              <w:top w:val="single" w:sz="12" w:space="0" w:color="auto"/>
            </w:tcBorders>
          </w:tcPr>
          <w:p w14:paraId="0777DF06" w14:textId="77777777" w:rsidR="00700D1F" w:rsidRPr="00092DDC" w:rsidRDefault="00700D1F" w:rsidP="00E2352B">
            <w:pPr>
              <w:spacing w:before="0"/>
              <w:rPr>
                <w:rFonts w:ascii="Verdana" w:hAnsi="Verdana"/>
                <w:szCs w:val="24"/>
              </w:rPr>
            </w:pPr>
          </w:p>
        </w:tc>
      </w:tr>
      <w:tr w:rsidR="00700D1F" w:rsidRPr="00092DDC" w14:paraId="648BB50E" w14:textId="77777777">
        <w:trPr>
          <w:cantSplit/>
          <w:trHeight w:val="23"/>
        </w:trPr>
        <w:tc>
          <w:tcPr>
            <w:tcW w:w="6911" w:type="dxa"/>
            <w:vMerge w:val="restart"/>
          </w:tcPr>
          <w:p w14:paraId="33E38FCE" w14:textId="31CE51F6" w:rsidR="00700D1F" w:rsidRPr="00092DDC" w:rsidRDefault="00700D1F" w:rsidP="00647320">
            <w:pPr>
              <w:tabs>
                <w:tab w:val="left" w:pos="851"/>
              </w:tabs>
              <w:rPr>
                <w:b/>
                <w:szCs w:val="24"/>
              </w:rPr>
            </w:pPr>
            <w:bookmarkStart w:id="1" w:name="dmeeting" w:colFirst="0" w:colLast="0"/>
            <w:r w:rsidRPr="00092DDC">
              <w:rPr>
                <w:rFonts w:hint="eastAsia"/>
                <w:b/>
                <w:szCs w:val="24"/>
                <w:lang w:eastAsia="zh-CN"/>
              </w:rPr>
              <w:t>议项</w:t>
            </w:r>
            <w:r w:rsidRPr="00092DDC">
              <w:rPr>
                <w:b/>
                <w:szCs w:val="24"/>
                <w:lang w:eastAsia="zh-CN"/>
              </w:rPr>
              <w:t>：</w:t>
            </w:r>
            <w:r w:rsidR="00E42DF8" w:rsidRPr="00092DDC">
              <w:rPr>
                <w:b/>
                <w:szCs w:val="24"/>
                <w:lang w:eastAsia="zh-CN"/>
              </w:rPr>
              <w:t>ADM</w:t>
            </w:r>
            <w:r w:rsidR="000902B8">
              <w:rPr>
                <w:b/>
                <w:szCs w:val="24"/>
                <w:lang w:eastAsia="zh-CN"/>
              </w:rPr>
              <w:t xml:space="preserve"> 7</w:t>
            </w:r>
          </w:p>
        </w:tc>
        <w:tc>
          <w:tcPr>
            <w:tcW w:w="3120" w:type="dxa"/>
          </w:tcPr>
          <w:p w14:paraId="3C109E0A" w14:textId="293701BB" w:rsidR="00700D1F" w:rsidRPr="00092DDC" w:rsidRDefault="00700D1F" w:rsidP="00E2352B">
            <w:pPr>
              <w:tabs>
                <w:tab w:val="left" w:pos="851"/>
              </w:tabs>
              <w:spacing w:before="0"/>
              <w:rPr>
                <w:b/>
                <w:bCs/>
                <w:szCs w:val="24"/>
                <w:lang w:eastAsia="zh-CN"/>
              </w:rPr>
            </w:pPr>
            <w:r w:rsidRPr="00092DDC">
              <w:rPr>
                <w:rFonts w:hint="eastAsia"/>
                <w:b/>
                <w:bCs/>
                <w:szCs w:val="24"/>
                <w:lang w:val="fr-CH" w:eastAsia="zh-CN"/>
              </w:rPr>
              <w:t>文件</w:t>
            </w:r>
            <w:r w:rsidRPr="00092DDC">
              <w:rPr>
                <w:b/>
                <w:bCs/>
                <w:szCs w:val="24"/>
                <w:lang w:eastAsia="zh-CN"/>
              </w:rPr>
              <w:t xml:space="preserve"> C</w:t>
            </w:r>
            <w:r w:rsidR="00325C25" w:rsidRPr="00092DDC">
              <w:rPr>
                <w:b/>
                <w:bCs/>
                <w:szCs w:val="24"/>
                <w:lang w:eastAsia="zh-CN"/>
              </w:rPr>
              <w:t>1</w:t>
            </w:r>
            <w:r w:rsidR="00E8228B" w:rsidRPr="00092DDC">
              <w:rPr>
                <w:b/>
                <w:bCs/>
                <w:szCs w:val="24"/>
                <w:lang w:eastAsia="zh-CN"/>
              </w:rPr>
              <w:t>5</w:t>
            </w:r>
            <w:r w:rsidRPr="00092DDC">
              <w:rPr>
                <w:b/>
                <w:bCs/>
                <w:szCs w:val="24"/>
                <w:lang w:eastAsia="zh-CN"/>
              </w:rPr>
              <w:t>/</w:t>
            </w:r>
            <w:r w:rsidR="00E42DF8" w:rsidRPr="00092DDC">
              <w:rPr>
                <w:b/>
                <w:bCs/>
                <w:szCs w:val="24"/>
                <w:lang w:eastAsia="zh-CN"/>
              </w:rPr>
              <w:t>22</w:t>
            </w:r>
            <w:r w:rsidR="001F3640">
              <w:rPr>
                <w:rFonts w:hint="eastAsia"/>
                <w:b/>
                <w:bCs/>
                <w:szCs w:val="24"/>
                <w:lang w:eastAsia="zh-CN"/>
              </w:rPr>
              <w:t>(Add.2)</w:t>
            </w:r>
            <w:r w:rsidRPr="00092DDC">
              <w:rPr>
                <w:b/>
                <w:bCs/>
                <w:szCs w:val="24"/>
                <w:lang w:eastAsia="zh-CN"/>
              </w:rPr>
              <w:t>-C</w:t>
            </w:r>
          </w:p>
        </w:tc>
      </w:tr>
      <w:bookmarkEnd w:id="1"/>
      <w:tr w:rsidR="00700D1F" w:rsidRPr="00092DDC" w14:paraId="2CC9F4C8" w14:textId="77777777">
        <w:trPr>
          <w:cantSplit/>
          <w:trHeight w:val="23"/>
        </w:trPr>
        <w:tc>
          <w:tcPr>
            <w:tcW w:w="6911" w:type="dxa"/>
            <w:vMerge/>
          </w:tcPr>
          <w:p w14:paraId="5EADC89B" w14:textId="77777777" w:rsidR="00700D1F" w:rsidRPr="00092DDC" w:rsidRDefault="00700D1F" w:rsidP="00E2352B">
            <w:pPr>
              <w:tabs>
                <w:tab w:val="left" w:pos="851"/>
              </w:tabs>
              <w:rPr>
                <w:b/>
                <w:szCs w:val="24"/>
                <w:lang w:eastAsia="zh-CN"/>
              </w:rPr>
            </w:pPr>
          </w:p>
        </w:tc>
        <w:tc>
          <w:tcPr>
            <w:tcW w:w="3120" w:type="dxa"/>
          </w:tcPr>
          <w:p w14:paraId="4BF5B913" w14:textId="4B4AEB72" w:rsidR="00700D1F" w:rsidRPr="00092DDC" w:rsidRDefault="00700D1F" w:rsidP="00E2352B">
            <w:pPr>
              <w:tabs>
                <w:tab w:val="left" w:pos="993"/>
              </w:tabs>
              <w:spacing w:before="0"/>
              <w:rPr>
                <w:b/>
                <w:bCs/>
                <w:szCs w:val="24"/>
                <w:lang w:eastAsia="zh-CN"/>
              </w:rPr>
            </w:pPr>
            <w:r w:rsidRPr="00092DDC">
              <w:rPr>
                <w:b/>
                <w:bCs/>
                <w:szCs w:val="24"/>
                <w:lang w:eastAsia="zh-CN"/>
              </w:rPr>
              <w:t>20</w:t>
            </w:r>
            <w:r w:rsidR="00325C25" w:rsidRPr="00092DDC">
              <w:rPr>
                <w:b/>
                <w:bCs/>
                <w:szCs w:val="24"/>
                <w:lang w:eastAsia="zh-CN"/>
              </w:rPr>
              <w:t>1</w:t>
            </w:r>
            <w:r w:rsidR="00E8228B" w:rsidRPr="00092DDC">
              <w:rPr>
                <w:b/>
                <w:bCs/>
                <w:szCs w:val="24"/>
                <w:lang w:eastAsia="zh-CN"/>
              </w:rPr>
              <w:t>5</w:t>
            </w:r>
            <w:r w:rsidRPr="00092DDC">
              <w:rPr>
                <w:rFonts w:hint="eastAsia"/>
                <w:b/>
                <w:bCs/>
                <w:szCs w:val="24"/>
                <w:lang w:eastAsia="zh-CN"/>
              </w:rPr>
              <w:t>年</w:t>
            </w:r>
            <w:r w:rsidR="00FE1216">
              <w:rPr>
                <w:rFonts w:asciiTheme="minorHAnsi" w:hAnsiTheme="minorHAnsi" w:cstheme="minorHAnsi" w:hint="eastAsia"/>
                <w:b/>
                <w:bCs/>
                <w:szCs w:val="24"/>
                <w:lang w:eastAsia="zh-CN"/>
              </w:rPr>
              <w:t>5</w:t>
            </w:r>
            <w:r w:rsidRPr="00092DDC">
              <w:rPr>
                <w:rFonts w:hint="eastAsia"/>
                <w:b/>
                <w:bCs/>
                <w:szCs w:val="24"/>
                <w:lang w:eastAsia="zh-CN"/>
              </w:rPr>
              <w:t>月</w:t>
            </w:r>
            <w:r w:rsidR="001F3640">
              <w:rPr>
                <w:rFonts w:asciiTheme="minorHAnsi" w:hAnsiTheme="minorHAnsi" w:cstheme="minorHAnsi" w:hint="eastAsia"/>
                <w:b/>
                <w:bCs/>
                <w:szCs w:val="24"/>
                <w:lang w:eastAsia="zh-CN"/>
              </w:rPr>
              <w:t>13</w:t>
            </w:r>
            <w:r w:rsidRPr="00092DDC">
              <w:rPr>
                <w:rFonts w:hint="eastAsia"/>
                <w:b/>
                <w:bCs/>
                <w:szCs w:val="24"/>
                <w:lang w:eastAsia="zh-CN"/>
              </w:rPr>
              <w:t>日</w:t>
            </w:r>
          </w:p>
        </w:tc>
      </w:tr>
      <w:tr w:rsidR="00700D1F" w:rsidRPr="00092DDC" w14:paraId="1AA3B598" w14:textId="77777777">
        <w:trPr>
          <w:cantSplit/>
          <w:trHeight w:val="23"/>
        </w:trPr>
        <w:tc>
          <w:tcPr>
            <w:tcW w:w="6911" w:type="dxa"/>
            <w:vMerge/>
          </w:tcPr>
          <w:p w14:paraId="5AC05F31" w14:textId="77777777" w:rsidR="00700D1F" w:rsidRPr="00092DDC" w:rsidRDefault="00700D1F" w:rsidP="00E2352B">
            <w:pPr>
              <w:tabs>
                <w:tab w:val="left" w:pos="851"/>
              </w:tabs>
              <w:rPr>
                <w:b/>
                <w:szCs w:val="24"/>
                <w:lang w:eastAsia="zh-CN"/>
              </w:rPr>
            </w:pPr>
          </w:p>
        </w:tc>
        <w:tc>
          <w:tcPr>
            <w:tcW w:w="3120" w:type="dxa"/>
          </w:tcPr>
          <w:p w14:paraId="2110C008" w14:textId="77777777" w:rsidR="00700D1F" w:rsidRPr="00092DDC" w:rsidRDefault="00700D1F" w:rsidP="00E2352B">
            <w:pPr>
              <w:tabs>
                <w:tab w:val="left" w:pos="993"/>
              </w:tabs>
              <w:spacing w:before="0"/>
              <w:rPr>
                <w:rFonts w:ascii="SimSun" w:hAnsi="SimSun"/>
                <w:b/>
                <w:bCs/>
                <w:szCs w:val="24"/>
                <w:lang w:eastAsia="zh-CN"/>
              </w:rPr>
            </w:pPr>
            <w:r w:rsidRPr="00092DDC">
              <w:rPr>
                <w:rFonts w:hint="eastAsia"/>
                <w:b/>
                <w:bCs/>
                <w:szCs w:val="24"/>
                <w:lang w:eastAsia="zh-CN"/>
              </w:rPr>
              <w:t>原文：</w:t>
            </w:r>
            <w:r w:rsidR="00F11595" w:rsidRPr="00092DDC">
              <w:rPr>
                <w:rFonts w:hint="eastAsia"/>
                <w:b/>
                <w:bCs/>
                <w:szCs w:val="24"/>
                <w:lang w:eastAsia="zh-CN"/>
              </w:rPr>
              <w:t>英</w:t>
            </w:r>
            <w:r w:rsidRPr="00092DDC">
              <w:rPr>
                <w:rFonts w:hint="eastAsia"/>
                <w:b/>
                <w:bCs/>
                <w:szCs w:val="24"/>
                <w:lang w:eastAsia="zh-CN"/>
              </w:rPr>
              <w:t>文</w:t>
            </w:r>
          </w:p>
        </w:tc>
      </w:tr>
    </w:tbl>
    <w:tbl>
      <w:tblPr>
        <w:tblW w:w="10031" w:type="dxa"/>
        <w:tblLayout w:type="fixed"/>
        <w:tblLook w:val="0000" w:firstRow="0" w:lastRow="0" w:firstColumn="0" w:lastColumn="0" w:noHBand="0" w:noVBand="0"/>
      </w:tblPr>
      <w:tblGrid>
        <w:gridCol w:w="6912"/>
        <w:gridCol w:w="3119"/>
      </w:tblGrid>
      <w:tr w:rsidR="0093362E" w:rsidRPr="00092DDC" w14:paraId="0DA5A4AE" w14:textId="77777777">
        <w:trPr>
          <w:cantSplit/>
        </w:trPr>
        <w:tc>
          <w:tcPr>
            <w:tcW w:w="6912" w:type="dxa"/>
          </w:tcPr>
          <w:p w14:paraId="157A5506" w14:textId="77777777" w:rsidR="0093362E" w:rsidRPr="00092DDC" w:rsidRDefault="0093362E" w:rsidP="00E2352B">
            <w:pPr>
              <w:rPr>
                <w:szCs w:val="24"/>
                <w:lang w:val="fr-CH" w:eastAsia="zh-CN"/>
              </w:rPr>
            </w:pPr>
          </w:p>
        </w:tc>
        <w:tc>
          <w:tcPr>
            <w:tcW w:w="3119" w:type="dxa"/>
          </w:tcPr>
          <w:p w14:paraId="111C81A0" w14:textId="77777777" w:rsidR="0093362E" w:rsidRPr="00092DDC" w:rsidRDefault="0093362E" w:rsidP="00E2352B">
            <w:pPr>
              <w:rPr>
                <w:b/>
                <w:bCs/>
                <w:szCs w:val="24"/>
                <w:lang w:val="fr-CH" w:eastAsia="zh-CN"/>
              </w:rPr>
            </w:pPr>
          </w:p>
        </w:tc>
      </w:tr>
      <w:tr w:rsidR="0093362E" w:rsidRPr="00092DDC" w14:paraId="16C003BE" w14:textId="77777777">
        <w:trPr>
          <w:cantSplit/>
        </w:trPr>
        <w:tc>
          <w:tcPr>
            <w:tcW w:w="10031" w:type="dxa"/>
            <w:gridSpan w:val="2"/>
          </w:tcPr>
          <w:p w14:paraId="26AB5A9D" w14:textId="77777777" w:rsidR="0093362E" w:rsidRPr="00EB4052" w:rsidRDefault="0093362E" w:rsidP="00E2352B">
            <w:pPr>
              <w:pStyle w:val="Source"/>
              <w:rPr>
                <w:lang w:eastAsia="zh-CN"/>
              </w:rPr>
            </w:pPr>
            <w:r w:rsidRPr="00EB4052">
              <w:rPr>
                <w:rFonts w:hint="eastAsia"/>
                <w:lang w:eastAsia="zh-CN"/>
              </w:rPr>
              <w:t>秘书长的报告</w:t>
            </w:r>
          </w:p>
        </w:tc>
      </w:tr>
      <w:tr w:rsidR="0093362E" w:rsidRPr="00092DDC" w14:paraId="722330D5" w14:textId="77777777">
        <w:trPr>
          <w:cantSplit/>
        </w:trPr>
        <w:tc>
          <w:tcPr>
            <w:tcW w:w="10031" w:type="dxa"/>
            <w:gridSpan w:val="2"/>
          </w:tcPr>
          <w:p w14:paraId="5F5C472B" w14:textId="77777777" w:rsidR="0093362E" w:rsidRPr="00683FB8" w:rsidRDefault="00E57E21" w:rsidP="00E2352B">
            <w:pPr>
              <w:pStyle w:val="Title1"/>
              <w:rPr>
                <w:lang w:eastAsia="zh-CN"/>
              </w:rPr>
            </w:pPr>
            <w:r w:rsidRPr="00683FB8">
              <w:rPr>
                <w:rFonts w:hint="eastAsia"/>
                <w:lang w:eastAsia="zh-CN"/>
              </w:rPr>
              <w:t>独立管理顾问委员会（</w:t>
            </w:r>
            <w:r w:rsidRPr="00683FB8">
              <w:rPr>
                <w:rFonts w:hint="eastAsia"/>
                <w:lang w:eastAsia="zh-CN"/>
              </w:rPr>
              <w:t>IMAC</w:t>
            </w:r>
            <w:r w:rsidRPr="00683FB8">
              <w:rPr>
                <w:rFonts w:hint="eastAsia"/>
                <w:lang w:eastAsia="zh-CN"/>
              </w:rPr>
              <w:t>）第四份年度报告</w:t>
            </w:r>
          </w:p>
        </w:tc>
      </w:tr>
      <w:tr w:rsidR="001F3640" w:rsidRPr="00092DDC" w14:paraId="4B195B7D" w14:textId="77777777">
        <w:trPr>
          <w:cantSplit/>
        </w:trPr>
        <w:tc>
          <w:tcPr>
            <w:tcW w:w="10031" w:type="dxa"/>
            <w:gridSpan w:val="2"/>
          </w:tcPr>
          <w:p w14:paraId="28E7439B" w14:textId="53F3C871" w:rsidR="001F3640" w:rsidRPr="001F3640" w:rsidRDefault="001F3640" w:rsidP="00647320">
            <w:pPr>
              <w:pStyle w:val="Title2"/>
              <w:rPr>
                <w:lang w:eastAsia="zh-CN"/>
              </w:rPr>
            </w:pPr>
            <w:r w:rsidRPr="001F3640">
              <w:rPr>
                <w:rFonts w:hint="eastAsia"/>
                <w:lang w:eastAsia="zh-CN"/>
              </w:rPr>
              <w:t>补遗</w:t>
            </w:r>
            <w:r w:rsidRPr="001F3640">
              <w:rPr>
                <w:rFonts w:hint="eastAsia"/>
                <w:lang w:eastAsia="zh-CN"/>
              </w:rPr>
              <w:t>2</w:t>
            </w:r>
            <w:r w:rsidR="00647320">
              <w:rPr>
                <w:rFonts w:hint="eastAsia"/>
                <w:lang w:eastAsia="zh-CN"/>
              </w:rPr>
              <w:t>：</w:t>
            </w:r>
            <w:r w:rsidRPr="001F3640">
              <w:rPr>
                <w:rFonts w:hint="eastAsia"/>
                <w:lang w:eastAsia="zh-CN"/>
              </w:rPr>
              <w:t>内部审计</w:t>
            </w:r>
          </w:p>
        </w:tc>
      </w:tr>
    </w:tbl>
    <w:p w14:paraId="5204F269" w14:textId="77777777" w:rsidR="001F3640" w:rsidRDefault="001F3640" w:rsidP="00E2352B">
      <w:pPr>
        <w:pStyle w:val="Header"/>
        <w:tabs>
          <w:tab w:val="left" w:pos="1418"/>
        </w:tabs>
        <w:ind w:left="-180"/>
        <w:rPr>
          <w:rFonts w:cs="Arial"/>
          <w:color w:val="000000"/>
          <w:sz w:val="24"/>
          <w:szCs w:val="24"/>
        </w:rPr>
      </w:pPr>
    </w:p>
    <w:tbl>
      <w:tblPr>
        <w:tblW w:w="892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5"/>
      </w:tblGrid>
      <w:tr w:rsidR="001F3640" w:rsidRPr="004D67F9" w14:paraId="2AA3FFA1" w14:textId="77777777" w:rsidTr="00E2352B">
        <w:trPr>
          <w:trHeight w:val="3372"/>
        </w:trPr>
        <w:tc>
          <w:tcPr>
            <w:tcW w:w="8925" w:type="dxa"/>
            <w:tcBorders>
              <w:top w:val="single" w:sz="12" w:space="0" w:color="auto"/>
              <w:left w:val="single" w:sz="12" w:space="0" w:color="auto"/>
              <w:bottom w:val="single" w:sz="12" w:space="0" w:color="auto"/>
              <w:right w:val="single" w:sz="12" w:space="0" w:color="auto"/>
            </w:tcBorders>
            <w:hideMark/>
          </w:tcPr>
          <w:p w14:paraId="4B3637A4" w14:textId="77777777" w:rsidR="004D67F9" w:rsidRPr="001924D3" w:rsidRDefault="004D67F9" w:rsidP="00E2352B">
            <w:pPr>
              <w:pStyle w:val="Headingb"/>
              <w:rPr>
                <w:rFonts w:asciiTheme="minorHAnsi" w:hAnsiTheme="minorHAnsi"/>
                <w:szCs w:val="24"/>
                <w:lang w:val="en-US" w:eastAsia="zh-CN"/>
              </w:rPr>
            </w:pPr>
            <w:r w:rsidRPr="001924D3">
              <w:rPr>
                <w:rFonts w:asciiTheme="minorHAnsi" w:hAnsiTheme="minorHAnsi" w:hint="eastAsia"/>
                <w:szCs w:val="24"/>
                <w:lang w:val="fr-FR" w:eastAsia="zh-CN"/>
              </w:rPr>
              <w:t>概</w:t>
            </w:r>
            <w:r w:rsidRPr="001924D3">
              <w:rPr>
                <w:rFonts w:asciiTheme="minorHAnsi" w:hAnsiTheme="minorHAnsi" w:hint="eastAsia"/>
                <w:szCs w:val="24"/>
                <w:lang w:eastAsia="zh-CN"/>
              </w:rPr>
              <w:t>要</w:t>
            </w:r>
          </w:p>
          <w:p w14:paraId="55799AC4" w14:textId="1784740B" w:rsidR="001F3640" w:rsidRPr="001924D3" w:rsidRDefault="004930E4" w:rsidP="00E2352B">
            <w:pPr>
              <w:tabs>
                <w:tab w:val="left" w:pos="567"/>
                <w:tab w:val="left" w:pos="1134"/>
                <w:tab w:val="left" w:pos="1701"/>
                <w:tab w:val="left" w:pos="2268"/>
                <w:tab w:val="left" w:pos="2835"/>
              </w:tabs>
              <w:spacing w:after="120"/>
              <w:rPr>
                <w:rFonts w:cs="SimSun"/>
                <w:szCs w:val="24"/>
                <w:lang w:eastAsia="zh-CN" w:bidi="en-US"/>
              </w:rPr>
            </w:pPr>
            <w:r w:rsidRPr="001924D3">
              <w:rPr>
                <w:rFonts w:cs="SimSun"/>
                <w:szCs w:val="24"/>
                <w:lang w:eastAsia="zh-CN" w:bidi="en-US"/>
              </w:rPr>
              <w:t>本文件介绍了</w:t>
            </w:r>
            <w:r w:rsidRPr="001924D3">
              <w:rPr>
                <w:rFonts w:cs="SimSun" w:hint="eastAsia"/>
                <w:szCs w:val="24"/>
                <w:lang w:eastAsia="zh-CN" w:bidi="en-US"/>
              </w:rPr>
              <w:t>IMAC</w:t>
            </w:r>
            <w:r w:rsidRPr="001924D3">
              <w:rPr>
                <w:rFonts w:cs="SimSun" w:hint="eastAsia"/>
                <w:szCs w:val="24"/>
                <w:lang w:eastAsia="zh-CN" w:bidi="en-US"/>
              </w:rPr>
              <w:t>第四份年度报告的补遗，内容与之前</w:t>
            </w:r>
            <w:r w:rsidRPr="001924D3">
              <w:rPr>
                <w:rFonts w:cs="SimSun"/>
                <w:szCs w:val="24"/>
                <w:lang w:eastAsia="zh-CN" w:bidi="en-US"/>
              </w:rPr>
              <w:t>IMAC</w:t>
            </w:r>
            <w:r w:rsidRPr="001924D3">
              <w:rPr>
                <w:rFonts w:cs="SimSun"/>
                <w:szCs w:val="24"/>
                <w:lang w:eastAsia="zh-CN" w:bidi="en-US"/>
              </w:rPr>
              <w:t>建议的</w:t>
            </w:r>
            <w:r w:rsidRPr="001924D3">
              <w:rPr>
                <w:rFonts w:cs="SimSun" w:hint="eastAsia"/>
                <w:szCs w:val="24"/>
                <w:lang w:eastAsia="zh-CN" w:bidi="en-US"/>
              </w:rPr>
              <w:t>国际电联内部审计职能的外部独立评估结果有关。</w:t>
            </w:r>
            <w:r w:rsidR="00E2352B">
              <w:rPr>
                <w:rFonts w:cs="SimSun" w:hint="eastAsia"/>
                <w:szCs w:val="24"/>
                <w:lang w:eastAsia="zh-CN" w:bidi="en-US"/>
              </w:rPr>
              <w:t>进行</w:t>
            </w:r>
            <w:r w:rsidRPr="001924D3">
              <w:rPr>
                <w:rFonts w:cs="SimSun"/>
                <w:szCs w:val="24"/>
                <w:lang w:eastAsia="zh-CN" w:bidi="en-US"/>
              </w:rPr>
              <w:t>评估的外部审核员</w:t>
            </w:r>
            <w:r w:rsidRPr="00A57442">
              <w:rPr>
                <w:rFonts w:cs="SimSun" w:hint="eastAsia"/>
                <w:szCs w:val="24"/>
                <w:lang w:eastAsia="zh-CN" w:bidi="en-US"/>
              </w:rPr>
              <w:t>的报告通过</w:t>
            </w:r>
            <w:r w:rsidRPr="001924D3">
              <w:rPr>
                <w:rFonts w:cs="SimSun"/>
                <w:szCs w:val="24"/>
                <w:lang w:eastAsia="zh-CN" w:bidi="en-US"/>
              </w:rPr>
              <w:t>C15/INF/11-E</w:t>
            </w:r>
            <w:r w:rsidRPr="001924D3">
              <w:rPr>
                <w:rFonts w:cs="SimSun"/>
                <w:szCs w:val="24"/>
                <w:lang w:eastAsia="zh-CN" w:bidi="en-US"/>
              </w:rPr>
              <w:t>号文件另行提交理事会，</w:t>
            </w:r>
            <w:r w:rsidRPr="001924D3">
              <w:rPr>
                <w:rFonts w:cs="SimSun" w:hint="eastAsia"/>
                <w:szCs w:val="24"/>
                <w:lang w:eastAsia="zh-CN" w:bidi="en-US"/>
              </w:rPr>
              <w:t>而</w:t>
            </w:r>
            <w:r w:rsidRPr="001924D3">
              <w:rPr>
                <w:rFonts w:cs="SimSun"/>
                <w:szCs w:val="24"/>
                <w:lang w:eastAsia="zh-CN" w:bidi="en-US"/>
              </w:rPr>
              <w:t>IMAC</w:t>
            </w:r>
            <w:r w:rsidRPr="001924D3">
              <w:rPr>
                <w:rFonts w:cs="SimSun" w:hint="eastAsia"/>
                <w:szCs w:val="24"/>
                <w:lang w:eastAsia="zh-CN" w:bidi="en-US"/>
              </w:rPr>
              <w:t>第四份年度报告的</w:t>
            </w:r>
            <w:r w:rsidRPr="001924D3">
              <w:rPr>
                <w:rFonts w:cs="SimSun"/>
                <w:szCs w:val="24"/>
                <w:lang w:eastAsia="zh-CN" w:bidi="en-US"/>
              </w:rPr>
              <w:t>本补遗</w:t>
            </w:r>
            <w:r w:rsidRPr="001924D3">
              <w:rPr>
                <w:rFonts w:cs="SimSun" w:hint="eastAsia"/>
                <w:szCs w:val="24"/>
                <w:lang w:eastAsia="zh-CN" w:bidi="en-US"/>
              </w:rPr>
              <w:t>则</w:t>
            </w:r>
            <w:r w:rsidRPr="001924D3">
              <w:rPr>
                <w:rFonts w:cs="SimSun"/>
                <w:szCs w:val="24"/>
                <w:lang w:eastAsia="zh-CN" w:bidi="en-US"/>
              </w:rPr>
              <w:t>向理事会提供</w:t>
            </w:r>
            <w:r w:rsidR="001F3640" w:rsidRPr="001924D3">
              <w:rPr>
                <w:rFonts w:cs="SimSun"/>
                <w:szCs w:val="24"/>
                <w:lang w:eastAsia="zh-CN" w:bidi="en-US"/>
              </w:rPr>
              <w:t>IMAC</w:t>
            </w:r>
            <w:r w:rsidRPr="001924D3">
              <w:rPr>
                <w:rFonts w:cs="SimSun"/>
                <w:szCs w:val="24"/>
                <w:lang w:eastAsia="zh-CN" w:bidi="en-US"/>
              </w:rPr>
              <w:t>有关评估结果的意见和建议。</w:t>
            </w:r>
          </w:p>
          <w:p w14:paraId="35333469" w14:textId="6732E307" w:rsidR="001F3640" w:rsidRPr="001924D3" w:rsidRDefault="001F3640" w:rsidP="00E2352B">
            <w:pPr>
              <w:tabs>
                <w:tab w:val="left" w:pos="567"/>
                <w:tab w:val="left" w:pos="1134"/>
                <w:tab w:val="left" w:pos="1701"/>
                <w:tab w:val="left" w:pos="2268"/>
                <w:tab w:val="left" w:pos="2835"/>
              </w:tabs>
              <w:spacing w:after="120"/>
              <w:rPr>
                <w:rFonts w:cs="SimSun"/>
                <w:szCs w:val="24"/>
                <w:lang w:eastAsia="zh-CN" w:bidi="en-US"/>
              </w:rPr>
            </w:pPr>
            <w:r w:rsidRPr="001924D3">
              <w:rPr>
                <w:rFonts w:cs="SimSun"/>
                <w:szCs w:val="24"/>
                <w:lang w:eastAsia="zh-CN" w:bidi="en-US"/>
              </w:rPr>
              <w:t>IMAC</w:t>
            </w:r>
            <w:r w:rsidR="004930E4" w:rsidRPr="001924D3">
              <w:rPr>
                <w:rFonts w:cs="SimSun"/>
                <w:szCs w:val="24"/>
                <w:lang w:eastAsia="zh-CN" w:bidi="en-US"/>
              </w:rPr>
              <w:t>赞同</w:t>
            </w:r>
            <w:r w:rsidR="001924D3" w:rsidRPr="001924D3">
              <w:rPr>
                <w:rFonts w:cs="SimSun" w:hint="eastAsia"/>
                <w:szCs w:val="24"/>
                <w:lang w:eastAsia="zh-CN" w:bidi="en-US"/>
              </w:rPr>
              <w:t>外部审核员报告中的结果并</w:t>
            </w:r>
            <w:r w:rsidR="00E2352B">
              <w:rPr>
                <w:rFonts w:cs="SimSun" w:hint="eastAsia"/>
                <w:szCs w:val="24"/>
                <w:lang w:eastAsia="zh-CN" w:bidi="en-US"/>
              </w:rPr>
              <w:t>提议</w:t>
            </w:r>
            <w:r w:rsidR="001924D3" w:rsidRPr="001924D3">
              <w:rPr>
                <w:rFonts w:cs="SimSun" w:hint="eastAsia"/>
                <w:szCs w:val="24"/>
                <w:lang w:eastAsia="zh-CN" w:bidi="en-US"/>
              </w:rPr>
              <w:t>理事会注意这些结果。</w:t>
            </w:r>
            <w:r w:rsidR="00DE2B78">
              <w:rPr>
                <w:rFonts w:cs="SimSun"/>
                <w:szCs w:val="24"/>
                <w:lang w:eastAsia="zh-CN" w:bidi="en-US"/>
              </w:rPr>
              <w:t>IMAC</w:t>
            </w:r>
            <w:r w:rsidR="00DE2B78">
              <w:rPr>
                <w:rFonts w:cs="SimSun" w:hint="eastAsia"/>
                <w:b/>
                <w:bCs/>
                <w:szCs w:val="24"/>
                <w:lang w:eastAsia="zh-CN" w:bidi="en-US"/>
              </w:rPr>
              <w:t>建议</w:t>
            </w:r>
            <w:r w:rsidR="00DE2B78">
              <w:rPr>
                <w:rFonts w:cs="SimSun" w:hint="eastAsia"/>
                <w:szCs w:val="24"/>
                <w:lang w:eastAsia="zh-CN" w:bidi="en-US"/>
              </w:rPr>
              <w:t>理事会通过内部审计员</w:t>
            </w:r>
            <w:r w:rsidR="00E2352B">
              <w:rPr>
                <w:rFonts w:cs="SimSun" w:hint="eastAsia"/>
                <w:szCs w:val="24"/>
                <w:lang w:eastAsia="zh-CN" w:bidi="en-US"/>
              </w:rPr>
              <w:t>对</w:t>
            </w:r>
            <w:r w:rsidR="00DE2B78">
              <w:rPr>
                <w:rFonts w:cs="SimSun" w:hint="eastAsia"/>
                <w:szCs w:val="24"/>
                <w:lang w:eastAsia="zh-CN" w:bidi="en-US"/>
              </w:rPr>
              <w:t>内部审计活动</w:t>
            </w:r>
            <w:r w:rsidR="00E2352B">
              <w:rPr>
                <w:rFonts w:cs="SimSun" w:hint="eastAsia"/>
                <w:szCs w:val="24"/>
                <w:lang w:eastAsia="zh-CN" w:bidi="en-US"/>
              </w:rPr>
              <w:t>进行</w:t>
            </w:r>
            <w:r w:rsidR="00E2352B">
              <w:rPr>
                <w:rFonts w:cs="SimSun"/>
                <w:szCs w:val="24"/>
                <w:lang w:eastAsia="zh-CN" w:bidi="en-US"/>
              </w:rPr>
              <w:t>年度报告</w:t>
            </w:r>
            <w:r w:rsidR="00DE2B78">
              <w:rPr>
                <w:rFonts w:cs="SimSun" w:hint="eastAsia"/>
                <w:szCs w:val="24"/>
                <w:lang w:eastAsia="zh-CN" w:bidi="en-US"/>
              </w:rPr>
              <w:t>的机制请秘书长和内部审计员向理事会</w:t>
            </w:r>
            <w:r w:rsidR="00DE2B78">
              <w:rPr>
                <w:rFonts w:cs="SimSun"/>
                <w:szCs w:val="24"/>
                <w:lang w:eastAsia="zh-CN" w:bidi="en-US"/>
              </w:rPr>
              <w:t>2016</w:t>
            </w:r>
            <w:r w:rsidR="00DE2B78">
              <w:rPr>
                <w:rFonts w:cs="SimSun" w:hint="eastAsia"/>
                <w:szCs w:val="24"/>
                <w:lang w:eastAsia="zh-CN" w:bidi="en-US"/>
              </w:rPr>
              <w:t>年会</w:t>
            </w:r>
            <w:r w:rsidR="00DE2B78">
              <w:rPr>
                <w:rFonts w:cs="SimSun" w:hint="eastAsia"/>
                <w:szCs w:val="24"/>
                <w:lang w:eastAsia="zh-CN" w:bidi="en-US"/>
              </w:rPr>
              <w:lastRenderedPageBreak/>
              <w:t>议做出报告，并在之后的理事会会议上介绍针对外部独立审核员有关国际电联内部审计活动报告中所含九项建议中的每一项建议采取的行动以及进展。</w:t>
            </w:r>
          </w:p>
          <w:p w14:paraId="7C29F39C" w14:textId="77777777" w:rsidR="004D67F9" w:rsidRPr="001924D3" w:rsidRDefault="004D67F9" w:rsidP="00E2352B">
            <w:pPr>
              <w:pStyle w:val="Headingb"/>
              <w:rPr>
                <w:rFonts w:asciiTheme="minorHAnsi" w:hAnsiTheme="minorHAnsi"/>
                <w:szCs w:val="24"/>
                <w:lang w:val="fr-FR" w:eastAsia="zh-CN"/>
              </w:rPr>
            </w:pPr>
            <w:r w:rsidRPr="001924D3">
              <w:rPr>
                <w:rFonts w:asciiTheme="minorHAnsi" w:hAnsiTheme="minorHAnsi" w:hint="eastAsia"/>
                <w:szCs w:val="24"/>
                <w:lang w:eastAsia="zh-CN"/>
              </w:rPr>
              <w:t>需采取的行动</w:t>
            </w:r>
          </w:p>
          <w:p w14:paraId="21DBA84C" w14:textId="19553351" w:rsidR="001924D3" w:rsidRPr="001924D3" w:rsidRDefault="001924D3" w:rsidP="00E2352B">
            <w:pPr>
              <w:ind w:firstLineChars="200" w:firstLine="480"/>
              <w:rPr>
                <w:szCs w:val="24"/>
                <w:lang w:val="fr-FR" w:eastAsia="zh-CN"/>
              </w:rPr>
            </w:pPr>
            <w:r w:rsidRPr="001924D3">
              <w:rPr>
                <w:rFonts w:hint="eastAsia"/>
                <w:szCs w:val="24"/>
                <w:lang w:val="fr-FR" w:eastAsia="zh-CN"/>
              </w:rPr>
              <w:t>请理事会</w:t>
            </w:r>
            <w:r w:rsidRPr="00E2352B">
              <w:rPr>
                <w:rFonts w:hint="eastAsia"/>
                <w:b/>
                <w:bCs/>
                <w:szCs w:val="24"/>
                <w:lang w:val="fr-FR" w:eastAsia="zh-CN"/>
              </w:rPr>
              <w:t>赞同</w:t>
            </w:r>
            <w:r>
              <w:rPr>
                <w:rFonts w:cs="SimSun"/>
                <w:szCs w:val="24"/>
                <w:lang w:eastAsia="zh-CN" w:bidi="en-US"/>
              </w:rPr>
              <w:t>IMAC</w:t>
            </w:r>
            <w:r>
              <w:rPr>
                <w:rFonts w:cs="SimSun" w:hint="eastAsia"/>
                <w:szCs w:val="24"/>
                <w:lang w:eastAsia="zh-CN" w:bidi="en-US"/>
              </w:rPr>
              <w:t>第四份年度报告的补遗和</w:t>
            </w:r>
            <w:r w:rsidRPr="001924D3">
              <w:rPr>
                <w:rFonts w:cs="SimSun"/>
                <w:szCs w:val="24"/>
                <w:lang w:eastAsia="zh-CN" w:bidi="en-US"/>
              </w:rPr>
              <w:t>IMAC</w:t>
            </w:r>
            <w:r>
              <w:rPr>
                <w:rFonts w:cs="SimSun"/>
                <w:szCs w:val="24"/>
                <w:lang w:eastAsia="zh-CN" w:bidi="en-US"/>
              </w:rPr>
              <w:t>的建议</w:t>
            </w:r>
            <w:r w:rsidRPr="001924D3">
              <w:rPr>
                <w:rFonts w:hint="eastAsia"/>
                <w:szCs w:val="24"/>
                <w:lang w:val="fr-FR" w:eastAsia="zh-CN"/>
              </w:rPr>
              <w:t>。</w:t>
            </w:r>
          </w:p>
          <w:p w14:paraId="7421D428" w14:textId="77777777" w:rsidR="001F3640" w:rsidRPr="004D67F9" w:rsidRDefault="001F3640" w:rsidP="00E2352B">
            <w:pPr>
              <w:tabs>
                <w:tab w:val="left" w:pos="567"/>
                <w:tab w:val="left" w:pos="1134"/>
                <w:tab w:val="left" w:pos="1701"/>
                <w:tab w:val="left" w:pos="2268"/>
                <w:tab w:val="left" w:pos="2835"/>
              </w:tabs>
              <w:spacing w:after="120"/>
              <w:jc w:val="center"/>
              <w:rPr>
                <w:rFonts w:cs="SimSun"/>
                <w:caps/>
                <w:szCs w:val="24"/>
                <w:lang w:eastAsia="zh-CN" w:bidi="en-US"/>
              </w:rPr>
            </w:pPr>
            <w:r w:rsidRPr="004D67F9">
              <w:rPr>
                <w:rFonts w:cs="SimSun"/>
                <w:caps/>
                <w:szCs w:val="24"/>
                <w:lang w:eastAsia="zh-CN" w:bidi="en-US"/>
              </w:rPr>
              <w:t>____________</w:t>
            </w:r>
          </w:p>
          <w:p w14:paraId="340DA111" w14:textId="77777777" w:rsidR="004D67F9" w:rsidRDefault="004D67F9" w:rsidP="00E2352B">
            <w:pPr>
              <w:pStyle w:val="Headingb"/>
              <w:rPr>
                <w:lang w:eastAsia="zh-CN"/>
              </w:rPr>
            </w:pPr>
            <w:r>
              <w:rPr>
                <w:rFonts w:hint="eastAsia"/>
                <w:lang w:eastAsia="zh-CN"/>
              </w:rPr>
              <w:t>参考文件</w:t>
            </w:r>
          </w:p>
          <w:p w14:paraId="17BF8D7F" w14:textId="5F1E0D1E" w:rsidR="001F3640" w:rsidRPr="004D67F9" w:rsidRDefault="001F3640" w:rsidP="00647320">
            <w:pPr>
              <w:pStyle w:val="Headingb"/>
              <w:keepNext w:val="0"/>
              <w:keepLines w:val="0"/>
              <w:overflowPunct w:val="0"/>
              <w:autoSpaceDE w:val="0"/>
              <w:autoSpaceDN w:val="0"/>
              <w:adjustRightInd w:val="0"/>
              <w:spacing w:before="120"/>
              <w:ind w:right="48"/>
              <w:textAlignment w:val="baseline"/>
              <w:rPr>
                <w:b w:val="0"/>
                <w:bCs/>
                <w:i/>
                <w:iCs/>
                <w:szCs w:val="24"/>
                <w:lang w:eastAsia="zh-CN"/>
              </w:rPr>
            </w:pPr>
            <w:r w:rsidRPr="004D67F9">
              <w:rPr>
                <w:rFonts w:ascii="STKaiti" w:eastAsia="STKaiti" w:hAnsi="STKaiti" w:cs="SimSun"/>
                <w:b w:val="0"/>
                <w:szCs w:val="24"/>
                <w:lang w:eastAsia="zh-CN" w:bidi="en-US"/>
              </w:rPr>
              <w:t>C15/22</w:t>
            </w:r>
            <w:r w:rsidR="004D67F9" w:rsidRPr="004D67F9">
              <w:rPr>
                <w:rFonts w:ascii="STKaiti" w:eastAsia="STKaiti" w:hAnsi="STKaiti" w:cs="SimSun" w:hint="eastAsia"/>
                <w:b w:val="0"/>
                <w:szCs w:val="24"/>
                <w:lang w:eastAsia="zh-CN" w:bidi="en-US"/>
              </w:rPr>
              <w:t>号文件：</w:t>
            </w:r>
            <w:r w:rsidR="004D67F9" w:rsidRPr="004D67F9">
              <w:rPr>
                <w:rFonts w:ascii="STKaiti" w:eastAsia="STKaiti" w:hAnsi="STKaiti" w:cs="SimSun"/>
                <w:b w:val="0"/>
                <w:szCs w:val="24"/>
                <w:lang w:eastAsia="zh-CN" w:bidi="en-US"/>
              </w:rPr>
              <w:t>IMAC</w:t>
            </w:r>
            <w:r w:rsidR="004D67F9">
              <w:rPr>
                <w:rFonts w:ascii="STKaiti" w:eastAsia="STKaiti" w:hAnsi="STKaiti" w:cs="SimSun" w:hint="eastAsia"/>
                <w:b w:val="0"/>
                <w:szCs w:val="24"/>
                <w:lang w:eastAsia="zh-CN" w:bidi="en-US"/>
              </w:rPr>
              <w:t>提交理事会的</w:t>
            </w:r>
            <w:r w:rsidR="004D67F9" w:rsidRPr="004D67F9">
              <w:rPr>
                <w:rFonts w:ascii="STKaiti" w:eastAsia="STKaiti" w:hAnsi="STKaiti" w:cs="SimSun" w:hint="eastAsia"/>
                <w:b w:val="0"/>
                <w:szCs w:val="24"/>
                <w:lang w:eastAsia="zh-CN" w:bidi="en-US"/>
              </w:rPr>
              <w:t>第四份年度报告</w:t>
            </w:r>
            <w:r w:rsidR="004D67F9">
              <w:rPr>
                <w:rFonts w:ascii="STKaiti" w:eastAsia="STKaiti" w:hAnsi="STKaiti" w:cs="SimSun" w:hint="eastAsia"/>
                <w:b w:val="0"/>
                <w:szCs w:val="24"/>
                <w:lang w:eastAsia="zh-CN" w:bidi="en-US"/>
              </w:rPr>
              <w:t>；</w:t>
            </w:r>
            <w:r w:rsidRPr="00E2352B">
              <w:rPr>
                <w:rFonts w:ascii="STKaiti" w:eastAsia="STKaiti" w:hAnsi="STKaiti" w:cs="SimSun"/>
                <w:b w:val="0"/>
                <w:szCs w:val="24"/>
                <w:lang w:eastAsia="zh-CN" w:bidi="en-US"/>
              </w:rPr>
              <w:t>C15/INF/11-E</w:t>
            </w:r>
            <w:r w:rsidR="004D67F9">
              <w:rPr>
                <w:rFonts w:ascii="STKaiti" w:eastAsia="STKaiti" w:hAnsi="STKaiti" w:cs="SimSun" w:hint="eastAsia"/>
                <w:b w:val="0"/>
                <w:szCs w:val="24"/>
                <w:lang w:eastAsia="zh-CN" w:bidi="en-US"/>
              </w:rPr>
              <w:t>号文件：</w:t>
            </w:r>
            <w:r w:rsidR="004D67F9" w:rsidRPr="004D67F9">
              <w:rPr>
                <w:rFonts w:ascii="STKaiti" w:eastAsia="STKaiti" w:hAnsi="STKaiti" w:cs="SimSun"/>
                <w:b w:val="0"/>
                <w:szCs w:val="24"/>
                <w:lang w:eastAsia="zh-CN" w:bidi="en-US"/>
              </w:rPr>
              <w:t>IMAC</w:t>
            </w:r>
            <w:r w:rsidR="004D67F9" w:rsidRPr="004D67F9">
              <w:rPr>
                <w:rFonts w:ascii="STKaiti" w:eastAsia="STKaiti" w:hAnsi="STKaiti" w:cs="SimSun" w:hint="eastAsia"/>
                <w:b w:val="0"/>
                <w:szCs w:val="24"/>
                <w:lang w:eastAsia="zh-CN" w:bidi="en-US"/>
              </w:rPr>
              <w:t>各项建议的落实</w:t>
            </w:r>
          </w:p>
        </w:tc>
      </w:tr>
    </w:tbl>
    <w:p w14:paraId="709289B2" w14:textId="77777777" w:rsidR="001F3640" w:rsidRDefault="001F3640" w:rsidP="00E2352B">
      <w:pPr>
        <w:pStyle w:val="Header"/>
        <w:tabs>
          <w:tab w:val="left" w:pos="1418"/>
        </w:tabs>
        <w:ind w:left="-180"/>
        <w:rPr>
          <w:rFonts w:cs="Arial"/>
          <w:color w:val="000000"/>
          <w:sz w:val="24"/>
          <w:szCs w:val="24"/>
          <w:lang w:val="en-US" w:eastAsia="zh-CN"/>
        </w:rPr>
      </w:pPr>
    </w:p>
    <w:p w14:paraId="40B95312" w14:textId="766EE578" w:rsidR="001F3640" w:rsidRDefault="00E2352B" w:rsidP="00E2352B">
      <w:pPr>
        <w:tabs>
          <w:tab w:val="clear" w:pos="794"/>
          <w:tab w:val="clear" w:pos="1191"/>
          <w:tab w:val="clear" w:pos="1588"/>
          <w:tab w:val="clear" w:pos="1985"/>
          <w:tab w:val="left" w:pos="851"/>
          <w:tab w:val="left" w:pos="1701"/>
          <w:tab w:val="left" w:pos="2268"/>
          <w:tab w:val="left" w:pos="2835"/>
        </w:tabs>
        <w:overflowPunct/>
        <w:adjustRightInd/>
        <w:spacing w:after="120"/>
        <w:textAlignment w:val="auto"/>
        <w:rPr>
          <w:rFonts w:cs="SimSun"/>
          <w:szCs w:val="24"/>
          <w:lang w:eastAsia="zh-CN" w:bidi="en-US"/>
        </w:rPr>
      </w:pPr>
      <w:r>
        <w:rPr>
          <w:rFonts w:cs="SimSun"/>
          <w:szCs w:val="24"/>
          <w:lang w:val="en-US" w:eastAsia="zh-CN" w:bidi="en-US"/>
        </w:rPr>
        <w:lastRenderedPageBreak/>
        <w:t>1</w:t>
      </w:r>
      <w:r>
        <w:rPr>
          <w:rFonts w:cs="SimSun"/>
          <w:szCs w:val="24"/>
          <w:lang w:val="en-US" w:eastAsia="zh-CN" w:bidi="en-US"/>
        </w:rPr>
        <w:tab/>
      </w:r>
      <w:r w:rsidR="001F3640">
        <w:rPr>
          <w:rFonts w:cs="SimSun"/>
          <w:szCs w:val="24"/>
          <w:lang w:eastAsia="zh-CN" w:bidi="en-US"/>
        </w:rPr>
        <w:t>IMAC</w:t>
      </w:r>
      <w:r w:rsidR="001924D3">
        <w:rPr>
          <w:rFonts w:cs="SimSun" w:hint="eastAsia"/>
          <w:szCs w:val="24"/>
          <w:lang w:eastAsia="zh-CN" w:bidi="en-US"/>
        </w:rPr>
        <w:t xml:space="preserve"> </w:t>
      </w:r>
      <w:r w:rsidR="001924D3">
        <w:rPr>
          <w:rFonts w:cs="SimSun"/>
          <w:szCs w:val="24"/>
          <w:lang w:eastAsia="zh-CN" w:bidi="en-US"/>
        </w:rPr>
        <w:t>2015</w:t>
      </w:r>
      <w:r w:rsidR="001924D3">
        <w:rPr>
          <w:rFonts w:cs="SimSun"/>
          <w:szCs w:val="24"/>
          <w:lang w:eastAsia="zh-CN" w:bidi="en-US"/>
        </w:rPr>
        <w:t>年度报告第</w:t>
      </w:r>
      <w:r w:rsidR="001924D3">
        <w:rPr>
          <w:rFonts w:cs="SimSun"/>
          <w:szCs w:val="24"/>
          <w:lang w:eastAsia="zh-CN" w:bidi="en-US"/>
        </w:rPr>
        <w:t>3.10</w:t>
      </w:r>
      <w:r w:rsidR="001924D3">
        <w:rPr>
          <w:rFonts w:cs="SimSun"/>
          <w:szCs w:val="24"/>
          <w:lang w:eastAsia="zh-CN" w:bidi="en-US"/>
        </w:rPr>
        <w:t>段注意到，</w:t>
      </w:r>
      <w:r>
        <w:rPr>
          <w:rFonts w:cs="SimSun" w:hint="eastAsia"/>
          <w:szCs w:val="24"/>
          <w:lang w:eastAsia="zh-CN" w:bidi="en-US"/>
        </w:rPr>
        <w:t>根据</w:t>
      </w:r>
      <w:r w:rsidR="001F3640">
        <w:rPr>
          <w:rFonts w:cs="SimSun"/>
          <w:szCs w:val="24"/>
          <w:lang w:eastAsia="zh-CN" w:bidi="en-US"/>
        </w:rPr>
        <w:t>IMAC</w:t>
      </w:r>
      <w:r w:rsidR="00D20BBF">
        <w:rPr>
          <w:rFonts w:cs="SimSun" w:hint="eastAsia"/>
          <w:szCs w:val="24"/>
          <w:lang w:eastAsia="zh-CN" w:bidi="en-US"/>
        </w:rPr>
        <w:t>之前</w:t>
      </w:r>
      <w:r>
        <w:rPr>
          <w:rFonts w:cs="SimSun" w:hint="eastAsia"/>
          <w:szCs w:val="24"/>
          <w:lang w:eastAsia="zh-CN" w:bidi="en-US"/>
        </w:rPr>
        <w:t>的</w:t>
      </w:r>
      <w:r w:rsidR="00D20BBF">
        <w:rPr>
          <w:rFonts w:cs="SimSun" w:hint="eastAsia"/>
          <w:szCs w:val="24"/>
          <w:lang w:eastAsia="zh-CN" w:bidi="en-US"/>
        </w:rPr>
        <w:t>建议和意见，</w:t>
      </w:r>
      <w:r>
        <w:rPr>
          <w:rFonts w:cs="SimSun" w:hint="eastAsia"/>
          <w:szCs w:val="24"/>
          <w:lang w:eastAsia="zh-CN" w:bidi="en-US"/>
        </w:rPr>
        <w:t>按照</w:t>
      </w:r>
      <w:r w:rsidR="00A57442">
        <w:rPr>
          <w:rFonts w:cs="SimSun" w:hint="eastAsia"/>
          <w:szCs w:val="24"/>
          <w:lang w:eastAsia="zh-CN" w:bidi="en-US"/>
        </w:rPr>
        <w:t>内部审计员</w:t>
      </w:r>
      <w:r>
        <w:rPr>
          <w:rFonts w:cs="SimSun" w:hint="eastAsia"/>
          <w:szCs w:val="24"/>
          <w:lang w:eastAsia="zh-CN" w:bidi="en-US"/>
        </w:rPr>
        <w:t>机构</w:t>
      </w:r>
      <w:r w:rsidR="00A57442">
        <w:rPr>
          <w:rFonts w:cs="SimSun" w:hint="eastAsia"/>
          <w:szCs w:val="24"/>
          <w:lang w:eastAsia="zh-CN" w:bidi="en-US"/>
        </w:rPr>
        <w:t>（相关专业机构）所批准的职业做法由外部从业者对国际电联内部审计职能进行了外部审核。本补遗向理事会报告外部审议程序的结果。</w:t>
      </w:r>
    </w:p>
    <w:p w14:paraId="20B4B87A" w14:textId="6C20C1AF" w:rsidR="001F3640" w:rsidRDefault="00E2352B" w:rsidP="004C43F4">
      <w:pPr>
        <w:tabs>
          <w:tab w:val="clear" w:pos="794"/>
          <w:tab w:val="clear" w:pos="1191"/>
          <w:tab w:val="clear" w:pos="1588"/>
          <w:tab w:val="clear" w:pos="1985"/>
          <w:tab w:val="left" w:pos="851"/>
          <w:tab w:val="left" w:pos="1701"/>
          <w:tab w:val="left" w:pos="2268"/>
          <w:tab w:val="left" w:pos="2835"/>
        </w:tabs>
        <w:overflowPunct/>
        <w:adjustRightInd/>
        <w:spacing w:after="120"/>
        <w:textAlignment w:val="auto"/>
        <w:rPr>
          <w:rFonts w:cs="SimSun"/>
          <w:szCs w:val="24"/>
          <w:lang w:eastAsia="zh-CN" w:bidi="en-US"/>
        </w:rPr>
      </w:pPr>
      <w:r>
        <w:rPr>
          <w:rFonts w:cs="SimSun" w:hint="eastAsia"/>
          <w:szCs w:val="24"/>
          <w:lang w:eastAsia="zh-CN" w:bidi="en-US"/>
        </w:rPr>
        <w:t>2</w:t>
      </w:r>
      <w:r>
        <w:rPr>
          <w:rFonts w:cs="SimSun" w:hint="eastAsia"/>
          <w:szCs w:val="24"/>
          <w:lang w:eastAsia="zh-CN" w:bidi="en-US"/>
        </w:rPr>
        <w:tab/>
      </w:r>
      <w:r w:rsidR="004C43F4">
        <w:rPr>
          <w:rFonts w:cs="SimSun" w:hint="eastAsia"/>
          <w:szCs w:val="24"/>
          <w:lang w:eastAsia="zh-CN" w:bidi="en-US"/>
        </w:rPr>
        <w:t>秘书长在</w:t>
      </w:r>
      <w:r w:rsidR="004C43F4">
        <w:rPr>
          <w:rFonts w:cs="SimSun"/>
          <w:szCs w:val="24"/>
          <w:lang w:eastAsia="zh-CN" w:bidi="en-US"/>
        </w:rPr>
        <w:t>C15/INF/11-E</w:t>
      </w:r>
      <w:r w:rsidR="004C43F4">
        <w:rPr>
          <w:rFonts w:cs="SimSun" w:hint="eastAsia"/>
          <w:szCs w:val="24"/>
          <w:lang w:eastAsia="zh-CN" w:bidi="en-US"/>
        </w:rPr>
        <w:t>号文件中提供</w:t>
      </w:r>
      <w:r w:rsidR="004C43F4">
        <w:rPr>
          <w:rFonts w:cs="SimSun" w:hint="eastAsia"/>
          <w:szCs w:val="24"/>
          <w:lang w:eastAsia="zh-CN" w:bidi="en-US"/>
        </w:rPr>
        <w:t>了</w:t>
      </w:r>
      <w:r w:rsidR="00A57442">
        <w:rPr>
          <w:rFonts w:cs="SimSun" w:hint="eastAsia"/>
          <w:szCs w:val="24"/>
          <w:lang w:eastAsia="zh-CN" w:bidi="en-US"/>
        </w:rPr>
        <w:t>外部审核员的报告供理事会参考，其中含有详细的结果和九项需采取行动的具体建议。</w:t>
      </w:r>
    </w:p>
    <w:p w14:paraId="5015D91E" w14:textId="6E6F9A7C" w:rsidR="001F3640" w:rsidRDefault="00E2352B" w:rsidP="000902B8">
      <w:pPr>
        <w:tabs>
          <w:tab w:val="clear" w:pos="794"/>
          <w:tab w:val="clear" w:pos="1191"/>
          <w:tab w:val="clear" w:pos="1588"/>
          <w:tab w:val="clear" w:pos="1985"/>
          <w:tab w:val="left" w:pos="851"/>
          <w:tab w:val="left" w:pos="1701"/>
          <w:tab w:val="left" w:pos="2268"/>
          <w:tab w:val="left" w:pos="2835"/>
        </w:tabs>
        <w:overflowPunct/>
        <w:adjustRightInd/>
        <w:spacing w:after="120"/>
        <w:textAlignment w:val="auto"/>
        <w:rPr>
          <w:rFonts w:cs="SimSun"/>
          <w:szCs w:val="24"/>
          <w:lang w:eastAsia="zh-CN" w:bidi="en-US"/>
        </w:rPr>
      </w:pPr>
      <w:r>
        <w:rPr>
          <w:rFonts w:cs="SimSun" w:hint="eastAsia"/>
          <w:szCs w:val="24"/>
          <w:lang w:eastAsia="zh-CN" w:bidi="en-US"/>
        </w:rPr>
        <w:t>3</w:t>
      </w:r>
      <w:r>
        <w:rPr>
          <w:rFonts w:cs="SimSun"/>
          <w:szCs w:val="24"/>
          <w:lang w:eastAsia="zh-CN" w:bidi="en-US"/>
        </w:rPr>
        <w:tab/>
      </w:r>
      <w:r w:rsidR="00A57442">
        <w:rPr>
          <w:rFonts w:cs="SimSun" w:hint="eastAsia"/>
          <w:szCs w:val="24"/>
          <w:lang w:eastAsia="zh-CN" w:bidi="en-US"/>
        </w:rPr>
        <w:t>内部审计职能</w:t>
      </w:r>
      <w:r w:rsidR="001F3640">
        <w:rPr>
          <w:rFonts w:cs="SimSun"/>
          <w:szCs w:val="24"/>
          <w:lang w:eastAsia="zh-CN" w:bidi="en-US"/>
        </w:rPr>
        <w:t xml:space="preserve"> </w:t>
      </w:r>
      <w:r w:rsidR="00A57442">
        <w:rPr>
          <w:rFonts w:cs="SimSun"/>
          <w:szCs w:val="24"/>
          <w:lang w:eastAsia="zh-CN" w:bidi="en-US"/>
        </w:rPr>
        <w:t>–</w:t>
      </w:r>
      <w:r w:rsidR="001F3640">
        <w:rPr>
          <w:rFonts w:cs="SimSun"/>
          <w:szCs w:val="24"/>
          <w:lang w:eastAsia="zh-CN" w:bidi="en-US"/>
        </w:rPr>
        <w:t xml:space="preserve"> </w:t>
      </w:r>
      <w:r w:rsidR="004C43F4">
        <w:rPr>
          <w:rFonts w:cs="SimSun" w:hint="eastAsia"/>
          <w:szCs w:val="24"/>
          <w:lang w:eastAsia="zh-CN" w:bidi="en-US"/>
        </w:rPr>
        <w:t>以及</w:t>
      </w:r>
      <w:r w:rsidR="00A57442">
        <w:rPr>
          <w:rFonts w:cs="SimSun" w:hint="eastAsia"/>
          <w:szCs w:val="24"/>
          <w:lang w:eastAsia="zh-CN" w:bidi="en-US"/>
        </w:rPr>
        <w:t>此次外部审议的结果</w:t>
      </w:r>
      <w:r w:rsidR="000902B8">
        <w:rPr>
          <w:rFonts w:cs="SimSun" w:hint="eastAsia"/>
          <w:szCs w:val="24"/>
          <w:lang w:eastAsia="zh-CN" w:bidi="en-US"/>
        </w:rPr>
        <w:t xml:space="preserve"> </w:t>
      </w:r>
      <w:r w:rsidR="001F3640">
        <w:rPr>
          <w:rFonts w:cs="SimSun"/>
          <w:szCs w:val="24"/>
          <w:lang w:eastAsia="zh-CN" w:bidi="en-US"/>
        </w:rPr>
        <w:t xml:space="preserve">– </w:t>
      </w:r>
      <w:r w:rsidR="00A57442">
        <w:rPr>
          <w:rFonts w:cs="SimSun" w:hint="eastAsia"/>
          <w:szCs w:val="24"/>
          <w:lang w:eastAsia="zh-CN" w:bidi="en-US"/>
        </w:rPr>
        <w:t>对于国际电联的有效治理和监督</w:t>
      </w:r>
      <w:r w:rsidR="004C43F4">
        <w:rPr>
          <w:rFonts w:cs="SimSun" w:hint="eastAsia"/>
          <w:szCs w:val="24"/>
          <w:lang w:eastAsia="zh-CN" w:bidi="en-US"/>
        </w:rPr>
        <w:t>安排</w:t>
      </w:r>
      <w:r w:rsidR="00A57442">
        <w:rPr>
          <w:rFonts w:cs="SimSun" w:hint="eastAsia"/>
          <w:szCs w:val="24"/>
          <w:lang w:eastAsia="zh-CN" w:bidi="en-US"/>
        </w:rPr>
        <w:t>均很重要。与外部审计、风险和控制框架以及</w:t>
      </w:r>
      <w:r w:rsidR="00D81A07">
        <w:rPr>
          <w:rFonts w:cs="SimSun"/>
          <w:szCs w:val="24"/>
          <w:lang w:eastAsia="zh-CN" w:bidi="en-US"/>
        </w:rPr>
        <w:t>IMAC</w:t>
      </w:r>
      <w:r w:rsidR="00D81A07">
        <w:rPr>
          <w:rFonts w:cs="SimSun" w:hint="eastAsia"/>
          <w:szCs w:val="24"/>
          <w:lang w:eastAsia="zh-CN" w:bidi="en-US"/>
        </w:rPr>
        <w:t>的监督</w:t>
      </w:r>
      <w:r w:rsidR="004C43F4">
        <w:rPr>
          <w:rFonts w:cs="SimSun" w:hint="eastAsia"/>
          <w:szCs w:val="24"/>
          <w:lang w:eastAsia="zh-CN" w:bidi="en-US"/>
        </w:rPr>
        <w:t>相</w:t>
      </w:r>
      <w:r w:rsidR="00A57442">
        <w:rPr>
          <w:rFonts w:cs="SimSun" w:hint="eastAsia"/>
          <w:szCs w:val="24"/>
          <w:lang w:eastAsia="zh-CN" w:bidi="en-US"/>
        </w:rPr>
        <w:t>结合的内部审</w:t>
      </w:r>
      <w:r w:rsidR="00A57442">
        <w:rPr>
          <w:rFonts w:cs="SimSun" w:hint="eastAsia"/>
          <w:szCs w:val="24"/>
          <w:lang w:eastAsia="zh-CN" w:bidi="en-US"/>
        </w:rPr>
        <w:lastRenderedPageBreak/>
        <w:t>计是国际电联总体保</w:t>
      </w:r>
      <w:r w:rsidR="004C43F4">
        <w:rPr>
          <w:rFonts w:cs="SimSun" w:hint="eastAsia"/>
          <w:szCs w:val="24"/>
          <w:lang w:eastAsia="zh-CN" w:bidi="en-US"/>
        </w:rPr>
        <w:t>障</w:t>
      </w:r>
      <w:r w:rsidR="00A57442">
        <w:rPr>
          <w:rFonts w:cs="SimSun" w:hint="eastAsia"/>
          <w:szCs w:val="24"/>
          <w:lang w:eastAsia="zh-CN" w:bidi="en-US"/>
        </w:rPr>
        <w:t>和管理安排的重要内容</w:t>
      </w:r>
      <w:r w:rsidR="00D81A07">
        <w:rPr>
          <w:rFonts w:cs="SimSun" w:hint="eastAsia"/>
          <w:szCs w:val="24"/>
          <w:lang w:eastAsia="zh-CN" w:bidi="en-US"/>
        </w:rPr>
        <w:t>。</w:t>
      </w:r>
      <w:r w:rsidR="001F3640">
        <w:rPr>
          <w:rFonts w:cs="SimSun"/>
          <w:szCs w:val="24"/>
          <w:lang w:eastAsia="zh-CN" w:bidi="en-US"/>
        </w:rPr>
        <w:t>IMAC</w:t>
      </w:r>
      <w:r w:rsidR="00D81A07">
        <w:rPr>
          <w:rFonts w:cs="SimSun" w:hint="eastAsia"/>
          <w:szCs w:val="24"/>
          <w:lang w:eastAsia="zh-CN" w:bidi="en-US"/>
        </w:rPr>
        <w:t>审议了审核报告并提</w:t>
      </w:r>
      <w:r w:rsidR="00BC0FDE">
        <w:rPr>
          <w:rFonts w:cs="SimSun" w:hint="eastAsia"/>
          <w:szCs w:val="24"/>
          <w:lang w:eastAsia="zh-CN" w:bidi="en-US"/>
        </w:rPr>
        <w:t>出</w:t>
      </w:r>
      <w:r w:rsidR="00D81A07">
        <w:rPr>
          <w:rFonts w:cs="SimSun" w:hint="eastAsia"/>
          <w:szCs w:val="24"/>
          <w:lang w:eastAsia="zh-CN" w:bidi="en-US"/>
        </w:rPr>
        <w:t>以下</w:t>
      </w:r>
      <w:r w:rsidR="00BC0FDE">
        <w:rPr>
          <w:rFonts w:cs="SimSun" w:hint="eastAsia"/>
          <w:szCs w:val="24"/>
          <w:lang w:eastAsia="zh-CN" w:bidi="en-US"/>
        </w:rPr>
        <w:t>有关国际电联内部审计活动报告审议结果及其对理事国的</w:t>
      </w:r>
      <w:r w:rsidR="00647320">
        <w:rPr>
          <w:rFonts w:cs="SimSun" w:hint="eastAsia"/>
          <w:szCs w:val="24"/>
          <w:lang w:eastAsia="zh-CN" w:bidi="en-US"/>
        </w:rPr>
        <w:t>意义</w:t>
      </w:r>
      <w:r w:rsidR="00BC0FDE">
        <w:rPr>
          <w:rFonts w:cs="SimSun" w:hint="eastAsia"/>
          <w:szCs w:val="24"/>
          <w:lang w:eastAsia="zh-CN" w:bidi="en-US"/>
        </w:rPr>
        <w:t>的</w:t>
      </w:r>
      <w:r w:rsidR="00D81A07">
        <w:rPr>
          <w:rFonts w:cs="SimSun" w:hint="eastAsia"/>
          <w:szCs w:val="24"/>
          <w:lang w:eastAsia="zh-CN" w:bidi="en-US"/>
        </w:rPr>
        <w:t>意见</w:t>
      </w:r>
      <w:r w:rsidR="00BC0FDE">
        <w:rPr>
          <w:rFonts w:cs="SimSun" w:hint="eastAsia"/>
          <w:szCs w:val="24"/>
          <w:lang w:eastAsia="zh-CN" w:bidi="en-US"/>
        </w:rPr>
        <w:t>。</w:t>
      </w:r>
    </w:p>
    <w:p w14:paraId="71372199" w14:textId="08A08C0E" w:rsidR="001F3640" w:rsidRDefault="00E2352B" w:rsidP="00647320">
      <w:pPr>
        <w:tabs>
          <w:tab w:val="clear" w:pos="794"/>
          <w:tab w:val="clear" w:pos="1191"/>
          <w:tab w:val="clear" w:pos="1588"/>
          <w:tab w:val="clear" w:pos="1985"/>
          <w:tab w:val="left" w:pos="851"/>
          <w:tab w:val="left" w:pos="1701"/>
          <w:tab w:val="left" w:pos="2268"/>
          <w:tab w:val="left" w:pos="2835"/>
        </w:tabs>
        <w:overflowPunct/>
        <w:adjustRightInd/>
        <w:spacing w:after="120"/>
        <w:textAlignment w:val="auto"/>
        <w:rPr>
          <w:rFonts w:cs="SimSun"/>
          <w:szCs w:val="24"/>
          <w:lang w:eastAsia="zh-CN" w:bidi="en-US"/>
        </w:rPr>
      </w:pPr>
      <w:r>
        <w:rPr>
          <w:rFonts w:cs="SimSun" w:hint="eastAsia"/>
          <w:szCs w:val="24"/>
          <w:lang w:eastAsia="zh-CN" w:bidi="en-US"/>
        </w:rPr>
        <w:t>4</w:t>
      </w:r>
      <w:r>
        <w:rPr>
          <w:rFonts w:cs="SimSun" w:hint="eastAsia"/>
          <w:szCs w:val="24"/>
          <w:lang w:eastAsia="zh-CN" w:bidi="en-US"/>
        </w:rPr>
        <w:tab/>
      </w:r>
      <w:r w:rsidR="00BC0FDE">
        <w:rPr>
          <w:rFonts w:cs="SimSun"/>
          <w:szCs w:val="24"/>
          <w:lang w:eastAsia="zh-CN" w:bidi="en-US"/>
        </w:rPr>
        <w:t>目前，国际电联没有受益于一个全面、具有连续性</w:t>
      </w:r>
      <w:r w:rsidR="00BC0FDE">
        <w:rPr>
          <w:rFonts w:cs="SimSun" w:hint="eastAsia"/>
          <w:szCs w:val="24"/>
          <w:lang w:eastAsia="zh-CN" w:bidi="en-US"/>
        </w:rPr>
        <w:t>且</w:t>
      </w:r>
      <w:r w:rsidR="00BC0FDE">
        <w:rPr>
          <w:rFonts w:cs="SimSun"/>
          <w:szCs w:val="24"/>
          <w:lang w:eastAsia="zh-CN" w:bidi="en-US"/>
        </w:rPr>
        <w:t>完全有效的治理和内部控制安排，以便为整</w:t>
      </w:r>
      <w:r w:rsidR="00BC0FDE">
        <w:rPr>
          <w:rFonts w:cs="SimSun" w:hint="eastAsia"/>
          <w:szCs w:val="24"/>
          <w:lang w:eastAsia="zh-CN" w:bidi="en-US"/>
        </w:rPr>
        <w:t>个</w:t>
      </w:r>
      <w:r w:rsidR="00BC0FDE">
        <w:rPr>
          <w:rFonts w:cs="SimSun"/>
          <w:szCs w:val="24"/>
          <w:lang w:eastAsia="zh-CN" w:bidi="en-US"/>
        </w:rPr>
        <w:t>组织提供适当</w:t>
      </w:r>
      <w:r w:rsidR="00647320">
        <w:rPr>
          <w:rFonts w:cs="SimSun" w:hint="eastAsia"/>
          <w:szCs w:val="24"/>
          <w:lang w:eastAsia="zh-CN" w:bidi="en-US"/>
        </w:rPr>
        <w:t>水平</w:t>
      </w:r>
      <w:r w:rsidR="00BC0FDE">
        <w:rPr>
          <w:rFonts w:cs="SimSun"/>
          <w:szCs w:val="24"/>
          <w:lang w:eastAsia="zh-CN" w:bidi="en-US"/>
        </w:rPr>
        <w:t>的保障。因此</w:t>
      </w:r>
      <w:r w:rsidR="001F3640">
        <w:rPr>
          <w:rFonts w:cs="SimSun"/>
          <w:szCs w:val="24"/>
          <w:lang w:eastAsia="zh-CN" w:bidi="en-US"/>
        </w:rPr>
        <w:t>IMAC</w:t>
      </w:r>
      <w:r w:rsidR="00BC0FDE">
        <w:rPr>
          <w:rFonts w:cs="SimSun"/>
          <w:szCs w:val="24"/>
          <w:lang w:eastAsia="zh-CN" w:bidi="en-US"/>
        </w:rPr>
        <w:t>鼓励理事国积极参与</w:t>
      </w:r>
      <w:r w:rsidR="00BC0FDE">
        <w:rPr>
          <w:rFonts w:cs="SimSun" w:hint="eastAsia"/>
          <w:szCs w:val="24"/>
          <w:lang w:eastAsia="zh-CN" w:bidi="en-US"/>
        </w:rPr>
        <w:t>外部审核员结果</w:t>
      </w:r>
      <w:r w:rsidR="00647320">
        <w:rPr>
          <w:rFonts w:cs="SimSun" w:hint="eastAsia"/>
          <w:szCs w:val="24"/>
          <w:lang w:eastAsia="zh-CN" w:bidi="en-US"/>
        </w:rPr>
        <w:t>的</w:t>
      </w:r>
      <w:r w:rsidR="00647320">
        <w:rPr>
          <w:rFonts w:cs="SimSun"/>
          <w:szCs w:val="24"/>
          <w:lang w:eastAsia="zh-CN" w:bidi="en-US"/>
        </w:rPr>
        <w:t>研究</w:t>
      </w:r>
      <w:r w:rsidR="00BC0FDE">
        <w:rPr>
          <w:rFonts w:cs="SimSun" w:hint="eastAsia"/>
          <w:szCs w:val="24"/>
          <w:lang w:eastAsia="zh-CN" w:bidi="en-US"/>
        </w:rPr>
        <w:t>，并通过内部审计和秘书处对报告中建议的</w:t>
      </w:r>
      <w:r w:rsidR="00647320">
        <w:rPr>
          <w:rFonts w:cs="SimSun" w:hint="eastAsia"/>
          <w:szCs w:val="24"/>
          <w:lang w:eastAsia="zh-CN" w:bidi="en-US"/>
        </w:rPr>
        <w:t>落实来</w:t>
      </w:r>
      <w:r w:rsidR="00BC0FDE">
        <w:rPr>
          <w:rFonts w:cs="SimSun" w:hint="eastAsia"/>
          <w:szCs w:val="24"/>
          <w:lang w:eastAsia="zh-CN" w:bidi="en-US"/>
        </w:rPr>
        <w:t>鼓励</w:t>
      </w:r>
      <w:r w:rsidR="00647320">
        <w:rPr>
          <w:rFonts w:cs="SimSun" w:hint="eastAsia"/>
          <w:szCs w:val="24"/>
          <w:lang w:eastAsia="zh-CN" w:bidi="en-US"/>
        </w:rPr>
        <w:t>取得</w:t>
      </w:r>
      <w:r w:rsidR="009D7191">
        <w:rPr>
          <w:rFonts w:cs="SimSun" w:hint="eastAsia"/>
          <w:szCs w:val="24"/>
          <w:lang w:eastAsia="zh-CN" w:bidi="en-US"/>
        </w:rPr>
        <w:t>变化</w:t>
      </w:r>
      <w:bookmarkStart w:id="2" w:name="_GoBack"/>
      <w:bookmarkEnd w:id="2"/>
      <w:r w:rsidR="00647320">
        <w:rPr>
          <w:rFonts w:cs="SimSun"/>
          <w:szCs w:val="24"/>
          <w:lang w:eastAsia="zh-CN" w:bidi="en-US"/>
        </w:rPr>
        <w:t>、监督改进情况</w:t>
      </w:r>
      <w:r w:rsidR="00BC0FDE">
        <w:rPr>
          <w:rFonts w:cs="SimSun" w:hint="eastAsia"/>
          <w:szCs w:val="24"/>
          <w:lang w:eastAsia="zh-CN" w:bidi="en-US"/>
        </w:rPr>
        <w:t>。</w:t>
      </w:r>
    </w:p>
    <w:p w14:paraId="6B10D248" w14:textId="22C4B916" w:rsidR="001F3640" w:rsidRDefault="00E2352B" w:rsidP="00E2352B">
      <w:pPr>
        <w:tabs>
          <w:tab w:val="clear" w:pos="794"/>
          <w:tab w:val="clear" w:pos="1191"/>
          <w:tab w:val="clear" w:pos="1588"/>
          <w:tab w:val="clear" w:pos="1985"/>
          <w:tab w:val="left" w:pos="851"/>
          <w:tab w:val="left" w:pos="1701"/>
          <w:tab w:val="left" w:pos="2268"/>
          <w:tab w:val="left" w:pos="2835"/>
        </w:tabs>
        <w:overflowPunct/>
        <w:adjustRightInd/>
        <w:spacing w:after="120"/>
        <w:textAlignment w:val="auto"/>
        <w:rPr>
          <w:rFonts w:cs="SimSun"/>
          <w:szCs w:val="24"/>
          <w:lang w:eastAsia="zh-CN" w:bidi="en-US"/>
        </w:rPr>
      </w:pPr>
      <w:r>
        <w:rPr>
          <w:rFonts w:cs="SimSun" w:hint="eastAsia"/>
          <w:szCs w:val="24"/>
          <w:lang w:eastAsia="zh-CN" w:bidi="en-US"/>
        </w:rPr>
        <w:lastRenderedPageBreak/>
        <w:t>5</w:t>
      </w:r>
      <w:r>
        <w:rPr>
          <w:rFonts w:cs="SimSun" w:hint="eastAsia"/>
          <w:szCs w:val="24"/>
          <w:lang w:eastAsia="zh-CN" w:bidi="en-US"/>
        </w:rPr>
        <w:tab/>
      </w:r>
      <w:r w:rsidR="00744444">
        <w:rPr>
          <w:rFonts w:cs="SimSun"/>
          <w:szCs w:val="24"/>
          <w:lang w:eastAsia="zh-CN" w:bidi="en-US"/>
        </w:rPr>
        <w:t>外部独立审核积极地注意到</w:t>
      </w:r>
      <w:r w:rsidR="00647320">
        <w:rPr>
          <w:rFonts w:cs="SimSun" w:hint="eastAsia"/>
          <w:szCs w:val="24"/>
          <w:lang w:eastAsia="zh-CN" w:bidi="en-US"/>
        </w:rPr>
        <w:t>，</w:t>
      </w:r>
      <w:r w:rsidR="00744444">
        <w:rPr>
          <w:rFonts w:cs="SimSun"/>
          <w:szCs w:val="24"/>
          <w:lang w:eastAsia="zh-CN" w:bidi="en-US"/>
        </w:rPr>
        <w:t>内部审计总体符合相关职业标准和道德规范，虽然一些领域被评估为部分符合并需改进。</w:t>
      </w:r>
    </w:p>
    <w:p w14:paraId="7F5FFCFA" w14:textId="1768B72C" w:rsidR="001F3640" w:rsidRDefault="00E2352B" w:rsidP="000902B8">
      <w:pPr>
        <w:tabs>
          <w:tab w:val="clear" w:pos="794"/>
          <w:tab w:val="clear" w:pos="1191"/>
          <w:tab w:val="clear" w:pos="1588"/>
          <w:tab w:val="clear" w:pos="1985"/>
          <w:tab w:val="left" w:pos="851"/>
          <w:tab w:val="left" w:pos="1701"/>
          <w:tab w:val="left" w:pos="2268"/>
          <w:tab w:val="left" w:pos="2835"/>
        </w:tabs>
        <w:overflowPunct/>
        <w:adjustRightInd/>
        <w:spacing w:after="120"/>
        <w:textAlignment w:val="auto"/>
        <w:rPr>
          <w:rFonts w:cs="SimSun"/>
          <w:szCs w:val="24"/>
          <w:lang w:eastAsia="zh-CN" w:bidi="en-US"/>
        </w:rPr>
      </w:pPr>
      <w:r>
        <w:rPr>
          <w:rFonts w:cs="SimSun" w:hint="eastAsia"/>
          <w:szCs w:val="24"/>
          <w:lang w:eastAsia="zh-CN" w:bidi="en-US"/>
        </w:rPr>
        <w:t>6</w:t>
      </w:r>
      <w:r>
        <w:rPr>
          <w:rFonts w:cs="SimSun" w:hint="eastAsia"/>
          <w:szCs w:val="24"/>
          <w:lang w:eastAsia="zh-CN" w:bidi="en-US"/>
        </w:rPr>
        <w:tab/>
      </w:r>
      <w:r w:rsidR="00744444">
        <w:rPr>
          <w:rFonts w:cs="SimSun"/>
          <w:szCs w:val="24"/>
          <w:lang w:eastAsia="zh-CN" w:bidi="en-US"/>
        </w:rPr>
        <w:t>关于有待改进的领域，审议报告指出，内部审计职能不能确保风险管理和治理进程的有效性，而且</w:t>
      </w:r>
      <w:r w:rsidR="00744444">
        <w:rPr>
          <w:rFonts w:cs="SimSun" w:hint="eastAsia"/>
          <w:szCs w:val="24"/>
          <w:lang w:eastAsia="zh-CN" w:bidi="en-US"/>
        </w:rPr>
        <w:t>其</w:t>
      </w:r>
      <w:r w:rsidR="00744444">
        <w:rPr>
          <w:rFonts w:cs="SimSun"/>
          <w:szCs w:val="24"/>
          <w:lang w:eastAsia="zh-CN" w:bidi="en-US"/>
        </w:rPr>
        <w:t>审计计划</w:t>
      </w:r>
      <w:r w:rsidR="00744444">
        <w:rPr>
          <w:rFonts w:cs="SimSun" w:hint="eastAsia"/>
          <w:szCs w:val="24"/>
          <w:lang w:eastAsia="zh-CN" w:bidi="en-US"/>
        </w:rPr>
        <w:t>亦未</w:t>
      </w:r>
      <w:r w:rsidR="00744444">
        <w:rPr>
          <w:rFonts w:cs="SimSun"/>
          <w:szCs w:val="24"/>
          <w:lang w:eastAsia="zh-CN" w:bidi="en-US"/>
        </w:rPr>
        <w:t>基于完</w:t>
      </w:r>
      <w:r w:rsidR="000902B8">
        <w:rPr>
          <w:rFonts w:cs="SimSun" w:hint="eastAsia"/>
          <w:szCs w:val="24"/>
          <w:lang w:eastAsia="zh-CN" w:bidi="en-US"/>
        </w:rPr>
        <w:t>全</w:t>
      </w:r>
      <w:r w:rsidR="00744444">
        <w:rPr>
          <w:rFonts w:cs="SimSun"/>
          <w:szCs w:val="24"/>
          <w:lang w:eastAsia="zh-CN" w:bidi="en-US"/>
        </w:rPr>
        <w:t>的风险分析，</w:t>
      </w:r>
      <w:r w:rsidR="00744444">
        <w:rPr>
          <w:rFonts w:cs="SimSun" w:hint="eastAsia"/>
          <w:szCs w:val="24"/>
          <w:lang w:eastAsia="zh-CN" w:bidi="en-US"/>
        </w:rPr>
        <w:t>因为支持</w:t>
      </w:r>
      <w:r w:rsidR="00744444">
        <w:rPr>
          <w:rFonts w:cs="SimSun"/>
          <w:szCs w:val="24"/>
          <w:lang w:eastAsia="zh-CN" w:bidi="en-US"/>
        </w:rPr>
        <w:t>审计</w:t>
      </w:r>
      <w:r w:rsidR="000902B8">
        <w:rPr>
          <w:rFonts w:cs="SimSun" w:hint="eastAsia"/>
          <w:szCs w:val="24"/>
          <w:lang w:eastAsia="zh-CN" w:bidi="en-US"/>
        </w:rPr>
        <w:t>选</w:t>
      </w:r>
      <w:r w:rsidR="00744444">
        <w:rPr>
          <w:rFonts w:cs="SimSun"/>
          <w:szCs w:val="24"/>
          <w:lang w:eastAsia="zh-CN" w:bidi="en-US"/>
        </w:rPr>
        <w:t>题</w:t>
      </w:r>
      <w:r w:rsidR="000902B8">
        <w:rPr>
          <w:rFonts w:cs="SimSun"/>
          <w:szCs w:val="24"/>
          <w:lang w:eastAsia="zh-CN" w:bidi="en-US"/>
        </w:rPr>
        <w:t>的风险进程</w:t>
      </w:r>
      <w:r w:rsidR="000902B8">
        <w:rPr>
          <w:rFonts w:cs="SimSun" w:hint="eastAsia"/>
          <w:szCs w:val="24"/>
          <w:lang w:eastAsia="zh-CN" w:bidi="en-US"/>
        </w:rPr>
        <w:t>不够</w:t>
      </w:r>
      <w:r w:rsidR="00744444">
        <w:rPr>
          <w:rFonts w:cs="SimSun"/>
          <w:szCs w:val="24"/>
          <w:lang w:eastAsia="zh-CN" w:bidi="en-US"/>
        </w:rPr>
        <w:t>系统、全面</w:t>
      </w:r>
      <w:r w:rsidR="000902B8">
        <w:rPr>
          <w:rFonts w:cs="SimSun" w:hint="eastAsia"/>
          <w:szCs w:val="24"/>
          <w:lang w:eastAsia="zh-CN" w:bidi="en-US"/>
        </w:rPr>
        <w:t>或</w:t>
      </w:r>
      <w:r w:rsidR="00744444">
        <w:rPr>
          <w:rFonts w:cs="SimSun"/>
          <w:szCs w:val="24"/>
          <w:lang w:eastAsia="zh-CN" w:bidi="en-US"/>
        </w:rPr>
        <w:t>有据可查，以</w:t>
      </w:r>
      <w:r w:rsidR="000902B8">
        <w:rPr>
          <w:rFonts w:cs="SimSun" w:hint="eastAsia"/>
          <w:szCs w:val="24"/>
          <w:lang w:eastAsia="zh-CN" w:bidi="en-US"/>
        </w:rPr>
        <w:t>便</w:t>
      </w:r>
      <w:r w:rsidR="000902B8">
        <w:rPr>
          <w:rFonts w:cs="SimSun"/>
          <w:szCs w:val="24"/>
          <w:lang w:eastAsia="zh-CN" w:bidi="en-US"/>
        </w:rPr>
        <w:t>为所需保障</w:t>
      </w:r>
      <w:r w:rsidR="00744444">
        <w:rPr>
          <w:rFonts w:cs="SimSun"/>
          <w:szCs w:val="24"/>
          <w:lang w:eastAsia="zh-CN" w:bidi="en-US"/>
        </w:rPr>
        <w:t>提供适当的总体战略或</w:t>
      </w:r>
      <w:r w:rsidR="000902B8">
        <w:rPr>
          <w:rFonts w:cs="SimSun" w:hint="eastAsia"/>
          <w:szCs w:val="24"/>
          <w:lang w:eastAsia="zh-CN" w:bidi="en-US"/>
        </w:rPr>
        <w:t>方法</w:t>
      </w:r>
      <w:r w:rsidR="00744444">
        <w:rPr>
          <w:rFonts w:cs="SimSun"/>
          <w:szCs w:val="24"/>
          <w:lang w:eastAsia="zh-CN" w:bidi="en-US"/>
        </w:rPr>
        <w:t>。此外，内部审计处的人员和能力</w:t>
      </w:r>
      <w:r w:rsidR="000902B8">
        <w:rPr>
          <w:rFonts w:cs="SimSun"/>
          <w:szCs w:val="24"/>
          <w:lang w:eastAsia="zh-CN" w:bidi="en-US"/>
        </w:rPr>
        <w:t>有限</w:t>
      </w:r>
      <w:r w:rsidR="00744444">
        <w:rPr>
          <w:rFonts w:cs="SimSun"/>
          <w:szCs w:val="24"/>
          <w:lang w:eastAsia="zh-CN" w:bidi="en-US"/>
        </w:rPr>
        <w:t>也影响到该处对关键和重要风险的覆盖。</w:t>
      </w:r>
    </w:p>
    <w:p w14:paraId="20790785" w14:textId="312BE294" w:rsidR="001F3640" w:rsidRDefault="00E2352B" w:rsidP="000902B8">
      <w:pPr>
        <w:tabs>
          <w:tab w:val="clear" w:pos="794"/>
          <w:tab w:val="clear" w:pos="1191"/>
          <w:tab w:val="clear" w:pos="1588"/>
          <w:tab w:val="clear" w:pos="1985"/>
          <w:tab w:val="left" w:pos="851"/>
          <w:tab w:val="left" w:pos="1701"/>
          <w:tab w:val="left" w:pos="2268"/>
          <w:tab w:val="left" w:pos="2835"/>
        </w:tabs>
        <w:overflowPunct/>
        <w:adjustRightInd/>
        <w:spacing w:after="120"/>
        <w:textAlignment w:val="auto"/>
        <w:rPr>
          <w:rFonts w:cs="SimSun"/>
          <w:szCs w:val="24"/>
          <w:lang w:eastAsia="zh-CN" w:bidi="en-US"/>
        </w:rPr>
      </w:pPr>
      <w:r>
        <w:rPr>
          <w:rFonts w:cs="SimSun" w:hint="eastAsia"/>
          <w:szCs w:val="24"/>
          <w:lang w:eastAsia="zh-CN" w:bidi="en-US"/>
        </w:rPr>
        <w:lastRenderedPageBreak/>
        <w:t>7</w:t>
      </w:r>
      <w:r>
        <w:rPr>
          <w:rFonts w:cs="SimSun" w:hint="eastAsia"/>
          <w:szCs w:val="24"/>
          <w:lang w:eastAsia="zh-CN" w:bidi="en-US"/>
        </w:rPr>
        <w:tab/>
      </w:r>
      <w:r w:rsidR="008F7B43">
        <w:rPr>
          <w:rFonts w:cs="SimSun"/>
          <w:szCs w:val="24"/>
          <w:lang w:eastAsia="zh-CN" w:bidi="en-US"/>
        </w:rPr>
        <w:t>审议</w:t>
      </w:r>
      <w:r w:rsidR="000902B8">
        <w:rPr>
          <w:rFonts w:cs="SimSun" w:hint="eastAsia"/>
          <w:szCs w:val="24"/>
          <w:lang w:eastAsia="zh-CN" w:bidi="en-US"/>
        </w:rPr>
        <w:t>明确</w:t>
      </w:r>
      <w:r w:rsidR="008F7B43">
        <w:rPr>
          <w:rFonts w:cs="SimSun"/>
          <w:szCs w:val="24"/>
          <w:lang w:eastAsia="zh-CN" w:bidi="en-US"/>
        </w:rPr>
        <w:t>，内部审计工作</w:t>
      </w:r>
      <w:r w:rsidR="008F7B43">
        <w:rPr>
          <w:rFonts w:cs="SimSun" w:hint="eastAsia"/>
          <w:szCs w:val="24"/>
          <w:lang w:eastAsia="zh-CN" w:bidi="en-US"/>
        </w:rPr>
        <w:t>计划</w:t>
      </w:r>
      <w:r w:rsidR="008F7B43">
        <w:rPr>
          <w:rFonts w:cs="SimSun"/>
          <w:szCs w:val="24"/>
          <w:lang w:eastAsia="zh-CN" w:bidi="en-US"/>
        </w:rPr>
        <w:t>需更好</w:t>
      </w:r>
      <w:r w:rsidR="008F7B43">
        <w:rPr>
          <w:rFonts w:cs="SimSun" w:hint="eastAsia"/>
          <w:szCs w:val="24"/>
          <w:lang w:eastAsia="zh-CN" w:bidi="en-US"/>
        </w:rPr>
        <w:t>地</w:t>
      </w:r>
      <w:r w:rsidR="008F7B43">
        <w:rPr>
          <w:rFonts w:cs="SimSun"/>
          <w:szCs w:val="24"/>
          <w:lang w:eastAsia="zh-CN" w:bidi="en-US"/>
        </w:rPr>
        <w:t>定义控制和风险；而且工作文件没有充分</w:t>
      </w:r>
      <w:r w:rsidR="002253A5">
        <w:rPr>
          <w:rFonts w:cs="SimSun"/>
          <w:szCs w:val="24"/>
          <w:lang w:eastAsia="zh-CN" w:bidi="en-US"/>
        </w:rPr>
        <w:t>与基于目标的审计标准、原因和结论联系起来。</w:t>
      </w:r>
    </w:p>
    <w:p w14:paraId="5E22472A" w14:textId="48E2E3EB" w:rsidR="001F3640" w:rsidRDefault="00E2352B" w:rsidP="000902B8">
      <w:pPr>
        <w:tabs>
          <w:tab w:val="clear" w:pos="794"/>
          <w:tab w:val="clear" w:pos="1191"/>
          <w:tab w:val="clear" w:pos="1588"/>
          <w:tab w:val="clear" w:pos="1985"/>
          <w:tab w:val="left" w:pos="851"/>
          <w:tab w:val="left" w:pos="1701"/>
          <w:tab w:val="left" w:pos="2268"/>
          <w:tab w:val="left" w:pos="2835"/>
        </w:tabs>
        <w:overflowPunct/>
        <w:adjustRightInd/>
        <w:spacing w:after="120"/>
        <w:textAlignment w:val="auto"/>
        <w:rPr>
          <w:rFonts w:cs="SimSun"/>
          <w:szCs w:val="24"/>
          <w:lang w:eastAsia="zh-CN" w:bidi="en-US"/>
        </w:rPr>
      </w:pPr>
      <w:r>
        <w:rPr>
          <w:rFonts w:cs="SimSun" w:hint="eastAsia"/>
          <w:szCs w:val="24"/>
          <w:lang w:eastAsia="zh-CN" w:bidi="en-US"/>
        </w:rPr>
        <w:t>8</w:t>
      </w:r>
      <w:r>
        <w:rPr>
          <w:rFonts w:cs="SimSun" w:hint="eastAsia"/>
          <w:szCs w:val="24"/>
          <w:lang w:eastAsia="zh-CN" w:bidi="en-US"/>
        </w:rPr>
        <w:tab/>
      </w:r>
      <w:r w:rsidR="002253A5">
        <w:rPr>
          <w:rFonts w:cs="SimSun"/>
          <w:szCs w:val="24"/>
          <w:lang w:eastAsia="zh-CN" w:bidi="en-US"/>
        </w:rPr>
        <w:t>内部审计所采用的审计意见不能（如内部审计章程和标准所要求的）对风险管理和治理提供保障；目标太抽象因而不能在实践中体现出来；而且</w:t>
      </w:r>
      <w:r w:rsidR="000902B8">
        <w:rPr>
          <w:rFonts w:cs="SimSun" w:hint="eastAsia"/>
          <w:szCs w:val="24"/>
          <w:lang w:eastAsia="zh-CN" w:bidi="en-US"/>
        </w:rPr>
        <w:t>导致</w:t>
      </w:r>
      <w:r w:rsidR="002253A5">
        <w:rPr>
          <w:rFonts w:cs="SimSun"/>
          <w:szCs w:val="24"/>
          <w:lang w:eastAsia="zh-CN" w:bidi="en-US"/>
        </w:rPr>
        <w:t>弱点的原因和结果</w:t>
      </w:r>
      <w:r w:rsidR="000902B8">
        <w:rPr>
          <w:rFonts w:cs="SimSun"/>
          <w:szCs w:val="24"/>
          <w:lang w:eastAsia="zh-CN" w:bidi="en-US"/>
        </w:rPr>
        <w:t>难以分析出</w:t>
      </w:r>
      <w:r w:rsidR="000902B8">
        <w:rPr>
          <w:rFonts w:cs="SimSun" w:hint="eastAsia"/>
          <w:szCs w:val="24"/>
          <w:lang w:eastAsia="zh-CN" w:bidi="en-US"/>
        </w:rPr>
        <w:t>来</w:t>
      </w:r>
      <w:r w:rsidR="002253A5">
        <w:rPr>
          <w:rFonts w:cs="SimSun"/>
          <w:szCs w:val="24"/>
          <w:lang w:eastAsia="zh-CN" w:bidi="en-US"/>
        </w:rPr>
        <w:t>。</w:t>
      </w:r>
    </w:p>
    <w:p w14:paraId="64110BE5" w14:textId="0B7BDC23" w:rsidR="001F3640" w:rsidRDefault="00E2352B" w:rsidP="000902B8">
      <w:pPr>
        <w:tabs>
          <w:tab w:val="clear" w:pos="794"/>
          <w:tab w:val="clear" w:pos="1191"/>
          <w:tab w:val="clear" w:pos="1588"/>
          <w:tab w:val="clear" w:pos="1985"/>
          <w:tab w:val="left" w:pos="851"/>
          <w:tab w:val="left" w:pos="1701"/>
          <w:tab w:val="left" w:pos="2268"/>
          <w:tab w:val="left" w:pos="2835"/>
        </w:tabs>
        <w:overflowPunct/>
        <w:adjustRightInd/>
        <w:spacing w:after="120"/>
        <w:textAlignment w:val="auto"/>
        <w:rPr>
          <w:rFonts w:cs="SimSun"/>
          <w:szCs w:val="24"/>
          <w:lang w:eastAsia="zh-CN" w:bidi="en-US"/>
        </w:rPr>
      </w:pPr>
      <w:r>
        <w:rPr>
          <w:rFonts w:cs="SimSun" w:hint="eastAsia"/>
          <w:szCs w:val="24"/>
          <w:lang w:eastAsia="zh-CN" w:bidi="en-US"/>
        </w:rPr>
        <w:lastRenderedPageBreak/>
        <w:t>9</w:t>
      </w:r>
      <w:r>
        <w:rPr>
          <w:rFonts w:cs="SimSun" w:hint="eastAsia"/>
          <w:szCs w:val="24"/>
          <w:lang w:eastAsia="zh-CN" w:bidi="en-US"/>
        </w:rPr>
        <w:tab/>
      </w:r>
      <w:r w:rsidR="002253A5">
        <w:rPr>
          <w:rFonts w:cs="SimSun"/>
          <w:szCs w:val="24"/>
          <w:lang w:eastAsia="zh-CN" w:bidi="en-US"/>
        </w:rPr>
        <w:t>审议注意到，内部审计提交理事会的年度报告没有</w:t>
      </w:r>
      <w:r w:rsidR="000902B8">
        <w:rPr>
          <w:rFonts w:cs="SimSun" w:hint="eastAsia"/>
          <w:szCs w:val="24"/>
          <w:lang w:eastAsia="zh-CN" w:bidi="en-US"/>
        </w:rPr>
        <w:t>明确</w:t>
      </w:r>
      <w:r w:rsidR="002253A5">
        <w:rPr>
          <w:rFonts w:cs="SimSun"/>
          <w:szCs w:val="24"/>
          <w:lang w:eastAsia="zh-CN" w:bidi="en-US"/>
        </w:rPr>
        <w:t>控制弱点的结果。而识别出的控制和管理弱点的影响和分支</w:t>
      </w:r>
      <w:r w:rsidR="000902B8">
        <w:rPr>
          <w:rFonts w:cs="SimSun" w:hint="eastAsia"/>
          <w:szCs w:val="24"/>
          <w:lang w:eastAsia="zh-CN" w:bidi="en-US"/>
        </w:rPr>
        <w:t>也</w:t>
      </w:r>
      <w:r w:rsidR="002253A5">
        <w:rPr>
          <w:rFonts w:cs="SimSun"/>
          <w:szCs w:val="24"/>
          <w:lang w:eastAsia="zh-CN" w:bidi="en-US"/>
        </w:rPr>
        <w:t>需得到认识，如欲研究解决缺点、实现改进的话。</w:t>
      </w:r>
    </w:p>
    <w:p w14:paraId="7D0230C5" w14:textId="7D4ADDC5" w:rsidR="001F3640" w:rsidRDefault="00E2352B" w:rsidP="00E2352B">
      <w:pPr>
        <w:tabs>
          <w:tab w:val="clear" w:pos="794"/>
          <w:tab w:val="clear" w:pos="1191"/>
          <w:tab w:val="clear" w:pos="1588"/>
          <w:tab w:val="clear" w:pos="1985"/>
          <w:tab w:val="left" w:pos="851"/>
          <w:tab w:val="left" w:pos="1701"/>
          <w:tab w:val="left" w:pos="2268"/>
          <w:tab w:val="left" w:pos="2835"/>
        </w:tabs>
        <w:overflowPunct/>
        <w:adjustRightInd/>
        <w:spacing w:after="120"/>
        <w:textAlignment w:val="auto"/>
        <w:rPr>
          <w:rFonts w:cs="SimSun"/>
          <w:szCs w:val="24"/>
          <w:lang w:eastAsia="zh-CN" w:bidi="en-US"/>
        </w:rPr>
      </w:pPr>
      <w:r>
        <w:rPr>
          <w:rFonts w:cs="SimSun" w:hint="eastAsia"/>
          <w:szCs w:val="24"/>
          <w:lang w:eastAsia="zh-CN" w:bidi="en-US"/>
        </w:rPr>
        <w:t>10</w:t>
      </w:r>
      <w:r>
        <w:rPr>
          <w:rFonts w:cs="SimSun" w:hint="eastAsia"/>
          <w:szCs w:val="24"/>
          <w:lang w:eastAsia="zh-CN" w:bidi="en-US"/>
        </w:rPr>
        <w:tab/>
      </w:r>
      <w:r w:rsidR="002253A5">
        <w:rPr>
          <w:rFonts w:cs="SimSun"/>
          <w:szCs w:val="24"/>
          <w:lang w:eastAsia="zh-CN" w:bidi="en-US"/>
        </w:rPr>
        <w:t>这些新的审议结果符合并强化了</w:t>
      </w:r>
      <w:r w:rsidR="002253A5">
        <w:rPr>
          <w:rFonts w:cs="SimSun"/>
          <w:szCs w:val="24"/>
          <w:lang w:eastAsia="zh-CN" w:bidi="en-US"/>
        </w:rPr>
        <w:t>IMAC</w:t>
      </w:r>
      <w:r w:rsidR="003152F5">
        <w:rPr>
          <w:rFonts w:cs="SimSun"/>
          <w:szCs w:val="24"/>
          <w:lang w:eastAsia="zh-CN" w:bidi="en-US"/>
        </w:rPr>
        <w:t>和外部审计员已经提出的意见，例如，在以下方面：</w:t>
      </w:r>
    </w:p>
    <w:p w14:paraId="5815FAF0" w14:textId="50F4F131" w:rsidR="001F3640" w:rsidRDefault="00E2352B" w:rsidP="00E2352B">
      <w:pPr>
        <w:pStyle w:val="enumlev1"/>
        <w:rPr>
          <w:lang w:eastAsia="zh-CN" w:bidi="en-US"/>
        </w:rPr>
      </w:pPr>
      <w:r>
        <w:rPr>
          <w:lang w:eastAsia="zh-CN" w:bidi="en-US"/>
        </w:rPr>
        <w:t>•</w:t>
      </w:r>
      <w:r>
        <w:rPr>
          <w:lang w:eastAsia="zh-CN" w:bidi="en-US"/>
        </w:rPr>
        <w:tab/>
      </w:r>
      <w:r w:rsidR="003152F5">
        <w:rPr>
          <w:lang w:eastAsia="zh-CN" w:bidi="en-US"/>
        </w:rPr>
        <w:t>内部审计资源是否充足；</w:t>
      </w:r>
    </w:p>
    <w:p w14:paraId="5E48AF50" w14:textId="34DA67D8" w:rsidR="001F3640" w:rsidRDefault="00E2352B" w:rsidP="000902B8">
      <w:pPr>
        <w:pStyle w:val="enumlev1"/>
        <w:rPr>
          <w:lang w:eastAsia="zh-CN" w:bidi="en-US"/>
        </w:rPr>
      </w:pPr>
      <w:r>
        <w:rPr>
          <w:lang w:eastAsia="zh-CN" w:bidi="en-US"/>
        </w:rPr>
        <w:t>•</w:t>
      </w:r>
      <w:r>
        <w:rPr>
          <w:lang w:eastAsia="zh-CN" w:bidi="en-US"/>
        </w:rPr>
        <w:tab/>
      </w:r>
      <w:r w:rsidR="003152F5">
        <w:rPr>
          <w:lang w:eastAsia="zh-CN" w:bidi="en-US"/>
        </w:rPr>
        <w:t>有必要开展系统性风险评估、</w:t>
      </w:r>
      <w:r w:rsidR="000902B8">
        <w:rPr>
          <w:rFonts w:hint="eastAsia"/>
          <w:lang w:eastAsia="zh-CN" w:bidi="en-US"/>
        </w:rPr>
        <w:t>基于</w:t>
      </w:r>
      <w:r w:rsidR="003152F5">
        <w:rPr>
          <w:lang w:eastAsia="zh-CN" w:bidi="en-US"/>
        </w:rPr>
        <w:t>风险的审计活动和多年规划；</w:t>
      </w:r>
    </w:p>
    <w:p w14:paraId="257A8002" w14:textId="668D0FD9" w:rsidR="001F3640" w:rsidRDefault="00E2352B" w:rsidP="000902B8">
      <w:pPr>
        <w:pStyle w:val="enumlev1"/>
        <w:rPr>
          <w:lang w:eastAsia="zh-CN" w:bidi="en-US"/>
        </w:rPr>
      </w:pPr>
      <w:r>
        <w:rPr>
          <w:lang w:eastAsia="zh-CN" w:bidi="en-US"/>
        </w:rPr>
        <w:lastRenderedPageBreak/>
        <w:t>•</w:t>
      </w:r>
      <w:r>
        <w:rPr>
          <w:lang w:eastAsia="zh-CN" w:bidi="en-US"/>
        </w:rPr>
        <w:tab/>
      </w:r>
      <w:r w:rsidR="003152F5">
        <w:rPr>
          <w:lang w:eastAsia="zh-CN" w:bidi="en-US"/>
        </w:rPr>
        <w:t>对审计规划</w:t>
      </w:r>
      <w:r w:rsidR="000902B8">
        <w:rPr>
          <w:rFonts w:hint="eastAsia"/>
          <w:lang w:eastAsia="zh-CN" w:bidi="en-US"/>
        </w:rPr>
        <w:t>的</w:t>
      </w:r>
      <w:r w:rsidR="003152F5">
        <w:rPr>
          <w:lang w:eastAsia="zh-CN" w:bidi="en-US"/>
        </w:rPr>
        <w:t>风险评估和工作重点进行更为</w:t>
      </w:r>
      <w:r w:rsidR="000902B8">
        <w:rPr>
          <w:rFonts w:hint="eastAsia"/>
          <w:lang w:eastAsia="zh-CN" w:bidi="en-US"/>
        </w:rPr>
        <w:t>清晰</w:t>
      </w:r>
      <w:r w:rsidR="003152F5">
        <w:rPr>
          <w:lang w:eastAsia="zh-CN" w:bidi="en-US"/>
        </w:rPr>
        <w:t>且更为明确的介绍；以及</w:t>
      </w:r>
    </w:p>
    <w:p w14:paraId="678D8E70" w14:textId="1E006B08" w:rsidR="001F3640" w:rsidRDefault="00E2352B" w:rsidP="00E2352B">
      <w:pPr>
        <w:pStyle w:val="enumlev1"/>
        <w:rPr>
          <w:lang w:eastAsia="zh-CN" w:bidi="en-US"/>
        </w:rPr>
      </w:pPr>
      <w:r>
        <w:rPr>
          <w:lang w:eastAsia="zh-CN" w:bidi="en-US"/>
        </w:rPr>
        <w:t>•</w:t>
      </w:r>
      <w:r>
        <w:rPr>
          <w:lang w:eastAsia="zh-CN" w:bidi="en-US"/>
        </w:rPr>
        <w:tab/>
      </w:r>
      <w:r w:rsidR="003152F5">
        <w:rPr>
          <w:lang w:eastAsia="zh-CN" w:bidi="en-US"/>
        </w:rPr>
        <w:t>内部审计提交给理事会的年度报告需更加全面，</w:t>
      </w:r>
      <w:r w:rsidR="003152F5">
        <w:rPr>
          <w:rFonts w:hint="eastAsia"/>
          <w:lang w:eastAsia="zh-CN" w:bidi="en-US"/>
        </w:rPr>
        <w:t>以确保内部控制的整体有效性，同时探讨审计结果和失控情况的更大影响。</w:t>
      </w:r>
    </w:p>
    <w:p w14:paraId="3C9E43FE" w14:textId="77777777" w:rsidR="001F3640" w:rsidRDefault="001F3640" w:rsidP="00E2352B">
      <w:pPr>
        <w:tabs>
          <w:tab w:val="left" w:pos="567"/>
          <w:tab w:val="left" w:pos="1134"/>
          <w:tab w:val="left" w:pos="1701"/>
          <w:tab w:val="left" w:pos="2268"/>
          <w:tab w:val="left" w:pos="2835"/>
        </w:tabs>
        <w:rPr>
          <w:rFonts w:cs="SimSun"/>
          <w:szCs w:val="24"/>
          <w:lang w:eastAsia="zh-CN" w:bidi="en-US"/>
        </w:rPr>
      </w:pPr>
    </w:p>
    <w:p w14:paraId="1EA330EE" w14:textId="1116C54F" w:rsidR="001F3640" w:rsidRDefault="001924D3" w:rsidP="00E2352B">
      <w:pPr>
        <w:pBdr>
          <w:top w:val="single" w:sz="4" w:space="1" w:color="auto"/>
          <w:left w:val="single" w:sz="4" w:space="4" w:color="auto"/>
          <w:bottom w:val="single" w:sz="4" w:space="1" w:color="auto"/>
          <w:right w:val="single" w:sz="4" w:space="4" w:color="auto"/>
        </w:pBdr>
        <w:tabs>
          <w:tab w:val="left" w:pos="567"/>
          <w:tab w:val="left" w:pos="1134"/>
          <w:tab w:val="left" w:pos="1701"/>
          <w:tab w:val="left" w:pos="2268"/>
          <w:tab w:val="left" w:pos="2835"/>
        </w:tabs>
        <w:spacing w:after="160"/>
        <w:rPr>
          <w:rFonts w:cs="SimSun"/>
          <w:bCs/>
          <w:szCs w:val="24"/>
          <w:lang w:eastAsia="zh-CN" w:bidi="en-US"/>
        </w:rPr>
      </w:pPr>
      <w:r>
        <w:rPr>
          <w:rFonts w:cs="SimSun" w:hint="eastAsia"/>
          <w:b/>
          <w:szCs w:val="24"/>
          <w:lang w:eastAsia="zh-CN" w:bidi="en-US"/>
        </w:rPr>
        <w:t>建议</w:t>
      </w:r>
      <w:r w:rsidR="001F3640">
        <w:rPr>
          <w:rFonts w:cs="SimSun"/>
          <w:b/>
          <w:szCs w:val="24"/>
          <w:lang w:eastAsia="zh-CN" w:bidi="en-US"/>
        </w:rPr>
        <w:t>6</w:t>
      </w:r>
      <w:r>
        <w:rPr>
          <w:rFonts w:cs="SimSun" w:hint="eastAsia"/>
          <w:b/>
          <w:szCs w:val="24"/>
          <w:lang w:eastAsia="zh-CN" w:bidi="en-US"/>
        </w:rPr>
        <w:t>（</w:t>
      </w:r>
      <w:r>
        <w:rPr>
          <w:rFonts w:cs="SimSun"/>
          <w:b/>
          <w:szCs w:val="24"/>
          <w:lang w:eastAsia="zh-CN" w:bidi="en-US"/>
        </w:rPr>
        <w:t>2015</w:t>
      </w:r>
      <w:r>
        <w:rPr>
          <w:rFonts w:cs="SimSun" w:hint="eastAsia"/>
          <w:b/>
          <w:szCs w:val="24"/>
          <w:lang w:eastAsia="zh-CN" w:bidi="en-US"/>
        </w:rPr>
        <w:t>年）：</w:t>
      </w:r>
      <w:r>
        <w:rPr>
          <w:rFonts w:cs="SimSun" w:hint="eastAsia"/>
          <w:szCs w:val="24"/>
          <w:lang w:eastAsia="zh-CN" w:bidi="en-US"/>
        </w:rPr>
        <w:t>因此</w:t>
      </w:r>
      <w:r>
        <w:rPr>
          <w:rFonts w:cs="SimSun"/>
          <w:szCs w:val="24"/>
          <w:lang w:eastAsia="zh-CN" w:bidi="en-US"/>
        </w:rPr>
        <w:t>IMAC</w:t>
      </w:r>
      <w:r>
        <w:rPr>
          <w:rFonts w:cs="SimSun" w:hint="eastAsia"/>
          <w:szCs w:val="24"/>
          <w:lang w:eastAsia="zh-CN" w:bidi="en-US"/>
        </w:rPr>
        <w:t>赞同外部审核员报告中的结果并推荐理事会注意这些结果。</w:t>
      </w:r>
      <w:r>
        <w:rPr>
          <w:rFonts w:cs="SimSun"/>
          <w:szCs w:val="24"/>
          <w:lang w:eastAsia="zh-CN" w:bidi="en-US"/>
        </w:rPr>
        <w:t>IMAC</w:t>
      </w:r>
      <w:r>
        <w:rPr>
          <w:rFonts w:cs="SimSun" w:hint="eastAsia"/>
          <w:b/>
          <w:bCs/>
          <w:szCs w:val="24"/>
          <w:lang w:eastAsia="zh-CN" w:bidi="en-US"/>
        </w:rPr>
        <w:t>建议</w:t>
      </w:r>
      <w:r>
        <w:rPr>
          <w:rFonts w:cs="SimSun" w:hint="eastAsia"/>
          <w:szCs w:val="24"/>
          <w:lang w:eastAsia="zh-CN" w:bidi="en-US"/>
        </w:rPr>
        <w:t>理事会通过内部审计员有关内部审计活动报告的机制</w:t>
      </w:r>
      <w:r w:rsidR="00DE2B78">
        <w:rPr>
          <w:rFonts w:cs="SimSun" w:hint="eastAsia"/>
          <w:szCs w:val="24"/>
          <w:lang w:eastAsia="zh-CN" w:bidi="en-US"/>
        </w:rPr>
        <w:t>请秘书长和内部审计员</w:t>
      </w:r>
      <w:r>
        <w:rPr>
          <w:rFonts w:cs="SimSun" w:hint="eastAsia"/>
          <w:szCs w:val="24"/>
          <w:lang w:eastAsia="zh-CN" w:bidi="en-US"/>
        </w:rPr>
        <w:t>向理事会</w:t>
      </w:r>
      <w:r>
        <w:rPr>
          <w:rFonts w:cs="SimSun"/>
          <w:szCs w:val="24"/>
          <w:lang w:eastAsia="zh-CN" w:bidi="en-US"/>
        </w:rPr>
        <w:t>2016</w:t>
      </w:r>
      <w:r>
        <w:rPr>
          <w:rFonts w:cs="SimSun" w:hint="eastAsia"/>
          <w:szCs w:val="24"/>
          <w:lang w:eastAsia="zh-CN" w:bidi="en-US"/>
        </w:rPr>
        <w:t>年会议</w:t>
      </w:r>
      <w:r w:rsidR="00DE2B78">
        <w:rPr>
          <w:rFonts w:cs="SimSun" w:hint="eastAsia"/>
          <w:szCs w:val="24"/>
          <w:lang w:eastAsia="zh-CN" w:bidi="en-US"/>
        </w:rPr>
        <w:t>做</w:t>
      </w:r>
      <w:r>
        <w:rPr>
          <w:rFonts w:cs="SimSun" w:hint="eastAsia"/>
          <w:szCs w:val="24"/>
          <w:lang w:eastAsia="zh-CN" w:bidi="en-US"/>
        </w:rPr>
        <w:t>出报告，并在之后的理事会会议上介绍</w:t>
      </w:r>
      <w:r w:rsidR="00DE2B78">
        <w:rPr>
          <w:rFonts w:cs="SimSun" w:hint="eastAsia"/>
          <w:szCs w:val="24"/>
          <w:lang w:eastAsia="zh-CN" w:bidi="en-US"/>
        </w:rPr>
        <w:t>针对</w:t>
      </w:r>
      <w:r>
        <w:rPr>
          <w:rFonts w:cs="SimSun" w:hint="eastAsia"/>
          <w:szCs w:val="24"/>
          <w:lang w:eastAsia="zh-CN" w:bidi="en-US"/>
        </w:rPr>
        <w:t>外部独</w:t>
      </w:r>
      <w:r>
        <w:rPr>
          <w:rFonts w:cs="SimSun" w:hint="eastAsia"/>
          <w:szCs w:val="24"/>
          <w:lang w:eastAsia="zh-CN" w:bidi="en-US"/>
        </w:rPr>
        <w:lastRenderedPageBreak/>
        <w:t>立审核员有关国际电联内部审计活动报告中所含九项建议中</w:t>
      </w:r>
      <w:r w:rsidR="00DE2B78">
        <w:rPr>
          <w:rFonts w:cs="SimSun" w:hint="eastAsia"/>
          <w:szCs w:val="24"/>
          <w:lang w:eastAsia="zh-CN" w:bidi="en-US"/>
        </w:rPr>
        <w:t>的</w:t>
      </w:r>
      <w:r>
        <w:rPr>
          <w:rFonts w:cs="SimSun" w:hint="eastAsia"/>
          <w:szCs w:val="24"/>
          <w:lang w:eastAsia="zh-CN" w:bidi="en-US"/>
        </w:rPr>
        <w:t>每一项建议所采取的行动以及进展。</w:t>
      </w:r>
    </w:p>
    <w:p w14:paraId="7598E323" w14:textId="77777777" w:rsidR="001F3640" w:rsidRDefault="001F3640" w:rsidP="00E2352B">
      <w:pPr>
        <w:tabs>
          <w:tab w:val="left" w:pos="900"/>
        </w:tabs>
        <w:ind w:left="357"/>
        <w:rPr>
          <w:rFonts w:eastAsia="Times New Roman"/>
          <w:szCs w:val="24"/>
          <w:lang w:val="en-US" w:eastAsia="zh-CN"/>
        </w:rPr>
      </w:pPr>
    </w:p>
    <w:p w14:paraId="548F0860" w14:textId="77777777" w:rsidR="004074F0" w:rsidRPr="001F3640" w:rsidRDefault="004074F0" w:rsidP="00E2352B">
      <w:pPr>
        <w:pStyle w:val="Reasons"/>
        <w:rPr>
          <w:lang w:val="en-US" w:eastAsia="zh-CN"/>
        </w:rPr>
      </w:pPr>
    </w:p>
    <w:p w14:paraId="0E412671" w14:textId="77777777" w:rsidR="004074F0" w:rsidRDefault="004074F0" w:rsidP="00E2352B">
      <w:pPr>
        <w:jc w:val="center"/>
      </w:pPr>
      <w:r>
        <w:t>______________</w:t>
      </w:r>
    </w:p>
    <w:p w14:paraId="5ECC0956" w14:textId="77777777" w:rsidR="004074F0" w:rsidRPr="004074F0" w:rsidRDefault="004074F0" w:rsidP="00E2352B"/>
    <w:sectPr w:rsidR="004074F0" w:rsidRPr="004074F0" w:rsidSect="006C36CD">
      <w:headerReference w:type="default" r:id="rId9"/>
      <w:footerReference w:type="default" r:id="rId10"/>
      <w:footerReference w:type="first" r:id="rId1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6E5869" w14:textId="77777777" w:rsidR="003F5A75" w:rsidRDefault="003F5A75">
      <w:r>
        <w:separator/>
      </w:r>
    </w:p>
  </w:endnote>
  <w:endnote w:type="continuationSeparator" w:id="0">
    <w:p w14:paraId="7ABDBDA9" w14:textId="77777777" w:rsidR="003F5A75" w:rsidRDefault="003F5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TKaiti">
    <w:panose1 w:val="02010600040101010101"/>
    <w:charset w:val="86"/>
    <w:family w:val="auto"/>
    <w:pitch w:val="variable"/>
    <w:sig w:usb0="00000287" w:usb1="080F0000" w:usb2="00000010" w:usb3="00000000" w:csb0="0004009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3A589" w14:textId="77777777" w:rsidR="00647320" w:rsidRDefault="00647320" w:rsidP="00647320">
    <w:pPr>
      <w:pStyle w:val="Footer"/>
    </w:pPr>
    <w:r>
      <w:fldChar w:fldCharType="begin"/>
    </w:r>
    <w:r>
      <w:instrText xml:space="preserve"> FILENAME \p  \* MERGEFORMAT </w:instrText>
    </w:r>
    <w:r>
      <w:fldChar w:fldCharType="separate"/>
    </w:r>
    <w:r>
      <w:t>P:\CHI\SG\CONSEIL\C15\000\022ADD2C.docx</w:t>
    </w:r>
    <w:r>
      <w:fldChar w:fldCharType="end"/>
    </w:r>
    <w:r>
      <w:rPr>
        <w:lang w:eastAsia="zh-CN"/>
      </w:rPr>
      <w:t xml:space="preserve"> </w:t>
    </w:r>
    <w:r>
      <w:rPr>
        <w:lang w:val="fr-CH"/>
      </w:rPr>
      <w:t>(3</w:t>
    </w:r>
    <w:r>
      <w:rPr>
        <w:lang w:val="fr-CH" w:eastAsia="zh-CN"/>
      </w:rPr>
      <w:t>8</w:t>
    </w:r>
    <w:r>
      <w:rPr>
        <w:lang w:val="fr-CH"/>
      </w:rPr>
      <w:t>1</w:t>
    </w:r>
    <w:r>
      <w:rPr>
        <w:lang w:val="fr-CH" w:eastAsia="zh-CN"/>
      </w:rPr>
      <w:t>036</w:t>
    </w:r>
    <w:r>
      <w:rPr>
        <w:lang w:val="fr-CH"/>
      </w:rPr>
      <w:t>)</w:t>
    </w:r>
    <w:r>
      <w:tab/>
    </w:r>
    <w:r>
      <w:fldChar w:fldCharType="begin"/>
    </w:r>
    <w:r>
      <w:instrText xml:space="preserve"> SAVEDATE \@ DD.MM.YY </w:instrText>
    </w:r>
    <w:r>
      <w:fldChar w:fldCharType="separate"/>
    </w:r>
    <w:r>
      <w:t>14.05.15</w:t>
    </w:r>
    <w:r>
      <w:fldChar w:fldCharType="end"/>
    </w:r>
    <w:r>
      <w:tab/>
    </w:r>
    <w:r>
      <w:fldChar w:fldCharType="begin"/>
    </w:r>
    <w:r>
      <w:instrText xml:space="preserve"> PRINTDATE \@ DD.MM.YY </w:instrText>
    </w:r>
    <w:r>
      <w:fldChar w:fldCharType="separate"/>
    </w:r>
    <w:r>
      <w:t>11.05.15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7D8EF" w14:textId="77777777" w:rsidR="003F5A75" w:rsidRDefault="003F5A75">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p w14:paraId="1A4288E1" w14:textId="47B79EFD" w:rsidR="003C1504" w:rsidRDefault="003C1504" w:rsidP="00647320">
    <w:pPr>
      <w:pStyle w:val="Footer"/>
    </w:pPr>
    <w:fldSimple w:instr=" FILENAME \p  \* MERGEFORMAT ">
      <w:r w:rsidR="00647320">
        <w:t>P:\CHI\SG\CONSEIL\C15\000\022ADD2C.docx</w:t>
      </w:r>
    </w:fldSimple>
    <w:r>
      <w:rPr>
        <w:lang w:eastAsia="zh-CN"/>
      </w:rPr>
      <w:t xml:space="preserve"> </w:t>
    </w:r>
    <w:r>
      <w:rPr>
        <w:lang w:val="fr-CH"/>
      </w:rPr>
      <w:t>(3</w:t>
    </w:r>
    <w:r>
      <w:rPr>
        <w:lang w:val="fr-CH" w:eastAsia="zh-CN"/>
      </w:rPr>
      <w:t>8</w:t>
    </w:r>
    <w:r>
      <w:rPr>
        <w:lang w:val="fr-CH"/>
      </w:rPr>
      <w:t>1</w:t>
    </w:r>
    <w:r>
      <w:rPr>
        <w:lang w:val="fr-CH" w:eastAsia="zh-CN"/>
      </w:rPr>
      <w:t>036</w:t>
    </w:r>
    <w:r>
      <w:rPr>
        <w:lang w:val="fr-CH"/>
      </w:rPr>
      <w:t>)</w:t>
    </w:r>
    <w:r>
      <w:tab/>
    </w:r>
    <w:r>
      <w:fldChar w:fldCharType="begin"/>
    </w:r>
    <w:r>
      <w:instrText xml:space="preserve"> SAVEDATE \@ DD.MM.YY </w:instrText>
    </w:r>
    <w:r>
      <w:fldChar w:fldCharType="separate"/>
    </w:r>
    <w:r w:rsidR="005C0007">
      <w:t>14.05.15</w:t>
    </w:r>
    <w:r>
      <w:fldChar w:fldCharType="end"/>
    </w:r>
    <w:r>
      <w:tab/>
    </w:r>
    <w:r>
      <w:fldChar w:fldCharType="begin"/>
    </w:r>
    <w:r>
      <w:instrText xml:space="preserve"> PRINTDATE \@ DD.MM.YY </w:instrText>
    </w:r>
    <w:r>
      <w:fldChar w:fldCharType="separate"/>
    </w:r>
    <w:r>
      <w:t>11.05.15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4EF8F9" w14:textId="77777777" w:rsidR="003F5A75" w:rsidRDefault="003F5A75">
      <w:r>
        <w:t>____________________</w:t>
      </w:r>
    </w:p>
  </w:footnote>
  <w:footnote w:type="continuationSeparator" w:id="0">
    <w:p w14:paraId="0C4AE177" w14:textId="77777777" w:rsidR="003F5A75" w:rsidRDefault="003F5A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2FB8E" w14:textId="77777777" w:rsidR="003F5A75" w:rsidRDefault="008E2D6F" w:rsidP="00CE6F22">
    <w:pPr>
      <w:pStyle w:val="Header"/>
    </w:pPr>
    <w:r>
      <w:fldChar w:fldCharType="begin"/>
    </w:r>
    <w:r w:rsidR="003F5A75">
      <w:instrText>PAGE</w:instrText>
    </w:r>
    <w:r>
      <w:fldChar w:fldCharType="separate"/>
    </w:r>
    <w:r w:rsidR="009D7191">
      <w:rPr>
        <w:noProof/>
      </w:rPr>
      <w:t>2</w:t>
    </w:r>
    <w:r>
      <w:rPr>
        <w:noProof/>
      </w:rPr>
      <w:fldChar w:fldCharType="end"/>
    </w:r>
  </w:p>
  <w:p w14:paraId="44B92C89" w14:textId="4434778B" w:rsidR="003F5A75" w:rsidRDefault="00255026" w:rsidP="00E8228B">
    <w:pPr>
      <w:pStyle w:val="Header"/>
      <w:rPr>
        <w:lang w:eastAsia="zh-CN"/>
      </w:rPr>
    </w:pPr>
    <w:r>
      <w:t>C15/22</w:t>
    </w:r>
    <w:r w:rsidR="003C1504">
      <w:rPr>
        <w:rFonts w:hint="eastAsia"/>
        <w:lang w:eastAsia="zh-CN"/>
      </w:rPr>
      <w:t>(Add.2)</w:t>
    </w:r>
    <w:r w:rsidR="003F5A75">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nsid w:val="57B912F7"/>
    <w:multiLevelType w:val="hybridMultilevel"/>
    <w:tmpl w:val="D126317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nsid w:val="58E87C14"/>
    <w:multiLevelType w:val="hybridMultilevel"/>
    <w:tmpl w:val="A54A8EF4"/>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3">
    <w:nsid w:val="648B6B0E"/>
    <w:multiLevelType w:val="hybridMultilevel"/>
    <w:tmpl w:val="80221B2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0"/>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7C8"/>
    <w:rsid w:val="0000019E"/>
    <w:rsid w:val="00004046"/>
    <w:rsid w:val="00007789"/>
    <w:rsid w:val="0001171F"/>
    <w:rsid w:val="0001296B"/>
    <w:rsid w:val="00014F07"/>
    <w:rsid w:val="000267E8"/>
    <w:rsid w:val="00035204"/>
    <w:rsid w:val="000500E5"/>
    <w:rsid w:val="00080D41"/>
    <w:rsid w:val="000878BE"/>
    <w:rsid w:val="000902B8"/>
    <w:rsid w:val="00092DDC"/>
    <w:rsid w:val="000B6F43"/>
    <w:rsid w:val="000C21B1"/>
    <w:rsid w:val="000D15EA"/>
    <w:rsid w:val="000D29B5"/>
    <w:rsid w:val="00111196"/>
    <w:rsid w:val="00114E8E"/>
    <w:rsid w:val="00115D72"/>
    <w:rsid w:val="00124C9D"/>
    <w:rsid w:val="001353E4"/>
    <w:rsid w:val="001544A5"/>
    <w:rsid w:val="00157773"/>
    <w:rsid w:val="00160F69"/>
    <w:rsid w:val="00190272"/>
    <w:rsid w:val="00191C9F"/>
    <w:rsid w:val="001924D3"/>
    <w:rsid w:val="001B659C"/>
    <w:rsid w:val="001D0F05"/>
    <w:rsid w:val="001E7DBA"/>
    <w:rsid w:val="001F3640"/>
    <w:rsid w:val="0020321A"/>
    <w:rsid w:val="00207FDE"/>
    <w:rsid w:val="002253A5"/>
    <w:rsid w:val="0023215A"/>
    <w:rsid w:val="00247D35"/>
    <w:rsid w:val="00252C0B"/>
    <w:rsid w:val="00255026"/>
    <w:rsid w:val="00277883"/>
    <w:rsid w:val="00291589"/>
    <w:rsid w:val="002D3BE2"/>
    <w:rsid w:val="002E340B"/>
    <w:rsid w:val="00305872"/>
    <w:rsid w:val="00313B17"/>
    <w:rsid w:val="003152F5"/>
    <w:rsid w:val="003211E1"/>
    <w:rsid w:val="003230B3"/>
    <w:rsid w:val="00325C25"/>
    <w:rsid w:val="003522C2"/>
    <w:rsid w:val="00362825"/>
    <w:rsid w:val="00364F69"/>
    <w:rsid w:val="00364FC2"/>
    <w:rsid w:val="00365399"/>
    <w:rsid w:val="00387ECC"/>
    <w:rsid w:val="003901EE"/>
    <w:rsid w:val="00393DDF"/>
    <w:rsid w:val="00397F55"/>
    <w:rsid w:val="003A608B"/>
    <w:rsid w:val="003C1504"/>
    <w:rsid w:val="003D0356"/>
    <w:rsid w:val="003F59EF"/>
    <w:rsid w:val="003F5A75"/>
    <w:rsid w:val="003F77B8"/>
    <w:rsid w:val="00403EB7"/>
    <w:rsid w:val="004074F0"/>
    <w:rsid w:val="0045502E"/>
    <w:rsid w:val="00456601"/>
    <w:rsid w:val="004654E9"/>
    <w:rsid w:val="004656D6"/>
    <w:rsid w:val="00472691"/>
    <w:rsid w:val="00481E5E"/>
    <w:rsid w:val="00482D4F"/>
    <w:rsid w:val="004930E4"/>
    <w:rsid w:val="004A59F4"/>
    <w:rsid w:val="004A7947"/>
    <w:rsid w:val="004B1E47"/>
    <w:rsid w:val="004B26DC"/>
    <w:rsid w:val="004C43F4"/>
    <w:rsid w:val="004D163F"/>
    <w:rsid w:val="004D67F9"/>
    <w:rsid w:val="004D6D0A"/>
    <w:rsid w:val="004F2598"/>
    <w:rsid w:val="00501B01"/>
    <w:rsid w:val="00530B54"/>
    <w:rsid w:val="00532860"/>
    <w:rsid w:val="005403F7"/>
    <w:rsid w:val="00540632"/>
    <w:rsid w:val="00541CF4"/>
    <w:rsid w:val="00545F36"/>
    <w:rsid w:val="00546E95"/>
    <w:rsid w:val="00587041"/>
    <w:rsid w:val="0058790F"/>
    <w:rsid w:val="005A69CE"/>
    <w:rsid w:val="005B6AF2"/>
    <w:rsid w:val="005C0007"/>
    <w:rsid w:val="006076B2"/>
    <w:rsid w:val="00647320"/>
    <w:rsid w:val="0066288E"/>
    <w:rsid w:val="0067425A"/>
    <w:rsid w:val="0067601B"/>
    <w:rsid w:val="00683FB8"/>
    <w:rsid w:val="006A2DD3"/>
    <w:rsid w:val="006A3D4E"/>
    <w:rsid w:val="006C36CD"/>
    <w:rsid w:val="006D505C"/>
    <w:rsid w:val="006E7D86"/>
    <w:rsid w:val="007009CA"/>
    <w:rsid w:val="00700D1F"/>
    <w:rsid w:val="00704036"/>
    <w:rsid w:val="007205CB"/>
    <w:rsid w:val="00731B02"/>
    <w:rsid w:val="0074113A"/>
    <w:rsid w:val="00744444"/>
    <w:rsid w:val="00746B42"/>
    <w:rsid w:val="00751706"/>
    <w:rsid w:val="00761BFE"/>
    <w:rsid w:val="00782810"/>
    <w:rsid w:val="007A0CF8"/>
    <w:rsid w:val="007B6191"/>
    <w:rsid w:val="007E189D"/>
    <w:rsid w:val="007E462C"/>
    <w:rsid w:val="007E69B8"/>
    <w:rsid w:val="00813AA2"/>
    <w:rsid w:val="00821345"/>
    <w:rsid w:val="0082449C"/>
    <w:rsid w:val="00840EA2"/>
    <w:rsid w:val="008669CC"/>
    <w:rsid w:val="00870A70"/>
    <w:rsid w:val="00871569"/>
    <w:rsid w:val="0088113F"/>
    <w:rsid w:val="008811CE"/>
    <w:rsid w:val="008A1035"/>
    <w:rsid w:val="008A1653"/>
    <w:rsid w:val="008C7FAD"/>
    <w:rsid w:val="008D1828"/>
    <w:rsid w:val="008E2D6F"/>
    <w:rsid w:val="008E3979"/>
    <w:rsid w:val="008F5B5C"/>
    <w:rsid w:val="008F7B43"/>
    <w:rsid w:val="00904CFA"/>
    <w:rsid w:val="009145CA"/>
    <w:rsid w:val="009301C9"/>
    <w:rsid w:val="0093362E"/>
    <w:rsid w:val="009625D8"/>
    <w:rsid w:val="00980E78"/>
    <w:rsid w:val="0099005F"/>
    <w:rsid w:val="00997185"/>
    <w:rsid w:val="009B50FA"/>
    <w:rsid w:val="009D7191"/>
    <w:rsid w:val="009E685D"/>
    <w:rsid w:val="009F4FC6"/>
    <w:rsid w:val="00A0081D"/>
    <w:rsid w:val="00A05163"/>
    <w:rsid w:val="00A272FF"/>
    <w:rsid w:val="00A461D0"/>
    <w:rsid w:val="00A46C24"/>
    <w:rsid w:val="00A57442"/>
    <w:rsid w:val="00A6128B"/>
    <w:rsid w:val="00A64EA3"/>
    <w:rsid w:val="00B405D5"/>
    <w:rsid w:val="00B431E9"/>
    <w:rsid w:val="00B46A65"/>
    <w:rsid w:val="00B535E7"/>
    <w:rsid w:val="00B53A77"/>
    <w:rsid w:val="00B55C38"/>
    <w:rsid w:val="00B60184"/>
    <w:rsid w:val="00B62D20"/>
    <w:rsid w:val="00B634BA"/>
    <w:rsid w:val="00B668D0"/>
    <w:rsid w:val="00B71501"/>
    <w:rsid w:val="00B81E75"/>
    <w:rsid w:val="00B96C77"/>
    <w:rsid w:val="00BA6400"/>
    <w:rsid w:val="00BB752E"/>
    <w:rsid w:val="00BC0FDE"/>
    <w:rsid w:val="00BD3383"/>
    <w:rsid w:val="00BD5576"/>
    <w:rsid w:val="00BE2410"/>
    <w:rsid w:val="00C01DFD"/>
    <w:rsid w:val="00C14A39"/>
    <w:rsid w:val="00C46B5F"/>
    <w:rsid w:val="00C564D3"/>
    <w:rsid w:val="00C568A0"/>
    <w:rsid w:val="00C64E4E"/>
    <w:rsid w:val="00C66373"/>
    <w:rsid w:val="00C66E64"/>
    <w:rsid w:val="00C74C91"/>
    <w:rsid w:val="00C80C0B"/>
    <w:rsid w:val="00CA2044"/>
    <w:rsid w:val="00CB3B42"/>
    <w:rsid w:val="00CD3AAD"/>
    <w:rsid w:val="00CD47F0"/>
    <w:rsid w:val="00CE0ED2"/>
    <w:rsid w:val="00CE6F22"/>
    <w:rsid w:val="00CE7E17"/>
    <w:rsid w:val="00CF062C"/>
    <w:rsid w:val="00CF6BE5"/>
    <w:rsid w:val="00CF7D3E"/>
    <w:rsid w:val="00D055B0"/>
    <w:rsid w:val="00D1443B"/>
    <w:rsid w:val="00D20BBF"/>
    <w:rsid w:val="00D55E39"/>
    <w:rsid w:val="00D65AFD"/>
    <w:rsid w:val="00D81A07"/>
    <w:rsid w:val="00D91D22"/>
    <w:rsid w:val="00D94637"/>
    <w:rsid w:val="00D9598F"/>
    <w:rsid w:val="00DE196D"/>
    <w:rsid w:val="00DE2B78"/>
    <w:rsid w:val="00DF55DF"/>
    <w:rsid w:val="00E2352B"/>
    <w:rsid w:val="00E265BF"/>
    <w:rsid w:val="00E42DF8"/>
    <w:rsid w:val="00E56E69"/>
    <w:rsid w:val="00E57E21"/>
    <w:rsid w:val="00E7411A"/>
    <w:rsid w:val="00E77252"/>
    <w:rsid w:val="00E77476"/>
    <w:rsid w:val="00E8228B"/>
    <w:rsid w:val="00E857C8"/>
    <w:rsid w:val="00E92203"/>
    <w:rsid w:val="00EA1D9D"/>
    <w:rsid w:val="00EA61D3"/>
    <w:rsid w:val="00EB4052"/>
    <w:rsid w:val="00EB4FFE"/>
    <w:rsid w:val="00EB6DCB"/>
    <w:rsid w:val="00EE4BB7"/>
    <w:rsid w:val="00F012FC"/>
    <w:rsid w:val="00F11595"/>
    <w:rsid w:val="00F40BF4"/>
    <w:rsid w:val="00F47C7A"/>
    <w:rsid w:val="00F539A2"/>
    <w:rsid w:val="00F61A24"/>
    <w:rsid w:val="00F628F6"/>
    <w:rsid w:val="00F66F5D"/>
    <w:rsid w:val="00F67AD4"/>
    <w:rsid w:val="00F75E6E"/>
    <w:rsid w:val="00F928D6"/>
    <w:rsid w:val="00F968AB"/>
    <w:rsid w:val="00FB3452"/>
    <w:rsid w:val="00FB7376"/>
    <w:rsid w:val="00FB771F"/>
    <w:rsid w:val="00FC5386"/>
    <w:rsid w:val="00FE1216"/>
    <w:rsid w:val="00FF153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15C212E"/>
  <w15:docId w15:val="{E03B1367-2CBF-406A-83DF-44B6CD967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6C36CD"/>
    <w:pPr>
      <w:keepNext/>
      <w:keepLines/>
      <w:spacing w:before="480"/>
      <w:ind w:left="794" w:hanging="794"/>
      <w:outlineLvl w:val="0"/>
    </w:pPr>
    <w:rPr>
      <w:b/>
      <w:sz w:val="28"/>
    </w:rPr>
  </w:style>
  <w:style w:type="paragraph" w:styleId="Heading2">
    <w:name w:val="heading 2"/>
    <w:basedOn w:val="Heading1"/>
    <w:next w:val="Normal"/>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semiHidden/>
    <w:rsid w:val="006C36CD"/>
    <w:rPr>
      <w:position w:val="6"/>
      <w:sz w:val="18"/>
    </w:rPr>
  </w:style>
  <w:style w:type="paragraph" w:styleId="FootnoteText">
    <w:name w:val="footnote text"/>
    <w:basedOn w:val="Normal"/>
    <w:semiHidden/>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rsid w:val="007A0CF8"/>
    <w:pPr>
      <w:keepNext/>
      <w:keepLines/>
      <w:spacing w:before="240" w:after="280"/>
      <w:jc w:val="center"/>
    </w:pPr>
    <w:rPr>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styleId="CommentReference">
    <w:name w:val="annotation reference"/>
    <w:basedOn w:val="DefaultParagraphFont"/>
    <w:uiPriority w:val="99"/>
    <w:semiHidden/>
    <w:unhideWhenUsed/>
    <w:rsid w:val="00A0081D"/>
    <w:rPr>
      <w:sz w:val="16"/>
      <w:szCs w:val="16"/>
    </w:rPr>
  </w:style>
  <w:style w:type="paragraph" w:styleId="CommentText">
    <w:name w:val="annotation text"/>
    <w:basedOn w:val="Normal"/>
    <w:link w:val="CommentTextChar"/>
    <w:uiPriority w:val="99"/>
    <w:semiHidden/>
    <w:unhideWhenUsed/>
    <w:rsid w:val="00A0081D"/>
    <w:pPr>
      <w:tabs>
        <w:tab w:val="clear" w:pos="794"/>
        <w:tab w:val="clear" w:pos="1191"/>
        <w:tab w:val="clear" w:pos="1588"/>
        <w:tab w:val="clear" w:pos="1985"/>
      </w:tabs>
      <w:overflowPunct/>
      <w:autoSpaceDE/>
      <w:autoSpaceDN/>
      <w:adjustRightInd/>
      <w:spacing w:before="0" w:after="200"/>
      <w:textAlignment w:val="auto"/>
    </w:pPr>
    <w:rPr>
      <w:rFonts w:ascii="Arial" w:eastAsiaTheme="minorHAnsi" w:hAnsi="Arial" w:cs="Arial"/>
      <w:sz w:val="20"/>
    </w:rPr>
  </w:style>
  <w:style w:type="character" w:customStyle="1" w:styleId="CommentTextChar">
    <w:name w:val="Comment Text Char"/>
    <w:basedOn w:val="DefaultParagraphFont"/>
    <w:link w:val="CommentText"/>
    <w:uiPriority w:val="99"/>
    <w:semiHidden/>
    <w:rsid w:val="00A0081D"/>
    <w:rPr>
      <w:rFonts w:ascii="Arial" w:eastAsiaTheme="minorHAnsi" w:hAnsi="Arial" w:cs="Arial"/>
      <w:lang w:val="en-GB" w:eastAsia="en-US"/>
    </w:rPr>
  </w:style>
  <w:style w:type="paragraph" w:styleId="BalloonText">
    <w:name w:val="Balloon Text"/>
    <w:basedOn w:val="Normal"/>
    <w:link w:val="BalloonTextChar"/>
    <w:semiHidden/>
    <w:unhideWhenUsed/>
    <w:rsid w:val="003901EE"/>
    <w:pPr>
      <w:spacing w:before="0"/>
    </w:pPr>
    <w:rPr>
      <w:sz w:val="18"/>
      <w:szCs w:val="18"/>
    </w:rPr>
  </w:style>
  <w:style w:type="character" w:customStyle="1" w:styleId="BalloonTextChar">
    <w:name w:val="Balloon Text Char"/>
    <w:basedOn w:val="DefaultParagraphFont"/>
    <w:link w:val="BalloonText"/>
    <w:semiHidden/>
    <w:rsid w:val="003901EE"/>
    <w:rPr>
      <w:rFonts w:ascii="Calibri" w:hAnsi="Calibri"/>
      <w:sz w:val="18"/>
      <w:szCs w:val="18"/>
      <w:lang w:val="en-GB" w:eastAsia="en-US"/>
    </w:rPr>
  </w:style>
  <w:style w:type="paragraph" w:styleId="CommentSubject">
    <w:name w:val="annotation subject"/>
    <w:basedOn w:val="CommentText"/>
    <w:next w:val="CommentText"/>
    <w:link w:val="CommentSubjectChar"/>
    <w:semiHidden/>
    <w:unhideWhenUsed/>
    <w:rsid w:val="00B55C38"/>
    <w:pPr>
      <w:tabs>
        <w:tab w:val="left" w:pos="794"/>
        <w:tab w:val="left" w:pos="1191"/>
        <w:tab w:val="left" w:pos="1588"/>
        <w:tab w:val="left" w:pos="1985"/>
      </w:tabs>
      <w:overflowPunct w:val="0"/>
      <w:autoSpaceDE w:val="0"/>
      <w:autoSpaceDN w:val="0"/>
      <w:adjustRightInd w:val="0"/>
      <w:spacing w:before="120" w:after="0"/>
      <w:textAlignment w:val="baseline"/>
    </w:pPr>
    <w:rPr>
      <w:rFonts w:ascii="Calibri" w:eastAsia="SimSun" w:hAnsi="Calibri" w:cs="Times New Roman"/>
      <w:b/>
      <w:bCs/>
    </w:rPr>
  </w:style>
  <w:style w:type="character" w:customStyle="1" w:styleId="CommentSubjectChar">
    <w:name w:val="Comment Subject Char"/>
    <w:basedOn w:val="CommentTextChar"/>
    <w:link w:val="CommentSubject"/>
    <w:semiHidden/>
    <w:rsid w:val="00B55C38"/>
    <w:rPr>
      <w:rFonts w:ascii="Calibri" w:eastAsiaTheme="minorHAnsi" w:hAnsi="Calibri" w:cs="Arial"/>
      <w:b/>
      <w:bCs/>
      <w:lang w:val="en-GB" w:eastAsia="en-US"/>
    </w:rPr>
  </w:style>
  <w:style w:type="paragraph" w:styleId="Revision">
    <w:name w:val="Revision"/>
    <w:hidden/>
    <w:uiPriority w:val="99"/>
    <w:semiHidden/>
    <w:rsid w:val="00B55C38"/>
    <w:rPr>
      <w:rFonts w:ascii="Calibri" w:hAnsi="Calibri"/>
      <w:sz w:val="24"/>
      <w:lang w:val="en-GB" w:eastAsia="en-US"/>
    </w:rPr>
  </w:style>
  <w:style w:type="character" w:customStyle="1" w:styleId="HeaderChar">
    <w:name w:val="Header Char"/>
    <w:basedOn w:val="DefaultParagraphFont"/>
    <w:link w:val="Header"/>
    <w:rsid w:val="001F3640"/>
    <w:rPr>
      <w:rFonts w:ascii="Calibri" w:hAnsi="Calibri"/>
      <w:sz w:val="18"/>
      <w:lang w:val="fr-FR" w:eastAsia="en-US"/>
    </w:rPr>
  </w:style>
  <w:style w:type="character" w:customStyle="1" w:styleId="FooterChar">
    <w:name w:val="Footer Char"/>
    <w:basedOn w:val="DefaultParagraphFont"/>
    <w:link w:val="Footer"/>
    <w:rsid w:val="003C1504"/>
    <w:rPr>
      <w:rFonts w:ascii="Calibri" w:hAnsi="Calibri"/>
      <w:caps/>
      <w:noProof/>
      <w:sz w:val="16"/>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61276">
      <w:bodyDiv w:val="1"/>
      <w:marLeft w:val="0"/>
      <w:marRight w:val="0"/>
      <w:marTop w:val="0"/>
      <w:marBottom w:val="0"/>
      <w:divBdr>
        <w:top w:val="none" w:sz="0" w:space="0" w:color="auto"/>
        <w:left w:val="none" w:sz="0" w:space="0" w:color="auto"/>
        <w:bottom w:val="none" w:sz="0" w:space="0" w:color="auto"/>
        <w:right w:val="none" w:sz="0" w:space="0" w:color="auto"/>
      </w:divBdr>
    </w:div>
    <w:div w:id="566846001">
      <w:bodyDiv w:val="1"/>
      <w:marLeft w:val="0"/>
      <w:marRight w:val="0"/>
      <w:marTop w:val="0"/>
      <w:marBottom w:val="0"/>
      <w:divBdr>
        <w:top w:val="none" w:sz="0" w:space="0" w:color="auto"/>
        <w:left w:val="none" w:sz="0" w:space="0" w:color="auto"/>
        <w:bottom w:val="none" w:sz="0" w:space="0" w:color="auto"/>
        <w:right w:val="none" w:sz="0" w:space="0" w:color="auto"/>
      </w:divBdr>
    </w:div>
    <w:div w:id="1838569924">
      <w:bodyDiv w:val="1"/>
      <w:marLeft w:val="0"/>
      <w:marRight w:val="0"/>
      <w:marTop w:val="0"/>
      <w:marBottom w:val="0"/>
      <w:divBdr>
        <w:top w:val="none" w:sz="0" w:space="0" w:color="auto"/>
        <w:left w:val="none" w:sz="0" w:space="0" w:color="auto"/>
        <w:bottom w:val="none" w:sz="0" w:space="0" w:color="auto"/>
        <w:right w:val="none" w:sz="0" w:space="0" w:color="auto"/>
      </w:divBdr>
    </w:div>
    <w:div w:id="1900630081">
      <w:bodyDiv w:val="1"/>
      <w:marLeft w:val="0"/>
      <w:marRight w:val="0"/>
      <w:marTop w:val="0"/>
      <w:marBottom w:val="0"/>
      <w:divBdr>
        <w:top w:val="none" w:sz="0" w:space="0" w:color="auto"/>
        <w:left w:val="none" w:sz="0" w:space="0" w:color="auto"/>
        <w:bottom w:val="none" w:sz="0" w:space="0" w:color="auto"/>
        <w:right w:val="none" w:sz="0" w:space="0" w:color="auto"/>
      </w:divBdr>
    </w:div>
    <w:div w:id="1951429374">
      <w:bodyDiv w:val="1"/>
      <w:marLeft w:val="0"/>
      <w:marRight w:val="0"/>
      <w:marTop w:val="0"/>
      <w:marBottom w:val="0"/>
      <w:divBdr>
        <w:top w:val="none" w:sz="0" w:space="0" w:color="auto"/>
        <w:left w:val="none" w:sz="0" w:space="0" w:color="auto"/>
        <w:bottom w:val="none" w:sz="0" w:space="0" w:color="auto"/>
        <w:right w:val="none" w:sz="0" w:space="0" w:color="auto"/>
      </w:divBdr>
    </w:div>
    <w:div w:id="1985968458">
      <w:bodyDiv w:val="1"/>
      <w:marLeft w:val="0"/>
      <w:marRight w:val="0"/>
      <w:marTop w:val="0"/>
      <w:marBottom w:val="0"/>
      <w:divBdr>
        <w:top w:val="none" w:sz="0" w:space="0" w:color="auto"/>
        <w:left w:val="none" w:sz="0" w:space="0" w:color="auto"/>
        <w:bottom w:val="none" w:sz="0" w:space="0" w:color="auto"/>
        <w:right w:val="none" w:sz="0" w:space="0" w:color="auto"/>
      </w:divBdr>
    </w:div>
    <w:div w:id="200442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uhui\AppData\Roaming\Microsoft\Templates\POOL%20C%20-%20ITU\PC_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F8D4F-E434-4765-9E04-61BA5B3C1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PC_C15.dotm</Template>
  <TotalTime>32</TotalTime>
  <Pages>2</Pages>
  <Words>1501</Words>
  <Characters>257</Characters>
  <Application>Microsoft Office Word</Application>
  <DocSecurity>0</DocSecurity>
  <Lines>2</Lines>
  <Paragraphs>3</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1755</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Council 2004</dc:subject>
  <dc:creator>Xu, Hui</dc:creator>
  <cp:keywords>C2004, C04</cp:keywords>
  <dc:description>C05/xx-C  For: _x000d_Document date: _x000d_Saved by CHI42772 at 09:12:08 on 10/02/2005</dc:description>
  <cp:lastModifiedBy>Yuan, Tianxiang</cp:lastModifiedBy>
  <cp:revision>4</cp:revision>
  <cp:lastPrinted>2015-05-11T12:19:00Z</cp:lastPrinted>
  <dcterms:created xsi:type="dcterms:W3CDTF">2015-05-14T20:51:00Z</dcterms:created>
  <dcterms:modified xsi:type="dcterms:W3CDTF">2015-05-14T21:22:00Z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