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25B80" w:rsidRPr="00F25B80" w14:paraId="1365596F" w14:textId="77777777" w:rsidTr="003C79B1">
        <w:trPr>
          <w:cantSplit/>
        </w:trPr>
        <w:tc>
          <w:tcPr>
            <w:tcW w:w="6911" w:type="dxa"/>
            <w:vAlign w:val="center"/>
          </w:tcPr>
          <w:p w14:paraId="4851B9E3" w14:textId="3468AF2A" w:rsidR="00F25B80" w:rsidRPr="00F25B80" w:rsidRDefault="00F25B80" w:rsidP="008A4AF7">
            <w:pPr>
              <w:adjustRightInd/>
              <w:snapToGrid w:val="0"/>
              <w:spacing w:before="0" w:line="240" w:lineRule="auto"/>
              <w:jc w:val="left"/>
              <w:rPr>
                <w:rFonts w:ascii="Calibri" w:eastAsia="SimSun" w:hAnsi="Calibri" w:cs="Arial"/>
                <w:position w:val="6"/>
                <w:sz w:val="22"/>
                <w:szCs w:val="22"/>
                <w:lang w:val="it-IT" w:eastAsia="zh-CN"/>
              </w:rPr>
            </w:pPr>
            <w:bookmarkStart w:id="0" w:name="dc06"/>
            <w:bookmarkEnd w:id="0"/>
            <w:r w:rsidRPr="00F25B80">
              <w:rPr>
                <w:rFonts w:ascii="Calibri" w:eastAsia="SimSun" w:hAnsi="Calibri" w:cs="Arial"/>
                <w:b/>
                <w:bCs/>
                <w:position w:val="6"/>
                <w:sz w:val="30"/>
                <w:szCs w:val="30"/>
                <w:lang w:val="it-IT" w:eastAsia="zh-CN"/>
              </w:rPr>
              <w:t>Council 2015</w:t>
            </w:r>
            <w:r w:rsidRPr="00F25B80">
              <w:rPr>
                <w:rFonts w:ascii="Calibri" w:eastAsia="SimSun" w:hAnsi="Calibri" w:cs="Times"/>
                <w:b/>
                <w:position w:val="6"/>
                <w:sz w:val="26"/>
                <w:szCs w:val="26"/>
                <w:lang w:eastAsia="zh-CN"/>
              </w:rPr>
              <w:br/>
            </w:r>
            <w:r w:rsidRPr="00F25B80">
              <w:rPr>
                <w:rFonts w:ascii="Calibri" w:eastAsia="SimSun" w:hAnsi="Calibri" w:cs="Arial"/>
                <w:b/>
                <w:bCs/>
                <w:position w:val="6"/>
                <w:szCs w:val="28"/>
                <w:lang w:eastAsia="zh-CN"/>
              </w:rPr>
              <w:t>Geneva, 12-2 May 2015</w:t>
            </w:r>
          </w:p>
        </w:tc>
        <w:tc>
          <w:tcPr>
            <w:tcW w:w="3120" w:type="dxa"/>
          </w:tcPr>
          <w:p w14:paraId="025509CB" w14:textId="4ABB3EBD" w:rsidR="00F25B80" w:rsidRPr="00F25B80" w:rsidRDefault="008A4AF7" w:rsidP="00F25B80">
            <w:pPr>
              <w:adjustRightInd/>
              <w:snapToGrid w:val="0"/>
              <w:spacing w:before="0" w:line="240" w:lineRule="auto"/>
              <w:jc w:val="left"/>
              <w:rPr>
                <w:rFonts w:ascii="Calibri" w:eastAsia="SimSun" w:hAnsi="Calibri" w:cs="Arial"/>
                <w:sz w:val="22"/>
                <w:szCs w:val="22"/>
                <w:lang w:val="it-IT" w:eastAsia="zh-CN"/>
              </w:rPr>
            </w:pPr>
            <w:bookmarkStart w:id="1" w:name="ditulogo"/>
            <w:bookmarkStart w:id="2" w:name="dlogo"/>
            <w:bookmarkEnd w:id="1"/>
            <w:r>
              <w:rPr>
                <w:noProof/>
                <w:lang w:eastAsia="zh-CN"/>
              </w:rPr>
              <w:drawing>
                <wp:inline distT="0" distB="0" distL="0" distR="0" wp14:anchorId="0C62AD08" wp14:editId="4094D39D">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2"/>
          </w:p>
        </w:tc>
      </w:tr>
      <w:tr w:rsidR="00F25B80" w:rsidRPr="00F25B80" w14:paraId="5CF513D0" w14:textId="77777777" w:rsidTr="003C79B1">
        <w:trPr>
          <w:cantSplit/>
        </w:trPr>
        <w:tc>
          <w:tcPr>
            <w:tcW w:w="6911" w:type="dxa"/>
            <w:tcBorders>
              <w:bottom w:val="single" w:sz="12" w:space="0" w:color="auto"/>
            </w:tcBorders>
          </w:tcPr>
          <w:p w14:paraId="3224C301" w14:textId="77777777" w:rsidR="00F25B80" w:rsidRPr="00F25B80" w:rsidRDefault="00F25B80" w:rsidP="00F25B80">
            <w:pPr>
              <w:adjustRightInd/>
              <w:snapToGrid w:val="0"/>
              <w:spacing w:before="0" w:line="240" w:lineRule="auto"/>
              <w:jc w:val="left"/>
              <w:rPr>
                <w:rFonts w:ascii="Calibri" w:eastAsia="SimSun" w:hAnsi="Calibri" w:cs="Arial"/>
                <w:b/>
                <w:smallCaps/>
                <w:sz w:val="22"/>
                <w:lang w:val="it-IT" w:eastAsia="zh-CN"/>
              </w:rPr>
            </w:pPr>
          </w:p>
        </w:tc>
        <w:tc>
          <w:tcPr>
            <w:tcW w:w="3120" w:type="dxa"/>
            <w:tcBorders>
              <w:bottom w:val="single" w:sz="12" w:space="0" w:color="auto"/>
            </w:tcBorders>
          </w:tcPr>
          <w:p w14:paraId="4759D960" w14:textId="77777777" w:rsidR="00F25B80" w:rsidRPr="00F25B80" w:rsidRDefault="00F25B80" w:rsidP="00F25B80">
            <w:pPr>
              <w:adjustRightInd/>
              <w:snapToGrid w:val="0"/>
              <w:spacing w:before="0" w:line="240" w:lineRule="auto"/>
              <w:jc w:val="left"/>
              <w:rPr>
                <w:rFonts w:ascii="Calibri" w:eastAsia="SimSun" w:hAnsi="Calibri" w:cs="Arial"/>
                <w:sz w:val="22"/>
                <w:lang w:val="it-IT" w:eastAsia="zh-CN"/>
              </w:rPr>
            </w:pPr>
          </w:p>
        </w:tc>
      </w:tr>
      <w:tr w:rsidR="00F25B80" w:rsidRPr="00F25B80" w14:paraId="26FB51DB" w14:textId="77777777" w:rsidTr="003C79B1">
        <w:trPr>
          <w:cantSplit/>
        </w:trPr>
        <w:tc>
          <w:tcPr>
            <w:tcW w:w="6911" w:type="dxa"/>
            <w:tcBorders>
              <w:top w:val="single" w:sz="12" w:space="0" w:color="auto"/>
            </w:tcBorders>
          </w:tcPr>
          <w:p w14:paraId="4105E788" w14:textId="77777777" w:rsidR="00F25B80" w:rsidRPr="00F25B80" w:rsidRDefault="00F25B80" w:rsidP="00F25B80">
            <w:pPr>
              <w:adjustRightInd/>
              <w:snapToGrid w:val="0"/>
              <w:spacing w:before="0" w:line="240" w:lineRule="auto"/>
              <w:jc w:val="left"/>
              <w:rPr>
                <w:rFonts w:ascii="Calibri" w:eastAsia="SimSun" w:hAnsi="Calibri" w:cs="Arial"/>
                <w:b/>
                <w:smallCaps/>
                <w:sz w:val="22"/>
                <w:lang w:val="it-IT" w:eastAsia="zh-CN"/>
              </w:rPr>
            </w:pPr>
          </w:p>
        </w:tc>
        <w:tc>
          <w:tcPr>
            <w:tcW w:w="3120" w:type="dxa"/>
            <w:tcBorders>
              <w:top w:val="single" w:sz="12" w:space="0" w:color="auto"/>
            </w:tcBorders>
          </w:tcPr>
          <w:p w14:paraId="1A902580" w14:textId="77777777" w:rsidR="00F25B80" w:rsidRPr="00F25B80" w:rsidRDefault="00F25B80" w:rsidP="00F25B80">
            <w:pPr>
              <w:adjustRightInd/>
              <w:snapToGrid w:val="0"/>
              <w:spacing w:before="0" w:line="240" w:lineRule="auto"/>
              <w:jc w:val="left"/>
              <w:rPr>
                <w:rFonts w:ascii="Calibri" w:eastAsia="SimSun" w:hAnsi="Calibri" w:cs="Arial"/>
                <w:lang w:val="it-IT" w:eastAsia="zh-CN"/>
              </w:rPr>
            </w:pPr>
          </w:p>
        </w:tc>
      </w:tr>
      <w:tr w:rsidR="00F25B80" w:rsidRPr="00F25B80" w14:paraId="26E572DB" w14:textId="77777777" w:rsidTr="003C79B1">
        <w:trPr>
          <w:cantSplit/>
          <w:trHeight w:val="23"/>
        </w:trPr>
        <w:tc>
          <w:tcPr>
            <w:tcW w:w="6911" w:type="dxa"/>
            <w:vMerge w:val="restart"/>
          </w:tcPr>
          <w:p w14:paraId="5C7E7771" w14:textId="77777777" w:rsidR="00F25B80" w:rsidRPr="00F25B80" w:rsidRDefault="00F25B80" w:rsidP="00F25B80">
            <w:pPr>
              <w:tabs>
                <w:tab w:val="left" w:pos="851"/>
              </w:tabs>
              <w:adjustRightInd/>
              <w:snapToGrid w:val="0"/>
              <w:spacing w:before="0" w:line="240" w:lineRule="auto"/>
              <w:jc w:val="left"/>
              <w:rPr>
                <w:rFonts w:ascii="Calibri" w:eastAsia="SimSun" w:hAnsi="Calibri" w:cs="Calibri"/>
                <w:b/>
                <w:lang w:val="it-IT" w:eastAsia="zh-CN"/>
              </w:rPr>
            </w:pPr>
            <w:bookmarkStart w:id="3" w:name="dmeeting" w:colFirst="0" w:colLast="0"/>
            <w:bookmarkStart w:id="4" w:name="dnum" w:colFirst="1" w:colLast="1"/>
            <w:r w:rsidRPr="00F25B80">
              <w:rPr>
                <w:rFonts w:ascii="Calibri" w:eastAsia="SimSun" w:hAnsi="Calibri" w:cs="Calibri"/>
                <w:b/>
                <w:lang w:val="it-IT" w:eastAsia="zh-CN"/>
              </w:rPr>
              <w:t>Agenda item:  ADM 10</w:t>
            </w:r>
          </w:p>
        </w:tc>
        <w:tc>
          <w:tcPr>
            <w:tcW w:w="3120" w:type="dxa"/>
          </w:tcPr>
          <w:p w14:paraId="7AB90443" w14:textId="77777777" w:rsidR="00F25B80" w:rsidRPr="00F25B80" w:rsidRDefault="00F25B80" w:rsidP="00F25B80">
            <w:pPr>
              <w:tabs>
                <w:tab w:val="left" w:pos="851"/>
              </w:tabs>
              <w:adjustRightInd/>
              <w:snapToGrid w:val="0"/>
              <w:spacing w:before="0" w:line="240" w:lineRule="auto"/>
              <w:jc w:val="left"/>
              <w:rPr>
                <w:rFonts w:ascii="Calibri" w:eastAsia="SimSun" w:hAnsi="Calibri" w:cs="Calibri"/>
                <w:b/>
                <w:lang w:val="it-IT" w:eastAsia="zh-CN"/>
              </w:rPr>
            </w:pPr>
            <w:r w:rsidRPr="00F25B80">
              <w:rPr>
                <w:rFonts w:ascii="Calibri" w:eastAsia="SimSun" w:hAnsi="Calibri" w:cs="Calibri"/>
                <w:b/>
                <w:lang w:val="it-IT" w:eastAsia="zh-CN"/>
              </w:rPr>
              <w:t>Document C15/66-E</w:t>
            </w:r>
          </w:p>
        </w:tc>
      </w:tr>
      <w:tr w:rsidR="00F25B80" w:rsidRPr="00F25B80" w14:paraId="1FDBD694" w14:textId="77777777" w:rsidTr="003C79B1">
        <w:trPr>
          <w:cantSplit/>
          <w:trHeight w:val="23"/>
        </w:trPr>
        <w:tc>
          <w:tcPr>
            <w:tcW w:w="6911" w:type="dxa"/>
            <w:vMerge/>
          </w:tcPr>
          <w:p w14:paraId="4B74006B" w14:textId="77777777" w:rsidR="00F25B80" w:rsidRPr="00F25B80" w:rsidRDefault="00F25B80" w:rsidP="00F25B80">
            <w:pPr>
              <w:tabs>
                <w:tab w:val="left" w:pos="851"/>
              </w:tabs>
              <w:adjustRightInd/>
              <w:snapToGrid w:val="0"/>
              <w:spacing w:before="0" w:line="240" w:lineRule="auto"/>
              <w:jc w:val="left"/>
              <w:rPr>
                <w:rFonts w:ascii="Calibri" w:eastAsia="SimSun" w:hAnsi="Calibri" w:cs="Arial"/>
                <w:b/>
                <w:sz w:val="22"/>
                <w:szCs w:val="22"/>
                <w:lang w:val="it-IT" w:eastAsia="zh-CN"/>
              </w:rPr>
            </w:pPr>
            <w:bookmarkStart w:id="5" w:name="ddate" w:colFirst="1" w:colLast="1"/>
            <w:bookmarkEnd w:id="3"/>
            <w:bookmarkEnd w:id="4"/>
          </w:p>
        </w:tc>
        <w:tc>
          <w:tcPr>
            <w:tcW w:w="3120" w:type="dxa"/>
          </w:tcPr>
          <w:p w14:paraId="3C40DFF0" w14:textId="77777777" w:rsidR="00F25B80" w:rsidRPr="00F25B80" w:rsidRDefault="00F25B80" w:rsidP="00F25B80">
            <w:pPr>
              <w:tabs>
                <w:tab w:val="left" w:pos="993"/>
              </w:tabs>
              <w:adjustRightInd/>
              <w:snapToGrid w:val="0"/>
              <w:spacing w:before="0" w:line="240" w:lineRule="auto"/>
              <w:jc w:val="left"/>
              <w:rPr>
                <w:rFonts w:ascii="Calibri" w:eastAsia="SimSun" w:hAnsi="Calibri" w:cs="Calibri"/>
                <w:b/>
                <w:lang w:val="it-IT" w:eastAsia="zh-CN"/>
              </w:rPr>
            </w:pPr>
            <w:r w:rsidRPr="00F25B80">
              <w:rPr>
                <w:rFonts w:ascii="Calibri" w:eastAsia="SimSun" w:hAnsi="Calibri" w:cs="Calibri"/>
                <w:b/>
                <w:lang w:val="it-IT" w:eastAsia="zh-CN"/>
              </w:rPr>
              <w:t>8 May 2015</w:t>
            </w:r>
          </w:p>
        </w:tc>
      </w:tr>
      <w:tr w:rsidR="00F25B80" w:rsidRPr="00F25B80" w14:paraId="39057EA2" w14:textId="77777777" w:rsidTr="003C79B1">
        <w:trPr>
          <w:cantSplit/>
          <w:trHeight w:val="23"/>
        </w:trPr>
        <w:tc>
          <w:tcPr>
            <w:tcW w:w="6911" w:type="dxa"/>
            <w:vMerge/>
          </w:tcPr>
          <w:p w14:paraId="4FC39DD1" w14:textId="77777777" w:rsidR="00F25B80" w:rsidRPr="00F25B80" w:rsidRDefault="00F25B80" w:rsidP="00F25B80">
            <w:pPr>
              <w:tabs>
                <w:tab w:val="left" w:pos="851"/>
              </w:tabs>
              <w:adjustRightInd/>
              <w:snapToGrid w:val="0"/>
              <w:spacing w:before="0" w:line="240" w:lineRule="auto"/>
              <w:jc w:val="left"/>
              <w:rPr>
                <w:rFonts w:ascii="Calibri" w:eastAsia="SimSun" w:hAnsi="Calibri" w:cs="Arial"/>
                <w:b/>
                <w:sz w:val="22"/>
                <w:szCs w:val="22"/>
                <w:lang w:val="it-IT" w:eastAsia="zh-CN"/>
              </w:rPr>
            </w:pPr>
            <w:bookmarkStart w:id="6" w:name="dorlang" w:colFirst="1" w:colLast="1"/>
            <w:bookmarkEnd w:id="5"/>
          </w:p>
        </w:tc>
        <w:tc>
          <w:tcPr>
            <w:tcW w:w="3120" w:type="dxa"/>
          </w:tcPr>
          <w:p w14:paraId="1E8A41A8" w14:textId="77777777" w:rsidR="00F25B80" w:rsidRPr="00F25B80" w:rsidRDefault="00F25B80" w:rsidP="00F25B80">
            <w:pPr>
              <w:tabs>
                <w:tab w:val="left" w:pos="993"/>
              </w:tabs>
              <w:adjustRightInd/>
              <w:snapToGrid w:val="0"/>
              <w:spacing w:before="0" w:line="240" w:lineRule="auto"/>
              <w:jc w:val="left"/>
              <w:rPr>
                <w:rFonts w:ascii="Calibri" w:eastAsia="SimSun" w:hAnsi="Calibri" w:cs="Calibri"/>
                <w:b/>
                <w:lang w:val="it-IT" w:eastAsia="zh-CN"/>
              </w:rPr>
            </w:pPr>
            <w:r w:rsidRPr="00F25B80">
              <w:rPr>
                <w:rFonts w:ascii="Calibri" w:eastAsia="SimSun" w:hAnsi="Calibri" w:cs="Calibri"/>
                <w:b/>
                <w:lang w:val="it-IT" w:eastAsia="zh-CN"/>
              </w:rPr>
              <w:t>Original: English</w:t>
            </w:r>
          </w:p>
        </w:tc>
      </w:tr>
      <w:tr w:rsidR="00F25B80" w:rsidRPr="00F25B80" w14:paraId="67FBB25D" w14:textId="77777777" w:rsidTr="003C79B1">
        <w:trPr>
          <w:cantSplit/>
        </w:trPr>
        <w:tc>
          <w:tcPr>
            <w:tcW w:w="10031" w:type="dxa"/>
            <w:gridSpan w:val="2"/>
          </w:tcPr>
          <w:p w14:paraId="22D7D3F6" w14:textId="77777777" w:rsidR="00F25B80" w:rsidRPr="00F25B80" w:rsidRDefault="00F25B80" w:rsidP="00F25B80">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bookmarkStart w:id="7" w:name="dsource" w:colFirst="0" w:colLast="0"/>
            <w:bookmarkEnd w:id="6"/>
          </w:p>
          <w:p w14:paraId="4CEB464E" w14:textId="77777777" w:rsidR="00F25B80" w:rsidRPr="00F25B80" w:rsidRDefault="00F25B80" w:rsidP="00F25B80">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p>
          <w:p w14:paraId="78F4F22D" w14:textId="77777777" w:rsidR="00F25B80" w:rsidRPr="00F25B80" w:rsidRDefault="00F25B80" w:rsidP="00F25B80">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r w:rsidRPr="00F25B80">
              <w:rPr>
                <w:rFonts w:ascii="Calibri" w:eastAsia="Times New Roman" w:hAnsi="Calibri" w:cs="Times New Roman"/>
                <w:b/>
                <w:sz w:val="28"/>
                <w:szCs w:val="20"/>
                <w:lang w:val="en-GB"/>
              </w:rPr>
              <w:t>Report by the Secretary-General</w:t>
            </w:r>
          </w:p>
        </w:tc>
      </w:tr>
      <w:tr w:rsidR="00F25B80" w:rsidRPr="00F25B80" w14:paraId="361CEC00" w14:textId="77777777" w:rsidTr="003C79B1">
        <w:trPr>
          <w:cantSplit/>
        </w:trPr>
        <w:tc>
          <w:tcPr>
            <w:tcW w:w="10031" w:type="dxa"/>
            <w:gridSpan w:val="2"/>
          </w:tcPr>
          <w:p w14:paraId="3DF68A1A" w14:textId="77777777" w:rsidR="00F25B80" w:rsidRPr="00F25B80" w:rsidRDefault="00F25B80" w:rsidP="008A4AF7">
            <w:pPr>
              <w:tabs>
                <w:tab w:val="left" w:pos="567"/>
                <w:tab w:val="left" w:pos="1134"/>
                <w:tab w:val="left" w:pos="1701"/>
                <w:tab w:val="left" w:pos="2268"/>
                <w:tab w:val="left" w:pos="2835"/>
              </w:tabs>
              <w:overflowPunct w:val="0"/>
              <w:autoSpaceDE w:val="0"/>
              <w:autoSpaceDN w:val="0"/>
              <w:spacing w:before="240" w:after="720" w:line="240" w:lineRule="auto"/>
              <w:jc w:val="center"/>
              <w:textAlignment w:val="baseline"/>
              <w:rPr>
                <w:rFonts w:ascii="Calibri" w:eastAsia="Times New Roman" w:hAnsi="Calibri" w:cs="Times New Roman"/>
                <w:caps/>
                <w:sz w:val="28"/>
                <w:szCs w:val="20"/>
                <w:lang w:val="en-GB"/>
              </w:rPr>
            </w:pPr>
            <w:bookmarkStart w:id="8" w:name="dtitle1" w:colFirst="0" w:colLast="0"/>
            <w:bookmarkEnd w:id="7"/>
            <w:r w:rsidRPr="00F25B80">
              <w:rPr>
                <w:rFonts w:ascii="Calibri" w:eastAsia="Times New Roman" w:hAnsi="Calibri" w:cs="Times New Roman"/>
                <w:caps/>
                <w:sz w:val="28"/>
                <w:szCs w:val="20"/>
                <w:lang w:val="en-GB"/>
              </w:rPr>
              <w:t>EXTERNAL AUDIT OF THE UNION'S ACCOUNTS on ITU TELECOM WORLD 2014</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25B80" w:rsidRPr="00F25B80" w14:paraId="3FF98E39" w14:textId="77777777" w:rsidTr="003C79B1">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40A07A8E" w14:textId="77777777" w:rsidR="00F25B80" w:rsidRPr="00F25B80" w:rsidRDefault="00F25B80" w:rsidP="00F25B80">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Summary</w:t>
            </w:r>
          </w:p>
          <w:p w14:paraId="678A7705" w14:textId="77777777" w:rsidR="00F25B80" w:rsidRPr="00F25B80" w:rsidRDefault="00F25B80" w:rsidP="00F25B80">
            <w:pPr>
              <w:snapToGrid w:val="0"/>
              <w:spacing w:before="0" w:line="240" w:lineRule="auto"/>
              <w:jc w:val="left"/>
              <w:rPr>
                <w:rFonts w:ascii="Calibri" w:eastAsia="SimSun" w:hAnsi="Calibri" w:cs="Arial"/>
                <w:lang w:eastAsia="zh-CN"/>
              </w:rPr>
            </w:pPr>
          </w:p>
          <w:p w14:paraId="4604E810" w14:textId="77777777" w:rsidR="00F25B80" w:rsidRPr="00F25B80" w:rsidRDefault="00F25B80" w:rsidP="00F25B80">
            <w:pPr>
              <w:snapToGrid w:val="0"/>
              <w:spacing w:before="0" w:line="240" w:lineRule="auto"/>
              <w:jc w:val="left"/>
              <w:rPr>
                <w:rFonts w:ascii="Calibri" w:eastAsia="SimSun" w:hAnsi="Calibri" w:cs="Arial"/>
                <w:lang w:val="it-IT" w:eastAsia="zh-CN"/>
              </w:rPr>
            </w:pPr>
            <w:r w:rsidRPr="00F25B80">
              <w:rPr>
                <w:rFonts w:ascii="Calibri" w:eastAsia="SimSun" w:hAnsi="Calibri" w:cs="Arial"/>
                <w:lang w:eastAsia="zh-CN"/>
              </w:rPr>
              <w:t xml:space="preserve">The External Auditor's report covers the accounts for the </w:t>
            </w:r>
            <w:r w:rsidRPr="00F25B80">
              <w:rPr>
                <w:rFonts w:ascii="Calibri" w:eastAsia="SimSun" w:hAnsi="Calibri" w:cs="Arial"/>
                <w:lang w:val="it-IT" w:eastAsia="zh-CN"/>
              </w:rPr>
              <w:t>ITU TELECOM</w:t>
            </w:r>
            <w:r w:rsidRPr="00F25B80">
              <w:rPr>
                <w:rFonts w:ascii="Calibri" w:eastAsia="SimSun" w:hAnsi="Calibri" w:cs="Arial"/>
                <w:lang w:eastAsia="zh-CN"/>
              </w:rPr>
              <w:t xml:space="preserve"> World 2014 exhibition</w:t>
            </w:r>
            <w:r w:rsidRPr="00F25B80">
              <w:rPr>
                <w:rFonts w:ascii="Calibri" w:eastAsia="SimSun" w:hAnsi="Calibri" w:cs="Arial"/>
                <w:lang w:val="it-IT" w:eastAsia="zh-CN"/>
              </w:rPr>
              <w:t>.</w:t>
            </w:r>
          </w:p>
          <w:p w14:paraId="45478135" w14:textId="77777777" w:rsidR="00F25B80" w:rsidRPr="00F25B80" w:rsidRDefault="00F25B80" w:rsidP="00F25B80">
            <w:pPr>
              <w:snapToGrid w:val="0"/>
              <w:spacing w:before="0" w:line="240" w:lineRule="auto"/>
              <w:jc w:val="left"/>
              <w:rPr>
                <w:rFonts w:ascii="Calibri" w:eastAsia="SimSun" w:hAnsi="Calibri" w:cs="Arial"/>
                <w:lang w:val="it-IT" w:eastAsia="zh-CN"/>
              </w:rPr>
            </w:pPr>
          </w:p>
          <w:p w14:paraId="6334AE76" w14:textId="77777777" w:rsidR="00F25B80" w:rsidRPr="00F25B80" w:rsidRDefault="00F25B80" w:rsidP="00F25B80">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Action required</w:t>
            </w:r>
          </w:p>
          <w:p w14:paraId="7715C765" w14:textId="77777777" w:rsidR="00F25B80" w:rsidRPr="00F25B80" w:rsidRDefault="00F25B80" w:rsidP="00F25B80">
            <w:pPr>
              <w:snapToGrid w:val="0"/>
              <w:spacing w:before="0" w:line="240" w:lineRule="auto"/>
              <w:jc w:val="left"/>
              <w:rPr>
                <w:rFonts w:ascii="Calibri" w:eastAsia="SimSun" w:hAnsi="Calibri" w:cs="Arial"/>
                <w:lang w:eastAsia="zh-CN"/>
              </w:rPr>
            </w:pPr>
          </w:p>
          <w:p w14:paraId="198F686D" w14:textId="77777777" w:rsidR="00F25B80" w:rsidRPr="00F25B80" w:rsidRDefault="00F25B80" w:rsidP="00F25B80">
            <w:pPr>
              <w:snapToGrid w:val="0"/>
              <w:spacing w:before="0" w:line="240" w:lineRule="auto"/>
              <w:jc w:val="left"/>
              <w:rPr>
                <w:rFonts w:ascii="Calibri" w:eastAsia="SimSun" w:hAnsi="Calibri" w:cs="Arial"/>
                <w:lang w:val="it-IT" w:eastAsia="zh-CN"/>
              </w:rPr>
            </w:pPr>
            <w:r w:rsidRPr="00F25B80">
              <w:rPr>
                <w:rFonts w:ascii="Calibri" w:eastAsia="SimSun" w:hAnsi="Calibri" w:cs="Arial"/>
                <w:lang w:eastAsia="zh-CN"/>
              </w:rPr>
              <w:t xml:space="preserve">The Council is invited to examine the External Auditor's report on the 2014 accounts and to </w:t>
            </w:r>
            <w:r w:rsidRPr="00F25B80">
              <w:rPr>
                <w:rFonts w:ascii="Calibri" w:eastAsia="SimSun" w:hAnsi="Calibri" w:cs="Arial"/>
                <w:b/>
                <w:lang w:eastAsia="zh-CN"/>
              </w:rPr>
              <w:t>approve</w:t>
            </w:r>
            <w:r w:rsidRPr="00F25B80">
              <w:rPr>
                <w:rFonts w:ascii="Calibri" w:eastAsia="SimSun" w:hAnsi="Calibri" w:cs="Arial"/>
                <w:lang w:eastAsia="zh-CN"/>
              </w:rPr>
              <w:t xml:space="preserve"> the accounts as audited.</w:t>
            </w:r>
          </w:p>
          <w:p w14:paraId="2DA5E575" w14:textId="77777777" w:rsidR="00F25B80" w:rsidRPr="00F25B80" w:rsidRDefault="00F25B80" w:rsidP="00F25B80">
            <w:pPr>
              <w:snapToGrid w:val="0"/>
              <w:spacing w:before="0" w:line="240" w:lineRule="auto"/>
              <w:jc w:val="left"/>
              <w:rPr>
                <w:rFonts w:ascii="Calibri" w:eastAsia="SimSun" w:hAnsi="Calibri" w:cs="Arial"/>
                <w:lang w:val="it-IT" w:eastAsia="zh-CN"/>
              </w:rPr>
            </w:pPr>
          </w:p>
          <w:p w14:paraId="50607466" w14:textId="77777777" w:rsidR="00F25B80" w:rsidRPr="00F25B80" w:rsidRDefault="00F25B80" w:rsidP="00F25B80">
            <w:pPr>
              <w:tabs>
                <w:tab w:val="left" w:pos="794"/>
                <w:tab w:val="left" w:pos="1191"/>
                <w:tab w:val="left" w:pos="1588"/>
                <w:tab w:val="left" w:pos="1985"/>
              </w:tabs>
              <w:snapToGrid w:val="0"/>
              <w:spacing w:before="0" w:line="240" w:lineRule="auto"/>
              <w:jc w:val="center"/>
              <w:rPr>
                <w:rFonts w:ascii="Calibri" w:eastAsia="Times New Roman" w:hAnsi="Calibri" w:cs="Times New Roman"/>
                <w:lang w:val="en-GB"/>
              </w:rPr>
            </w:pPr>
            <w:r w:rsidRPr="00F25B80">
              <w:rPr>
                <w:rFonts w:ascii="Calibri" w:eastAsia="Times New Roman" w:hAnsi="Calibri" w:cs="Times New Roman"/>
                <w:lang w:val="en-GB"/>
              </w:rPr>
              <w:t>____________</w:t>
            </w:r>
          </w:p>
          <w:p w14:paraId="1F5E3E0E" w14:textId="77777777" w:rsidR="00F25B80" w:rsidRPr="00F25B80" w:rsidRDefault="00F25B80" w:rsidP="00F25B80">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References</w:t>
            </w:r>
          </w:p>
          <w:p w14:paraId="7D7F601F" w14:textId="77777777" w:rsidR="00F25B80" w:rsidRPr="00F25B80" w:rsidRDefault="00F25B80" w:rsidP="00F25B80">
            <w:pPr>
              <w:snapToGrid w:val="0"/>
              <w:spacing w:before="0" w:line="240" w:lineRule="auto"/>
              <w:jc w:val="left"/>
              <w:rPr>
                <w:rFonts w:ascii="Calibri" w:eastAsia="SimSun" w:hAnsi="Calibri" w:cs="Arial"/>
                <w:i/>
                <w:iCs/>
                <w:lang w:eastAsia="zh-CN"/>
              </w:rPr>
            </w:pPr>
          </w:p>
          <w:p w14:paraId="1A977894" w14:textId="77777777" w:rsidR="00F25B80" w:rsidRPr="00F25B80" w:rsidRDefault="00FE246D" w:rsidP="00F25B80">
            <w:pPr>
              <w:snapToGrid w:val="0"/>
              <w:spacing w:before="0" w:after="60" w:line="240" w:lineRule="auto"/>
              <w:jc w:val="left"/>
              <w:rPr>
                <w:rFonts w:ascii="Calibri" w:eastAsia="SimSun" w:hAnsi="Calibri" w:cs="Arial"/>
                <w:i/>
                <w:iCs/>
                <w:lang w:val="it-IT" w:eastAsia="zh-CN"/>
              </w:rPr>
            </w:pPr>
            <w:hyperlink r:id="rId9" w:history="1">
              <w:r w:rsidR="00F25B80" w:rsidRPr="00F25B80">
                <w:rPr>
                  <w:rFonts w:ascii="Calibri" w:eastAsia="SimSun" w:hAnsi="Calibri" w:cs="Arial"/>
                  <w:i/>
                  <w:iCs/>
                  <w:color w:val="0000FF"/>
                  <w:u w:val="single"/>
                  <w:lang w:eastAsia="zh-CN"/>
                </w:rPr>
                <w:t>Financial Regulations (2010 Edition)</w:t>
              </w:r>
            </w:hyperlink>
            <w:r w:rsidR="00F25B80" w:rsidRPr="00F25B80">
              <w:rPr>
                <w:rFonts w:ascii="Calibri" w:eastAsia="SimSun" w:hAnsi="Calibri" w:cs="Arial"/>
                <w:i/>
                <w:iCs/>
                <w:lang w:eastAsia="zh-CN"/>
              </w:rPr>
              <w:t>: Article 28 and additional terms of reference</w:t>
            </w:r>
          </w:p>
        </w:tc>
      </w:tr>
    </w:tbl>
    <w:p w14:paraId="34FF2970" w14:textId="77777777" w:rsidR="00F25B80" w:rsidRDefault="00F25B80" w:rsidP="00F25B80">
      <w:pPr>
        <w:tabs>
          <w:tab w:val="left" w:pos="3402"/>
        </w:tabs>
        <w:snapToGrid w:val="0"/>
        <w:spacing w:before="0" w:line="240" w:lineRule="auto"/>
        <w:jc w:val="left"/>
        <w:rPr>
          <w:iCs/>
          <w:sz w:val="28"/>
          <w:szCs w:val="28"/>
        </w:rPr>
      </w:pPr>
      <w:bookmarkStart w:id="9" w:name="dstart"/>
      <w:bookmarkStart w:id="10" w:name="dbreak"/>
      <w:bookmarkEnd w:id="9"/>
      <w:bookmarkEnd w:id="10"/>
    </w:p>
    <w:p w14:paraId="3BE57864" w14:textId="77777777" w:rsidR="00F25B80" w:rsidRDefault="00F25B80" w:rsidP="00B77F2D">
      <w:pPr>
        <w:tabs>
          <w:tab w:val="left" w:pos="3402"/>
        </w:tabs>
        <w:jc w:val="center"/>
        <w:rPr>
          <w:iCs/>
          <w:sz w:val="28"/>
          <w:szCs w:val="28"/>
        </w:rPr>
      </w:pPr>
    </w:p>
    <w:p w14:paraId="71290C1B" w14:textId="77777777" w:rsidR="00F25B80" w:rsidRDefault="00F25B80">
      <w:pPr>
        <w:adjustRightInd/>
        <w:spacing w:before="0" w:after="200" w:line="276" w:lineRule="auto"/>
        <w:jc w:val="left"/>
        <w:rPr>
          <w:iCs/>
          <w:sz w:val="28"/>
          <w:szCs w:val="28"/>
        </w:rPr>
        <w:sectPr w:rsidR="00F25B80" w:rsidSect="00F25B8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cols w:space="720"/>
          <w:vAlign w:val="both"/>
          <w:titlePg/>
          <w:docGrid w:linePitch="360"/>
        </w:sectPr>
      </w:pPr>
    </w:p>
    <w:p w14:paraId="0C320073" w14:textId="0295C617" w:rsidR="003E5760" w:rsidRPr="006E03A1" w:rsidRDefault="00CF481C" w:rsidP="00B77F2D">
      <w:pPr>
        <w:tabs>
          <w:tab w:val="left" w:pos="3402"/>
        </w:tabs>
        <w:jc w:val="center"/>
        <w:rPr>
          <w:iCs/>
          <w:sz w:val="28"/>
          <w:szCs w:val="28"/>
        </w:rPr>
      </w:pPr>
      <w:r w:rsidRPr="006E03A1">
        <w:rPr>
          <w:iCs/>
          <w:sz w:val="28"/>
          <w:szCs w:val="28"/>
        </w:rPr>
        <w:lastRenderedPageBreak/>
        <w:t>REPORT OF EXTERNAL AUDITOR</w:t>
      </w:r>
    </w:p>
    <w:p w14:paraId="754805CE" w14:textId="77777777" w:rsidR="006E03A1" w:rsidRPr="006E03A1" w:rsidRDefault="006E03A1" w:rsidP="006E03A1">
      <w:pPr>
        <w:spacing w:line="240" w:lineRule="auto"/>
        <w:ind w:left="-284" w:firstLine="284"/>
        <w:jc w:val="center"/>
        <w:rPr>
          <w:rFonts w:ascii="Kunstler Script" w:hAnsi="Kunstler Script"/>
          <w:sz w:val="96"/>
          <w:szCs w:val="96"/>
        </w:rPr>
      </w:pPr>
      <w:r>
        <w:rPr>
          <w:noProof/>
          <w:lang w:eastAsia="zh-CN"/>
        </w:rPr>
        <w:drawing>
          <wp:inline distT="0" distB="0" distL="0" distR="0" wp14:anchorId="3A1F5A23" wp14:editId="5FD1CC47">
            <wp:extent cx="875980" cy="982349"/>
            <wp:effectExtent l="0" t="0" r="63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_italiana_emblema_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7949" cy="984557"/>
                    </a:xfrm>
                    <a:prstGeom prst="rect">
                      <a:avLst/>
                    </a:prstGeom>
                  </pic:spPr>
                </pic:pic>
              </a:graphicData>
            </a:graphic>
          </wp:inline>
        </w:drawing>
      </w:r>
      <w:r>
        <w:rPr>
          <w:rFonts w:ascii="Kunstler Script" w:hAnsi="Kunstler Script"/>
          <w:sz w:val="96"/>
          <w:szCs w:val="96"/>
        </w:rPr>
        <w:br/>
        <w:t>C</w:t>
      </w:r>
      <w:r w:rsidRPr="006E03A1">
        <w:rPr>
          <w:rFonts w:ascii="Kunstler Script" w:hAnsi="Kunstler Script"/>
          <w:sz w:val="96"/>
          <w:szCs w:val="96"/>
        </w:rPr>
        <w:t>orte dei conti</w:t>
      </w:r>
    </w:p>
    <w:p w14:paraId="67139B5B" w14:textId="1CA87CD7" w:rsidR="00CF481C" w:rsidRPr="001E1CB0" w:rsidRDefault="006E03A1" w:rsidP="00B00B61">
      <w:pPr>
        <w:spacing w:before="0"/>
        <w:jc w:val="center"/>
      </w:pPr>
      <w:r w:rsidRPr="001E1CB0">
        <w:t>Audit of the world event</w:t>
      </w:r>
      <w:r w:rsidRPr="001E1CB0">
        <w:br/>
        <w:t>ITU TELECOM W</w:t>
      </w:r>
      <w:r w:rsidR="00241C4D">
        <w:t>ORLD</w:t>
      </w:r>
      <w:r w:rsidRPr="001E1CB0">
        <w:t xml:space="preserve"> 2014</w:t>
      </w:r>
      <w:r>
        <w:br/>
      </w:r>
      <w:r w:rsidR="00241C4D">
        <w:rPr>
          <w:color w:val="0D0D0D"/>
          <w:lang w:val="en-GB"/>
        </w:rPr>
        <w:t>2</w:t>
      </w:r>
      <w:r w:rsidR="00B00B61">
        <w:rPr>
          <w:color w:val="0D0D0D"/>
          <w:lang w:val="en-GB"/>
        </w:rPr>
        <w:t>7</w:t>
      </w:r>
      <w:r w:rsidR="00241C4D">
        <w:rPr>
          <w:color w:val="0D0D0D"/>
          <w:lang w:val="en-GB"/>
        </w:rPr>
        <w:t>.04</w:t>
      </w:r>
      <w:r w:rsidRPr="001E1CB0">
        <w:rPr>
          <w:color w:val="0D0D0D"/>
          <w:lang w:val="en-GB"/>
        </w:rPr>
        <w:t>.2015</w:t>
      </w:r>
    </w:p>
    <w:p w14:paraId="763BE512" w14:textId="77777777" w:rsidR="00CF481C" w:rsidRPr="001E1CB0" w:rsidRDefault="00CF481C" w:rsidP="006C00C0">
      <w:pPr>
        <w:spacing w:before="0"/>
        <w:sectPr w:rsidR="00CF481C" w:rsidRPr="001E1CB0" w:rsidSect="00F25B80">
          <w:pgSz w:w="11907" w:h="16840" w:code="9"/>
          <w:pgMar w:top="1418" w:right="1418" w:bottom="1418" w:left="1418" w:header="720" w:footer="720" w:gutter="0"/>
          <w:pgNumType w:start="1"/>
          <w:cols w:space="720"/>
          <w:vAlign w:val="both"/>
          <w:docGrid w:linePitch="360"/>
        </w:sectPr>
      </w:pPr>
    </w:p>
    <w:p w14:paraId="72CFDCC5" w14:textId="77777777" w:rsidR="006E03A1" w:rsidRPr="006E03A1" w:rsidRDefault="006E03A1" w:rsidP="006E03A1">
      <w:pPr>
        <w:spacing w:before="0"/>
        <w:jc w:val="center"/>
        <w:rPr>
          <w:b/>
          <w:bCs/>
        </w:rPr>
      </w:pPr>
      <w:r>
        <w:rPr>
          <w:b/>
          <w:bCs/>
        </w:rPr>
        <w:lastRenderedPageBreak/>
        <w:t>TABLE OF CONTENTS</w:t>
      </w:r>
    </w:p>
    <w:sdt>
      <w:sdtPr>
        <w:rPr>
          <w:rFonts w:asciiTheme="minorHAnsi" w:eastAsiaTheme="minorHAnsi" w:hAnsiTheme="minorHAnsi" w:cstheme="minorBidi"/>
          <w:b w:val="0"/>
          <w:bCs/>
          <w:noProof w:val="0"/>
          <w:sz w:val="22"/>
          <w:szCs w:val="22"/>
          <w:lang w:val="it-IT" w:eastAsia="zh-CN"/>
        </w:rPr>
        <w:id w:val="-46298658"/>
        <w:docPartObj>
          <w:docPartGallery w:val="Table of Contents"/>
          <w:docPartUnique/>
        </w:docPartObj>
      </w:sdtPr>
      <w:sdtEndPr>
        <w:rPr>
          <w:rFonts w:asciiTheme="majorBidi" w:hAnsiTheme="majorBidi" w:cstheme="majorBidi"/>
          <w:bCs w:val="0"/>
          <w:sz w:val="24"/>
          <w:szCs w:val="24"/>
          <w:lang w:val="en-US" w:eastAsia="en-US"/>
        </w:rPr>
      </w:sdtEndPr>
      <w:sdtContent>
        <w:p w14:paraId="58C60692" w14:textId="77777777" w:rsidR="008A36F2" w:rsidRDefault="00AB19DF">
          <w:pPr>
            <w:pStyle w:val="TOC1"/>
            <w:rPr>
              <w:rFonts w:asciiTheme="minorHAnsi" w:hAnsiTheme="minorHAnsi" w:cstheme="minorBidi"/>
              <w:b w:val="0"/>
              <w:sz w:val="22"/>
              <w:szCs w:val="22"/>
              <w:lang w:eastAsia="zh-CN"/>
            </w:rPr>
          </w:pPr>
          <w:r w:rsidRPr="001E1CB0">
            <w:rPr>
              <w:rFonts w:eastAsia="Times New Roman"/>
              <w:lang w:val="en-GB"/>
            </w:rPr>
            <w:fldChar w:fldCharType="begin"/>
          </w:r>
          <w:r w:rsidRPr="001E1CB0">
            <w:instrText xml:space="preserve"> TOC \o "1-3" \h \z \u </w:instrText>
          </w:r>
          <w:r w:rsidRPr="001E1CB0">
            <w:rPr>
              <w:rFonts w:eastAsia="Times New Roman"/>
              <w:lang w:val="en-GB"/>
            </w:rPr>
            <w:fldChar w:fldCharType="separate"/>
          </w:r>
          <w:hyperlink w:anchor="_Toc417373377" w:history="1">
            <w:r w:rsidR="008A36F2" w:rsidRPr="00636706">
              <w:rPr>
                <w:rStyle w:val="Hyperlink"/>
              </w:rPr>
              <w:t>SUMMARY OF THE AUDIT</w:t>
            </w:r>
            <w:r w:rsidR="008A36F2">
              <w:rPr>
                <w:webHidden/>
              </w:rPr>
              <w:tab/>
            </w:r>
            <w:r w:rsidR="008A36F2">
              <w:rPr>
                <w:webHidden/>
              </w:rPr>
              <w:fldChar w:fldCharType="begin"/>
            </w:r>
            <w:r w:rsidR="008A36F2">
              <w:rPr>
                <w:webHidden/>
              </w:rPr>
              <w:instrText xml:space="preserve"> PAGEREF _Toc417373377 \h </w:instrText>
            </w:r>
            <w:r w:rsidR="008A36F2">
              <w:rPr>
                <w:webHidden/>
              </w:rPr>
            </w:r>
            <w:r w:rsidR="008A36F2">
              <w:rPr>
                <w:webHidden/>
              </w:rPr>
              <w:fldChar w:fldCharType="separate"/>
            </w:r>
            <w:r w:rsidR="00277016">
              <w:rPr>
                <w:webHidden/>
              </w:rPr>
              <w:t>4</w:t>
            </w:r>
            <w:r w:rsidR="008A36F2">
              <w:rPr>
                <w:webHidden/>
              </w:rPr>
              <w:fldChar w:fldCharType="end"/>
            </w:r>
          </w:hyperlink>
        </w:p>
        <w:p w14:paraId="3FF6FF82" w14:textId="77777777" w:rsidR="008A36F2" w:rsidRDefault="00FE246D" w:rsidP="008A36F2">
          <w:pPr>
            <w:pStyle w:val="TOC2"/>
            <w:rPr>
              <w:rFonts w:asciiTheme="minorHAnsi" w:hAnsiTheme="minorHAnsi" w:cstheme="minorBidi"/>
              <w:sz w:val="22"/>
              <w:szCs w:val="22"/>
              <w:lang w:eastAsia="zh-CN"/>
            </w:rPr>
          </w:pPr>
          <w:hyperlink w:anchor="_Toc417373378" w:history="1">
            <w:r w:rsidR="008A36F2" w:rsidRPr="00636706">
              <w:rPr>
                <w:rStyle w:val="Hyperlink"/>
              </w:rPr>
              <w:t>Legal Framework and scope of the audit</w:t>
            </w:r>
            <w:r w:rsidR="008A36F2">
              <w:rPr>
                <w:webHidden/>
              </w:rPr>
              <w:tab/>
            </w:r>
            <w:r w:rsidR="008A36F2">
              <w:rPr>
                <w:webHidden/>
              </w:rPr>
              <w:fldChar w:fldCharType="begin"/>
            </w:r>
            <w:r w:rsidR="008A36F2">
              <w:rPr>
                <w:webHidden/>
              </w:rPr>
              <w:instrText xml:space="preserve"> PAGEREF _Toc417373378 \h </w:instrText>
            </w:r>
            <w:r w:rsidR="008A36F2">
              <w:rPr>
                <w:webHidden/>
              </w:rPr>
            </w:r>
            <w:r w:rsidR="008A36F2">
              <w:rPr>
                <w:webHidden/>
              </w:rPr>
              <w:fldChar w:fldCharType="separate"/>
            </w:r>
            <w:r w:rsidR="00277016">
              <w:rPr>
                <w:webHidden/>
              </w:rPr>
              <w:t>4</w:t>
            </w:r>
            <w:r w:rsidR="008A36F2">
              <w:rPr>
                <w:webHidden/>
              </w:rPr>
              <w:fldChar w:fldCharType="end"/>
            </w:r>
          </w:hyperlink>
        </w:p>
        <w:p w14:paraId="01B4EA5C" w14:textId="77777777" w:rsidR="008A36F2" w:rsidRDefault="00FE246D" w:rsidP="008A36F2">
          <w:pPr>
            <w:pStyle w:val="TOC2"/>
            <w:rPr>
              <w:rFonts w:asciiTheme="minorHAnsi" w:hAnsiTheme="minorHAnsi" w:cstheme="minorBidi"/>
              <w:sz w:val="22"/>
              <w:szCs w:val="22"/>
              <w:lang w:eastAsia="zh-CN"/>
            </w:rPr>
          </w:pPr>
          <w:hyperlink w:anchor="_Toc417373379" w:history="1">
            <w:r w:rsidR="008A36F2" w:rsidRPr="00636706">
              <w:rPr>
                <w:rStyle w:val="Hyperlink"/>
              </w:rPr>
              <w:t>Audit activities</w:t>
            </w:r>
            <w:r w:rsidR="008A36F2">
              <w:rPr>
                <w:webHidden/>
              </w:rPr>
              <w:tab/>
            </w:r>
            <w:r w:rsidR="008A36F2">
              <w:rPr>
                <w:webHidden/>
              </w:rPr>
              <w:fldChar w:fldCharType="begin"/>
            </w:r>
            <w:r w:rsidR="008A36F2">
              <w:rPr>
                <w:webHidden/>
              </w:rPr>
              <w:instrText xml:space="preserve"> PAGEREF _Toc417373379 \h </w:instrText>
            </w:r>
            <w:r w:rsidR="008A36F2">
              <w:rPr>
                <w:webHidden/>
              </w:rPr>
            </w:r>
            <w:r w:rsidR="008A36F2">
              <w:rPr>
                <w:webHidden/>
              </w:rPr>
              <w:fldChar w:fldCharType="separate"/>
            </w:r>
            <w:r w:rsidR="00277016">
              <w:rPr>
                <w:webHidden/>
              </w:rPr>
              <w:t>5</w:t>
            </w:r>
            <w:r w:rsidR="008A36F2">
              <w:rPr>
                <w:webHidden/>
              </w:rPr>
              <w:fldChar w:fldCharType="end"/>
            </w:r>
          </w:hyperlink>
        </w:p>
        <w:p w14:paraId="148F6D84" w14:textId="77777777" w:rsidR="008A36F2" w:rsidRDefault="00FE246D" w:rsidP="008A36F2">
          <w:pPr>
            <w:pStyle w:val="TOC2"/>
            <w:rPr>
              <w:rFonts w:asciiTheme="minorHAnsi" w:hAnsiTheme="minorHAnsi" w:cstheme="minorBidi"/>
              <w:sz w:val="22"/>
              <w:szCs w:val="22"/>
              <w:lang w:eastAsia="zh-CN"/>
            </w:rPr>
          </w:pPr>
          <w:hyperlink w:anchor="_Toc417373380" w:history="1">
            <w:r w:rsidR="008A36F2" w:rsidRPr="00636706">
              <w:rPr>
                <w:rStyle w:val="Hyperlink"/>
              </w:rPr>
              <w:t>Acknowledgements</w:t>
            </w:r>
            <w:r w:rsidR="008A36F2">
              <w:rPr>
                <w:webHidden/>
              </w:rPr>
              <w:tab/>
            </w:r>
            <w:r w:rsidR="008A36F2">
              <w:rPr>
                <w:webHidden/>
              </w:rPr>
              <w:fldChar w:fldCharType="begin"/>
            </w:r>
            <w:r w:rsidR="008A36F2">
              <w:rPr>
                <w:webHidden/>
              </w:rPr>
              <w:instrText xml:space="preserve"> PAGEREF _Toc417373380 \h </w:instrText>
            </w:r>
            <w:r w:rsidR="008A36F2">
              <w:rPr>
                <w:webHidden/>
              </w:rPr>
            </w:r>
            <w:r w:rsidR="008A36F2">
              <w:rPr>
                <w:webHidden/>
              </w:rPr>
              <w:fldChar w:fldCharType="separate"/>
            </w:r>
            <w:r w:rsidR="00277016">
              <w:rPr>
                <w:webHidden/>
              </w:rPr>
              <w:t>6</w:t>
            </w:r>
            <w:r w:rsidR="008A36F2">
              <w:rPr>
                <w:webHidden/>
              </w:rPr>
              <w:fldChar w:fldCharType="end"/>
            </w:r>
          </w:hyperlink>
        </w:p>
        <w:p w14:paraId="5D692D3B" w14:textId="77777777" w:rsidR="008A36F2" w:rsidRDefault="00FE246D">
          <w:pPr>
            <w:pStyle w:val="TOC1"/>
            <w:rPr>
              <w:rFonts w:asciiTheme="minorHAnsi" w:hAnsiTheme="minorHAnsi" w:cstheme="minorBidi"/>
              <w:b w:val="0"/>
              <w:sz w:val="22"/>
              <w:szCs w:val="22"/>
              <w:lang w:eastAsia="zh-CN"/>
            </w:rPr>
          </w:pPr>
          <w:hyperlink w:anchor="_Toc417373381" w:history="1">
            <w:r w:rsidR="008A36F2" w:rsidRPr="00636706">
              <w:rPr>
                <w:rStyle w:val="Hyperlink"/>
              </w:rPr>
              <w:t>CHANGEOVER TO IPSAS</w:t>
            </w:r>
            <w:r w:rsidR="008A36F2">
              <w:rPr>
                <w:webHidden/>
              </w:rPr>
              <w:tab/>
            </w:r>
            <w:r w:rsidR="008A36F2">
              <w:rPr>
                <w:webHidden/>
              </w:rPr>
              <w:fldChar w:fldCharType="begin"/>
            </w:r>
            <w:r w:rsidR="008A36F2">
              <w:rPr>
                <w:webHidden/>
              </w:rPr>
              <w:instrText xml:space="preserve"> PAGEREF _Toc417373381 \h </w:instrText>
            </w:r>
            <w:r w:rsidR="008A36F2">
              <w:rPr>
                <w:webHidden/>
              </w:rPr>
            </w:r>
            <w:r w:rsidR="008A36F2">
              <w:rPr>
                <w:webHidden/>
              </w:rPr>
              <w:fldChar w:fldCharType="separate"/>
            </w:r>
            <w:r w:rsidR="00277016">
              <w:rPr>
                <w:webHidden/>
              </w:rPr>
              <w:t>6</w:t>
            </w:r>
            <w:r w:rsidR="008A36F2">
              <w:rPr>
                <w:webHidden/>
              </w:rPr>
              <w:fldChar w:fldCharType="end"/>
            </w:r>
          </w:hyperlink>
        </w:p>
        <w:p w14:paraId="26F91DD5" w14:textId="77777777" w:rsidR="008A36F2" w:rsidRDefault="00FE246D">
          <w:pPr>
            <w:pStyle w:val="TOC1"/>
            <w:rPr>
              <w:rFonts w:asciiTheme="minorHAnsi" w:hAnsiTheme="minorHAnsi" w:cstheme="minorBidi"/>
              <w:b w:val="0"/>
              <w:sz w:val="22"/>
              <w:szCs w:val="22"/>
              <w:lang w:eastAsia="zh-CN"/>
            </w:rPr>
          </w:pPr>
          <w:hyperlink w:anchor="_Toc417373382" w:history="1">
            <w:r w:rsidR="008A36F2" w:rsidRPr="00636706">
              <w:rPr>
                <w:rStyle w:val="Hyperlink"/>
              </w:rPr>
              <w:t>KEY FIGURES</w:t>
            </w:r>
            <w:r w:rsidR="008A36F2">
              <w:rPr>
                <w:webHidden/>
              </w:rPr>
              <w:tab/>
            </w:r>
            <w:r w:rsidR="008A36F2">
              <w:rPr>
                <w:webHidden/>
              </w:rPr>
              <w:fldChar w:fldCharType="begin"/>
            </w:r>
            <w:r w:rsidR="008A36F2">
              <w:rPr>
                <w:webHidden/>
              </w:rPr>
              <w:instrText xml:space="preserve"> PAGEREF _Toc417373382 \h </w:instrText>
            </w:r>
            <w:r w:rsidR="008A36F2">
              <w:rPr>
                <w:webHidden/>
              </w:rPr>
            </w:r>
            <w:r w:rsidR="008A36F2">
              <w:rPr>
                <w:webHidden/>
              </w:rPr>
              <w:fldChar w:fldCharType="separate"/>
            </w:r>
            <w:r w:rsidR="00277016">
              <w:rPr>
                <w:webHidden/>
              </w:rPr>
              <w:t>6</w:t>
            </w:r>
            <w:r w:rsidR="008A36F2">
              <w:rPr>
                <w:webHidden/>
              </w:rPr>
              <w:fldChar w:fldCharType="end"/>
            </w:r>
          </w:hyperlink>
        </w:p>
        <w:p w14:paraId="3DFA2F59" w14:textId="77777777" w:rsidR="008A36F2" w:rsidRDefault="00FE246D" w:rsidP="008A36F2">
          <w:pPr>
            <w:pStyle w:val="TOC2"/>
            <w:rPr>
              <w:rFonts w:asciiTheme="minorHAnsi" w:hAnsiTheme="minorHAnsi" w:cstheme="minorBidi"/>
              <w:sz w:val="22"/>
              <w:szCs w:val="22"/>
              <w:lang w:eastAsia="zh-CN"/>
            </w:rPr>
          </w:pPr>
          <w:hyperlink w:anchor="_Toc417373383" w:history="1">
            <w:r w:rsidR="008A36F2" w:rsidRPr="00636706">
              <w:rPr>
                <w:rStyle w:val="Hyperlink"/>
              </w:rPr>
              <w:t>Exhibition Working Capital Fund</w:t>
            </w:r>
            <w:r w:rsidR="008A36F2">
              <w:rPr>
                <w:webHidden/>
              </w:rPr>
              <w:tab/>
            </w:r>
            <w:r w:rsidR="008A36F2">
              <w:rPr>
                <w:webHidden/>
              </w:rPr>
              <w:fldChar w:fldCharType="begin"/>
            </w:r>
            <w:r w:rsidR="008A36F2">
              <w:rPr>
                <w:webHidden/>
              </w:rPr>
              <w:instrText xml:space="preserve"> PAGEREF _Toc417373383 \h </w:instrText>
            </w:r>
            <w:r w:rsidR="008A36F2">
              <w:rPr>
                <w:webHidden/>
              </w:rPr>
            </w:r>
            <w:r w:rsidR="008A36F2">
              <w:rPr>
                <w:webHidden/>
              </w:rPr>
              <w:fldChar w:fldCharType="separate"/>
            </w:r>
            <w:r w:rsidR="00277016">
              <w:rPr>
                <w:webHidden/>
              </w:rPr>
              <w:t>6</w:t>
            </w:r>
            <w:r w:rsidR="008A36F2">
              <w:rPr>
                <w:webHidden/>
              </w:rPr>
              <w:fldChar w:fldCharType="end"/>
            </w:r>
          </w:hyperlink>
        </w:p>
        <w:p w14:paraId="41F7414C" w14:textId="77777777" w:rsidR="008A36F2" w:rsidRDefault="00FE246D" w:rsidP="008A36F2">
          <w:pPr>
            <w:pStyle w:val="TOC2"/>
            <w:rPr>
              <w:rFonts w:asciiTheme="minorHAnsi" w:hAnsiTheme="minorHAnsi" w:cstheme="minorBidi"/>
              <w:sz w:val="22"/>
              <w:szCs w:val="22"/>
              <w:lang w:eastAsia="zh-CN"/>
            </w:rPr>
          </w:pPr>
          <w:hyperlink w:anchor="_Toc417373384" w:history="1">
            <w:r w:rsidR="008A36F2" w:rsidRPr="00636706">
              <w:rPr>
                <w:rStyle w:val="Hyperlink"/>
              </w:rPr>
              <w:t>Relevant changes, budget revision and actual results.</w:t>
            </w:r>
            <w:r w:rsidR="008A36F2">
              <w:rPr>
                <w:webHidden/>
              </w:rPr>
              <w:tab/>
            </w:r>
            <w:r w:rsidR="008A36F2">
              <w:rPr>
                <w:webHidden/>
              </w:rPr>
              <w:fldChar w:fldCharType="begin"/>
            </w:r>
            <w:r w:rsidR="008A36F2">
              <w:rPr>
                <w:webHidden/>
              </w:rPr>
              <w:instrText xml:space="preserve"> PAGEREF _Toc417373384 \h </w:instrText>
            </w:r>
            <w:r w:rsidR="008A36F2">
              <w:rPr>
                <w:webHidden/>
              </w:rPr>
            </w:r>
            <w:r w:rsidR="008A36F2">
              <w:rPr>
                <w:webHidden/>
              </w:rPr>
              <w:fldChar w:fldCharType="separate"/>
            </w:r>
            <w:r w:rsidR="00277016">
              <w:rPr>
                <w:webHidden/>
              </w:rPr>
              <w:t>7</w:t>
            </w:r>
            <w:r w:rsidR="008A36F2">
              <w:rPr>
                <w:webHidden/>
              </w:rPr>
              <w:fldChar w:fldCharType="end"/>
            </w:r>
          </w:hyperlink>
        </w:p>
        <w:p w14:paraId="4590E3E4" w14:textId="77777777" w:rsidR="008A36F2" w:rsidRDefault="00FE246D" w:rsidP="008A36F2">
          <w:pPr>
            <w:pStyle w:val="TOC2"/>
            <w:rPr>
              <w:rFonts w:asciiTheme="minorHAnsi" w:hAnsiTheme="minorHAnsi" w:cstheme="minorBidi"/>
              <w:sz w:val="22"/>
              <w:szCs w:val="22"/>
              <w:lang w:eastAsia="zh-CN"/>
            </w:rPr>
          </w:pPr>
          <w:hyperlink w:anchor="_Toc417373385" w:history="1">
            <w:r w:rsidR="008A36F2" w:rsidRPr="00636706">
              <w:rPr>
                <w:rStyle w:val="Hyperlink"/>
              </w:rPr>
              <w:t>Actual figures in revised budget.</w:t>
            </w:r>
            <w:r w:rsidR="008A36F2">
              <w:rPr>
                <w:webHidden/>
              </w:rPr>
              <w:tab/>
            </w:r>
            <w:r w:rsidR="008A36F2">
              <w:rPr>
                <w:webHidden/>
              </w:rPr>
              <w:fldChar w:fldCharType="begin"/>
            </w:r>
            <w:r w:rsidR="008A36F2">
              <w:rPr>
                <w:webHidden/>
              </w:rPr>
              <w:instrText xml:space="preserve"> PAGEREF _Toc417373385 \h </w:instrText>
            </w:r>
            <w:r w:rsidR="008A36F2">
              <w:rPr>
                <w:webHidden/>
              </w:rPr>
            </w:r>
            <w:r w:rsidR="008A36F2">
              <w:rPr>
                <w:webHidden/>
              </w:rPr>
              <w:fldChar w:fldCharType="separate"/>
            </w:r>
            <w:r w:rsidR="00277016">
              <w:rPr>
                <w:webHidden/>
              </w:rPr>
              <w:t>8</w:t>
            </w:r>
            <w:r w:rsidR="008A36F2">
              <w:rPr>
                <w:webHidden/>
              </w:rPr>
              <w:fldChar w:fldCharType="end"/>
            </w:r>
          </w:hyperlink>
        </w:p>
        <w:p w14:paraId="62836F27" w14:textId="77777777" w:rsidR="008A36F2" w:rsidRDefault="00FE246D">
          <w:pPr>
            <w:pStyle w:val="TOC3"/>
            <w:rPr>
              <w:rFonts w:asciiTheme="minorHAnsi" w:hAnsiTheme="minorHAnsi" w:cstheme="minorBidi"/>
              <w:i w:val="0"/>
              <w:sz w:val="22"/>
              <w:szCs w:val="22"/>
              <w:lang w:val="en-US" w:eastAsia="zh-CN"/>
            </w:rPr>
          </w:pPr>
          <w:hyperlink w:anchor="_Toc417373386" w:history="1">
            <w:r w:rsidR="008A36F2" w:rsidRPr="00636706">
              <w:rPr>
                <w:rStyle w:val="Hyperlink"/>
              </w:rPr>
              <w:t>Issuance of invoices before signing a Sponsorship Agreement.</w:t>
            </w:r>
            <w:r w:rsidR="008A36F2">
              <w:rPr>
                <w:webHidden/>
              </w:rPr>
              <w:tab/>
            </w:r>
            <w:r w:rsidR="008A36F2">
              <w:rPr>
                <w:webHidden/>
              </w:rPr>
              <w:fldChar w:fldCharType="begin"/>
            </w:r>
            <w:r w:rsidR="008A36F2">
              <w:rPr>
                <w:webHidden/>
              </w:rPr>
              <w:instrText xml:space="preserve"> PAGEREF _Toc417373386 \h </w:instrText>
            </w:r>
            <w:r w:rsidR="008A36F2">
              <w:rPr>
                <w:webHidden/>
              </w:rPr>
            </w:r>
            <w:r w:rsidR="008A36F2">
              <w:rPr>
                <w:webHidden/>
              </w:rPr>
              <w:fldChar w:fldCharType="separate"/>
            </w:r>
            <w:r w:rsidR="00277016">
              <w:rPr>
                <w:webHidden/>
              </w:rPr>
              <w:t>8</w:t>
            </w:r>
            <w:r w:rsidR="008A36F2">
              <w:rPr>
                <w:webHidden/>
              </w:rPr>
              <w:fldChar w:fldCharType="end"/>
            </w:r>
          </w:hyperlink>
        </w:p>
        <w:p w14:paraId="674C1663" w14:textId="0C9387A9" w:rsidR="008A36F2" w:rsidRDefault="00FE246D">
          <w:pPr>
            <w:pStyle w:val="TOC3"/>
            <w:rPr>
              <w:rFonts w:asciiTheme="minorHAnsi" w:hAnsiTheme="minorHAnsi" w:cstheme="minorBidi"/>
              <w:i w:val="0"/>
              <w:sz w:val="22"/>
              <w:szCs w:val="22"/>
              <w:lang w:val="en-US" w:eastAsia="zh-CN"/>
            </w:rPr>
          </w:pPr>
          <w:hyperlink w:anchor="_Toc417373387" w:history="1">
            <w:r w:rsidR="008A36F2" w:rsidRPr="00636706">
              <w:rPr>
                <w:rStyle w:val="Hyperlink"/>
              </w:rPr>
              <w:t>Reporting on the event linking results, general objectives of Resolution 11 with KPIs</w:t>
            </w:r>
            <w:r w:rsidR="008A36F2">
              <w:rPr>
                <w:webHidden/>
              </w:rPr>
              <w:tab/>
            </w:r>
            <w:r w:rsidR="008A36F2">
              <w:rPr>
                <w:webHidden/>
              </w:rPr>
              <w:fldChar w:fldCharType="begin"/>
            </w:r>
            <w:r w:rsidR="008A36F2">
              <w:rPr>
                <w:webHidden/>
              </w:rPr>
              <w:instrText xml:space="preserve"> PAGEREF _Toc417373387 \h </w:instrText>
            </w:r>
            <w:r w:rsidR="008A36F2">
              <w:rPr>
                <w:webHidden/>
              </w:rPr>
            </w:r>
            <w:r w:rsidR="008A36F2">
              <w:rPr>
                <w:webHidden/>
              </w:rPr>
              <w:fldChar w:fldCharType="separate"/>
            </w:r>
            <w:r w:rsidR="00277016">
              <w:rPr>
                <w:webHidden/>
              </w:rPr>
              <w:t>9</w:t>
            </w:r>
            <w:r w:rsidR="008A36F2">
              <w:rPr>
                <w:webHidden/>
              </w:rPr>
              <w:fldChar w:fldCharType="end"/>
            </w:r>
          </w:hyperlink>
        </w:p>
        <w:p w14:paraId="6D03D164" w14:textId="77777777" w:rsidR="008A36F2" w:rsidRDefault="00FE246D" w:rsidP="008A36F2">
          <w:pPr>
            <w:pStyle w:val="TOC2"/>
            <w:rPr>
              <w:rFonts w:asciiTheme="minorHAnsi" w:hAnsiTheme="minorHAnsi" w:cstheme="minorBidi"/>
              <w:sz w:val="22"/>
              <w:szCs w:val="22"/>
              <w:lang w:eastAsia="zh-CN"/>
            </w:rPr>
          </w:pPr>
          <w:hyperlink w:anchor="_Toc417373388" w:history="1">
            <w:r w:rsidR="008A36F2" w:rsidRPr="00636706">
              <w:rPr>
                <w:rStyle w:val="Hyperlink"/>
              </w:rPr>
              <w:t>A timely signature of Host Country Agreement is needed.</w:t>
            </w:r>
            <w:r w:rsidR="008A36F2">
              <w:rPr>
                <w:webHidden/>
              </w:rPr>
              <w:tab/>
            </w:r>
            <w:r w:rsidR="008A36F2">
              <w:rPr>
                <w:webHidden/>
              </w:rPr>
              <w:fldChar w:fldCharType="begin"/>
            </w:r>
            <w:r w:rsidR="008A36F2">
              <w:rPr>
                <w:webHidden/>
              </w:rPr>
              <w:instrText xml:space="preserve"> PAGEREF _Toc417373388 \h </w:instrText>
            </w:r>
            <w:r w:rsidR="008A36F2">
              <w:rPr>
                <w:webHidden/>
              </w:rPr>
            </w:r>
            <w:r w:rsidR="008A36F2">
              <w:rPr>
                <w:webHidden/>
              </w:rPr>
              <w:fldChar w:fldCharType="separate"/>
            </w:r>
            <w:r w:rsidR="00277016">
              <w:rPr>
                <w:webHidden/>
              </w:rPr>
              <w:t>9</w:t>
            </w:r>
            <w:r w:rsidR="008A36F2">
              <w:rPr>
                <w:webHidden/>
              </w:rPr>
              <w:fldChar w:fldCharType="end"/>
            </w:r>
          </w:hyperlink>
        </w:p>
        <w:p w14:paraId="4684EC14" w14:textId="77777777" w:rsidR="008A36F2" w:rsidRDefault="00FE246D" w:rsidP="008A36F2">
          <w:pPr>
            <w:pStyle w:val="TOC2"/>
            <w:rPr>
              <w:rFonts w:asciiTheme="minorHAnsi" w:hAnsiTheme="minorHAnsi" w:cstheme="minorBidi"/>
              <w:sz w:val="22"/>
              <w:szCs w:val="22"/>
              <w:lang w:eastAsia="zh-CN"/>
            </w:rPr>
          </w:pPr>
          <w:hyperlink w:anchor="_Toc417373389" w:history="1">
            <w:r w:rsidR="008A36F2" w:rsidRPr="00636706">
              <w:rPr>
                <w:rStyle w:val="Hyperlink"/>
              </w:rPr>
              <w:t>Bidding process</w:t>
            </w:r>
            <w:r w:rsidR="008A36F2">
              <w:rPr>
                <w:webHidden/>
              </w:rPr>
              <w:tab/>
            </w:r>
            <w:r w:rsidR="008A36F2">
              <w:rPr>
                <w:webHidden/>
              </w:rPr>
              <w:fldChar w:fldCharType="begin"/>
            </w:r>
            <w:r w:rsidR="008A36F2">
              <w:rPr>
                <w:webHidden/>
              </w:rPr>
              <w:instrText xml:space="preserve"> PAGEREF _Toc417373389 \h </w:instrText>
            </w:r>
            <w:r w:rsidR="008A36F2">
              <w:rPr>
                <w:webHidden/>
              </w:rPr>
            </w:r>
            <w:r w:rsidR="008A36F2">
              <w:rPr>
                <w:webHidden/>
              </w:rPr>
              <w:fldChar w:fldCharType="separate"/>
            </w:r>
            <w:r w:rsidR="00277016">
              <w:rPr>
                <w:webHidden/>
              </w:rPr>
              <w:t>9</w:t>
            </w:r>
            <w:r w:rsidR="008A36F2">
              <w:rPr>
                <w:webHidden/>
              </w:rPr>
              <w:fldChar w:fldCharType="end"/>
            </w:r>
          </w:hyperlink>
        </w:p>
        <w:p w14:paraId="746193C1" w14:textId="77777777" w:rsidR="008A36F2" w:rsidRDefault="00FE246D">
          <w:pPr>
            <w:pStyle w:val="TOC3"/>
            <w:rPr>
              <w:rFonts w:asciiTheme="minorHAnsi" w:hAnsiTheme="minorHAnsi" w:cstheme="minorBidi"/>
              <w:i w:val="0"/>
              <w:sz w:val="22"/>
              <w:szCs w:val="22"/>
              <w:lang w:val="en-US" w:eastAsia="zh-CN"/>
            </w:rPr>
          </w:pPr>
          <w:hyperlink w:anchor="_Toc417373390" w:history="1">
            <w:r w:rsidR="008A36F2" w:rsidRPr="00636706">
              <w:rPr>
                <w:rStyle w:val="Hyperlink"/>
              </w:rPr>
              <w:t>Parties in Host Country Agreement</w:t>
            </w:r>
            <w:r w:rsidR="008A36F2">
              <w:rPr>
                <w:webHidden/>
              </w:rPr>
              <w:tab/>
            </w:r>
            <w:r w:rsidR="008A36F2">
              <w:rPr>
                <w:webHidden/>
              </w:rPr>
              <w:fldChar w:fldCharType="begin"/>
            </w:r>
            <w:r w:rsidR="008A36F2">
              <w:rPr>
                <w:webHidden/>
              </w:rPr>
              <w:instrText xml:space="preserve"> PAGEREF _Toc417373390 \h </w:instrText>
            </w:r>
            <w:r w:rsidR="008A36F2">
              <w:rPr>
                <w:webHidden/>
              </w:rPr>
            </w:r>
            <w:r w:rsidR="008A36F2">
              <w:rPr>
                <w:webHidden/>
              </w:rPr>
              <w:fldChar w:fldCharType="separate"/>
            </w:r>
            <w:r w:rsidR="00277016">
              <w:rPr>
                <w:webHidden/>
              </w:rPr>
              <w:t>10</w:t>
            </w:r>
            <w:r w:rsidR="008A36F2">
              <w:rPr>
                <w:webHidden/>
              </w:rPr>
              <w:fldChar w:fldCharType="end"/>
            </w:r>
          </w:hyperlink>
        </w:p>
        <w:p w14:paraId="5E6E40CF" w14:textId="12C805A9" w:rsidR="008A36F2" w:rsidRDefault="00FE246D">
          <w:pPr>
            <w:pStyle w:val="TOC1"/>
            <w:rPr>
              <w:rFonts w:asciiTheme="minorHAnsi" w:hAnsiTheme="minorHAnsi" w:cstheme="minorBidi"/>
              <w:b w:val="0"/>
              <w:sz w:val="22"/>
              <w:szCs w:val="22"/>
              <w:lang w:eastAsia="zh-CN"/>
            </w:rPr>
          </w:pPr>
          <w:hyperlink w:anchor="_Toc417373391" w:history="1">
            <w:r w:rsidR="008A36F2" w:rsidRPr="00636706">
              <w:rPr>
                <w:rStyle w:val="Hyperlink"/>
              </w:rPr>
              <w:t>REVENUE</w:t>
            </w:r>
            <w:r w:rsidR="008A36F2">
              <w:rPr>
                <w:webHidden/>
              </w:rPr>
              <w:tab/>
            </w:r>
            <w:r w:rsidR="008A36F2">
              <w:rPr>
                <w:webHidden/>
              </w:rPr>
              <w:fldChar w:fldCharType="begin"/>
            </w:r>
            <w:r w:rsidR="008A36F2">
              <w:rPr>
                <w:webHidden/>
              </w:rPr>
              <w:instrText xml:space="preserve"> PAGEREF _Toc417373391 \h </w:instrText>
            </w:r>
            <w:r w:rsidR="008A36F2">
              <w:rPr>
                <w:webHidden/>
              </w:rPr>
            </w:r>
            <w:r w:rsidR="008A36F2">
              <w:rPr>
                <w:webHidden/>
              </w:rPr>
              <w:fldChar w:fldCharType="separate"/>
            </w:r>
            <w:r w:rsidR="00277016">
              <w:rPr>
                <w:webHidden/>
              </w:rPr>
              <w:t>11</w:t>
            </w:r>
            <w:r w:rsidR="008A36F2">
              <w:rPr>
                <w:webHidden/>
              </w:rPr>
              <w:fldChar w:fldCharType="end"/>
            </w:r>
          </w:hyperlink>
        </w:p>
        <w:p w14:paraId="46B91C0B" w14:textId="77777777" w:rsidR="008A36F2" w:rsidRDefault="00FE246D">
          <w:pPr>
            <w:pStyle w:val="TOC3"/>
            <w:rPr>
              <w:rFonts w:asciiTheme="minorHAnsi" w:hAnsiTheme="minorHAnsi" w:cstheme="minorBidi"/>
              <w:i w:val="0"/>
              <w:sz w:val="22"/>
              <w:szCs w:val="22"/>
              <w:lang w:val="en-US" w:eastAsia="zh-CN"/>
            </w:rPr>
          </w:pPr>
          <w:hyperlink w:anchor="_Toc417373392" w:history="1">
            <w:r w:rsidR="008A36F2" w:rsidRPr="00636706">
              <w:rPr>
                <w:rStyle w:val="Hyperlink"/>
              </w:rPr>
              <w:t>Barters value.</w:t>
            </w:r>
            <w:r w:rsidR="008A36F2">
              <w:rPr>
                <w:webHidden/>
              </w:rPr>
              <w:tab/>
            </w:r>
            <w:r w:rsidR="008A36F2">
              <w:rPr>
                <w:webHidden/>
              </w:rPr>
              <w:fldChar w:fldCharType="begin"/>
            </w:r>
            <w:r w:rsidR="008A36F2">
              <w:rPr>
                <w:webHidden/>
              </w:rPr>
              <w:instrText xml:space="preserve"> PAGEREF _Toc417373392 \h </w:instrText>
            </w:r>
            <w:r w:rsidR="008A36F2">
              <w:rPr>
                <w:webHidden/>
              </w:rPr>
            </w:r>
            <w:r w:rsidR="008A36F2">
              <w:rPr>
                <w:webHidden/>
              </w:rPr>
              <w:fldChar w:fldCharType="separate"/>
            </w:r>
            <w:r w:rsidR="00277016">
              <w:rPr>
                <w:webHidden/>
              </w:rPr>
              <w:t>11</w:t>
            </w:r>
            <w:r w:rsidR="008A36F2">
              <w:rPr>
                <w:webHidden/>
              </w:rPr>
              <w:fldChar w:fldCharType="end"/>
            </w:r>
          </w:hyperlink>
        </w:p>
        <w:p w14:paraId="4675997A" w14:textId="1E8DDEC4" w:rsidR="008A36F2" w:rsidRDefault="00FE246D">
          <w:pPr>
            <w:pStyle w:val="TOC3"/>
            <w:rPr>
              <w:rFonts w:asciiTheme="minorHAnsi" w:hAnsiTheme="minorHAnsi" w:cstheme="minorBidi"/>
              <w:i w:val="0"/>
              <w:sz w:val="22"/>
              <w:szCs w:val="22"/>
              <w:lang w:val="en-US" w:eastAsia="zh-CN"/>
            </w:rPr>
          </w:pPr>
          <w:hyperlink w:anchor="_Toc417373393" w:history="1">
            <w:r w:rsidR="008A36F2" w:rsidRPr="00636706">
              <w:rPr>
                <w:rStyle w:val="Hyperlink"/>
              </w:rPr>
              <w:t>Passes</w:t>
            </w:r>
            <w:r w:rsidR="008A36F2">
              <w:rPr>
                <w:webHidden/>
              </w:rPr>
              <w:tab/>
            </w:r>
            <w:r w:rsidR="008A36F2">
              <w:rPr>
                <w:webHidden/>
              </w:rPr>
              <w:fldChar w:fldCharType="begin"/>
            </w:r>
            <w:r w:rsidR="008A36F2">
              <w:rPr>
                <w:webHidden/>
              </w:rPr>
              <w:instrText xml:space="preserve"> PAGEREF _Toc417373393 \h </w:instrText>
            </w:r>
            <w:r w:rsidR="008A36F2">
              <w:rPr>
                <w:webHidden/>
              </w:rPr>
            </w:r>
            <w:r w:rsidR="008A36F2">
              <w:rPr>
                <w:webHidden/>
              </w:rPr>
              <w:fldChar w:fldCharType="separate"/>
            </w:r>
            <w:r w:rsidR="00277016">
              <w:rPr>
                <w:webHidden/>
              </w:rPr>
              <w:t>12</w:t>
            </w:r>
            <w:r w:rsidR="008A36F2">
              <w:rPr>
                <w:webHidden/>
              </w:rPr>
              <w:fldChar w:fldCharType="end"/>
            </w:r>
          </w:hyperlink>
        </w:p>
        <w:p w14:paraId="288DC21A" w14:textId="77777777" w:rsidR="008A36F2" w:rsidRDefault="00FE246D">
          <w:pPr>
            <w:pStyle w:val="TOC3"/>
            <w:rPr>
              <w:rFonts w:asciiTheme="minorHAnsi" w:hAnsiTheme="minorHAnsi" w:cstheme="minorBidi"/>
              <w:i w:val="0"/>
              <w:sz w:val="22"/>
              <w:szCs w:val="22"/>
              <w:lang w:val="en-US" w:eastAsia="zh-CN"/>
            </w:rPr>
          </w:pPr>
          <w:hyperlink w:anchor="_Toc417373394" w:history="1">
            <w:r w:rsidR="008A36F2" w:rsidRPr="00636706">
              <w:rPr>
                <w:rStyle w:val="Hyperlink"/>
              </w:rPr>
              <w:t>Exhibition</w:t>
            </w:r>
            <w:r w:rsidR="008A36F2">
              <w:rPr>
                <w:webHidden/>
              </w:rPr>
              <w:tab/>
            </w:r>
            <w:r w:rsidR="008A36F2">
              <w:rPr>
                <w:webHidden/>
              </w:rPr>
              <w:fldChar w:fldCharType="begin"/>
            </w:r>
            <w:r w:rsidR="008A36F2">
              <w:rPr>
                <w:webHidden/>
              </w:rPr>
              <w:instrText xml:space="preserve"> PAGEREF _Toc417373394 \h </w:instrText>
            </w:r>
            <w:r w:rsidR="008A36F2">
              <w:rPr>
                <w:webHidden/>
              </w:rPr>
            </w:r>
            <w:r w:rsidR="008A36F2">
              <w:rPr>
                <w:webHidden/>
              </w:rPr>
              <w:fldChar w:fldCharType="separate"/>
            </w:r>
            <w:r w:rsidR="00277016">
              <w:rPr>
                <w:webHidden/>
              </w:rPr>
              <w:t>12</w:t>
            </w:r>
            <w:r w:rsidR="008A36F2">
              <w:rPr>
                <w:webHidden/>
              </w:rPr>
              <w:fldChar w:fldCharType="end"/>
            </w:r>
          </w:hyperlink>
        </w:p>
        <w:p w14:paraId="615C1EAF" w14:textId="43A7CBC9" w:rsidR="008A36F2" w:rsidRDefault="00FE246D">
          <w:pPr>
            <w:pStyle w:val="TOC1"/>
            <w:rPr>
              <w:rFonts w:asciiTheme="minorHAnsi" w:hAnsiTheme="minorHAnsi" w:cstheme="minorBidi"/>
              <w:b w:val="0"/>
              <w:sz w:val="22"/>
              <w:szCs w:val="22"/>
              <w:lang w:eastAsia="zh-CN"/>
            </w:rPr>
          </w:pPr>
          <w:hyperlink w:anchor="_Toc417373395" w:history="1">
            <w:r w:rsidR="008A36F2" w:rsidRPr="00636706">
              <w:rPr>
                <w:rStyle w:val="Hyperlink"/>
              </w:rPr>
              <w:t>EXPENSES</w:t>
            </w:r>
            <w:r w:rsidR="008A36F2">
              <w:rPr>
                <w:webHidden/>
              </w:rPr>
              <w:tab/>
            </w:r>
            <w:r w:rsidR="008A36F2">
              <w:rPr>
                <w:webHidden/>
              </w:rPr>
              <w:fldChar w:fldCharType="begin"/>
            </w:r>
            <w:r w:rsidR="008A36F2">
              <w:rPr>
                <w:webHidden/>
              </w:rPr>
              <w:instrText xml:space="preserve"> PAGEREF _Toc417373395 \h </w:instrText>
            </w:r>
            <w:r w:rsidR="008A36F2">
              <w:rPr>
                <w:webHidden/>
              </w:rPr>
            </w:r>
            <w:r w:rsidR="008A36F2">
              <w:rPr>
                <w:webHidden/>
              </w:rPr>
              <w:fldChar w:fldCharType="separate"/>
            </w:r>
            <w:r w:rsidR="00277016">
              <w:rPr>
                <w:webHidden/>
              </w:rPr>
              <w:t>13</w:t>
            </w:r>
            <w:r w:rsidR="008A36F2">
              <w:rPr>
                <w:webHidden/>
              </w:rPr>
              <w:fldChar w:fldCharType="end"/>
            </w:r>
          </w:hyperlink>
        </w:p>
        <w:p w14:paraId="2612051B" w14:textId="1741BBE8" w:rsidR="008A36F2" w:rsidRDefault="00FE246D">
          <w:pPr>
            <w:pStyle w:val="TOC3"/>
            <w:rPr>
              <w:rFonts w:asciiTheme="minorHAnsi" w:hAnsiTheme="minorHAnsi" w:cstheme="minorBidi"/>
              <w:i w:val="0"/>
              <w:sz w:val="22"/>
              <w:szCs w:val="22"/>
              <w:lang w:val="en-US" w:eastAsia="zh-CN"/>
            </w:rPr>
          </w:pPr>
          <w:hyperlink w:anchor="_Toc417373396" w:history="1">
            <w:r w:rsidR="008A36F2" w:rsidRPr="00636706">
              <w:rPr>
                <w:rStyle w:val="Hyperlink"/>
              </w:rPr>
              <w:t>Cost Recovery</w:t>
            </w:r>
            <w:r w:rsidR="008A36F2">
              <w:rPr>
                <w:webHidden/>
              </w:rPr>
              <w:tab/>
            </w:r>
            <w:r w:rsidR="008A36F2">
              <w:rPr>
                <w:webHidden/>
              </w:rPr>
              <w:fldChar w:fldCharType="begin"/>
            </w:r>
            <w:r w:rsidR="008A36F2">
              <w:rPr>
                <w:webHidden/>
              </w:rPr>
              <w:instrText xml:space="preserve"> PAGEREF _Toc417373396 \h </w:instrText>
            </w:r>
            <w:r w:rsidR="008A36F2">
              <w:rPr>
                <w:webHidden/>
              </w:rPr>
            </w:r>
            <w:r w:rsidR="008A36F2">
              <w:rPr>
                <w:webHidden/>
              </w:rPr>
              <w:fldChar w:fldCharType="separate"/>
            </w:r>
            <w:r w:rsidR="00277016">
              <w:rPr>
                <w:webHidden/>
              </w:rPr>
              <w:t>13</w:t>
            </w:r>
            <w:r w:rsidR="008A36F2">
              <w:rPr>
                <w:webHidden/>
              </w:rPr>
              <w:fldChar w:fldCharType="end"/>
            </w:r>
          </w:hyperlink>
        </w:p>
        <w:p w14:paraId="1C5A9502" w14:textId="4FD27D9C" w:rsidR="008A36F2" w:rsidRDefault="00FE246D" w:rsidP="008A36F2">
          <w:pPr>
            <w:pStyle w:val="TOC2"/>
            <w:rPr>
              <w:rFonts w:asciiTheme="minorHAnsi" w:hAnsiTheme="minorHAnsi" w:cstheme="minorBidi"/>
              <w:sz w:val="22"/>
              <w:szCs w:val="22"/>
              <w:lang w:eastAsia="zh-CN"/>
            </w:rPr>
          </w:pPr>
          <w:hyperlink w:anchor="_Toc417373397" w:history="1">
            <w:r w:rsidR="008A36F2" w:rsidRPr="00636706">
              <w:rPr>
                <w:rStyle w:val="Hyperlink"/>
              </w:rPr>
              <w:t>Staff costs</w:t>
            </w:r>
            <w:r w:rsidR="008A36F2">
              <w:rPr>
                <w:webHidden/>
              </w:rPr>
              <w:tab/>
            </w:r>
            <w:r w:rsidR="008A36F2">
              <w:rPr>
                <w:webHidden/>
              </w:rPr>
              <w:fldChar w:fldCharType="begin"/>
            </w:r>
            <w:r w:rsidR="008A36F2">
              <w:rPr>
                <w:webHidden/>
              </w:rPr>
              <w:instrText xml:space="preserve"> PAGEREF _Toc417373397 \h </w:instrText>
            </w:r>
            <w:r w:rsidR="008A36F2">
              <w:rPr>
                <w:webHidden/>
              </w:rPr>
            </w:r>
            <w:r w:rsidR="008A36F2">
              <w:rPr>
                <w:webHidden/>
              </w:rPr>
              <w:fldChar w:fldCharType="separate"/>
            </w:r>
            <w:r w:rsidR="00277016">
              <w:rPr>
                <w:webHidden/>
              </w:rPr>
              <w:t>14</w:t>
            </w:r>
            <w:r w:rsidR="008A36F2">
              <w:rPr>
                <w:webHidden/>
              </w:rPr>
              <w:fldChar w:fldCharType="end"/>
            </w:r>
          </w:hyperlink>
        </w:p>
        <w:p w14:paraId="5A132A0B" w14:textId="5929AAB4" w:rsidR="008A36F2" w:rsidRDefault="00FE246D">
          <w:pPr>
            <w:pStyle w:val="TOC1"/>
            <w:rPr>
              <w:rFonts w:asciiTheme="minorHAnsi" w:hAnsiTheme="minorHAnsi" w:cstheme="minorBidi"/>
              <w:b w:val="0"/>
              <w:sz w:val="22"/>
              <w:szCs w:val="22"/>
              <w:lang w:eastAsia="zh-CN"/>
            </w:rPr>
          </w:pPr>
          <w:hyperlink w:anchor="_Toc417373398" w:history="1">
            <w:r w:rsidR="008A36F2" w:rsidRPr="00636706">
              <w:rPr>
                <w:rStyle w:val="Hyperlink"/>
              </w:rPr>
              <w:t>Correspondence of Budget and Results</w:t>
            </w:r>
            <w:r w:rsidR="008A36F2">
              <w:rPr>
                <w:webHidden/>
              </w:rPr>
              <w:tab/>
            </w:r>
            <w:r w:rsidR="008A36F2">
              <w:rPr>
                <w:webHidden/>
              </w:rPr>
              <w:fldChar w:fldCharType="begin"/>
            </w:r>
            <w:r w:rsidR="008A36F2">
              <w:rPr>
                <w:webHidden/>
              </w:rPr>
              <w:instrText xml:space="preserve"> PAGEREF _Toc417373398 \h </w:instrText>
            </w:r>
            <w:r w:rsidR="008A36F2">
              <w:rPr>
                <w:webHidden/>
              </w:rPr>
            </w:r>
            <w:r w:rsidR="008A36F2">
              <w:rPr>
                <w:webHidden/>
              </w:rPr>
              <w:fldChar w:fldCharType="separate"/>
            </w:r>
            <w:r w:rsidR="00277016">
              <w:rPr>
                <w:webHidden/>
              </w:rPr>
              <w:t>14</w:t>
            </w:r>
            <w:r w:rsidR="008A36F2">
              <w:rPr>
                <w:webHidden/>
              </w:rPr>
              <w:fldChar w:fldCharType="end"/>
            </w:r>
          </w:hyperlink>
        </w:p>
        <w:p w14:paraId="2C40CA4E" w14:textId="2E869DD9" w:rsidR="008A36F2" w:rsidRDefault="00FE246D">
          <w:pPr>
            <w:pStyle w:val="TOC1"/>
            <w:rPr>
              <w:rFonts w:asciiTheme="minorHAnsi" w:hAnsiTheme="minorHAnsi" w:cstheme="minorBidi"/>
              <w:b w:val="0"/>
              <w:sz w:val="22"/>
              <w:szCs w:val="22"/>
              <w:lang w:eastAsia="zh-CN"/>
            </w:rPr>
          </w:pPr>
          <w:hyperlink w:anchor="_Toc417373399" w:history="1">
            <w:r w:rsidR="008A36F2" w:rsidRPr="00636706">
              <w:rPr>
                <w:rStyle w:val="Hyperlink"/>
              </w:rPr>
              <w:t>Registration service</w:t>
            </w:r>
            <w:r w:rsidR="008A36F2">
              <w:rPr>
                <w:webHidden/>
              </w:rPr>
              <w:tab/>
            </w:r>
            <w:r w:rsidR="008A36F2">
              <w:rPr>
                <w:webHidden/>
              </w:rPr>
              <w:fldChar w:fldCharType="begin"/>
            </w:r>
            <w:r w:rsidR="008A36F2">
              <w:rPr>
                <w:webHidden/>
              </w:rPr>
              <w:instrText xml:space="preserve"> PAGEREF _Toc417373399 \h </w:instrText>
            </w:r>
            <w:r w:rsidR="008A36F2">
              <w:rPr>
                <w:webHidden/>
              </w:rPr>
            </w:r>
            <w:r w:rsidR="008A36F2">
              <w:rPr>
                <w:webHidden/>
              </w:rPr>
              <w:fldChar w:fldCharType="separate"/>
            </w:r>
            <w:r w:rsidR="00277016">
              <w:rPr>
                <w:webHidden/>
              </w:rPr>
              <w:t>14</w:t>
            </w:r>
            <w:r w:rsidR="008A36F2">
              <w:rPr>
                <w:webHidden/>
              </w:rPr>
              <w:fldChar w:fldCharType="end"/>
            </w:r>
          </w:hyperlink>
        </w:p>
        <w:p w14:paraId="4C9DD1CD" w14:textId="4373CC1B" w:rsidR="008A36F2" w:rsidRDefault="00FE246D">
          <w:pPr>
            <w:pStyle w:val="TOC3"/>
            <w:rPr>
              <w:rFonts w:asciiTheme="minorHAnsi" w:hAnsiTheme="minorHAnsi" w:cstheme="minorBidi"/>
              <w:i w:val="0"/>
              <w:sz w:val="22"/>
              <w:szCs w:val="22"/>
              <w:lang w:val="en-US" w:eastAsia="zh-CN"/>
            </w:rPr>
          </w:pPr>
          <w:hyperlink w:anchor="_Toc417373400" w:history="1">
            <w:r w:rsidR="008A36F2" w:rsidRPr="00636706">
              <w:rPr>
                <w:rStyle w:val="Hyperlink"/>
              </w:rPr>
              <w:t>Policy concerning strategic expenditures</w:t>
            </w:r>
            <w:r w:rsidR="008A36F2">
              <w:rPr>
                <w:webHidden/>
              </w:rPr>
              <w:tab/>
            </w:r>
            <w:r w:rsidR="008A36F2">
              <w:rPr>
                <w:webHidden/>
              </w:rPr>
              <w:fldChar w:fldCharType="begin"/>
            </w:r>
            <w:r w:rsidR="008A36F2">
              <w:rPr>
                <w:webHidden/>
              </w:rPr>
              <w:instrText xml:space="preserve"> PAGEREF _Toc417373400 \h </w:instrText>
            </w:r>
            <w:r w:rsidR="008A36F2">
              <w:rPr>
                <w:webHidden/>
              </w:rPr>
            </w:r>
            <w:r w:rsidR="008A36F2">
              <w:rPr>
                <w:webHidden/>
              </w:rPr>
              <w:fldChar w:fldCharType="separate"/>
            </w:r>
            <w:r w:rsidR="00277016">
              <w:rPr>
                <w:webHidden/>
              </w:rPr>
              <w:t>15</w:t>
            </w:r>
            <w:r w:rsidR="008A36F2">
              <w:rPr>
                <w:webHidden/>
              </w:rPr>
              <w:fldChar w:fldCharType="end"/>
            </w:r>
          </w:hyperlink>
        </w:p>
        <w:p w14:paraId="5D86798A" w14:textId="4C69FBA7" w:rsidR="008A36F2" w:rsidRDefault="00FE246D" w:rsidP="008A36F2">
          <w:pPr>
            <w:pStyle w:val="TOC2"/>
            <w:rPr>
              <w:rFonts w:asciiTheme="minorHAnsi" w:hAnsiTheme="minorHAnsi" w:cstheme="minorBidi"/>
              <w:sz w:val="22"/>
              <w:szCs w:val="22"/>
              <w:lang w:eastAsia="zh-CN"/>
            </w:rPr>
          </w:pPr>
          <w:hyperlink w:anchor="_Toc417373401" w:history="1">
            <w:r w:rsidR="008A36F2" w:rsidRPr="00636706">
              <w:rPr>
                <w:rStyle w:val="Hyperlink"/>
              </w:rPr>
              <w:t>KPIs and Post Event Survey</w:t>
            </w:r>
            <w:r w:rsidR="008A36F2">
              <w:rPr>
                <w:webHidden/>
              </w:rPr>
              <w:tab/>
            </w:r>
            <w:r w:rsidR="008A36F2">
              <w:rPr>
                <w:webHidden/>
              </w:rPr>
              <w:fldChar w:fldCharType="begin"/>
            </w:r>
            <w:r w:rsidR="008A36F2">
              <w:rPr>
                <w:webHidden/>
              </w:rPr>
              <w:instrText xml:space="preserve"> PAGEREF _Toc417373401 \h </w:instrText>
            </w:r>
            <w:r w:rsidR="008A36F2">
              <w:rPr>
                <w:webHidden/>
              </w:rPr>
            </w:r>
            <w:r w:rsidR="008A36F2">
              <w:rPr>
                <w:webHidden/>
              </w:rPr>
              <w:fldChar w:fldCharType="separate"/>
            </w:r>
            <w:r w:rsidR="00277016">
              <w:rPr>
                <w:webHidden/>
              </w:rPr>
              <w:t>16</w:t>
            </w:r>
            <w:r w:rsidR="008A36F2">
              <w:rPr>
                <w:webHidden/>
              </w:rPr>
              <w:fldChar w:fldCharType="end"/>
            </w:r>
          </w:hyperlink>
        </w:p>
        <w:p w14:paraId="0AF19BB2" w14:textId="224D4513" w:rsidR="008A36F2" w:rsidRDefault="00FE246D">
          <w:pPr>
            <w:pStyle w:val="TOC3"/>
            <w:rPr>
              <w:rFonts w:asciiTheme="minorHAnsi" w:hAnsiTheme="minorHAnsi" w:cstheme="minorBidi"/>
              <w:i w:val="0"/>
              <w:sz w:val="22"/>
              <w:szCs w:val="22"/>
              <w:lang w:val="en-US" w:eastAsia="zh-CN"/>
            </w:rPr>
          </w:pPr>
          <w:hyperlink w:anchor="_Toc417373402" w:history="1">
            <w:r w:rsidR="008A36F2" w:rsidRPr="00636706">
              <w:rPr>
                <w:rStyle w:val="Hyperlink"/>
              </w:rPr>
              <w:t>Prize draw</w:t>
            </w:r>
            <w:r w:rsidR="008A36F2">
              <w:rPr>
                <w:webHidden/>
              </w:rPr>
              <w:tab/>
            </w:r>
            <w:r w:rsidR="008A36F2">
              <w:rPr>
                <w:webHidden/>
              </w:rPr>
              <w:fldChar w:fldCharType="begin"/>
            </w:r>
            <w:r w:rsidR="008A36F2">
              <w:rPr>
                <w:webHidden/>
              </w:rPr>
              <w:instrText xml:space="preserve"> PAGEREF _Toc417373402 \h </w:instrText>
            </w:r>
            <w:r w:rsidR="008A36F2">
              <w:rPr>
                <w:webHidden/>
              </w:rPr>
            </w:r>
            <w:r w:rsidR="008A36F2">
              <w:rPr>
                <w:webHidden/>
              </w:rPr>
              <w:fldChar w:fldCharType="separate"/>
            </w:r>
            <w:r w:rsidR="00277016">
              <w:rPr>
                <w:webHidden/>
              </w:rPr>
              <w:t>16</w:t>
            </w:r>
            <w:r w:rsidR="008A36F2">
              <w:rPr>
                <w:webHidden/>
              </w:rPr>
              <w:fldChar w:fldCharType="end"/>
            </w:r>
          </w:hyperlink>
        </w:p>
        <w:p w14:paraId="71EEB91A" w14:textId="095FA04E" w:rsidR="008A36F2" w:rsidRPr="008A36F2" w:rsidRDefault="00FE246D" w:rsidP="008A36F2">
          <w:pPr>
            <w:pStyle w:val="TOC2"/>
            <w:rPr>
              <w:rFonts w:asciiTheme="minorHAnsi" w:hAnsiTheme="minorHAnsi" w:cstheme="minorBidi"/>
              <w:sz w:val="22"/>
              <w:szCs w:val="22"/>
              <w:lang w:eastAsia="zh-CN"/>
            </w:rPr>
          </w:pPr>
          <w:hyperlink w:anchor="_Toc417373403" w:history="1">
            <w:r w:rsidR="008A36F2" w:rsidRPr="008A36F2">
              <w:rPr>
                <w:rStyle w:val="Hyperlink"/>
              </w:rPr>
              <w:t>Gender distribution</w:t>
            </w:r>
            <w:r w:rsidR="008A36F2" w:rsidRPr="008A36F2">
              <w:rPr>
                <w:webHidden/>
              </w:rPr>
              <w:tab/>
            </w:r>
            <w:r w:rsidR="008A36F2" w:rsidRPr="008A36F2">
              <w:rPr>
                <w:webHidden/>
              </w:rPr>
              <w:fldChar w:fldCharType="begin"/>
            </w:r>
            <w:r w:rsidR="008A36F2" w:rsidRPr="008A36F2">
              <w:rPr>
                <w:webHidden/>
              </w:rPr>
              <w:instrText xml:space="preserve"> PAGEREF _Toc417373403 \h </w:instrText>
            </w:r>
            <w:r w:rsidR="008A36F2" w:rsidRPr="008A36F2">
              <w:rPr>
                <w:webHidden/>
              </w:rPr>
            </w:r>
            <w:r w:rsidR="008A36F2" w:rsidRPr="008A36F2">
              <w:rPr>
                <w:webHidden/>
              </w:rPr>
              <w:fldChar w:fldCharType="separate"/>
            </w:r>
            <w:r w:rsidR="00277016">
              <w:rPr>
                <w:webHidden/>
              </w:rPr>
              <w:t>16</w:t>
            </w:r>
            <w:r w:rsidR="008A36F2" w:rsidRPr="008A36F2">
              <w:rPr>
                <w:webHidden/>
              </w:rPr>
              <w:fldChar w:fldCharType="end"/>
            </w:r>
          </w:hyperlink>
        </w:p>
        <w:p w14:paraId="6E40188C" w14:textId="18E81953" w:rsidR="008A36F2" w:rsidRDefault="00FE246D">
          <w:pPr>
            <w:pStyle w:val="TOC3"/>
            <w:rPr>
              <w:rFonts w:asciiTheme="minorHAnsi" w:hAnsiTheme="minorHAnsi" w:cstheme="minorBidi"/>
              <w:i w:val="0"/>
              <w:sz w:val="22"/>
              <w:szCs w:val="22"/>
              <w:lang w:val="en-US" w:eastAsia="zh-CN"/>
            </w:rPr>
          </w:pPr>
          <w:hyperlink w:anchor="_Toc417373404" w:history="1">
            <w:r w:rsidR="008A36F2" w:rsidRPr="00636706">
              <w:rPr>
                <w:rStyle w:val="Hyperlink"/>
              </w:rPr>
              <w:t>Diminishing number of Exhibitors and participants</w:t>
            </w:r>
            <w:r w:rsidR="008A36F2">
              <w:rPr>
                <w:webHidden/>
              </w:rPr>
              <w:tab/>
            </w:r>
            <w:r w:rsidR="008A36F2">
              <w:rPr>
                <w:webHidden/>
              </w:rPr>
              <w:fldChar w:fldCharType="begin"/>
            </w:r>
            <w:r w:rsidR="008A36F2">
              <w:rPr>
                <w:webHidden/>
              </w:rPr>
              <w:instrText xml:space="preserve"> PAGEREF _Toc417373404 \h </w:instrText>
            </w:r>
            <w:r w:rsidR="008A36F2">
              <w:rPr>
                <w:webHidden/>
              </w:rPr>
            </w:r>
            <w:r w:rsidR="008A36F2">
              <w:rPr>
                <w:webHidden/>
              </w:rPr>
              <w:fldChar w:fldCharType="separate"/>
            </w:r>
            <w:r w:rsidR="00277016">
              <w:rPr>
                <w:webHidden/>
              </w:rPr>
              <w:t>17</w:t>
            </w:r>
            <w:r w:rsidR="008A36F2">
              <w:rPr>
                <w:webHidden/>
              </w:rPr>
              <w:fldChar w:fldCharType="end"/>
            </w:r>
          </w:hyperlink>
        </w:p>
        <w:p w14:paraId="2BFAA7AD" w14:textId="1B204EF6" w:rsidR="008A36F2" w:rsidRDefault="00FE246D">
          <w:pPr>
            <w:pStyle w:val="TOC3"/>
            <w:rPr>
              <w:rFonts w:asciiTheme="minorHAnsi" w:hAnsiTheme="minorHAnsi" w:cstheme="minorBidi"/>
              <w:i w:val="0"/>
              <w:sz w:val="22"/>
              <w:szCs w:val="22"/>
              <w:lang w:val="en-US" w:eastAsia="zh-CN"/>
            </w:rPr>
          </w:pPr>
          <w:hyperlink w:anchor="_Toc417373405" w:history="1">
            <w:r w:rsidR="008A36F2" w:rsidRPr="00636706">
              <w:rPr>
                <w:rStyle w:val="Hyperlink"/>
              </w:rPr>
              <w:t>Problems with Visas</w:t>
            </w:r>
            <w:r w:rsidR="008A36F2">
              <w:rPr>
                <w:webHidden/>
              </w:rPr>
              <w:tab/>
            </w:r>
            <w:r w:rsidR="008A36F2">
              <w:rPr>
                <w:webHidden/>
              </w:rPr>
              <w:fldChar w:fldCharType="begin"/>
            </w:r>
            <w:r w:rsidR="008A36F2">
              <w:rPr>
                <w:webHidden/>
              </w:rPr>
              <w:instrText xml:space="preserve"> PAGEREF _Toc417373405 \h </w:instrText>
            </w:r>
            <w:r w:rsidR="008A36F2">
              <w:rPr>
                <w:webHidden/>
              </w:rPr>
            </w:r>
            <w:r w:rsidR="008A36F2">
              <w:rPr>
                <w:webHidden/>
              </w:rPr>
              <w:fldChar w:fldCharType="separate"/>
            </w:r>
            <w:r w:rsidR="00277016">
              <w:rPr>
                <w:webHidden/>
              </w:rPr>
              <w:t>18</w:t>
            </w:r>
            <w:r w:rsidR="008A36F2">
              <w:rPr>
                <w:webHidden/>
              </w:rPr>
              <w:fldChar w:fldCharType="end"/>
            </w:r>
          </w:hyperlink>
        </w:p>
        <w:p w14:paraId="49FF5237" w14:textId="7B924E66" w:rsidR="008A36F2" w:rsidRDefault="00FE246D">
          <w:pPr>
            <w:pStyle w:val="TOC3"/>
            <w:rPr>
              <w:rFonts w:asciiTheme="minorHAnsi" w:hAnsiTheme="minorHAnsi" w:cstheme="minorBidi"/>
              <w:i w:val="0"/>
              <w:sz w:val="22"/>
              <w:szCs w:val="22"/>
              <w:lang w:val="en-US" w:eastAsia="zh-CN"/>
            </w:rPr>
          </w:pPr>
          <w:hyperlink w:anchor="_Toc417373406" w:history="1">
            <w:r w:rsidR="008A36F2" w:rsidRPr="00636706">
              <w:rPr>
                <w:rStyle w:val="Hyperlink"/>
              </w:rPr>
              <w:t>Forum sessions and Media presence</w:t>
            </w:r>
            <w:r w:rsidR="008A36F2">
              <w:rPr>
                <w:webHidden/>
              </w:rPr>
              <w:tab/>
            </w:r>
            <w:r w:rsidR="008A36F2">
              <w:rPr>
                <w:webHidden/>
              </w:rPr>
              <w:fldChar w:fldCharType="begin"/>
            </w:r>
            <w:r w:rsidR="008A36F2">
              <w:rPr>
                <w:webHidden/>
              </w:rPr>
              <w:instrText xml:space="preserve"> PAGEREF _Toc417373406 \h </w:instrText>
            </w:r>
            <w:r w:rsidR="008A36F2">
              <w:rPr>
                <w:webHidden/>
              </w:rPr>
            </w:r>
            <w:r w:rsidR="008A36F2">
              <w:rPr>
                <w:webHidden/>
              </w:rPr>
              <w:fldChar w:fldCharType="separate"/>
            </w:r>
            <w:r w:rsidR="00277016">
              <w:rPr>
                <w:webHidden/>
              </w:rPr>
              <w:t>18</w:t>
            </w:r>
            <w:r w:rsidR="008A36F2">
              <w:rPr>
                <w:webHidden/>
              </w:rPr>
              <w:fldChar w:fldCharType="end"/>
            </w:r>
          </w:hyperlink>
        </w:p>
        <w:p w14:paraId="6301F4ED" w14:textId="4181E39F" w:rsidR="008A36F2" w:rsidRDefault="00FE246D">
          <w:pPr>
            <w:pStyle w:val="TOC3"/>
            <w:rPr>
              <w:rFonts w:asciiTheme="minorHAnsi" w:hAnsiTheme="minorHAnsi" w:cstheme="minorBidi"/>
              <w:i w:val="0"/>
              <w:sz w:val="22"/>
              <w:szCs w:val="22"/>
              <w:lang w:val="en-US" w:eastAsia="zh-CN"/>
            </w:rPr>
          </w:pPr>
          <w:hyperlink w:anchor="_Toc417373407" w:history="1">
            <w:r w:rsidR="008A36F2" w:rsidRPr="00636706">
              <w:rPr>
                <w:rStyle w:val="Hyperlink"/>
              </w:rPr>
              <w:t>Global dimension</w:t>
            </w:r>
            <w:r w:rsidR="008A36F2">
              <w:rPr>
                <w:webHidden/>
              </w:rPr>
              <w:tab/>
            </w:r>
            <w:r w:rsidR="008A36F2">
              <w:rPr>
                <w:webHidden/>
              </w:rPr>
              <w:fldChar w:fldCharType="begin"/>
            </w:r>
            <w:r w:rsidR="008A36F2">
              <w:rPr>
                <w:webHidden/>
              </w:rPr>
              <w:instrText xml:space="preserve"> PAGEREF _Toc417373407 \h </w:instrText>
            </w:r>
            <w:r w:rsidR="008A36F2">
              <w:rPr>
                <w:webHidden/>
              </w:rPr>
            </w:r>
            <w:r w:rsidR="008A36F2">
              <w:rPr>
                <w:webHidden/>
              </w:rPr>
              <w:fldChar w:fldCharType="separate"/>
            </w:r>
            <w:r w:rsidR="00277016">
              <w:rPr>
                <w:webHidden/>
              </w:rPr>
              <w:t>19</w:t>
            </w:r>
            <w:r w:rsidR="008A36F2">
              <w:rPr>
                <w:webHidden/>
              </w:rPr>
              <w:fldChar w:fldCharType="end"/>
            </w:r>
          </w:hyperlink>
        </w:p>
        <w:p w14:paraId="5D1E05FB" w14:textId="62F61528" w:rsidR="008A36F2" w:rsidRDefault="00FE246D">
          <w:pPr>
            <w:pStyle w:val="TOC1"/>
            <w:rPr>
              <w:rFonts w:asciiTheme="minorHAnsi" w:hAnsiTheme="minorHAnsi" w:cstheme="minorBidi"/>
              <w:b w:val="0"/>
              <w:sz w:val="22"/>
              <w:szCs w:val="22"/>
              <w:lang w:eastAsia="zh-CN"/>
            </w:rPr>
          </w:pPr>
          <w:hyperlink w:anchor="_Toc417373408" w:history="1">
            <w:r w:rsidR="008A36F2" w:rsidRPr="00636706">
              <w:rPr>
                <w:rStyle w:val="Hyperlink"/>
              </w:rPr>
              <w:t>FOLLOW-UP</w:t>
            </w:r>
            <w:r w:rsidR="008A36F2">
              <w:rPr>
                <w:webHidden/>
              </w:rPr>
              <w:tab/>
            </w:r>
            <w:r w:rsidR="008A36F2">
              <w:rPr>
                <w:webHidden/>
              </w:rPr>
              <w:fldChar w:fldCharType="begin"/>
            </w:r>
            <w:r w:rsidR="008A36F2">
              <w:rPr>
                <w:webHidden/>
              </w:rPr>
              <w:instrText xml:space="preserve"> PAGEREF _Toc417373408 \h </w:instrText>
            </w:r>
            <w:r w:rsidR="008A36F2">
              <w:rPr>
                <w:webHidden/>
              </w:rPr>
            </w:r>
            <w:r w:rsidR="008A36F2">
              <w:rPr>
                <w:webHidden/>
              </w:rPr>
              <w:fldChar w:fldCharType="separate"/>
            </w:r>
            <w:r w:rsidR="00277016">
              <w:rPr>
                <w:webHidden/>
              </w:rPr>
              <w:t>19</w:t>
            </w:r>
            <w:r w:rsidR="008A36F2">
              <w:rPr>
                <w:webHidden/>
              </w:rPr>
              <w:fldChar w:fldCharType="end"/>
            </w:r>
          </w:hyperlink>
        </w:p>
        <w:p w14:paraId="7EBC9867" w14:textId="15967CBF" w:rsidR="008A36F2" w:rsidRPr="008A36F2" w:rsidRDefault="00FE246D" w:rsidP="008A36F2">
          <w:pPr>
            <w:pStyle w:val="TOC1"/>
            <w:rPr>
              <w:rFonts w:asciiTheme="minorHAnsi" w:hAnsiTheme="minorHAnsi" w:cstheme="minorBidi"/>
              <w:b w:val="0"/>
              <w:sz w:val="22"/>
              <w:szCs w:val="22"/>
              <w:lang w:eastAsia="zh-CN"/>
            </w:rPr>
          </w:pPr>
          <w:hyperlink w:anchor="_Toc417373409" w:history="1">
            <w:r w:rsidR="008A36F2" w:rsidRPr="00636706">
              <w:rPr>
                <w:rStyle w:val="Hyperlink"/>
              </w:rPr>
              <w:t>ANNEX I – Follow-up of observations in previous reports</w:t>
            </w:r>
            <w:r w:rsidR="008A36F2">
              <w:rPr>
                <w:webHidden/>
              </w:rPr>
              <w:tab/>
            </w:r>
            <w:r w:rsidR="008A36F2">
              <w:rPr>
                <w:webHidden/>
              </w:rPr>
              <w:fldChar w:fldCharType="begin"/>
            </w:r>
            <w:r w:rsidR="008A36F2">
              <w:rPr>
                <w:webHidden/>
              </w:rPr>
              <w:instrText xml:space="preserve"> PAGEREF _Toc417373409 \h </w:instrText>
            </w:r>
            <w:r w:rsidR="008A36F2">
              <w:rPr>
                <w:webHidden/>
              </w:rPr>
            </w:r>
            <w:r w:rsidR="008A36F2">
              <w:rPr>
                <w:webHidden/>
              </w:rPr>
              <w:fldChar w:fldCharType="separate"/>
            </w:r>
            <w:r w:rsidR="00277016">
              <w:rPr>
                <w:webHidden/>
              </w:rPr>
              <w:t>20</w:t>
            </w:r>
            <w:r w:rsidR="008A36F2">
              <w:rPr>
                <w:webHidden/>
              </w:rPr>
              <w:fldChar w:fldCharType="end"/>
            </w:r>
          </w:hyperlink>
        </w:p>
        <w:p w14:paraId="2651C186" w14:textId="77777777" w:rsidR="00CF481C" w:rsidRPr="001E1CB0" w:rsidRDefault="00AB19DF" w:rsidP="003D25E0">
          <w:r w:rsidRPr="001E1CB0">
            <w:rPr>
              <w:b/>
              <w:bCs/>
              <w:noProof/>
            </w:rPr>
            <w:fldChar w:fldCharType="end"/>
          </w:r>
        </w:p>
      </w:sdtContent>
    </w:sdt>
    <w:p w14:paraId="2979F125" w14:textId="77777777" w:rsidR="00CF481C" w:rsidRPr="001E1CB0" w:rsidRDefault="00CF481C" w:rsidP="006C00C0">
      <w:pPr>
        <w:sectPr w:rsidR="00CF481C" w:rsidRPr="001E1CB0" w:rsidSect="002D1903">
          <w:pgSz w:w="11907" w:h="16840" w:code="9"/>
          <w:pgMar w:top="1418" w:right="1418" w:bottom="1418" w:left="1418" w:header="720" w:footer="720" w:gutter="0"/>
          <w:cols w:space="720"/>
          <w:docGrid w:linePitch="360"/>
        </w:sectPr>
      </w:pPr>
    </w:p>
    <w:p w14:paraId="4624EC83" w14:textId="77777777" w:rsidR="006C00C0" w:rsidRPr="00016D7C" w:rsidRDefault="002A1714" w:rsidP="006E03A1">
      <w:pPr>
        <w:pStyle w:val="Heading1"/>
      </w:pPr>
      <w:bookmarkStart w:id="11" w:name="_Toc417373377"/>
      <w:r w:rsidRPr="006E03A1">
        <w:lastRenderedPageBreak/>
        <w:t>SUM</w:t>
      </w:r>
      <w:r w:rsidRPr="00016D7C">
        <w:t>MARY OF THE AUDIT</w:t>
      </w:r>
      <w:bookmarkEnd w:id="11"/>
    </w:p>
    <w:p w14:paraId="11922FCA" w14:textId="77777777" w:rsidR="006A3D90" w:rsidRPr="00016D7C" w:rsidRDefault="00021DC3" w:rsidP="002A1714">
      <w:pPr>
        <w:pStyle w:val="testobase"/>
      </w:pPr>
      <w:r w:rsidRPr="00016D7C">
        <w:t xml:space="preserve">According to Resolution 11 (Busan 2014), resolves no. 6, “the audit of ITU Telecom accounts shall be carried out by the External Auditor of the Union”. </w:t>
      </w:r>
    </w:p>
    <w:p w14:paraId="304015D3" w14:textId="77777777" w:rsidR="00021DC3" w:rsidRPr="00016D7C" w:rsidRDefault="00021DC3" w:rsidP="002A1714">
      <w:pPr>
        <w:pStyle w:val="testobase"/>
      </w:pPr>
      <w:r w:rsidRPr="00016D7C">
        <w:t>This report covers the results of our audit of the profit and loss account for the ITU Telecom World 2014 event. This review is not to be considered as an audit of the financial statements drawn up under IPSAS, following which we issue an audit opinion. Its sole purpose is to inform the ITU Council that transactions in respect of this event have been correctly handled in the accounts.</w:t>
      </w:r>
    </w:p>
    <w:p w14:paraId="25921765" w14:textId="02C469EC" w:rsidR="00021DC3" w:rsidRPr="00016D7C" w:rsidRDefault="00021DC3" w:rsidP="00BD0B80">
      <w:pPr>
        <w:pStyle w:val="testobase"/>
      </w:pPr>
      <w:r w:rsidRPr="00016D7C">
        <w:t>The audit of the ITU Telecom World 2014 accounts submitted to us (Doc.</w:t>
      </w:r>
      <w:r w:rsidR="00BD0B80">
        <w:t> </w:t>
      </w:r>
      <w:r w:rsidRPr="00016D7C">
        <w:t>C15</w:t>
      </w:r>
      <w:r w:rsidR="000A4224">
        <w:t>/40</w:t>
      </w:r>
      <w:r w:rsidR="00BD0B80">
        <w:t> </w:t>
      </w:r>
      <w:r w:rsidRPr="00016D7C">
        <w:t>Annex</w:t>
      </w:r>
      <w:r w:rsidR="00BD0B80">
        <w:t> </w:t>
      </w:r>
      <w:r w:rsidR="000A4224">
        <w:t>A</w:t>
      </w:r>
      <w:r w:rsidRPr="00016D7C">
        <w:t>) are accurate and entries relating to the event have been correctly posted to account.</w:t>
      </w:r>
    </w:p>
    <w:p w14:paraId="70984C10" w14:textId="77777777" w:rsidR="00021DC3" w:rsidRPr="00016D7C" w:rsidRDefault="00021DC3" w:rsidP="002A1714">
      <w:pPr>
        <w:pStyle w:val="testobase"/>
      </w:pPr>
      <w:r w:rsidRPr="00016D7C">
        <w:t>The event has been organized and managed under the rule of Resolution 11 (Guadalajara 2010</w:t>
      </w:r>
      <w:r w:rsidR="00EE122C" w:rsidRPr="00016D7C">
        <w:t>. T</w:t>
      </w:r>
      <w:r w:rsidRPr="00016D7C">
        <w:t xml:space="preserve">he new revision of that Resolution </w:t>
      </w:r>
      <w:r w:rsidR="00EE122C" w:rsidRPr="00016D7C">
        <w:t xml:space="preserve">has been </w:t>
      </w:r>
      <w:r w:rsidRPr="00016D7C">
        <w:t xml:space="preserve">adopted in Busan Plenipotentiary Conference (October 2014) when </w:t>
      </w:r>
      <w:r w:rsidR="00EE122C" w:rsidRPr="00016D7C">
        <w:t xml:space="preserve">the event </w:t>
      </w:r>
      <w:r w:rsidRPr="00016D7C">
        <w:t>w</w:t>
      </w:r>
      <w:r w:rsidR="00EE122C" w:rsidRPr="00016D7C">
        <w:t>as</w:t>
      </w:r>
      <w:r w:rsidRPr="00016D7C">
        <w:t xml:space="preserve"> </w:t>
      </w:r>
      <w:r w:rsidR="00EE122C" w:rsidRPr="00016D7C">
        <w:t>almost</w:t>
      </w:r>
      <w:r w:rsidRPr="00016D7C">
        <w:t xml:space="preserve"> defined.  In any case, both version of Resolution 11 provide at </w:t>
      </w:r>
      <w:r w:rsidRPr="00016D7C">
        <w:rPr>
          <w:i/>
          <w:iCs/>
        </w:rPr>
        <w:t>resolves 4</w:t>
      </w:r>
      <w:r w:rsidRPr="00016D7C">
        <w:t xml:space="preserve"> that “</w:t>
      </w:r>
      <w:r w:rsidRPr="00016D7C">
        <w:rPr>
          <w:i/>
          <w:iCs/>
        </w:rPr>
        <w:t>each ITU TELECOM event shall be financially viable and shall have no negative impact on the ITU Budget on the basis of the existing cost – allocation system as determined by the Council</w:t>
      </w:r>
      <w:r w:rsidRPr="00016D7C">
        <w:t>”.</w:t>
      </w:r>
    </w:p>
    <w:p w14:paraId="1DAB01DE" w14:textId="69EA78FB" w:rsidR="00021DC3" w:rsidRPr="00016D7C" w:rsidRDefault="00021DC3" w:rsidP="002A1714">
      <w:pPr>
        <w:pStyle w:val="testobase"/>
      </w:pPr>
      <w:r w:rsidRPr="00016D7C">
        <w:t xml:space="preserve">Concerning the ITU Telecom World organized in December 2014 in Doha, the result at 31 December 2014 was positive, equivalent to CHF 784,505.76 as shown in paragraph 19, whereas the positive result for the event held in 2013 in Bangkok was </w:t>
      </w:r>
      <w:r w:rsidR="0020744F" w:rsidRPr="00016D7C">
        <w:t>CHF</w:t>
      </w:r>
      <w:r w:rsidRPr="00016D7C">
        <w:t xml:space="preserve"> 1,854,884, and in 2012 in Dubai was CHF 637,946.26</w:t>
      </w:r>
      <w:r w:rsidR="0020744F" w:rsidRPr="00016D7C">
        <w:t>.</w:t>
      </w:r>
      <w:r w:rsidRPr="00016D7C">
        <w:t xml:space="preserve">  </w:t>
      </w:r>
    </w:p>
    <w:p w14:paraId="6B07A875" w14:textId="77777777" w:rsidR="00B7076B" w:rsidRPr="00016D7C" w:rsidRDefault="00B7076B" w:rsidP="00B7076B">
      <w:pPr>
        <w:pStyle w:val="testobase"/>
        <w:numPr>
          <w:ilvl w:val="0"/>
          <w:numId w:val="0"/>
        </w:numPr>
        <w:ind w:left="425"/>
      </w:pPr>
    </w:p>
    <w:p w14:paraId="44736575" w14:textId="77777777" w:rsidR="00021DC3" w:rsidRPr="00016D7C" w:rsidRDefault="00021DC3" w:rsidP="002A1714">
      <w:pPr>
        <w:pStyle w:val="Heading2"/>
      </w:pPr>
      <w:bookmarkStart w:id="12" w:name="_Toc417373378"/>
      <w:r w:rsidRPr="00016D7C">
        <w:t>Legal Framework and scope of the audit</w:t>
      </w:r>
      <w:bookmarkEnd w:id="12"/>
    </w:p>
    <w:p w14:paraId="1A08221B" w14:textId="77777777" w:rsidR="00021DC3" w:rsidRPr="00016D7C" w:rsidRDefault="00021DC3" w:rsidP="002A1714">
      <w:pPr>
        <w:pStyle w:val="testobase"/>
      </w:pPr>
      <w:r w:rsidRPr="00016D7C">
        <w:t xml:space="preserve">The rules applicable to world and regional telecommunication exhibitions and forums and similar events organized by the Union are set out in Article 19 of the ITU Financial Regulations and Financial Rules. Specific features are also identified in Resolution 11 (see above paragraph 4) and in the TELECOM Financial Rules and Procedures, which entered into force on 13 March 1998 and its updated version. </w:t>
      </w:r>
    </w:p>
    <w:p w14:paraId="45112F2A" w14:textId="63302952" w:rsidR="00021DC3" w:rsidRPr="00016D7C" w:rsidRDefault="00021DC3" w:rsidP="002A1714">
      <w:pPr>
        <w:pStyle w:val="testobase"/>
      </w:pPr>
      <w:r w:rsidRPr="00016D7C">
        <w:t xml:space="preserve">The Plenipotentiary Conference held in Busan 2014 confirmed almost entirely the text  of the Resolution 11 on ITU Telecom events adopted in Guadalajara in 2010.  While several issues of Guadalajara version of that Resolution have been carefully held present in this </w:t>
      </w:r>
      <w:r w:rsidR="0051546A">
        <w:t>a</w:t>
      </w:r>
      <w:r w:rsidRPr="00016D7C">
        <w:t>udit, exposing  our analysis, comments and rec</w:t>
      </w:r>
      <w:r w:rsidR="00EE122C" w:rsidRPr="00016D7C">
        <w:t>ommendations when appropriate,</w:t>
      </w:r>
      <w:r w:rsidRPr="00016D7C">
        <w:t xml:space="preserve"> we considered also some effect subsequent to the revision of Resolution 11 in Busan 2014. </w:t>
      </w:r>
      <w:r w:rsidR="00EE122C" w:rsidRPr="00016D7C">
        <w:t xml:space="preserve"> </w:t>
      </w:r>
    </w:p>
    <w:p w14:paraId="3F4B316E" w14:textId="77777777" w:rsidR="00021DC3" w:rsidRPr="00016D7C" w:rsidRDefault="00021DC3" w:rsidP="002A1714">
      <w:pPr>
        <w:pStyle w:val="testobase"/>
      </w:pPr>
      <w:r w:rsidRPr="00016D7C">
        <w:lastRenderedPageBreak/>
        <w:t>The audit described in this report is related to the accounts of the ITU Telecom World 2014, for the period from 1 January 2014 to 31 December 2014. These accounts reflect the expenses and revenue for this event and provide other additional information for the ITU Council. However they are not to be considered as financial statements drawn up under IPSAS, even though ITU has been applying the IPSAS standards since 1 January 2010. Only the consolidated financial statements of the Union, which are not subject of this audit, are drawn up under IPSAS.</w:t>
      </w:r>
    </w:p>
    <w:p w14:paraId="42B41444" w14:textId="4420298C" w:rsidR="00021DC3" w:rsidRPr="00016D7C" w:rsidRDefault="00021DC3" w:rsidP="002A1714">
      <w:pPr>
        <w:pStyle w:val="testobase"/>
      </w:pPr>
      <w:r w:rsidRPr="00016D7C">
        <w:t xml:space="preserve">The audited accounts are published in Annex </w:t>
      </w:r>
      <w:r w:rsidR="000A4224">
        <w:t>A</w:t>
      </w:r>
      <w:r w:rsidR="000A4224" w:rsidRPr="00016D7C">
        <w:t xml:space="preserve"> </w:t>
      </w:r>
      <w:r w:rsidRPr="00016D7C">
        <w:t>to Council 2015 document C15</w:t>
      </w:r>
      <w:r w:rsidR="000A4224" w:rsidRPr="00016D7C">
        <w:t>/</w:t>
      </w:r>
      <w:r w:rsidR="000A4224">
        <w:t>40</w:t>
      </w:r>
      <w:r w:rsidR="000A4224" w:rsidRPr="00016D7C">
        <w:t xml:space="preserve"> </w:t>
      </w:r>
      <w:r w:rsidRPr="00016D7C">
        <w:t xml:space="preserve">English language version. We did not review the other annexes to that document (Annexes </w:t>
      </w:r>
      <w:r w:rsidR="000A4224">
        <w:t>B, C,</w:t>
      </w:r>
      <w:r w:rsidR="00BD0B80">
        <w:t xml:space="preserve"> </w:t>
      </w:r>
      <w:r w:rsidR="000A4224">
        <w:t>D and E</w:t>
      </w:r>
      <w:r w:rsidR="000A4224" w:rsidRPr="00016D7C">
        <w:t xml:space="preserve">). </w:t>
      </w:r>
      <w:r w:rsidRPr="00016D7C">
        <w:t>As also stated above in paragraph 2, this audit report is not accompanied by an audit opinion. An audit opinion is only issued in respect of the consolidated financial statements of the Union.</w:t>
      </w:r>
    </w:p>
    <w:p w14:paraId="117A3D3D" w14:textId="77777777" w:rsidR="00021DC3" w:rsidRPr="00016D7C" w:rsidRDefault="00021DC3" w:rsidP="002A1714">
      <w:pPr>
        <w:pStyle w:val="Heading2"/>
      </w:pPr>
      <w:bookmarkStart w:id="13" w:name="_Toc417373379"/>
      <w:r w:rsidRPr="00016D7C">
        <w:t>Audit activities</w:t>
      </w:r>
      <w:bookmarkEnd w:id="13"/>
      <w:r w:rsidRPr="00016D7C">
        <w:t xml:space="preserve"> </w:t>
      </w:r>
    </w:p>
    <w:p w14:paraId="198BFA0B" w14:textId="7AE3471C" w:rsidR="00021DC3" w:rsidRPr="00016D7C" w:rsidRDefault="00021DC3" w:rsidP="004A0382">
      <w:pPr>
        <w:pStyle w:val="testobase"/>
      </w:pPr>
      <w:r w:rsidRPr="00016D7C">
        <w:t>Our audit was carried out in accordance with the</w:t>
      </w:r>
      <w:r w:rsidR="00081DF4">
        <w:t xml:space="preserve"> </w:t>
      </w:r>
      <w:r w:rsidR="00081DF4" w:rsidRPr="00016D7C">
        <w:t>Fundamental Principles of Auditing</w:t>
      </w:r>
      <w:r w:rsidR="00081DF4">
        <w:t xml:space="preserve"> </w:t>
      </w:r>
      <w:r w:rsidR="004A0382">
        <w:t>of</w:t>
      </w:r>
      <w:r w:rsidR="00081DF4" w:rsidRPr="00081DF4">
        <w:t xml:space="preserve"> International Standards of Supreme Audit Institutions </w:t>
      </w:r>
      <w:r w:rsidR="00081DF4">
        <w:t xml:space="preserve"> (ISSAI) </w:t>
      </w:r>
      <w:r w:rsidR="004A0382">
        <w:t>issued by</w:t>
      </w:r>
      <w:r w:rsidR="00081DF4">
        <w:t xml:space="preserve"> the</w:t>
      </w:r>
      <w:r w:rsidRPr="00016D7C">
        <w:t xml:space="preserve"> International Organization of Supreme Audit Institution (INTOSAI), and the additional terms of reference forming an integral part of the Union's Financial Regulations.</w:t>
      </w:r>
    </w:p>
    <w:p w14:paraId="2A044A45" w14:textId="77777777" w:rsidR="00021DC3" w:rsidRPr="00016D7C" w:rsidRDefault="00021DC3" w:rsidP="002A1714">
      <w:pPr>
        <w:pStyle w:val="testobase"/>
      </w:pPr>
      <w:r w:rsidRPr="00016D7C">
        <w:t>We have planned the working activities according to our audit strategy to obtain a reasonable assurance that there are no material misstatements.</w:t>
      </w:r>
    </w:p>
    <w:p w14:paraId="01A1FD7B" w14:textId="4D07F90C" w:rsidR="00021DC3" w:rsidRPr="00016D7C" w:rsidRDefault="00021DC3" w:rsidP="002A1714">
      <w:pPr>
        <w:pStyle w:val="testobase"/>
      </w:pPr>
      <w:r w:rsidRPr="00016D7C">
        <w:t xml:space="preserve">We verified that the ITU Telecom World 2014 profit and loss sheet as at 31 December 2014 corresponded with the accounts submitted to us, testing on a sample basis that the entries relating to the event had been correctly assigned. The audits </w:t>
      </w:r>
      <w:r w:rsidR="006126B3">
        <w:t xml:space="preserve">has </w:t>
      </w:r>
      <w:r w:rsidRPr="00016D7C">
        <w:t>covered book-keeping, revenues and expenses and recognition of the result.</w:t>
      </w:r>
    </w:p>
    <w:p w14:paraId="3E8604F1" w14:textId="77777777" w:rsidR="00021DC3" w:rsidRPr="00016D7C" w:rsidRDefault="00021DC3" w:rsidP="002A1714">
      <w:pPr>
        <w:pStyle w:val="testobase"/>
      </w:pPr>
      <w:r w:rsidRPr="00016D7C">
        <w:t xml:space="preserve">We discussed and clarified all the issues with the responsible officials during the audit; we have tested, on a sample basis, a number of transactions and relevant documentation and we have obtained sufficient and reliable evidence in relation to the ITU Telecom World 2014 accounts. </w:t>
      </w:r>
    </w:p>
    <w:p w14:paraId="3678604D" w14:textId="047319DC" w:rsidR="00021DC3" w:rsidRPr="00016D7C" w:rsidRDefault="00021DC3" w:rsidP="00BD0B80">
      <w:pPr>
        <w:pStyle w:val="testobase"/>
      </w:pPr>
      <w:r w:rsidRPr="00016D7C">
        <w:t xml:space="preserve">On </w:t>
      </w:r>
      <w:r w:rsidR="00F631A4" w:rsidRPr="00016D7C">
        <w:t>30 March</w:t>
      </w:r>
      <w:r w:rsidRPr="00016D7C">
        <w:t xml:space="preserve"> 2015, we presented our draft Audit Report to the Financial Resources Management Department and ITU Telecom Secretariat. The Report includes areas requiring improvement, as well as recommendations and suggestions to be brought to the Council’s attention, in accordance with Article 19 of the ITU Financial Regulations and Financial Rules.</w:t>
      </w:r>
      <w:r w:rsidR="0057121A">
        <w:t xml:space="preserve"> We received the Secretary-General comments on 28 </w:t>
      </w:r>
      <w:r w:rsidR="00BD0B80">
        <w:t>A</w:t>
      </w:r>
      <w:r w:rsidR="0057121A">
        <w:t>pril</w:t>
      </w:r>
      <w:r w:rsidR="00BD0B80">
        <w:t> </w:t>
      </w:r>
      <w:r w:rsidR="0057121A">
        <w:t>2015.</w:t>
      </w:r>
    </w:p>
    <w:p w14:paraId="43134B9B" w14:textId="77777777" w:rsidR="00021DC3" w:rsidRPr="00016D7C" w:rsidRDefault="00ED0EA4" w:rsidP="00EC7DE1">
      <w:pPr>
        <w:pStyle w:val="testobase"/>
      </w:pPr>
      <w:r w:rsidRPr="00016D7C">
        <w:lastRenderedPageBreak/>
        <w:t>We have been informed that n</w:t>
      </w:r>
      <w:r w:rsidR="00021DC3" w:rsidRPr="00016D7C">
        <w:t>o appeals or proceedings have been formally brought against the Union within the framework of ITU Telecom World 201</w:t>
      </w:r>
      <w:r w:rsidR="00EC7DE1" w:rsidRPr="00016D7C">
        <w:t>4</w:t>
      </w:r>
      <w:r w:rsidR="00021DC3" w:rsidRPr="00016D7C">
        <w:t>; no case of fraud or presumed fraud was reported to us.</w:t>
      </w:r>
    </w:p>
    <w:p w14:paraId="564846C9" w14:textId="77777777" w:rsidR="00021DC3" w:rsidRPr="00016D7C" w:rsidRDefault="00021DC3" w:rsidP="002A1714">
      <w:pPr>
        <w:pStyle w:val="Heading2"/>
      </w:pPr>
      <w:bookmarkStart w:id="14" w:name="_Toc417373380"/>
      <w:r w:rsidRPr="00016D7C">
        <w:t>Acknowledgements</w:t>
      </w:r>
      <w:bookmarkEnd w:id="14"/>
    </w:p>
    <w:p w14:paraId="2DD05FD1" w14:textId="77777777" w:rsidR="00021DC3" w:rsidRPr="00016D7C" w:rsidRDefault="00021DC3" w:rsidP="002A1714">
      <w:pPr>
        <w:pStyle w:val="testobase"/>
      </w:pPr>
      <w:r w:rsidRPr="00016D7C">
        <w:t>We would like to express our gratefulness to all the ITU Staff that openly collaborated with us and to whom we asked to supply information and documents.</w:t>
      </w:r>
    </w:p>
    <w:p w14:paraId="2DF8A3C0" w14:textId="77777777" w:rsidR="00021DC3" w:rsidRPr="00016D7C" w:rsidRDefault="002A1714" w:rsidP="001A435B">
      <w:pPr>
        <w:pStyle w:val="Heading1"/>
      </w:pPr>
      <w:bookmarkStart w:id="15" w:name="_Toc417373381"/>
      <w:r w:rsidRPr="00016D7C">
        <w:t>CHANGEOVER TO IPSAS</w:t>
      </w:r>
      <w:bookmarkEnd w:id="15"/>
    </w:p>
    <w:p w14:paraId="36AED9E3" w14:textId="7C2C01B8" w:rsidR="00021DC3" w:rsidRPr="00016D7C" w:rsidRDefault="00021DC3" w:rsidP="00B64893">
      <w:pPr>
        <w:pStyle w:val="testobase"/>
      </w:pPr>
      <w:r w:rsidRPr="00016D7C">
        <w:t>Following the shift to IPSAS, ITU Telecom World accounts are closed no later than the end of the financial year during which the event is held, in order to comply with the accrual principle. Thus, the accounts for ITU Telecom World 2014 were closed on 31 December 2014.</w:t>
      </w:r>
    </w:p>
    <w:p w14:paraId="6CE9AAD6" w14:textId="77777777" w:rsidR="00021DC3" w:rsidRPr="00016D7C" w:rsidRDefault="002A1714" w:rsidP="003938F7">
      <w:pPr>
        <w:pStyle w:val="Heading1"/>
      </w:pPr>
      <w:bookmarkStart w:id="16" w:name="_Toc417373382"/>
      <w:r w:rsidRPr="00016D7C">
        <w:t>KEY FIGURES</w:t>
      </w:r>
      <w:bookmarkEnd w:id="16"/>
      <w:r w:rsidRPr="00016D7C">
        <w:t xml:space="preserve"> </w:t>
      </w:r>
    </w:p>
    <w:p w14:paraId="5B4BB79F" w14:textId="22ADB0C7" w:rsidR="00021DC3" w:rsidRPr="00016D7C" w:rsidRDefault="00021DC3" w:rsidP="002A1714">
      <w:pPr>
        <w:pStyle w:val="testobase"/>
      </w:pPr>
      <w:r w:rsidRPr="00016D7C">
        <w:t xml:space="preserve">A table of the total budgeted </w:t>
      </w:r>
      <w:r w:rsidR="00B64893">
        <w:t xml:space="preserve">and actual </w:t>
      </w:r>
      <w:r w:rsidRPr="00016D7C">
        <w:t>expenses and revenue is given below:</w:t>
      </w:r>
    </w:p>
    <w:p w14:paraId="02D02D8D" w14:textId="77777777" w:rsidR="009F0A41" w:rsidRPr="00016D7C" w:rsidRDefault="009F0A41" w:rsidP="002A1714">
      <w:pPr>
        <w:keepNext/>
        <w:jc w:val="right"/>
        <w:rPr>
          <w:sz w:val="18"/>
          <w:szCs w:val="18"/>
        </w:rPr>
      </w:pPr>
    </w:p>
    <w:p w14:paraId="07702516" w14:textId="52B4FFFB" w:rsidR="003938F7" w:rsidRPr="00016D7C" w:rsidRDefault="00324428" w:rsidP="004E689D">
      <w:pPr>
        <w:jc w:val="center"/>
      </w:pPr>
      <w:bookmarkStart w:id="17" w:name="_GoBack"/>
      <w:r>
        <w:rPr>
          <w:noProof/>
          <w:lang w:eastAsia="zh-CN"/>
        </w:rPr>
        <w:drawing>
          <wp:inline distT="0" distB="0" distL="0" distR="0" wp14:anchorId="2549ABF4" wp14:editId="742F3945">
            <wp:extent cx="5676265" cy="18383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265" cy="1838325"/>
                    </a:xfrm>
                    <a:prstGeom prst="rect">
                      <a:avLst/>
                    </a:prstGeom>
                    <a:noFill/>
                  </pic:spPr>
                </pic:pic>
              </a:graphicData>
            </a:graphic>
          </wp:inline>
        </w:drawing>
      </w:r>
      <w:bookmarkEnd w:id="17"/>
    </w:p>
    <w:p w14:paraId="744B6C92" w14:textId="2F9BA439" w:rsidR="00EB474D" w:rsidRPr="00016D7C" w:rsidRDefault="00485A0D" w:rsidP="0011713D">
      <w:pPr>
        <w:pStyle w:val="testobase"/>
      </w:pPr>
      <w:r w:rsidRPr="00016D7C">
        <w:t>T</w:t>
      </w:r>
      <w:r w:rsidR="00F31CF5" w:rsidRPr="00016D7C">
        <w:t xml:space="preserve">he </w:t>
      </w:r>
      <w:r w:rsidRPr="00016D7C">
        <w:t xml:space="preserve">comparison of </w:t>
      </w:r>
      <w:r w:rsidR="00EB474D" w:rsidRPr="00016D7C">
        <w:t>net result</w:t>
      </w:r>
      <w:r w:rsidRPr="00016D7C">
        <w:t>s</w:t>
      </w:r>
      <w:r w:rsidR="00EB474D" w:rsidRPr="00016D7C">
        <w:t xml:space="preserve"> </w:t>
      </w:r>
      <w:r w:rsidR="00824B27" w:rsidRPr="00016D7C">
        <w:t>between</w:t>
      </w:r>
      <w:r w:rsidR="00EB474D" w:rsidRPr="00016D7C">
        <w:t xml:space="preserve"> the actual </w:t>
      </w:r>
      <w:r w:rsidRPr="00016D7C">
        <w:t xml:space="preserve">value </w:t>
      </w:r>
      <w:r w:rsidR="00EB474D" w:rsidRPr="00016D7C">
        <w:t xml:space="preserve">and </w:t>
      </w:r>
      <w:r w:rsidR="00824B27" w:rsidRPr="00016D7C">
        <w:t xml:space="preserve">the </w:t>
      </w:r>
      <w:r w:rsidR="00EB474D" w:rsidRPr="00016D7C">
        <w:t>revised budget show</w:t>
      </w:r>
      <w:r w:rsidRPr="00016D7C">
        <w:t>ed</w:t>
      </w:r>
      <w:r w:rsidR="00EB474D" w:rsidRPr="00016D7C">
        <w:t xml:space="preserve"> a significant variance, </w:t>
      </w:r>
      <w:r w:rsidRPr="00016D7C">
        <w:t>which is mainly due to some savings in direct expenditure. About ou</w:t>
      </w:r>
      <w:r w:rsidR="007C14C9" w:rsidRPr="00016D7C">
        <w:t>r</w:t>
      </w:r>
      <w:r w:rsidRPr="00016D7C">
        <w:t xml:space="preserve"> consideration on the need </w:t>
      </w:r>
      <w:r w:rsidR="0057121A">
        <w:t xml:space="preserve">for </w:t>
      </w:r>
      <w:r w:rsidRPr="00016D7C">
        <w:t xml:space="preserve">more </w:t>
      </w:r>
      <w:r w:rsidR="00EB474D" w:rsidRPr="00016D7C">
        <w:t xml:space="preserve">accuracy </w:t>
      </w:r>
      <w:r w:rsidR="00EC7DE1" w:rsidRPr="00016D7C">
        <w:t xml:space="preserve">in </w:t>
      </w:r>
      <w:r w:rsidRPr="00016D7C">
        <w:t>drafting t</w:t>
      </w:r>
      <w:r w:rsidR="00EC7DE1" w:rsidRPr="00016D7C">
        <w:t>he budget</w:t>
      </w:r>
      <w:r w:rsidRPr="00016D7C">
        <w:t xml:space="preserve">, please refers to paragraph </w:t>
      </w:r>
      <w:r w:rsidR="0011713D" w:rsidRPr="00016D7C">
        <w:t>29</w:t>
      </w:r>
      <w:r w:rsidRPr="00016D7C">
        <w:t xml:space="preserve"> </w:t>
      </w:r>
    </w:p>
    <w:p w14:paraId="1FD68F36" w14:textId="77777777" w:rsidR="00B7076B" w:rsidRPr="00016D7C" w:rsidRDefault="00B7076B" w:rsidP="00B7076B">
      <w:pPr>
        <w:pStyle w:val="testobase"/>
        <w:numPr>
          <w:ilvl w:val="0"/>
          <w:numId w:val="0"/>
        </w:numPr>
        <w:ind w:left="425"/>
      </w:pPr>
    </w:p>
    <w:p w14:paraId="0C911AFD" w14:textId="77777777" w:rsidR="00021DC3" w:rsidRPr="00016D7C" w:rsidRDefault="00D85FA2" w:rsidP="004E689D">
      <w:pPr>
        <w:pStyle w:val="Heading2"/>
      </w:pPr>
      <w:bookmarkStart w:id="18" w:name="_Toc417373383"/>
      <w:r w:rsidRPr="00016D7C">
        <w:t>Exhibition</w:t>
      </w:r>
      <w:r w:rsidR="00021DC3" w:rsidRPr="00016D7C">
        <w:t xml:space="preserve"> Working Capital Fund</w:t>
      </w:r>
      <w:bookmarkEnd w:id="18"/>
    </w:p>
    <w:p w14:paraId="35C50D24" w14:textId="7C6391CA" w:rsidR="00D27C2A" w:rsidRPr="00016D7C" w:rsidRDefault="00D27C2A" w:rsidP="00141AF2">
      <w:pPr>
        <w:pStyle w:val="testobase"/>
      </w:pPr>
      <w:r w:rsidRPr="00016D7C">
        <w:t>As stipulated in Article 19 par. 4 of the ITU Financial Regulations, any surplus income</w:t>
      </w:r>
      <w:r w:rsidR="000C15CD" w:rsidRPr="00016D7C">
        <w:t xml:space="preserve"> </w:t>
      </w:r>
      <w:r w:rsidR="00141AF2" w:rsidRPr="00016D7C">
        <w:t xml:space="preserve"> </w:t>
      </w:r>
      <w:r w:rsidRPr="00016D7C">
        <w:t xml:space="preserve"> or excess expenditures resulting from world or regional exhibitions shall be transferred to an </w:t>
      </w:r>
      <w:r w:rsidR="003144BC" w:rsidRPr="00016D7C">
        <w:t>Exhibition Working Capital Fund</w:t>
      </w:r>
      <w:r w:rsidR="00B64893">
        <w:t xml:space="preserve"> (EWCF)</w:t>
      </w:r>
      <w:r w:rsidR="003144BC" w:rsidRPr="00016D7C">
        <w:t>.</w:t>
      </w:r>
      <w:r w:rsidRPr="00016D7C">
        <w:t xml:space="preserve"> </w:t>
      </w:r>
    </w:p>
    <w:p w14:paraId="6395DE84" w14:textId="461DD002" w:rsidR="003144BC" w:rsidRPr="00016D7C" w:rsidRDefault="003144BC" w:rsidP="007C14C9">
      <w:pPr>
        <w:pStyle w:val="testobase"/>
      </w:pPr>
      <w:r w:rsidRPr="00016D7C">
        <w:lastRenderedPageBreak/>
        <w:t>The positive outcome of ITU Telecom World 2014 resulted in an improved balance of the Exhibition Working Capital Fund. Also considering the withdrawal for ICT</w:t>
      </w:r>
      <w:r w:rsidR="00B64893">
        <w:t xml:space="preserve"> </w:t>
      </w:r>
      <w:r w:rsidRPr="00016D7C">
        <w:t>D</w:t>
      </w:r>
      <w:r w:rsidR="00B64893">
        <w:t xml:space="preserve">evelopment </w:t>
      </w:r>
      <w:r w:rsidRPr="00016D7C">
        <w:t>F</w:t>
      </w:r>
      <w:r w:rsidR="00B64893">
        <w:t>und</w:t>
      </w:r>
      <w:r w:rsidRPr="00016D7C">
        <w:t xml:space="preserve"> of 2 MUSD (1.820.018,2 CHF) in August 2014, the level of EWCF remains </w:t>
      </w:r>
      <w:r w:rsidR="009F3D4C" w:rsidRPr="00016D7C">
        <w:t>slightly und</w:t>
      </w:r>
      <w:r w:rsidRPr="00016D7C">
        <w:t>er</w:t>
      </w:r>
      <w:r w:rsidR="0057121A">
        <w:t xml:space="preserve"> </w:t>
      </w:r>
      <w:r w:rsidRPr="00016D7C">
        <w:t>9 MCHF</w:t>
      </w:r>
      <w:r w:rsidR="00BC3FDA" w:rsidRPr="00016D7C">
        <w:t xml:space="preserve"> as at 31 December 2014</w:t>
      </w:r>
      <w:r w:rsidRPr="00016D7C">
        <w:t>.</w:t>
      </w:r>
    </w:p>
    <w:p w14:paraId="07864FE3" w14:textId="77777777" w:rsidR="001B45DC" w:rsidRPr="00016D7C" w:rsidRDefault="001B45DC" w:rsidP="001B45DC">
      <w:pPr>
        <w:pStyle w:val="testobase"/>
        <w:numPr>
          <w:ilvl w:val="0"/>
          <w:numId w:val="0"/>
        </w:numPr>
        <w:ind w:left="425"/>
      </w:pPr>
    </w:p>
    <w:p w14:paraId="46B37A73" w14:textId="00C1BA77" w:rsidR="00D27C2A" w:rsidRPr="00016D7C" w:rsidRDefault="00D27C2A" w:rsidP="002956FD">
      <w:pPr>
        <w:pStyle w:val="testobase"/>
      </w:pPr>
      <w:r w:rsidRPr="00016D7C">
        <w:t xml:space="preserve">The series </w:t>
      </w:r>
      <w:r w:rsidR="0057121A">
        <w:t xml:space="preserve">of EWCF at 31 december </w:t>
      </w:r>
      <w:r w:rsidRPr="00016D7C">
        <w:t xml:space="preserve">for last 6 years is shown here below. </w:t>
      </w:r>
    </w:p>
    <w:p w14:paraId="6E6D7673" w14:textId="77777777" w:rsidR="009D0992" w:rsidRPr="00016D7C" w:rsidRDefault="009D0992" w:rsidP="002956FD">
      <w:pPr>
        <w:keepNext/>
        <w:ind w:left="6946"/>
        <w:rPr>
          <w:sz w:val="18"/>
          <w:szCs w:val="18"/>
        </w:rPr>
      </w:pPr>
      <w:r w:rsidRPr="00016D7C">
        <w:rPr>
          <w:sz w:val="18"/>
          <w:szCs w:val="18"/>
        </w:rPr>
        <w:t>(MCHF)</w:t>
      </w:r>
      <w:r w:rsidR="00BC3FDA" w:rsidRPr="00016D7C">
        <w:rPr>
          <w:sz w:val="18"/>
          <w:szCs w:val="18"/>
        </w:rPr>
        <w:t xml:space="preserve"> </w:t>
      </w:r>
    </w:p>
    <w:p w14:paraId="78661076" w14:textId="5184C0D7" w:rsidR="00D27C2A" w:rsidRPr="00016D7C" w:rsidRDefault="00F0532B" w:rsidP="009D0992">
      <w:pPr>
        <w:ind w:left="567"/>
      </w:pPr>
      <w:r>
        <w:rPr>
          <w:noProof/>
          <w:lang w:eastAsia="zh-CN"/>
        </w:rPr>
        <w:drawing>
          <wp:inline distT="0" distB="0" distL="0" distR="0" wp14:anchorId="49237492" wp14:editId="37FF203E">
            <wp:extent cx="4645660" cy="18167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5660" cy="1816735"/>
                    </a:xfrm>
                    <a:prstGeom prst="rect">
                      <a:avLst/>
                    </a:prstGeom>
                    <a:noFill/>
                  </pic:spPr>
                </pic:pic>
              </a:graphicData>
            </a:graphic>
          </wp:inline>
        </w:drawing>
      </w:r>
    </w:p>
    <w:p w14:paraId="7E927447" w14:textId="77777777" w:rsidR="00D27C2A" w:rsidRPr="00016D7C" w:rsidRDefault="003A52FE" w:rsidP="00D27C2A">
      <w:pPr>
        <w:ind w:left="568"/>
      </w:pPr>
      <w:r w:rsidRPr="00016D7C">
        <w:rPr>
          <w:noProof/>
          <w:lang w:eastAsia="zh-CN"/>
        </w:rPr>
        <w:drawing>
          <wp:inline distT="0" distB="0" distL="0" distR="0" wp14:anchorId="444D281D" wp14:editId="5F08C551">
            <wp:extent cx="4561114" cy="2287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514" cy="229875"/>
                    </a:xfrm>
                    <a:prstGeom prst="rect">
                      <a:avLst/>
                    </a:prstGeom>
                    <a:noFill/>
                  </pic:spPr>
                </pic:pic>
              </a:graphicData>
            </a:graphic>
          </wp:inline>
        </w:drawing>
      </w:r>
    </w:p>
    <w:p w14:paraId="5383B9E8" w14:textId="77777777" w:rsidR="0020744F" w:rsidRPr="00016D7C" w:rsidRDefault="0020744F" w:rsidP="00D27C2A">
      <w:pPr>
        <w:ind w:left="568"/>
      </w:pPr>
    </w:p>
    <w:p w14:paraId="7F7FEBB1" w14:textId="77777777" w:rsidR="00D27C2A" w:rsidRPr="00016D7C" w:rsidRDefault="00D27C2A" w:rsidP="002956FD">
      <w:pPr>
        <w:pStyle w:val="Heading2"/>
      </w:pPr>
      <w:bookmarkStart w:id="19" w:name="_Toc417373384"/>
      <w:r w:rsidRPr="00016D7C">
        <w:t>Relevant changes, bud</w:t>
      </w:r>
      <w:r w:rsidR="003A52FE" w:rsidRPr="00016D7C">
        <w:t>get revision and actual results.</w:t>
      </w:r>
      <w:bookmarkEnd w:id="19"/>
    </w:p>
    <w:p w14:paraId="6981F383" w14:textId="21F5A356" w:rsidR="00D27C2A" w:rsidRPr="00016D7C" w:rsidRDefault="00D27C2A" w:rsidP="0020744F">
      <w:pPr>
        <w:pStyle w:val="testobase"/>
      </w:pPr>
      <w:r w:rsidRPr="00016D7C">
        <w:t xml:space="preserve">Article 1, Part X, of the TELECOM Handbook of Financial Rules and Procedures states that “the Budgets for each Telecom exhibition, forum or other event shall be prepared, approved and signed by the Secretary-General not later than six months before the opening date of that event”.  </w:t>
      </w:r>
      <w:r w:rsidR="006126B3" w:rsidRPr="00016D7C">
        <w:t>The budget for ITU Telecom World 2014, was approved on 9 June 2014.</w:t>
      </w:r>
    </w:p>
    <w:p w14:paraId="3967DF80" w14:textId="3F4AE1A9" w:rsidR="00D27C2A" w:rsidRPr="00016D7C" w:rsidRDefault="00D27C2A" w:rsidP="002956FD">
      <w:pPr>
        <w:pStyle w:val="testobase"/>
      </w:pPr>
      <w:r w:rsidRPr="00016D7C">
        <w:t xml:space="preserve">According to Article 4, Part X, of the TELECOM Handbook of Financial Rules and Procedures “Budgets shall be revised as and when significant changes are foreseen not later </w:t>
      </w:r>
      <w:r w:rsidR="002956FD" w:rsidRPr="00016D7C">
        <w:t>than one</w:t>
      </w:r>
      <w:r w:rsidRPr="00016D7C">
        <w:t xml:space="preserve"> month before the opening of the event”.</w:t>
      </w:r>
    </w:p>
    <w:p w14:paraId="60F61574" w14:textId="77777777" w:rsidR="00DB39F6" w:rsidRPr="00016D7C" w:rsidRDefault="00D27C2A" w:rsidP="002956FD">
      <w:pPr>
        <w:pStyle w:val="testobase"/>
      </w:pPr>
      <w:r w:rsidRPr="00016D7C">
        <w:t>A revised budget was approved on 31 October 2014 due to the significant variations in estimations of revenues and expenses in the initial budget. At that date, the Host Country Agreement was not yet signed.</w:t>
      </w:r>
    </w:p>
    <w:p w14:paraId="5BA1E8D1" w14:textId="6C1E8964" w:rsidR="00D27C2A" w:rsidRPr="00016D7C" w:rsidRDefault="00D27C2A" w:rsidP="002956FD">
      <w:pPr>
        <w:pStyle w:val="testobase"/>
      </w:pPr>
      <w:r w:rsidRPr="00016D7C">
        <w:t xml:space="preserve">As a consequence of </w:t>
      </w:r>
      <w:r w:rsidR="00051D75" w:rsidRPr="00016D7C">
        <w:t>revisions</w:t>
      </w:r>
      <w:r w:rsidRPr="00016D7C">
        <w:t xml:space="preserve"> in the</w:t>
      </w:r>
      <w:r w:rsidR="00051D75" w:rsidRPr="00016D7C">
        <w:t xml:space="preserve"> draft</w:t>
      </w:r>
      <w:r w:rsidRPr="00016D7C">
        <w:t xml:space="preserve"> agreement, many variations </w:t>
      </w:r>
      <w:r w:rsidR="006F5F45" w:rsidRPr="00016D7C">
        <w:t>happened</w:t>
      </w:r>
      <w:r w:rsidRPr="00016D7C">
        <w:t>. Th</w:t>
      </w:r>
      <w:r w:rsidR="00B64893">
        <w:t>e</w:t>
      </w:r>
      <w:r w:rsidRPr="00016D7C">
        <w:t xml:space="preserve"> comparison of the budget with actual cost is a fundamen</w:t>
      </w:r>
      <w:r w:rsidR="00721BC2" w:rsidRPr="00016D7C">
        <w:t xml:space="preserve">tal tool </w:t>
      </w:r>
      <w:r w:rsidRPr="00016D7C">
        <w:t xml:space="preserve">for orienting policies and for a clear accountability </w:t>
      </w:r>
      <w:r w:rsidR="00721BC2" w:rsidRPr="00016D7C">
        <w:t>and</w:t>
      </w:r>
      <w:r w:rsidRPr="00016D7C">
        <w:t xml:space="preserve"> for helping the Secretary General in fulfilling his duties, as we recommended in our previous reports. </w:t>
      </w:r>
    </w:p>
    <w:p w14:paraId="6D6D866B" w14:textId="77777777" w:rsidR="00D27C2A" w:rsidRPr="00016D7C" w:rsidRDefault="00D27C2A" w:rsidP="002956FD">
      <w:pPr>
        <w:pStyle w:val="testobase"/>
      </w:pPr>
      <w:bookmarkStart w:id="20" w:name="_Ref415674516"/>
      <w:r w:rsidRPr="00016D7C">
        <w:lastRenderedPageBreak/>
        <w:t xml:space="preserve">As shown above, </w:t>
      </w:r>
      <w:r w:rsidR="00721BC2" w:rsidRPr="00016D7C">
        <w:t xml:space="preserve">meanwhile </w:t>
      </w:r>
      <w:r w:rsidRPr="00016D7C">
        <w:t xml:space="preserve">a </w:t>
      </w:r>
      <w:r w:rsidR="008542FA" w:rsidRPr="00016D7C">
        <w:t>-20.</w:t>
      </w:r>
      <w:r w:rsidR="001D2262" w:rsidRPr="00016D7C">
        <w:t>6</w:t>
      </w:r>
      <w:r w:rsidR="008542FA" w:rsidRPr="00016D7C">
        <w:t>%</w:t>
      </w:r>
      <w:r w:rsidR="001D2262" w:rsidRPr="00016D7C">
        <w:t xml:space="preserve"> variance of actual revenue</w:t>
      </w:r>
      <w:r w:rsidR="008542FA" w:rsidRPr="00016D7C">
        <w:t xml:space="preserve"> from originally budgeted revenue was recorded, the variance in revised budget was only 0.7%</w:t>
      </w:r>
      <w:r w:rsidR="00CA7C25" w:rsidRPr="00016D7C">
        <w:t>.</w:t>
      </w:r>
      <w:r w:rsidR="00721BC2" w:rsidRPr="00016D7C">
        <w:t xml:space="preserve"> </w:t>
      </w:r>
      <w:r w:rsidR="00CA7C25" w:rsidRPr="00016D7C">
        <w:t>In the previous event the variance in revenues was respectively -4</w:t>
      </w:r>
      <w:r w:rsidR="00284554" w:rsidRPr="00016D7C">
        <w:t>%</w:t>
      </w:r>
      <w:r w:rsidR="00CA7C25" w:rsidRPr="00016D7C">
        <w:t xml:space="preserve"> and 9%</w:t>
      </w:r>
      <w:r w:rsidR="00284554" w:rsidRPr="00016D7C">
        <w:t>.</w:t>
      </w:r>
      <w:r w:rsidR="00CA7C25" w:rsidRPr="00016D7C">
        <w:t xml:space="preserve"> </w:t>
      </w:r>
      <w:r w:rsidR="00721BC2" w:rsidRPr="00016D7C">
        <w:t xml:space="preserve">This is </w:t>
      </w:r>
      <w:r w:rsidRPr="00016D7C">
        <w:t>an important improvement, that we acknowledge</w:t>
      </w:r>
      <w:r w:rsidR="00721BC2" w:rsidRPr="00016D7C">
        <w:t>,</w:t>
      </w:r>
      <w:r w:rsidRPr="00016D7C">
        <w:t xml:space="preserve"> and </w:t>
      </w:r>
      <w:r w:rsidR="00721BC2" w:rsidRPr="00016D7C">
        <w:t>this increased accuracy</w:t>
      </w:r>
      <w:r w:rsidRPr="00016D7C">
        <w:t xml:space="preserve"> respond</w:t>
      </w:r>
      <w:r w:rsidR="00721BC2" w:rsidRPr="00016D7C">
        <w:t>s</w:t>
      </w:r>
      <w:r w:rsidRPr="00016D7C">
        <w:t xml:space="preserve"> </w:t>
      </w:r>
      <w:r w:rsidR="00284554" w:rsidRPr="00016D7C">
        <w:t xml:space="preserve">partially </w:t>
      </w:r>
      <w:r w:rsidRPr="00016D7C">
        <w:t>to our Recommendation 1 in last year report</w:t>
      </w:r>
      <w:r w:rsidR="00721BC2" w:rsidRPr="00016D7C">
        <w:t xml:space="preserve"> (see ANNEX 1 – Follow-up Table)</w:t>
      </w:r>
      <w:r w:rsidR="008542FA" w:rsidRPr="00016D7C">
        <w:t>.</w:t>
      </w:r>
      <w:bookmarkEnd w:id="20"/>
    </w:p>
    <w:p w14:paraId="1DCAB7AD" w14:textId="6A89A86D" w:rsidR="008542FA" w:rsidRPr="00016D7C" w:rsidRDefault="007C14C9" w:rsidP="007C14C9">
      <w:pPr>
        <w:pStyle w:val="testobase"/>
      </w:pPr>
      <w:r w:rsidRPr="00016D7C">
        <w:t xml:space="preserve">The </w:t>
      </w:r>
      <w:r w:rsidR="00284554" w:rsidRPr="00016D7C">
        <w:t>variance of -</w:t>
      </w:r>
      <w:r w:rsidR="008542FA" w:rsidRPr="00016D7C">
        <w:t xml:space="preserve">23,9% </w:t>
      </w:r>
      <w:r w:rsidR="004652ED" w:rsidRPr="00016D7C">
        <w:t>between</w:t>
      </w:r>
      <w:r w:rsidR="008542FA" w:rsidRPr="00016D7C">
        <w:t xml:space="preserve"> actual expenses </w:t>
      </w:r>
      <w:r w:rsidR="004652ED" w:rsidRPr="00016D7C">
        <w:t>and the</w:t>
      </w:r>
      <w:r w:rsidR="008542FA" w:rsidRPr="00016D7C">
        <w:t xml:space="preserve"> original</w:t>
      </w:r>
      <w:r w:rsidR="00CA7C25" w:rsidRPr="00016D7C">
        <w:t xml:space="preserve"> budget</w:t>
      </w:r>
      <w:r w:rsidR="0057121A">
        <w:t>ed ones</w:t>
      </w:r>
      <w:r w:rsidR="00CA7C25" w:rsidRPr="00016D7C">
        <w:t xml:space="preserve"> and</w:t>
      </w:r>
      <w:r w:rsidR="00284554" w:rsidRPr="00016D7C">
        <w:t xml:space="preserve"> of -7,3</w:t>
      </w:r>
      <w:r w:rsidR="004652ED" w:rsidRPr="00016D7C">
        <w:t>%</w:t>
      </w:r>
      <w:r w:rsidR="00284554" w:rsidRPr="00016D7C">
        <w:t xml:space="preserve"> </w:t>
      </w:r>
      <w:r w:rsidR="004652ED" w:rsidRPr="00016D7C">
        <w:t>between actual expenses and the</w:t>
      </w:r>
      <w:r w:rsidR="008542FA" w:rsidRPr="00016D7C">
        <w:t xml:space="preserve"> revised budget </w:t>
      </w:r>
      <w:r w:rsidR="004652ED" w:rsidRPr="00016D7C">
        <w:t>were</w:t>
      </w:r>
      <w:r w:rsidR="008542FA" w:rsidRPr="00016D7C">
        <w:t xml:space="preserve"> </w:t>
      </w:r>
      <w:r w:rsidR="00284554" w:rsidRPr="00016D7C">
        <w:t xml:space="preserve">recorded. In the previous event the variance in expenses </w:t>
      </w:r>
      <w:r w:rsidR="004652ED" w:rsidRPr="00016D7C">
        <w:t>between the actuals and the budget</w:t>
      </w:r>
      <w:r w:rsidR="0057121A">
        <w:t>ed ones</w:t>
      </w:r>
      <w:r w:rsidR="004652ED" w:rsidRPr="00016D7C">
        <w:t>, and the actuals and the revised budget were</w:t>
      </w:r>
      <w:r w:rsidR="00284554" w:rsidRPr="00016D7C">
        <w:t>-16 and -2%</w:t>
      </w:r>
      <w:r w:rsidR="004652ED" w:rsidRPr="00016D7C">
        <w:t>, respectively</w:t>
      </w:r>
      <w:r w:rsidR="00284554" w:rsidRPr="00016D7C">
        <w:t xml:space="preserve">. </w:t>
      </w:r>
      <w:r w:rsidR="00CA7C25" w:rsidRPr="00016D7C">
        <w:t>Th</w:t>
      </w:r>
      <w:r w:rsidR="00141AF2" w:rsidRPr="00016D7C">
        <w:t>e</w:t>
      </w:r>
      <w:r w:rsidR="00CA7C25" w:rsidRPr="00016D7C">
        <w:t>s</w:t>
      </w:r>
      <w:r w:rsidR="00141AF2" w:rsidRPr="00016D7C">
        <w:t>e</w:t>
      </w:r>
      <w:r w:rsidR="00CA7C25" w:rsidRPr="00016D7C">
        <w:t xml:space="preserve"> </w:t>
      </w:r>
      <w:r w:rsidR="00154F1E" w:rsidRPr="00016D7C">
        <w:t>difference</w:t>
      </w:r>
      <w:r w:rsidR="00141AF2" w:rsidRPr="00016D7C">
        <w:t xml:space="preserve">s </w:t>
      </w:r>
      <w:r w:rsidR="00284554" w:rsidRPr="00016D7C">
        <w:t>will be considered in the follow up of the</w:t>
      </w:r>
      <w:r w:rsidR="00CA7C25" w:rsidRPr="00016D7C">
        <w:t xml:space="preserve"> above</w:t>
      </w:r>
      <w:r w:rsidR="004652ED" w:rsidRPr="00016D7C">
        <w:t>-</w:t>
      </w:r>
      <w:r w:rsidR="00CA7C25" w:rsidRPr="00016D7C">
        <w:t xml:space="preserve">mentioned </w:t>
      </w:r>
      <w:r w:rsidR="00896685" w:rsidRPr="00016D7C">
        <w:t>R</w:t>
      </w:r>
      <w:r w:rsidR="00CA7C25" w:rsidRPr="00016D7C">
        <w:t>ecommendation.</w:t>
      </w:r>
    </w:p>
    <w:p w14:paraId="04F5249E" w14:textId="77777777" w:rsidR="00D27C2A" w:rsidRPr="00016D7C" w:rsidRDefault="00154F1E" w:rsidP="00154F1E">
      <w:pPr>
        <w:pStyle w:val="Heading2"/>
      </w:pPr>
      <w:bookmarkStart w:id="21" w:name="_Toc417373385"/>
      <w:r w:rsidRPr="00016D7C">
        <w:t>A</w:t>
      </w:r>
      <w:r w:rsidR="00D27C2A" w:rsidRPr="00016D7C">
        <w:t xml:space="preserve">ctual </w:t>
      </w:r>
      <w:r w:rsidRPr="00016D7C">
        <w:t>figure</w:t>
      </w:r>
      <w:r w:rsidR="00D27C2A" w:rsidRPr="00016D7C">
        <w:t>s in revised budget</w:t>
      </w:r>
      <w:r w:rsidR="00077C35" w:rsidRPr="00016D7C">
        <w:t>.</w:t>
      </w:r>
      <w:bookmarkEnd w:id="21"/>
    </w:p>
    <w:p w14:paraId="4B8A80CA" w14:textId="77777777" w:rsidR="009D56A4" w:rsidRPr="00016D7C" w:rsidRDefault="009D56A4" w:rsidP="002956FD">
      <w:pPr>
        <w:pStyle w:val="testobase"/>
      </w:pPr>
      <w:r w:rsidRPr="00016D7C">
        <w:t>The copy of the revised budget produced by the Budget and Financial Analysis Division contains, as handwritten notes supported by SAP documentation, the actual figures, available at the date of its preparation, jointly with the budgeted ones. This good practice responds to what we suggested in our last year report (Suggestion no.1 2013, see ANNEX 1), where</w:t>
      </w:r>
      <w:r w:rsidR="00051D75" w:rsidRPr="00016D7C">
        <w:t>in</w:t>
      </w:r>
      <w:r w:rsidRPr="00016D7C">
        <w:t xml:space="preserve"> we mentioned that when the need of a revised budget occurs, it is preferred to indicated the actual figures at the date of budget revision.</w:t>
      </w:r>
    </w:p>
    <w:p w14:paraId="1B7B927D" w14:textId="3E0F5B67" w:rsidR="00243BE2" w:rsidRPr="00016D7C" w:rsidRDefault="009D56A4" w:rsidP="00B64893">
      <w:pPr>
        <w:pStyle w:val="testobase"/>
      </w:pPr>
      <w:r w:rsidRPr="00016D7C">
        <w:t xml:space="preserve">For some revenues, we noted that </w:t>
      </w:r>
      <w:r w:rsidR="008A66E5" w:rsidRPr="00016D7C">
        <w:t>in revised budget</w:t>
      </w:r>
      <w:r w:rsidR="00D53C17" w:rsidRPr="00016D7C">
        <w:t xml:space="preserve"> </w:t>
      </w:r>
      <w:r w:rsidRPr="00016D7C">
        <w:t xml:space="preserve">a higher amount was reported as “actual” at </w:t>
      </w:r>
      <w:r w:rsidR="00BE09A3" w:rsidRPr="00016D7C">
        <w:t>a certain</w:t>
      </w:r>
      <w:r w:rsidRPr="00016D7C">
        <w:t xml:space="preserve"> date, </w:t>
      </w:r>
      <w:r w:rsidR="00BE09A3" w:rsidRPr="00016D7C">
        <w:t>meanwhile</w:t>
      </w:r>
      <w:r w:rsidRPr="00016D7C">
        <w:t xml:space="preserve"> a lower amount was budget</w:t>
      </w:r>
      <w:r w:rsidR="008A66E5" w:rsidRPr="00016D7C">
        <w:t>ed</w:t>
      </w:r>
      <w:r w:rsidRPr="00016D7C">
        <w:t xml:space="preserve">. This is because the actual figures were directly obtained from SAP, based on </w:t>
      </w:r>
      <w:r w:rsidR="00207CAE" w:rsidRPr="00016D7C">
        <w:t>a</w:t>
      </w:r>
      <w:r w:rsidR="00243BE2" w:rsidRPr="00016D7C">
        <w:t>n</w:t>
      </w:r>
      <w:r w:rsidRPr="00016D7C">
        <w:t xml:space="preserve"> </w:t>
      </w:r>
      <w:r w:rsidR="00207CAE" w:rsidRPr="00016D7C">
        <w:t>invoice</w:t>
      </w:r>
      <w:r w:rsidR="00BE09A3" w:rsidRPr="00016D7C">
        <w:t xml:space="preserve"> that </w:t>
      </w:r>
      <w:r w:rsidR="00D775CD" w:rsidRPr="00016D7C">
        <w:t>was later superseded as referred to in paragraph 32 below</w:t>
      </w:r>
      <w:r w:rsidR="00BE09A3" w:rsidRPr="00016D7C">
        <w:t>.</w:t>
      </w:r>
    </w:p>
    <w:p w14:paraId="38659AC2" w14:textId="7B171F60" w:rsidR="00077C35" w:rsidRPr="00016D7C" w:rsidRDefault="00077C35" w:rsidP="009631F1">
      <w:pPr>
        <w:pStyle w:val="Heading3"/>
      </w:pPr>
      <w:bookmarkStart w:id="22" w:name="_Toc417373386"/>
      <w:r w:rsidRPr="00016D7C">
        <w:t xml:space="preserve">Issuance of invoices before signing a </w:t>
      </w:r>
      <w:r w:rsidR="009631F1" w:rsidRPr="00016D7C">
        <w:t>Sponsorship</w:t>
      </w:r>
      <w:r w:rsidRPr="00016D7C">
        <w:t xml:space="preserve"> Agreement.</w:t>
      </w:r>
      <w:bookmarkEnd w:id="22"/>
    </w:p>
    <w:p w14:paraId="2CEED686" w14:textId="411B9AEA" w:rsidR="009D56A4" w:rsidRPr="00016D7C" w:rsidRDefault="00077C35" w:rsidP="004B62C2">
      <w:pPr>
        <w:pStyle w:val="testobase"/>
      </w:pPr>
      <w:r w:rsidRPr="00016D7C">
        <w:t xml:space="preserve">We acquired an </w:t>
      </w:r>
      <w:r w:rsidR="009D56A4" w:rsidRPr="00016D7C">
        <w:t xml:space="preserve">invoice </w:t>
      </w:r>
      <w:r w:rsidRPr="00016D7C">
        <w:t>dated</w:t>
      </w:r>
      <w:r w:rsidR="009D56A4" w:rsidRPr="00016D7C">
        <w:t xml:space="preserve"> 8 October 2014 no. 6100014670, issued for a receipt of CHF 1,345,000</w:t>
      </w:r>
      <w:r w:rsidR="003C6052" w:rsidRPr="00016D7C">
        <w:t xml:space="preserve"> from the Organizing </w:t>
      </w:r>
      <w:r w:rsidR="00E2720E" w:rsidRPr="00016D7C">
        <w:t>A</w:t>
      </w:r>
      <w:r w:rsidR="003C6052" w:rsidRPr="00016D7C">
        <w:t>gent as Sponsorship</w:t>
      </w:r>
      <w:r w:rsidR="009D56A4" w:rsidRPr="00016D7C">
        <w:t xml:space="preserve">, whereas the revised budget </w:t>
      </w:r>
      <w:r w:rsidRPr="00016D7C">
        <w:t xml:space="preserve">and the actual figures </w:t>
      </w:r>
      <w:r w:rsidR="009D56A4" w:rsidRPr="00016D7C">
        <w:t xml:space="preserve">consider that in the meanwhile the Host Country </w:t>
      </w:r>
      <w:r w:rsidR="00314B5E" w:rsidRPr="00016D7C">
        <w:t>negotiat</w:t>
      </w:r>
      <w:r w:rsidR="009D56A4" w:rsidRPr="00016D7C">
        <w:t>ed to give a l</w:t>
      </w:r>
      <w:r w:rsidRPr="00016D7C">
        <w:t>esser amount, for CHF 1,171,000</w:t>
      </w:r>
      <w:r w:rsidR="009D56A4" w:rsidRPr="00016D7C">
        <w:t xml:space="preserve">, as eventually invoiced on 9 December 2014 (no. 6100015479, that </w:t>
      </w:r>
      <w:r w:rsidR="004B62C2" w:rsidRPr="00016D7C">
        <w:t xml:space="preserve">superseded </w:t>
      </w:r>
      <w:r w:rsidR="009D56A4" w:rsidRPr="00016D7C">
        <w:t>the previous invoice).</w:t>
      </w:r>
    </w:p>
    <w:p w14:paraId="61A8A88C" w14:textId="77777777" w:rsidR="00E2720E" w:rsidRPr="00016D7C" w:rsidRDefault="009D56A4" w:rsidP="004F3C7C">
      <w:pPr>
        <w:pStyle w:val="testobase"/>
      </w:pPr>
      <w:r w:rsidRPr="00016D7C">
        <w:t>We observe that the first invoice for the</w:t>
      </w:r>
      <w:r w:rsidR="00E2720E" w:rsidRPr="00016D7C">
        <w:t xml:space="preserve"> Organizing Agent</w:t>
      </w:r>
      <w:r w:rsidRPr="00016D7C">
        <w:t xml:space="preserve">, with a higher amount, was issued before the signature of the </w:t>
      </w:r>
      <w:r w:rsidR="003C6052" w:rsidRPr="00016D7C">
        <w:t xml:space="preserve">Sponsorship </w:t>
      </w:r>
      <w:r w:rsidRPr="00016D7C">
        <w:t xml:space="preserve">Agreement. </w:t>
      </w:r>
    </w:p>
    <w:p w14:paraId="1E56E2D8" w14:textId="5B12D235" w:rsidR="002956FD" w:rsidRPr="00016D7C" w:rsidRDefault="00036CFA" w:rsidP="00241C4D">
      <w:pPr>
        <w:pStyle w:val="titolorecesug"/>
      </w:pPr>
      <w:r w:rsidRPr="00016D7C">
        <w:t>Suggestion n</w:t>
      </w:r>
      <w:r w:rsidR="00241C4D" w:rsidRPr="00016D7C">
        <w:t>o</w:t>
      </w:r>
      <w:r w:rsidRPr="00016D7C">
        <w:t>. </w:t>
      </w:r>
      <w:r w:rsidR="00241C4D" w:rsidRPr="00016D7C">
        <w:t>1</w:t>
      </w:r>
    </w:p>
    <w:p w14:paraId="06494619" w14:textId="2BD6988C" w:rsidR="009D56A4" w:rsidRPr="00016D7C" w:rsidRDefault="00077C35" w:rsidP="00240391">
      <w:pPr>
        <w:pStyle w:val="recesugg"/>
      </w:pPr>
      <w:r w:rsidRPr="00016D7C">
        <w:t>W</w:t>
      </w:r>
      <w:r w:rsidR="00B8265F" w:rsidRPr="00016D7C">
        <w:t xml:space="preserve">e </w:t>
      </w:r>
      <w:r w:rsidR="00B8265F" w:rsidRPr="00016D7C">
        <w:rPr>
          <w:b/>
          <w:bCs/>
        </w:rPr>
        <w:t>suggest</w:t>
      </w:r>
      <w:r w:rsidR="00B8265F" w:rsidRPr="00016D7C">
        <w:t xml:space="preserve"> </w:t>
      </w:r>
      <w:r w:rsidR="002D1903" w:rsidRPr="00016D7C">
        <w:t xml:space="preserve">Management </w:t>
      </w:r>
      <w:r w:rsidR="00B8265F" w:rsidRPr="00016D7C">
        <w:t>to avoid issuing</w:t>
      </w:r>
      <w:r w:rsidR="009D56A4" w:rsidRPr="00016D7C">
        <w:t xml:space="preserve"> invoices for </w:t>
      </w:r>
      <w:r w:rsidR="00E2720E" w:rsidRPr="00016D7C">
        <w:t>Sponsorship</w:t>
      </w:r>
      <w:r w:rsidR="009631F1" w:rsidRPr="00016D7C">
        <w:t>s</w:t>
      </w:r>
      <w:r w:rsidR="00E2720E" w:rsidRPr="00016D7C">
        <w:t xml:space="preserve"> </w:t>
      </w:r>
      <w:r w:rsidR="00943814" w:rsidRPr="00016D7C">
        <w:t>before</w:t>
      </w:r>
      <w:r w:rsidR="009D56A4" w:rsidRPr="00016D7C">
        <w:t xml:space="preserve"> the signature of </w:t>
      </w:r>
      <w:r w:rsidR="00B8265F" w:rsidRPr="00016D7C">
        <w:t xml:space="preserve">the </w:t>
      </w:r>
      <w:r w:rsidR="009631F1" w:rsidRPr="00016D7C">
        <w:t xml:space="preserve">Sponsorship </w:t>
      </w:r>
      <w:r w:rsidR="009D56A4" w:rsidRPr="00016D7C">
        <w:t>Agreement</w:t>
      </w:r>
      <w:r w:rsidR="00B8265F" w:rsidRPr="00016D7C">
        <w:t>.</w:t>
      </w:r>
    </w:p>
    <w:p w14:paraId="1739CF46" w14:textId="77777777" w:rsidR="00240391" w:rsidRPr="00016D7C" w:rsidRDefault="00240391" w:rsidP="00240391"/>
    <w:p w14:paraId="1FD17BBC" w14:textId="77777777" w:rsidR="00240391" w:rsidRPr="00016D7C" w:rsidRDefault="00240391" w:rsidP="001D43C4">
      <w:pPr>
        <w:pStyle w:val="titcomments"/>
      </w:pPr>
      <w:r w:rsidRPr="00016D7C">
        <w:lastRenderedPageBreak/>
        <w:t>Comment by the Secretary-General</w:t>
      </w:r>
    </w:p>
    <w:p w14:paraId="0761798E" w14:textId="50A9977A" w:rsidR="007042E8" w:rsidRPr="00016D7C" w:rsidRDefault="007042E8" w:rsidP="000E3504">
      <w:pPr>
        <w:pStyle w:val="titcomments"/>
        <w:rPr>
          <w:b w:val="0"/>
          <w:bCs w:val="0"/>
          <w:u w:val="none"/>
        </w:rPr>
      </w:pPr>
      <w:r w:rsidRPr="00016D7C">
        <w:rPr>
          <w:b w:val="0"/>
          <w:bCs w:val="0"/>
          <w:u w:val="none"/>
        </w:rPr>
        <w:t xml:space="preserve">Invoices for sponsorships are normally issued only after the signature of sponsorship agreements.  In this particular case, the invoice has been specifically requested by the sponsor (Organizing Agent) </w:t>
      </w:r>
      <w:r w:rsidR="000E3504" w:rsidRPr="00016D7C">
        <w:rPr>
          <w:b w:val="0"/>
          <w:bCs w:val="0"/>
          <w:u w:val="none"/>
        </w:rPr>
        <w:t>who later</w:t>
      </w:r>
      <w:r w:rsidRPr="00016D7C">
        <w:rPr>
          <w:b w:val="0"/>
          <w:bCs w:val="0"/>
          <w:u w:val="none"/>
        </w:rPr>
        <w:t xml:space="preserve"> renegotiated the sponsorship fee.  The re</w:t>
      </w:r>
      <w:r w:rsidR="000E3504" w:rsidRPr="00016D7C">
        <w:rPr>
          <w:b w:val="0"/>
          <w:bCs w:val="0"/>
          <w:u w:val="none"/>
        </w:rPr>
        <w:t>vised</w:t>
      </w:r>
      <w:r w:rsidRPr="00016D7C">
        <w:rPr>
          <w:b w:val="0"/>
          <w:bCs w:val="0"/>
          <w:u w:val="none"/>
        </w:rPr>
        <w:t xml:space="preserve"> </w:t>
      </w:r>
      <w:r w:rsidR="000E3504" w:rsidRPr="00016D7C">
        <w:rPr>
          <w:b w:val="0"/>
          <w:bCs w:val="0"/>
          <w:u w:val="none"/>
        </w:rPr>
        <w:t xml:space="preserve">amount of </w:t>
      </w:r>
      <w:r w:rsidRPr="00016D7C">
        <w:rPr>
          <w:b w:val="0"/>
          <w:bCs w:val="0"/>
          <w:u w:val="none"/>
        </w:rPr>
        <w:t xml:space="preserve">sponsorship was paid by the sponsor even without their signing the sponsorship agreement.  Nevertheless, </w:t>
      </w:r>
      <w:r w:rsidR="000E3504" w:rsidRPr="00016D7C">
        <w:rPr>
          <w:b w:val="0"/>
          <w:bCs w:val="0"/>
          <w:u w:val="none"/>
        </w:rPr>
        <w:t>efforts shall be made to ensure that invoices are sent only after the signature of sponsorship agreements.</w:t>
      </w:r>
    </w:p>
    <w:p w14:paraId="6345290C" w14:textId="77777777" w:rsidR="000F0A5F" w:rsidRPr="00016D7C" w:rsidRDefault="000F0A5F" w:rsidP="00481DC4">
      <w:pPr>
        <w:pStyle w:val="Heading3"/>
      </w:pPr>
      <w:bookmarkStart w:id="23" w:name="_Toc417373387"/>
      <w:r w:rsidRPr="00016D7C">
        <w:t>Reporting on the event linking results, general objectives of Resolution 11 with KPIs</w:t>
      </w:r>
      <w:bookmarkEnd w:id="23"/>
    </w:p>
    <w:p w14:paraId="6F449264" w14:textId="77777777" w:rsidR="000F0A5F" w:rsidRPr="00016D7C" w:rsidRDefault="000F0A5F" w:rsidP="0077229E">
      <w:pPr>
        <w:pStyle w:val="testobase"/>
      </w:pPr>
      <w:r w:rsidRPr="00016D7C">
        <w:t>The Resolution 11 (Rev. Guadalajara, 2010) resolves 2) states “that the Secretary-General is fully accountable for ITU Telecom World activities (including planning, organization and finance)”.</w:t>
      </w:r>
    </w:p>
    <w:p w14:paraId="34B0E8C9" w14:textId="77777777" w:rsidR="000F0A5F" w:rsidRPr="00016D7C" w:rsidRDefault="000F0A5F" w:rsidP="0077229E">
      <w:pPr>
        <w:pStyle w:val="testobase"/>
      </w:pPr>
      <w:r w:rsidRPr="00016D7C">
        <w:t xml:space="preserve">We have analyzed the various parts of the process and, at the reporting stage, we have evaluated relevant reports which provide to the Secretary-General </w:t>
      </w:r>
      <w:r w:rsidR="0077229E" w:rsidRPr="00016D7C">
        <w:t>feedback of</w:t>
      </w:r>
      <w:r w:rsidRPr="00016D7C">
        <w:t xml:space="preserve"> the results</w:t>
      </w:r>
      <w:r w:rsidR="00491D88" w:rsidRPr="00016D7C">
        <w:t>, with</w:t>
      </w:r>
      <w:r w:rsidRPr="00016D7C">
        <w:t xml:space="preserve"> </w:t>
      </w:r>
      <w:r w:rsidR="00491D88" w:rsidRPr="00016D7C">
        <w:t xml:space="preserve">links and confrontations between KPIs and results, in the frame of the general objectives as stated in Resolution 11, </w:t>
      </w:r>
      <w:r w:rsidRPr="00016D7C">
        <w:t>and cost-effectiveness of the event.</w:t>
      </w:r>
    </w:p>
    <w:p w14:paraId="01DF3493" w14:textId="77777777" w:rsidR="000F0A5F" w:rsidRPr="00016D7C" w:rsidRDefault="000F0A5F" w:rsidP="0077229E">
      <w:pPr>
        <w:pStyle w:val="testobase"/>
      </w:pPr>
      <w:r w:rsidRPr="00016D7C">
        <w:t xml:space="preserve">We </w:t>
      </w:r>
      <w:r w:rsidR="00491D88" w:rsidRPr="00016D7C">
        <w:t xml:space="preserve">acquired the “Event Analysis” </w:t>
      </w:r>
      <w:r w:rsidRPr="00016D7C">
        <w:t>that</w:t>
      </w:r>
      <w:r w:rsidR="00491D88" w:rsidRPr="00016D7C">
        <w:t xml:space="preserve"> has</w:t>
      </w:r>
      <w:r w:rsidR="00B21C1A" w:rsidRPr="00016D7C">
        <w:t xml:space="preserve"> been </w:t>
      </w:r>
      <w:r w:rsidRPr="00016D7C">
        <w:t xml:space="preserve">carried out </w:t>
      </w:r>
      <w:r w:rsidR="00491D88" w:rsidRPr="00016D7C">
        <w:t xml:space="preserve">using internal resources </w:t>
      </w:r>
      <w:r w:rsidRPr="00016D7C">
        <w:t xml:space="preserve">and </w:t>
      </w:r>
      <w:r w:rsidR="00B21C1A" w:rsidRPr="00016D7C">
        <w:t xml:space="preserve">duly </w:t>
      </w:r>
      <w:r w:rsidRPr="00016D7C">
        <w:t>presented</w:t>
      </w:r>
      <w:r w:rsidR="00491D88" w:rsidRPr="00016D7C">
        <w:t xml:space="preserve"> and explained to us</w:t>
      </w:r>
      <w:r w:rsidR="00781708" w:rsidRPr="00016D7C">
        <w:t xml:space="preserve"> on 10 March 2015</w:t>
      </w:r>
      <w:r w:rsidRPr="00016D7C">
        <w:t>.</w:t>
      </w:r>
    </w:p>
    <w:p w14:paraId="5CDDF263" w14:textId="4F5C5237" w:rsidR="00EA59DB" w:rsidRPr="00016D7C" w:rsidRDefault="000F0A5F" w:rsidP="008A36F2">
      <w:pPr>
        <w:pStyle w:val="testobase"/>
      </w:pPr>
      <w:r w:rsidRPr="00016D7C">
        <w:t xml:space="preserve">We </w:t>
      </w:r>
      <w:r w:rsidR="009C5DCE" w:rsidRPr="00016D7C">
        <w:t xml:space="preserve">further </w:t>
      </w:r>
      <w:r w:rsidRPr="00016D7C">
        <w:t>a</w:t>
      </w:r>
      <w:r w:rsidR="00F631A4" w:rsidRPr="00016D7C">
        <w:t>c</w:t>
      </w:r>
      <w:r w:rsidRPr="00016D7C">
        <w:t>knowledge th</w:t>
      </w:r>
      <w:r w:rsidR="009C5DCE" w:rsidRPr="00016D7C">
        <w:t>at th</w:t>
      </w:r>
      <w:r w:rsidRPr="00016D7C">
        <w:t xml:space="preserve">e </w:t>
      </w:r>
      <w:r w:rsidR="009C5DCE" w:rsidRPr="00016D7C">
        <w:t>difficulty in obtaining data was due to issues relating to developing the registration system for the first time using SAP CRM system, and that development of the system is ongoing to address this for the next event.</w:t>
      </w:r>
    </w:p>
    <w:p w14:paraId="23CAF0A8" w14:textId="77777777" w:rsidR="008A36F2" w:rsidRPr="00016D7C" w:rsidRDefault="008A36F2" w:rsidP="008A36F2">
      <w:pPr>
        <w:pStyle w:val="testobase"/>
        <w:numPr>
          <w:ilvl w:val="0"/>
          <w:numId w:val="0"/>
        </w:numPr>
      </w:pPr>
    </w:p>
    <w:p w14:paraId="49A8B620" w14:textId="77777777" w:rsidR="00D27C2A" w:rsidRPr="00016D7C" w:rsidRDefault="002747DD" w:rsidP="00C85383">
      <w:pPr>
        <w:pStyle w:val="Heading2"/>
      </w:pPr>
      <w:bookmarkStart w:id="24" w:name="_Toc417373388"/>
      <w:r w:rsidRPr="00016D7C">
        <w:t xml:space="preserve">A timely </w:t>
      </w:r>
      <w:r w:rsidR="00C85383" w:rsidRPr="00016D7C">
        <w:t>signature</w:t>
      </w:r>
      <w:r w:rsidRPr="00016D7C">
        <w:t xml:space="preserve"> of </w:t>
      </w:r>
      <w:r w:rsidR="00D27C2A" w:rsidRPr="00016D7C">
        <w:t>Host Country Agreement</w:t>
      </w:r>
      <w:r w:rsidR="003A24B8" w:rsidRPr="00016D7C">
        <w:t xml:space="preserve"> </w:t>
      </w:r>
      <w:r w:rsidRPr="00016D7C">
        <w:t>is needed</w:t>
      </w:r>
      <w:r w:rsidR="009F2A07" w:rsidRPr="00016D7C">
        <w:t>.</w:t>
      </w:r>
      <w:bookmarkEnd w:id="24"/>
    </w:p>
    <w:p w14:paraId="685FD49F" w14:textId="77777777" w:rsidR="00D27C2A" w:rsidRPr="00016D7C" w:rsidRDefault="003A24B8" w:rsidP="00EA59DB">
      <w:pPr>
        <w:pStyle w:val="testobase"/>
      </w:pPr>
      <w:r w:rsidRPr="00016D7C">
        <w:t>The Host Country Agreement is one of the main documents necessary for drawing up an accurate and realistic budget. We already suggested that a timely signature of the Host Country Agreement will help in reducing deviations</w:t>
      </w:r>
      <w:r w:rsidR="002313C2" w:rsidRPr="00016D7C">
        <w:t xml:space="preserve"> (</w:t>
      </w:r>
      <w:r w:rsidR="002313C2" w:rsidRPr="00016D7C">
        <w:rPr>
          <w:i/>
        </w:rPr>
        <w:t>suggestion</w:t>
      </w:r>
      <w:r w:rsidR="002313C2" w:rsidRPr="00016D7C">
        <w:t xml:space="preserve"> no. 1/2012)</w:t>
      </w:r>
      <w:r w:rsidRPr="00016D7C">
        <w:t xml:space="preserve">. Our observations for the actual situation in 2014 event on this specific point, </w:t>
      </w:r>
      <w:r w:rsidR="002313C2" w:rsidRPr="00016D7C">
        <w:t xml:space="preserve">are </w:t>
      </w:r>
      <w:r w:rsidRPr="00016D7C">
        <w:t>exposed in paragraph 4</w:t>
      </w:r>
      <w:r w:rsidR="00E07268" w:rsidRPr="00016D7C">
        <w:t>3</w:t>
      </w:r>
      <w:r w:rsidRPr="00016D7C">
        <w:t>.</w:t>
      </w:r>
    </w:p>
    <w:p w14:paraId="3F6CC049" w14:textId="77777777" w:rsidR="00BF320B" w:rsidRPr="00016D7C" w:rsidRDefault="00BF320B" w:rsidP="00EA59DB">
      <w:pPr>
        <w:pStyle w:val="Heading2"/>
      </w:pPr>
      <w:bookmarkStart w:id="25" w:name="_Toc417373389"/>
      <w:r w:rsidRPr="00016D7C">
        <w:t>Bidding process</w:t>
      </w:r>
      <w:bookmarkEnd w:id="25"/>
    </w:p>
    <w:p w14:paraId="4A199945" w14:textId="77777777" w:rsidR="00BF320B" w:rsidRPr="00016D7C" w:rsidRDefault="00BF320B" w:rsidP="00EA59DB">
      <w:pPr>
        <w:pStyle w:val="testobase"/>
      </w:pPr>
      <w:r w:rsidRPr="00016D7C">
        <w:t xml:space="preserve">Resolution 11 (Rev. Guadalajara, 2010) </w:t>
      </w:r>
      <w:r w:rsidRPr="00016D7C">
        <w:rPr>
          <w:i/>
          <w:iCs/>
        </w:rPr>
        <w:t>resolves 5</w:t>
      </w:r>
      <w:r w:rsidRPr="00016D7C">
        <w:t xml:space="preserve"> declares that “the Union, in its venue selection process for ITU Telecom events, shall ensure: 5.1 an open and transparent bidding process, based on the model host-country agreement (…) with objective criteria – including financial viability; (…)”.</w:t>
      </w:r>
    </w:p>
    <w:p w14:paraId="5319C35B" w14:textId="6E325748" w:rsidR="00BF320B" w:rsidRPr="00016D7C" w:rsidRDefault="00BF320B" w:rsidP="009118B8">
      <w:pPr>
        <w:pStyle w:val="testobase"/>
      </w:pPr>
      <w:r w:rsidRPr="00016D7C">
        <w:lastRenderedPageBreak/>
        <w:t xml:space="preserve">Circular letters to invite every ITU Member State to be candidate and to submit offers applying for hosting the annual event have been duly sent, </w:t>
      </w:r>
      <w:r w:rsidR="002313C2" w:rsidRPr="00016D7C">
        <w:t>however</w:t>
      </w:r>
      <w:r w:rsidRPr="00016D7C">
        <w:t xml:space="preserve"> </w:t>
      </w:r>
      <w:r w:rsidR="002313C2" w:rsidRPr="00016D7C">
        <w:t xml:space="preserve">only a </w:t>
      </w:r>
      <w:r w:rsidRPr="00016D7C">
        <w:t xml:space="preserve">limited number of Member States would be interested in hosting the event and would be capable to sustain the financial burden; </w:t>
      </w:r>
      <w:r w:rsidR="002313C2" w:rsidRPr="00016D7C">
        <w:t>moreover</w:t>
      </w:r>
      <w:r w:rsidRPr="00016D7C">
        <w:t xml:space="preserve">, we acknowledge that a correct, open and standardized bidding process is in place, </w:t>
      </w:r>
      <w:r w:rsidR="002313C2" w:rsidRPr="00016D7C">
        <w:t xml:space="preserve">and the reason why </w:t>
      </w:r>
      <w:r w:rsidRPr="00016D7C">
        <w:t>there are few candidates</w:t>
      </w:r>
      <w:r w:rsidR="002313C2" w:rsidRPr="00016D7C">
        <w:t xml:space="preserve"> might be caused by</w:t>
      </w:r>
      <w:r w:rsidRPr="00016D7C">
        <w:t xml:space="preserve"> the not yet concluded </w:t>
      </w:r>
      <w:r w:rsidR="009118B8" w:rsidRPr="00016D7C">
        <w:t>financial</w:t>
      </w:r>
      <w:r w:rsidRPr="00016D7C">
        <w:t xml:space="preserve"> crisis and the strong competition with other private organizations of similar events.</w:t>
      </w:r>
    </w:p>
    <w:p w14:paraId="1E686B5A" w14:textId="77777777" w:rsidR="00B51359" w:rsidRPr="00016D7C" w:rsidRDefault="00BF320B" w:rsidP="00EA59DB">
      <w:pPr>
        <w:pStyle w:val="testobase"/>
      </w:pPr>
      <w:r w:rsidRPr="00016D7C">
        <w:t>In our last year report, in the aim of making Event affordable for more aspiring Host Coun</w:t>
      </w:r>
      <w:r w:rsidR="0076529F" w:rsidRPr="00016D7C">
        <w:t>tries, we suggested (</w:t>
      </w:r>
      <w:r w:rsidR="0076529F" w:rsidRPr="00016D7C">
        <w:rPr>
          <w:i/>
        </w:rPr>
        <w:t>suggestion</w:t>
      </w:r>
      <w:r w:rsidR="0076529F" w:rsidRPr="00016D7C">
        <w:t xml:space="preserve"> n</w:t>
      </w:r>
      <w:r w:rsidRPr="00016D7C">
        <w:t>o. 7</w:t>
      </w:r>
      <w:r w:rsidR="002313C2" w:rsidRPr="00016D7C">
        <w:t>/2013, see ANNEX 1</w:t>
      </w:r>
      <w:r w:rsidRPr="00016D7C">
        <w:t>) to study scenarios for aspiring Host Countries to get fully leverage from investment they could make for hosting ITU Telecom World event, for a better compliance with Resolution 11 (Guadalajara 2010).</w:t>
      </w:r>
    </w:p>
    <w:p w14:paraId="26EB27C0" w14:textId="38A879DD" w:rsidR="00BF320B" w:rsidRPr="00016D7C" w:rsidRDefault="00BF320B" w:rsidP="007042E8">
      <w:pPr>
        <w:pStyle w:val="testobase"/>
      </w:pPr>
      <w:r w:rsidRPr="00016D7C">
        <w:t>We consider that one of the few drive</w:t>
      </w:r>
      <w:r w:rsidR="009F2A07" w:rsidRPr="00016D7C">
        <w:t>r</w:t>
      </w:r>
      <w:r w:rsidRPr="00016D7C">
        <w:t>s is the reduc</w:t>
      </w:r>
      <w:r w:rsidR="0047545A" w:rsidRPr="00016D7C">
        <w:t>tion</w:t>
      </w:r>
      <w:r w:rsidRPr="00016D7C">
        <w:t xml:space="preserve"> of the fixed amount of core expenses cost recovery. </w:t>
      </w:r>
      <w:r w:rsidR="00D7510D" w:rsidRPr="00016D7C">
        <w:t xml:space="preserve">However, </w:t>
      </w:r>
      <w:r w:rsidRPr="00016D7C">
        <w:t xml:space="preserve">this </w:t>
      </w:r>
      <w:r w:rsidR="00D7510D" w:rsidRPr="00016D7C">
        <w:t>will be possible with a clear basis on the calculation of the cost recovery as referred to in</w:t>
      </w:r>
      <w:r w:rsidRPr="00016D7C">
        <w:t xml:space="preserve"> recommendation no. 3 of our report</w:t>
      </w:r>
      <w:r w:rsidR="0079631A" w:rsidRPr="00016D7C">
        <w:t xml:space="preserve"> of last year</w:t>
      </w:r>
      <w:r w:rsidR="00BE09A3" w:rsidRPr="00016D7C">
        <w:t xml:space="preserve"> (see also par</w:t>
      </w:r>
      <w:r w:rsidR="00D7510D" w:rsidRPr="00016D7C">
        <w:t>agraphs</w:t>
      </w:r>
      <w:r w:rsidR="00BE09A3" w:rsidRPr="00016D7C">
        <w:t>.</w:t>
      </w:r>
      <w:r w:rsidR="004F3C7C" w:rsidRPr="00016D7C">
        <w:t xml:space="preserve"> </w:t>
      </w:r>
      <w:r w:rsidR="004F3C7C" w:rsidRPr="00016D7C">
        <w:fldChar w:fldCharType="begin"/>
      </w:r>
      <w:r w:rsidR="004F3C7C" w:rsidRPr="00016D7C">
        <w:instrText xml:space="preserve"> REF _Ref416442001 \r \h </w:instrText>
      </w:r>
      <w:r w:rsidR="00B7076B" w:rsidRPr="00016D7C">
        <w:instrText xml:space="preserve"> \* MERGEFORMAT </w:instrText>
      </w:r>
      <w:r w:rsidR="004F3C7C" w:rsidRPr="00016D7C">
        <w:fldChar w:fldCharType="separate"/>
      </w:r>
      <w:r w:rsidR="00277016">
        <w:rPr>
          <w:cs/>
        </w:rPr>
        <w:t>‎</w:t>
      </w:r>
      <w:r w:rsidR="00277016">
        <w:t>59</w:t>
      </w:r>
      <w:r w:rsidR="004F3C7C" w:rsidRPr="00016D7C">
        <w:fldChar w:fldCharType="end"/>
      </w:r>
      <w:r w:rsidR="00D7510D" w:rsidRPr="00016D7C">
        <w:t xml:space="preserve"> and 6</w:t>
      </w:r>
      <w:r w:rsidR="00310162" w:rsidRPr="00016D7C">
        <w:t>0</w:t>
      </w:r>
      <w:r w:rsidR="00BE09A3" w:rsidRPr="00016D7C">
        <w:t>).</w:t>
      </w:r>
    </w:p>
    <w:p w14:paraId="2660B23D" w14:textId="77777777" w:rsidR="000F0A5F" w:rsidRPr="00016D7C" w:rsidRDefault="00B648DC" w:rsidP="00481DC4">
      <w:pPr>
        <w:pStyle w:val="Heading3"/>
      </w:pPr>
      <w:bookmarkStart w:id="26" w:name="_Toc417373390"/>
      <w:r w:rsidRPr="00016D7C">
        <w:t>Parties</w:t>
      </w:r>
      <w:r w:rsidR="000F0A5F" w:rsidRPr="00016D7C">
        <w:t xml:space="preserve"> </w:t>
      </w:r>
      <w:r w:rsidRPr="00016D7C">
        <w:t>in</w:t>
      </w:r>
      <w:r w:rsidR="000F0A5F" w:rsidRPr="00016D7C">
        <w:t xml:space="preserve"> Host Country Agreement</w:t>
      </w:r>
      <w:bookmarkEnd w:id="26"/>
    </w:p>
    <w:p w14:paraId="66A29E8E" w14:textId="219A6A7B" w:rsidR="00B51359" w:rsidRPr="00016D7C" w:rsidRDefault="009F2A07" w:rsidP="00BE09A3">
      <w:pPr>
        <w:pStyle w:val="testobase"/>
      </w:pPr>
      <w:r w:rsidRPr="00016D7C">
        <w:t>We take</w:t>
      </w:r>
      <w:r w:rsidR="0076529F" w:rsidRPr="00016D7C">
        <w:t xml:space="preserve"> </w:t>
      </w:r>
      <w:r w:rsidR="0057121A">
        <w:t xml:space="preserve">note </w:t>
      </w:r>
      <w:r w:rsidR="0076529F" w:rsidRPr="00016D7C">
        <w:t xml:space="preserve">that at </w:t>
      </w:r>
      <w:r w:rsidR="0076529F" w:rsidRPr="00016D7C">
        <w:rPr>
          <w:i/>
        </w:rPr>
        <w:t>instruct the S.G. no. 8</w:t>
      </w:r>
      <w:r w:rsidR="0076529F" w:rsidRPr="00016D7C">
        <w:t xml:space="preserve"> of Resolution 11 (Busan 2014) he is</w:t>
      </w:r>
      <w:r w:rsidR="000F0A5F" w:rsidRPr="00016D7C">
        <w:t xml:space="preserve"> </w:t>
      </w:r>
      <w:r w:rsidR="0076529F" w:rsidRPr="00016D7C">
        <w:t xml:space="preserve">requested </w:t>
      </w:r>
      <w:r w:rsidR="000F0A5F" w:rsidRPr="00016D7C">
        <w:t xml:space="preserve">to revise the model host-country agreement and use all the means possible to get it approved by the Council as soon as possible, with the said model host-country agreement to include clauses that allow the Union and the </w:t>
      </w:r>
      <w:r w:rsidR="001D34EF" w:rsidRPr="00016D7C">
        <w:t>Host C</w:t>
      </w:r>
      <w:r w:rsidR="000F0A5F" w:rsidRPr="00016D7C">
        <w:t>ountry to make changes deemed necessary as a result of force majeure or other performance criteria</w:t>
      </w:r>
      <w:r w:rsidR="00BE09A3" w:rsidRPr="00016D7C">
        <w:t>.</w:t>
      </w:r>
    </w:p>
    <w:p w14:paraId="07A9A9F8" w14:textId="77777777" w:rsidR="000E202B" w:rsidRPr="00016D7C" w:rsidRDefault="000F0A5F" w:rsidP="004F3C7C">
      <w:pPr>
        <w:pStyle w:val="testobase"/>
      </w:pPr>
      <w:r w:rsidRPr="00016D7C">
        <w:t xml:space="preserve">On this basis, we </w:t>
      </w:r>
      <w:r w:rsidR="0091030B" w:rsidRPr="00016D7C">
        <w:t>observ</w:t>
      </w:r>
      <w:r w:rsidR="00457357" w:rsidRPr="00016D7C">
        <w:t xml:space="preserve">ed that two major </w:t>
      </w:r>
      <w:r w:rsidR="009605E1" w:rsidRPr="00016D7C">
        <w:t>aspects</w:t>
      </w:r>
      <w:r w:rsidRPr="00016D7C">
        <w:t xml:space="preserve"> affected the signing of the Hos</w:t>
      </w:r>
      <w:r w:rsidR="0091030B" w:rsidRPr="00016D7C">
        <w:t xml:space="preserve">t Country Agreement for </w:t>
      </w:r>
      <w:r w:rsidR="005C6674" w:rsidRPr="00016D7C">
        <w:t>WT</w:t>
      </w:r>
      <w:r w:rsidR="0091030B" w:rsidRPr="00016D7C">
        <w:t xml:space="preserve"> 2014: 1)</w:t>
      </w:r>
      <w:r w:rsidRPr="00016D7C">
        <w:t xml:space="preserve"> the very late date of the signature</w:t>
      </w:r>
      <w:r w:rsidR="00823D06" w:rsidRPr="00016D7C">
        <w:t xml:space="preserve"> (1</w:t>
      </w:r>
      <w:r w:rsidR="00823D06" w:rsidRPr="00016D7C">
        <w:rPr>
          <w:vertAlign w:val="superscript"/>
        </w:rPr>
        <w:t>st</w:t>
      </w:r>
      <w:r w:rsidR="00823D06" w:rsidRPr="00016D7C">
        <w:t xml:space="preserve"> of December 2014)</w:t>
      </w:r>
      <w:r w:rsidRPr="00016D7C">
        <w:t>, that caused uncertainty about some o</w:t>
      </w:r>
      <w:r w:rsidR="005C6674" w:rsidRPr="00016D7C">
        <w:t xml:space="preserve">f the conditions until the start </w:t>
      </w:r>
      <w:r w:rsidRPr="00016D7C">
        <w:t>of the event</w:t>
      </w:r>
      <w:r w:rsidR="0091030B" w:rsidRPr="00016D7C">
        <w:t xml:space="preserve">; 2) </w:t>
      </w:r>
      <w:r w:rsidRPr="00016D7C">
        <w:t xml:space="preserve">the </w:t>
      </w:r>
      <w:r w:rsidR="0091030B" w:rsidRPr="00016D7C">
        <w:t>prevalent role</w:t>
      </w:r>
      <w:r w:rsidR="001B2E82" w:rsidRPr="00016D7C">
        <w:t>, formally as “Organizing Agent”,</w:t>
      </w:r>
      <w:r w:rsidRPr="00016D7C">
        <w:t xml:space="preserve"> that one of the sponsor</w:t>
      </w:r>
      <w:r w:rsidR="00F631A4" w:rsidRPr="00016D7C">
        <w:t>s</w:t>
      </w:r>
      <w:r w:rsidRPr="00016D7C">
        <w:t xml:space="preserve"> assumed in the process of defining the agreement, so that the H</w:t>
      </w:r>
      <w:r w:rsidR="0091030B" w:rsidRPr="00016D7C">
        <w:t xml:space="preserve">ost </w:t>
      </w:r>
      <w:r w:rsidRPr="00016D7C">
        <w:t>C</w:t>
      </w:r>
      <w:r w:rsidR="0091030B" w:rsidRPr="00016D7C">
        <w:t>ountry</w:t>
      </w:r>
      <w:r w:rsidRPr="00016D7C">
        <w:t xml:space="preserve"> </w:t>
      </w:r>
      <w:r w:rsidR="0091030B" w:rsidRPr="00016D7C">
        <w:t>A</w:t>
      </w:r>
      <w:r w:rsidRPr="00016D7C">
        <w:t>greement itself has become substan</w:t>
      </w:r>
      <w:r w:rsidR="005C6674" w:rsidRPr="00016D7C">
        <w:t>tially a three-</w:t>
      </w:r>
      <w:r w:rsidRPr="00016D7C">
        <w:t>part</w:t>
      </w:r>
      <w:r w:rsidR="005C6674" w:rsidRPr="00016D7C">
        <w:t>y</w:t>
      </w:r>
      <w:r w:rsidRPr="00016D7C">
        <w:t xml:space="preserve"> document. </w:t>
      </w:r>
    </w:p>
    <w:p w14:paraId="12EA56A7" w14:textId="1C4B4F55" w:rsidR="000F0A5F" w:rsidRPr="00016D7C" w:rsidRDefault="009F2A07" w:rsidP="00481DC4">
      <w:pPr>
        <w:pStyle w:val="testobase"/>
      </w:pPr>
      <w:r w:rsidRPr="00016D7C">
        <w:t>Such</w:t>
      </w:r>
      <w:r w:rsidR="000F0A5F" w:rsidRPr="00016D7C">
        <w:t xml:space="preserve"> </w:t>
      </w:r>
      <w:r w:rsidRPr="00016D7C">
        <w:t>dominance</w:t>
      </w:r>
      <w:r w:rsidR="000F0A5F" w:rsidRPr="00016D7C">
        <w:t xml:space="preserve"> of one sponsor could prevent other competitors to participate</w:t>
      </w:r>
      <w:r w:rsidRPr="00016D7C">
        <w:t>; therefore,</w:t>
      </w:r>
      <w:r w:rsidR="000F0A5F" w:rsidRPr="00016D7C">
        <w:t xml:space="preserve"> we </w:t>
      </w:r>
      <w:r w:rsidRPr="00016D7C">
        <w:t>consider</w:t>
      </w:r>
      <w:r w:rsidR="000F0A5F" w:rsidRPr="00016D7C">
        <w:t xml:space="preserve"> that in the process of </w:t>
      </w:r>
      <w:r w:rsidR="005C6674" w:rsidRPr="00016D7C">
        <w:t>negotiating</w:t>
      </w:r>
      <w:r w:rsidR="000F0A5F" w:rsidRPr="00016D7C">
        <w:t xml:space="preserve"> Host Country </w:t>
      </w:r>
      <w:r w:rsidR="000E202B" w:rsidRPr="00016D7C">
        <w:t>A</w:t>
      </w:r>
      <w:r w:rsidR="000F0A5F" w:rsidRPr="00016D7C">
        <w:t>greement</w:t>
      </w:r>
      <w:r w:rsidR="000E202B" w:rsidRPr="00016D7C">
        <w:t>,</w:t>
      </w:r>
      <w:r w:rsidR="000F0A5F" w:rsidRPr="00016D7C">
        <w:t xml:space="preserve"> </w:t>
      </w:r>
      <w:r w:rsidR="001B2E82" w:rsidRPr="00016D7C">
        <w:t xml:space="preserve">the presence of an “Organizing Agent”, directly interested in visibility, that produces </w:t>
      </w:r>
      <w:r w:rsidR="001B2E82" w:rsidRPr="00016D7C">
        <w:rPr>
          <w:i/>
          <w:iCs/>
        </w:rPr>
        <w:t>de facto</w:t>
      </w:r>
      <w:r w:rsidR="001B2E82" w:rsidRPr="00016D7C">
        <w:t xml:space="preserve"> </w:t>
      </w:r>
      <w:r w:rsidR="000E202B" w:rsidRPr="00016D7C">
        <w:t xml:space="preserve">a ‘three parties scheme” </w:t>
      </w:r>
      <w:r w:rsidR="00314B5E" w:rsidRPr="00016D7C">
        <w:t>should</w:t>
      </w:r>
      <w:r w:rsidR="000F0A5F" w:rsidRPr="00016D7C">
        <w:t xml:space="preserve"> not be adopted as a model. </w:t>
      </w:r>
    </w:p>
    <w:p w14:paraId="430B0A0D" w14:textId="77777777" w:rsidR="000F0A5F" w:rsidRPr="00016D7C" w:rsidRDefault="000C7B4B" w:rsidP="00481DC4">
      <w:pPr>
        <w:pStyle w:val="testobase"/>
      </w:pPr>
      <w:r w:rsidRPr="00016D7C">
        <w:t>Furthermore, i</w:t>
      </w:r>
      <w:r w:rsidR="000E202B" w:rsidRPr="00016D7C">
        <w:t>t was reported to us that</w:t>
      </w:r>
      <w:r w:rsidR="000F0A5F" w:rsidRPr="00016D7C">
        <w:t xml:space="preserve"> one </w:t>
      </w:r>
      <w:r w:rsidR="005C6674" w:rsidRPr="00016D7C">
        <w:t>cause</w:t>
      </w:r>
      <w:r w:rsidR="000F0A5F" w:rsidRPr="00016D7C">
        <w:t xml:space="preserve"> of the unusual delay in signing the Host Country Agreement was this tri</w:t>
      </w:r>
      <w:r w:rsidR="005C6674" w:rsidRPr="00016D7C">
        <w:t>partite</w:t>
      </w:r>
      <w:r w:rsidR="000F0A5F" w:rsidRPr="00016D7C">
        <w:t xml:space="preserve"> negotiat</w:t>
      </w:r>
      <w:r w:rsidR="000E202B" w:rsidRPr="00016D7C">
        <w:t>ion</w:t>
      </w:r>
      <w:r w:rsidR="000F0A5F" w:rsidRPr="00016D7C">
        <w:t>.</w:t>
      </w:r>
      <w:r w:rsidRPr="00016D7C">
        <w:t xml:space="preserve"> Moreover, we consider </w:t>
      </w:r>
      <w:r w:rsidR="000F0A5F" w:rsidRPr="00016D7C">
        <w:t xml:space="preserve">that this model </w:t>
      </w:r>
      <w:r w:rsidR="000F0A5F" w:rsidRPr="00016D7C">
        <w:lastRenderedPageBreak/>
        <w:t xml:space="preserve">could be too </w:t>
      </w:r>
      <w:r w:rsidR="005C6674" w:rsidRPr="00016D7C">
        <w:t>strenuous</w:t>
      </w:r>
      <w:r w:rsidR="000F0A5F" w:rsidRPr="00016D7C">
        <w:t xml:space="preserve"> for both ITU and H</w:t>
      </w:r>
      <w:r w:rsidR="000E202B" w:rsidRPr="00016D7C">
        <w:t xml:space="preserve">ost </w:t>
      </w:r>
      <w:r w:rsidR="000F0A5F" w:rsidRPr="00016D7C">
        <w:t>C</w:t>
      </w:r>
      <w:r w:rsidR="000E202B" w:rsidRPr="00016D7C">
        <w:t>ountry</w:t>
      </w:r>
      <w:r w:rsidR="000F0A5F" w:rsidRPr="00016D7C">
        <w:t>, and able to alter the role of each part affecting the neutral image of the event.</w:t>
      </w:r>
    </w:p>
    <w:p w14:paraId="198D7635" w14:textId="08A49893" w:rsidR="0079631A" w:rsidRPr="00016D7C" w:rsidRDefault="004F3C7C" w:rsidP="00241C4D">
      <w:pPr>
        <w:pStyle w:val="titolorecesug"/>
      </w:pPr>
      <w:r w:rsidRPr="00016D7C">
        <w:t>Suggestion n</w:t>
      </w:r>
      <w:r w:rsidR="00241C4D" w:rsidRPr="00016D7C">
        <w:t>o</w:t>
      </w:r>
      <w:r w:rsidRPr="00016D7C">
        <w:t>. </w:t>
      </w:r>
      <w:r w:rsidR="00241C4D" w:rsidRPr="00016D7C">
        <w:t>2</w:t>
      </w:r>
    </w:p>
    <w:p w14:paraId="62FC8ECB" w14:textId="2D7DED56" w:rsidR="004F3C7C" w:rsidRPr="00016D7C" w:rsidRDefault="004F3C7C" w:rsidP="00241C4D">
      <w:pPr>
        <w:pStyle w:val="recesugg"/>
      </w:pPr>
      <w:r w:rsidRPr="00016D7C">
        <w:t xml:space="preserve">We </w:t>
      </w:r>
      <w:r w:rsidRPr="00016D7C">
        <w:rPr>
          <w:b/>
          <w:bCs/>
        </w:rPr>
        <w:t xml:space="preserve">suggest </w:t>
      </w:r>
      <w:r w:rsidRPr="00016D7C">
        <w:t>Management that Host Country Agreements should involve two parties only, although taking into consideration, case by case, its feasibility.</w:t>
      </w:r>
    </w:p>
    <w:p w14:paraId="0DFEDCCA" w14:textId="77777777" w:rsidR="004F3C7C" w:rsidRPr="00016D7C" w:rsidRDefault="004F3C7C" w:rsidP="0079631A"/>
    <w:p w14:paraId="0568D919" w14:textId="77777777" w:rsidR="004F3C7C" w:rsidRPr="00016D7C" w:rsidRDefault="004F3C7C" w:rsidP="004F3C7C">
      <w:pPr>
        <w:pStyle w:val="titcomments"/>
      </w:pPr>
      <w:r w:rsidRPr="00016D7C">
        <w:t>Comment by the Secretary-General</w:t>
      </w:r>
    </w:p>
    <w:p w14:paraId="225D51E6" w14:textId="233FA55F" w:rsidR="004F3C7C" w:rsidRPr="00016D7C" w:rsidRDefault="007042E8" w:rsidP="00C05DF6">
      <w:pPr>
        <w:pStyle w:val="titcomments"/>
        <w:rPr>
          <w:b w:val="0"/>
          <w:bCs w:val="0"/>
          <w:u w:val="none"/>
        </w:rPr>
      </w:pPr>
      <w:r w:rsidRPr="00016D7C">
        <w:rPr>
          <w:b w:val="0"/>
          <w:bCs w:val="0"/>
          <w:u w:val="none"/>
        </w:rPr>
        <w:t xml:space="preserve">The appointment of an Organizing Agent by the Host Country for 2014 to directly fulfil a number of its obligations was an arrangement not previously encountered.  Careful attention shall be given to this issue specifically regarding arrangements with future Host Countries, and shall be considered within the context of the revised Model Host Country Agreement, as required by Resolution 11 (Busan 2014).  For the </w:t>
      </w:r>
      <w:r w:rsidR="0042295B" w:rsidRPr="00016D7C">
        <w:rPr>
          <w:b w:val="0"/>
          <w:bCs w:val="0"/>
          <w:u w:val="none"/>
        </w:rPr>
        <w:t>2015</w:t>
      </w:r>
      <w:r w:rsidRPr="00016D7C">
        <w:rPr>
          <w:b w:val="0"/>
          <w:bCs w:val="0"/>
          <w:u w:val="none"/>
        </w:rPr>
        <w:t xml:space="preserve"> event, the Host Country Agreement was recently signed involving two parties</w:t>
      </w:r>
      <w:r w:rsidR="0042295B" w:rsidRPr="00016D7C">
        <w:rPr>
          <w:b w:val="0"/>
          <w:bCs w:val="0"/>
          <w:u w:val="none"/>
        </w:rPr>
        <w:t xml:space="preserve"> only</w:t>
      </w:r>
      <w:r w:rsidRPr="00016D7C">
        <w:rPr>
          <w:b w:val="0"/>
          <w:bCs w:val="0"/>
          <w:u w:val="none"/>
        </w:rPr>
        <w:t>.</w:t>
      </w:r>
    </w:p>
    <w:p w14:paraId="711BB8C5" w14:textId="77777777" w:rsidR="00D27C2A" w:rsidRPr="00016D7C" w:rsidRDefault="00D27C2A" w:rsidP="00481DC4">
      <w:pPr>
        <w:pStyle w:val="Heading1"/>
      </w:pPr>
      <w:bookmarkStart w:id="27" w:name="_Toc417373391"/>
      <w:r w:rsidRPr="00016D7C">
        <w:t>R</w:t>
      </w:r>
      <w:r w:rsidR="00BF320B" w:rsidRPr="00016D7C">
        <w:t>EVENUE</w:t>
      </w:r>
      <w:bookmarkEnd w:id="27"/>
    </w:p>
    <w:p w14:paraId="4F8C6410" w14:textId="77777777" w:rsidR="00D27C2A" w:rsidRPr="00016D7C" w:rsidRDefault="00746084" w:rsidP="004F3C7C">
      <w:pPr>
        <w:pStyle w:val="testobase"/>
      </w:pPr>
      <w:r w:rsidRPr="00016D7C">
        <w:t>The slightly</w:t>
      </w:r>
      <w:r w:rsidR="00D27C2A" w:rsidRPr="00016D7C">
        <w:t xml:space="preserve"> positive variation of actual revenue in respect t</w:t>
      </w:r>
      <w:r w:rsidR="004F3C7C" w:rsidRPr="00016D7C">
        <w:t>o the revised budget (+0.</w:t>
      </w:r>
      <w:r w:rsidRPr="00016D7C">
        <w:t xml:space="preserve">7%) is </w:t>
      </w:r>
      <w:r w:rsidR="00D27C2A" w:rsidRPr="00016D7C">
        <w:t>due</w:t>
      </w:r>
      <w:r w:rsidRPr="00016D7C">
        <w:t xml:space="preserve">, in a relevant measure, </w:t>
      </w:r>
      <w:r w:rsidR="00D27C2A" w:rsidRPr="00016D7C">
        <w:t xml:space="preserve">to the significantly higher </w:t>
      </w:r>
      <w:r w:rsidR="000033A5" w:rsidRPr="00016D7C">
        <w:t>actual revenue (compared with budgeted one)</w:t>
      </w:r>
      <w:r w:rsidR="00D27C2A" w:rsidRPr="00016D7C">
        <w:t xml:space="preserve"> </w:t>
      </w:r>
      <w:r w:rsidR="000033A5" w:rsidRPr="00016D7C">
        <w:t xml:space="preserve">registered for the value of </w:t>
      </w:r>
      <w:r w:rsidR="00D27C2A" w:rsidRPr="00016D7C">
        <w:t xml:space="preserve">services </w:t>
      </w:r>
      <w:r w:rsidR="000033A5" w:rsidRPr="00016D7C">
        <w:t xml:space="preserve">obtained as part of barters, especially those </w:t>
      </w:r>
      <w:r w:rsidR="00D27C2A" w:rsidRPr="00016D7C">
        <w:t>under Communications &amp; Marketing (+14%).</w:t>
      </w:r>
    </w:p>
    <w:p w14:paraId="57E79573" w14:textId="77777777" w:rsidR="008C0E92" w:rsidRPr="00016D7C" w:rsidRDefault="00544F94" w:rsidP="00481DC4">
      <w:pPr>
        <w:pStyle w:val="Heading3"/>
      </w:pPr>
      <w:bookmarkStart w:id="28" w:name="_Toc417373392"/>
      <w:r w:rsidRPr="00016D7C">
        <w:t>Barters</w:t>
      </w:r>
      <w:r w:rsidR="001B735D" w:rsidRPr="00016D7C">
        <w:t xml:space="preserve"> value.</w:t>
      </w:r>
      <w:bookmarkEnd w:id="28"/>
    </w:p>
    <w:p w14:paraId="6A5D3C3C" w14:textId="77777777" w:rsidR="00996078" w:rsidRPr="00016D7C" w:rsidRDefault="008C0E92" w:rsidP="00481DC4">
      <w:pPr>
        <w:pStyle w:val="testobase"/>
      </w:pPr>
      <w:r w:rsidRPr="00016D7C">
        <w:t xml:space="preserve">The services granted by media companies are registered as revenue balanced with the value of spaces and visibility in the event venue. As we considered in our previous reports, </w:t>
      </w:r>
      <w:r w:rsidR="00996078" w:rsidRPr="00016D7C">
        <w:t>the nature itself of the barters does not allow to register a prevalence of revenues on expenses or vice-versa</w:t>
      </w:r>
      <w:r w:rsidR="001E3F61" w:rsidRPr="00016D7C">
        <w:t xml:space="preserve">, unless a lack of performance </w:t>
      </w:r>
      <w:r w:rsidR="00012AE4" w:rsidRPr="00016D7C">
        <w:t>on either side is registered</w:t>
      </w:r>
      <w:r w:rsidR="00996078" w:rsidRPr="00016D7C">
        <w:t>.</w:t>
      </w:r>
    </w:p>
    <w:p w14:paraId="15DCB360" w14:textId="5306BCFB" w:rsidR="0044585D" w:rsidRPr="00016D7C" w:rsidRDefault="00DC5C67" w:rsidP="008D0151">
      <w:pPr>
        <w:pStyle w:val="testobase"/>
      </w:pPr>
      <w:r w:rsidRPr="00016D7C">
        <w:t>While it could be</w:t>
      </w:r>
      <w:r w:rsidR="00996078" w:rsidRPr="00016D7C">
        <w:t xml:space="preserve"> relatively easy to verify the perform</w:t>
      </w:r>
      <w:r w:rsidR="001E3F61" w:rsidRPr="00016D7C">
        <w:t>ing</w:t>
      </w:r>
      <w:r w:rsidR="00996078" w:rsidRPr="00016D7C">
        <w:t xml:space="preserve"> of the service </w:t>
      </w:r>
      <w:r w:rsidR="001E3F61" w:rsidRPr="00016D7C">
        <w:t>if</w:t>
      </w:r>
      <w:r w:rsidR="00996078" w:rsidRPr="00016D7C">
        <w:t xml:space="preserve"> it consists in a printed page on a newspaper</w:t>
      </w:r>
      <w:r w:rsidR="001E3F61" w:rsidRPr="00016D7C">
        <w:t xml:space="preserve">, it is </w:t>
      </w:r>
      <w:r w:rsidRPr="00016D7C">
        <w:t>not always possible</w:t>
      </w:r>
      <w:r w:rsidR="001E3F61" w:rsidRPr="00016D7C">
        <w:t xml:space="preserve"> to check the actuality of other services, such as </w:t>
      </w:r>
      <w:r w:rsidR="008D0151" w:rsidRPr="00016D7C">
        <w:t xml:space="preserve">duration </w:t>
      </w:r>
      <w:r w:rsidR="001E3F61" w:rsidRPr="00016D7C">
        <w:t xml:space="preserve">of </w:t>
      </w:r>
      <w:r w:rsidR="009B3078" w:rsidRPr="00016D7C">
        <w:t xml:space="preserve">exhibiting </w:t>
      </w:r>
      <w:r w:rsidR="001E3F61" w:rsidRPr="00016D7C">
        <w:t xml:space="preserve">a banner on a web site. </w:t>
      </w:r>
    </w:p>
    <w:p w14:paraId="4EDA1ABA" w14:textId="448CC0A0" w:rsidR="0044585D" w:rsidRPr="00016D7C" w:rsidRDefault="004F3C7C" w:rsidP="00241C4D">
      <w:pPr>
        <w:pStyle w:val="titolorecesug"/>
      </w:pPr>
      <w:r w:rsidRPr="00016D7C">
        <w:t>Suggestion n</w:t>
      </w:r>
      <w:r w:rsidR="00241C4D" w:rsidRPr="00016D7C">
        <w:t>o</w:t>
      </w:r>
      <w:r w:rsidRPr="00016D7C">
        <w:t>. </w:t>
      </w:r>
      <w:r w:rsidR="00241C4D" w:rsidRPr="00016D7C">
        <w:t>3</w:t>
      </w:r>
    </w:p>
    <w:p w14:paraId="20403BE5" w14:textId="77777777" w:rsidR="009D54CA" w:rsidRPr="00016D7C" w:rsidRDefault="00AA1079" w:rsidP="0025693C">
      <w:pPr>
        <w:pStyle w:val="recesugg"/>
      </w:pPr>
      <w:r w:rsidRPr="00016D7C">
        <w:t xml:space="preserve">We </w:t>
      </w:r>
      <w:r w:rsidR="001E3F61" w:rsidRPr="00016D7C">
        <w:rPr>
          <w:b/>
        </w:rPr>
        <w:t>suggest</w:t>
      </w:r>
      <w:r w:rsidR="001E3F61" w:rsidRPr="00016D7C">
        <w:t xml:space="preserve"> </w:t>
      </w:r>
      <w:r w:rsidR="002D1903" w:rsidRPr="00016D7C">
        <w:t xml:space="preserve">Management </w:t>
      </w:r>
      <w:r w:rsidR="001E3F61" w:rsidRPr="00016D7C">
        <w:t>to improve th</w:t>
      </w:r>
      <w:r w:rsidR="00DC5C67" w:rsidRPr="00016D7C">
        <w:t>e audit tra</w:t>
      </w:r>
      <w:r w:rsidR="0025693C" w:rsidRPr="00016D7C">
        <w:t>i</w:t>
      </w:r>
      <w:r w:rsidR="00DC5C67" w:rsidRPr="00016D7C">
        <w:t xml:space="preserve">l </w:t>
      </w:r>
      <w:r w:rsidR="008171A2" w:rsidRPr="00016D7C">
        <w:t xml:space="preserve">in a way that, when controlling, </w:t>
      </w:r>
      <w:r w:rsidR="002D1903" w:rsidRPr="00016D7C">
        <w:t xml:space="preserve">they </w:t>
      </w:r>
      <w:r w:rsidR="008171A2" w:rsidRPr="00016D7C">
        <w:t xml:space="preserve">will be able to </w:t>
      </w:r>
      <w:r w:rsidRPr="00016D7C">
        <w:t>assess</w:t>
      </w:r>
      <w:r w:rsidR="008171A2" w:rsidRPr="00016D7C">
        <w:t xml:space="preserve"> the cost benefit and value for money of all barters, </w:t>
      </w:r>
      <w:r w:rsidRPr="00016D7C">
        <w:t>e.g.</w:t>
      </w:r>
      <w:r w:rsidR="00F63911" w:rsidRPr="00016D7C">
        <w:t xml:space="preserve"> </w:t>
      </w:r>
      <w:r w:rsidR="00012AE4" w:rsidRPr="00016D7C">
        <w:t>providing for a specific clause of “giving evidence” to be included in the barter agreements.</w:t>
      </w:r>
    </w:p>
    <w:p w14:paraId="5B46905D" w14:textId="77777777" w:rsidR="00E07268" w:rsidRPr="00016D7C" w:rsidRDefault="00E07268" w:rsidP="008171A2">
      <w:pPr>
        <w:rPr>
          <w:lang w:val="en-GB"/>
        </w:rPr>
      </w:pPr>
    </w:p>
    <w:p w14:paraId="3D1D2743" w14:textId="77777777" w:rsidR="00AA1079" w:rsidRPr="00016D7C" w:rsidRDefault="00AA1079" w:rsidP="00AA1079">
      <w:pPr>
        <w:pStyle w:val="titcomments"/>
      </w:pPr>
      <w:r w:rsidRPr="00016D7C">
        <w:lastRenderedPageBreak/>
        <w:t>Comment by the Secretary-General</w:t>
      </w:r>
    </w:p>
    <w:p w14:paraId="22780943" w14:textId="2E5A6D9E" w:rsidR="00AA1079" w:rsidRPr="00016D7C" w:rsidRDefault="007042E8" w:rsidP="00AA1079">
      <w:pPr>
        <w:pStyle w:val="comments"/>
      </w:pPr>
      <w:r w:rsidRPr="00016D7C">
        <w:t>Action has been taken to include a new clause in Barter Agreements dated</w:t>
      </w:r>
      <w:r w:rsidR="00461526" w:rsidRPr="00016D7C">
        <w:t xml:space="preserve"> from May 2015 onwards requiring “evidence” of delivered services to be provided to ITU in a timely manner.</w:t>
      </w:r>
    </w:p>
    <w:p w14:paraId="72081399" w14:textId="77777777" w:rsidR="005C784F" w:rsidRPr="00016D7C" w:rsidRDefault="005C784F" w:rsidP="00AA1079">
      <w:pPr>
        <w:pStyle w:val="Heading3"/>
      </w:pPr>
      <w:bookmarkStart w:id="29" w:name="_Toc417373393"/>
      <w:r w:rsidRPr="00016D7C">
        <w:t>Passes</w:t>
      </w:r>
      <w:bookmarkEnd w:id="29"/>
    </w:p>
    <w:p w14:paraId="3AE4C0A1" w14:textId="77777777" w:rsidR="00BE2194" w:rsidRPr="00016D7C" w:rsidRDefault="00DC5C67" w:rsidP="00AA1079">
      <w:pPr>
        <w:pStyle w:val="testobase"/>
      </w:pPr>
      <w:r w:rsidRPr="00016D7C">
        <w:t>The</w:t>
      </w:r>
      <w:r w:rsidR="00BE2194" w:rsidRPr="00016D7C">
        <w:t xml:space="preserve"> passes</w:t>
      </w:r>
      <w:r w:rsidRPr="00016D7C">
        <w:t xml:space="preserve"> </w:t>
      </w:r>
      <w:r w:rsidR="00BE2194" w:rsidRPr="00016D7C">
        <w:t xml:space="preserve">actually paying are </w:t>
      </w:r>
      <w:r w:rsidRPr="00016D7C">
        <w:t xml:space="preserve">around 9 </w:t>
      </w:r>
      <w:r w:rsidR="00BE2194" w:rsidRPr="00016D7C">
        <w:t>%</w:t>
      </w:r>
      <w:r w:rsidRPr="00016D7C">
        <w:t xml:space="preserve"> of the total</w:t>
      </w:r>
      <w:r w:rsidR="00BE2194" w:rsidRPr="00016D7C">
        <w:t xml:space="preserve">. </w:t>
      </w:r>
      <w:r w:rsidR="006F2F32" w:rsidRPr="00016D7C">
        <w:t>V</w:t>
      </w:r>
      <w:r w:rsidR="00BE2194" w:rsidRPr="00016D7C">
        <w:t xml:space="preserve">irtual value of all the passes (included those given free or as benefits) </w:t>
      </w:r>
      <w:r w:rsidR="006F2F32" w:rsidRPr="00016D7C">
        <w:t>amounts</w:t>
      </w:r>
      <w:r w:rsidR="00BE2194" w:rsidRPr="00016D7C">
        <w:t xml:space="preserve"> almost to 6 </w:t>
      </w:r>
      <w:r w:rsidR="009D451B" w:rsidRPr="00016D7C">
        <w:t>MCHF</w:t>
      </w:r>
      <w:r w:rsidR="0078008A" w:rsidRPr="00016D7C">
        <w:t>, whereas revenue for admission fees (forums and showfloor access throughout the event) was 377,300 CHF (872,000 in original budget and 604,000 in revised budget</w:t>
      </w:r>
      <w:r w:rsidR="00C62F4E" w:rsidRPr="00016D7C">
        <w:t>), sensibly less than in WT 2013 (673,780 CHF</w:t>
      </w:r>
      <w:r w:rsidR="0078008A" w:rsidRPr="00016D7C">
        <w:t>)</w:t>
      </w:r>
      <w:r w:rsidR="00BE2194" w:rsidRPr="00016D7C">
        <w:t>.</w:t>
      </w:r>
    </w:p>
    <w:p w14:paraId="74BEB7A1" w14:textId="77777777" w:rsidR="00BE2194" w:rsidRPr="00016D7C" w:rsidRDefault="009D451B" w:rsidP="00AA1079">
      <w:pPr>
        <w:pStyle w:val="testobase"/>
      </w:pPr>
      <w:r w:rsidRPr="00016D7C">
        <w:t>The results of the insourced “Event analysis”</w:t>
      </w:r>
      <w:r w:rsidR="00BE2194" w:rsidRPr="00016D7C">
        <w:t xml:space="preserve"> </w:t>
      </w:r>
      <w:r w:rsidRPr="00016D7C">
        <w:t xml:space="preserve">show that the </w:t>
      </w:r>
      <w:r w:rsidR="00BE2194" w:rsidRPr="00016D7C">
        <w:t>policy of discount and free passes</w:t>
      </w:r>
      <w:r w:rsidR="00B97646" w:rsidRPr="00016D7C">
        <w:t xml:space="preserve"> </w:t>
      </w:r>
      <w:r w:rsidRPr="00016D7C">
        <w:t>suffered</w:t>
      </w:r>
      <w:r w:rsidR="00E535BD" w:rsidRPr="00016D7C">
        <w:t xml:space="preserve"> some lack</w:t>
      </w:r>
      <w:r w:rsidR="00B97646" w:rsidRPr="00016D7C">
        <w:t xml:space="preserve"> of effectiveness,</w:t>
      </w:r>
      <w:r w:rsidRPr="00016D7C">
        <w:t xml:space="preserve"> since some opportunities</w:t>
      </w:r>
      <w:r w:rsidR="00BE2194" w:rsidRPr="00016D7C">
        <w:t xml:space="preserve"> </w:t>
      </w:r>
      <w:r w:rsidR="00B97646" w:rsidRPr="00016D7C">
        <w:t>have not been appreciate</w:t>
      </w:r>
      <w:r w:rsidR="00E535BD" w:rsidRPr="00016D7C">
        <w:t>d</w:t>
      </w:r>
      <w:r w:rsidR="00B97646" w:rsidRPr="00016D7C">
        <w:t xml:space="preserve"> </w:t>
      </w:r>
      <w:r w:rsidR="00E535BD" w:rsidRPr="00016D7C">
        <w:t>by</w:t>
      </w:r>
      <w:r w:rsidR="00B97646" w:rsidRPr="00016D7C">
        <w:t xml:space="preserve"> buyers.</w:t>
      </w:r>
    </w:p>
    <w:p w14:paraId="53977ED8" w14:textId="77777777" w:rsidR="00D27C2A" w:rsidRPr="00016D7C" w:rsidRDefault="00B97646" w:rsidP="00AA1079">
      <w:pPr>
        <w:pStyle w:val="testobase"/>
      </w:pPr>
      <w:r w:rsidRPr="00016D7C">
        <w:t xml:space="preserve">The </w:t>
      </w:r>
      <w:r w:rsidR="00ED39D3" w:rsidRPr="00016D7C">
        <w:t xml:space="preserve">above mentioned </w:t>
      </w:r>
      <w:r w:rsidRPr="00016D7C">
        <w:t>analyses</w:t>
      </w:r>
      <w:r w:rsidR="00ED39D3" w:rsidRPr="00016D7C">
        <w:t>, referred</w:t>
      </w:r>
      <w:r w:rsidRPr="00016D7C">
        <w:t xml:space="preserve"> </w:t>
      </w:r>
      <w:r w:rsidR="00ED39D3" w:rsidRPr="00016D7C">
        <w:t>to</w:t>
      </w:r>
      <w:r w:rsidRPr="00016D7C">
        <w:t xml:space="preserve"> the type of prices</w:t>
      </w:r>
      <w:r w:rsidR="00ED39D3" w:rsidRPr="00016D7C">
        <w:t>,</w:t>
      </w:r>
      <w:r w:rsidRPr="00016D7C">
        <w:t xml:space="preserve"> </w:t>
      </w:r>
      <w:r w:rsidR="00DB6DC0" w:rsidRPr="00016D7C">
        <w:t>reveal</w:t>
      </w:r>
      <w:r w:rsidRPr="00016D7C">
        <w:t xml:space="preserve">ed </w:t>
      </w:r>
      <w:r w:rsidR="00ED39D3" w:rsidRPr="00016D7C">
        <w:t>scarce attractiveness</w:t>
      </w:r>
      <w:r w:rsidRPr="00016D7C">
        <w:t xml:space="preserve"> </w:t>
      </w:r>
      <w:r w:rsidR="00ED39D3" w:rsidRPr="00016D7C">
        <w:t>of</w:t>
      </w:r>
      <w:r w:rsidRPr="00016D7C">
        <w:t xml:space="preserve"> Silver Pass</w:t>
      </w:r>
      <w:r w:rsidR="00ED39D3" w:rsidRPr="00016D7C">
        <w:t>es</w:t>
      </w:r>
      <w:r w:rsidRPr="00016D7C">
        <w:t xml:space="preserve"> and, </w:t>
      </w:r>
      <w:r w:rsidR="00ED39D3" w:rsidRPr="00016D7C">
        <w:t>considering</w:t>
      </w:r>
      <w:r w:rsidRPr="00016D7C">
        <w:t xml:space="preserve"> the timing of the purchase, </w:t>
      </w:r>
      <w:r w:rsidR="00ED39D3" w:rsidRPr="00016D7C">
        <w:t>of</w:t>
      </w:r>
      <w:r w:rsidRPr="00016D7C">
        <w:t xml:space="preserve"> “early bird” price</w:t>
      </w:r>
      <w:r w:rsidR="008942AA" w:rsidRPr="00016D7C">
        <w:t xml:space="preserve">: actually, </w:t>
      </w:r>
      <w:r w:rsidR="00D27C2A" w:rsidRPr="00016D7C">
        <w:t>an increase of pass sales</w:t>
      </w:r>
      <w:r w:rsidR="00ED39D3" w:rsidRPr="00016D7C">
        <w:t>, as Event Analysis shows,</w:t>
      </w:r>
      <w:r w:rsidR="00D27C2A" w:rsidRPr="00016D7C">
        <w:t xml:space="preserve"> is registered only for the last week before the event.</w:t>
      </w:r>
    </w:p>
    <w:p w14:paraId="75E9F8E9" w14:textId="66C692FD" w:rsidR="009D451B" w:rsidRPr="00016D7C" w:rsidRDefault="00AA1079" w:rsidP="00241C4D">
      <w:pPr>
        <w:pStyle w:val="titolorecesug"/>
      </w:pPr>
      <w:r w:rsidRPr="00016D7C">
        <w:t>Suggestion n</w:t>
      </w:r>
      <w:r w:rsidR="00241C4D" w:rsidRPr="00016D7C">
        <w:t>o</w:t>
      </w:r>
      <w:r w:rsidRPr="00016D7C">
        <w:t>. </w:t>
      </w:r>
      <w:r w:rsidR="00241C4D" w:rsidRPr="00016D7C">
        <w:t>4</w:t>
      </w:r>
    </w:p>
    <w:p w14:paraId="2BFEF7AF" w14:textId="3257D8BF" w:rsidR="009D451B" w:rsidRPr="00016D7C" w:rsidRDefault="00ED39D3" w:rsidP="00461526">
      <w:pPr>
        <w:pStyle w:val="recesugg"/>
      </w:pPr>
      <w:r w:rsidRPr="00016D7C">
        <w:t>Considering</w:t>
      </w:r>
      <w:r w:rsidR="00B36E26" w:rsidRPr="00016D7C">
        <w:t xml:space="preserve"> the results</w:t>
      </w:r>
      <w:r w:rsidR="008942AA" w:rsidRPr="00016D7C">
        <w:t>, w</w:t>
      </w:r>
      <w:r w:rsidR="009D451B" w:rsidRPr="00016D7C">
        <w:t xml:space="preserve">e </w:t>
      </w:r>
      <w:r w:rsidRPr="00016D7C">
        <w:rPr>
          <w:b/>
          <w:bCs/>
        </w:rPr>
        <w:t>suggest</w:t>
      </w:r>
      <w:r w:rsidR="009D451B" w:rsidRPr="00016D7C">
        <w:t xml:space="preserve"> </w:t>
      </w:r>
      <w:r w:rsidR="00AA1079" w:rsidRPr="00016D7C">
        <w:t xml:space="preserve">Management </w:t>
      </w:r>
      <w:r w:rsidR="000C15CD" w:rsidRPr="00016D7C">
        <w:t xml:space="preserve">to </w:t>
      </w:r>
      <w:r w:rsidR="0086513F" w:rsidRPr="00016D7C">
        <w:t>formulate</w:t>
      </w:r>
      <w:r w:rsidR="000C15CD" w:rsidRPr="00016D7C">
        <w:t xml:space="preserve"> a reasonable</w:t>
      </w:r>
      <w:r w:rsidR="00853957" w:rsidRPr="00016D7C">
        <w:t xml:space="preserve"> </w:t>
      </w:r>
      <w:r w:rsidR="009D451B" w:rsidRPr="00016D7C">
        <w:t>pric</w:t>
      </w:r>
      <w:r w:rsidR="0086513F" w:rsidRPr="00016D7C">
        <w:t>ing</w:t>
      </w:r>
      <w:r w:rsidR="009D451B" w:rsidRPr="00016D7C">
        <w:t xml:space="preserve"> policy </w:t>
      </w:r>
      <w:r w:rsidR="0086513F" w:rsidRPr="00016D7C">
        <w:t xml:space="preserve">in order to derive more </w:t>
      </w:r>
      <w:r w:rsidR="009D451B" w:rsidRPr="00016D7C">
        <w:t>revenue</w:t>
      </w:r>
      <w:r w:rsidR="000C15CD" w:rsidRPr="00016D7C">
        <w:t xml:space="preserve"> from passes</w:t>
      </w:r>
      <w:r w:rsidR="00E535BD" w:rsidRPr="00016D7C">
        <w:t>.</w:t>
      </w:r>
    </w:p>
    <w:p w14:paraId="6F70C3EC" w14:textId="77777777" w:rsidR="00AA1079" w:rsidRPr="00016D7C" w:rsidRDefault="00AA1079" w:rsidP="00AA1079"/>
    <w:p w14:paraId="54191C49" w14:textId="77777777" w:rsidR="00AA1079" w:rsidRPr="00016D7C" w:rsidRDefault="00AA1079" w:rsidP="00AA1079">
      <w:pPr>
        <w:pStyle w:val="titcomments"/>
      </w:pPr>
      <w:r w:rsidRPr="00016D7C">
        <w:t>Comment by the Secretary-General</w:t>
      </w:r>
    </w:p>
    <w:p w14:paraId="625EF78E" w14:textId="29E06236" w:rsidR="00AA1079" w:rsidRPr="00016D7C" w:rsidRDefault="00461526" w:rsidP="00850CC6">
      <w:pPr>
        <w:pStyle w:val="comments"/>
      </w:pPr>
      <w:r w:rsidRPr="00016D7C">
        <w:t>The Sales Strategy for 2015 has addressed the issue of passes in a number of ways and ITU shall be measuring effectiveness through the following means: the unit price of all pass categories has been significantly reduced to increase attractiveness; the volume of free forum passes provided as a benefit to clients purchasing space or sponsorship has been reduced, in the expectation that this will result in additional purchases by clients; and a low</w:t>
      </w:r>
      <w:r w:rsidR="00850CC6" w:rsidRPr="00016D7C">
        <w:t>-</w:t>
      </w:r>
      <w:r w:rsidRPr="00016D7C">
        <w:t>cost exhibition pass has been introduced to increase attendance to the Showfloor.</w:t>
      </w:r>
    </w:p>
    <w:p w14:paraId="704BF706" w14:textId="77777777" w:rsidR="00021DC3" w:rsidRPr="00016D7C" w:rsidRDefault="008D28AD" w:rsidP="00AA1079">
      <w:pPr>
        <w:pStyle w:val="Heading3"/>
      </w:pPr>
      <w:bookmarkStart w:id="30" w:name="_Toc417373394"/>
      <w:r w:rsidRPr="00016D7C">
        <w:t>Ex</w:t>
      </w:r>
      <w:r w:rsidR="00E535BD" w:rsidRPr="00016D7C">
        <w:t>hibi</w:t>
      </w:r>
      <w:r w:rsidRPr="00016D7C">
        <w:t>tion</w:t>
      </w:r>
      <w:bookmarkEnd w:id="30"/>
      <w:r w:rsidRPr="00016D7C">
        <w:t xml:space="preserve"> </w:t>
      </w:r>
    </w:p>
    <w:p w14:paraId="2D50855C" w14:textId="46A2E591" w:rsidR="003E05B4" w:rsidRPr="00016D7C" w:rsidRDefault="003E05B4" w:rsidP="0086513F">
      <w:pPr>
        <w:pStyle w:val="testobase"/>
      </w:pPr>
      <w:r w:rsidRPr="00016D7C">
        <w:t xml:space="preserve">The selling of raw space was </w:t>
      </w:r>
      <w:r w:rsidR="00E535BD" w:rsidRPr="00016D7C">
        <w:t>significantly</w:t>
      </w:r>
      <w:r w:rsidRPr="00016D7C">
        <w:t xml:space="preserve"> lower than </w:t>
      </w:r>
      <w:r w:rsidR="00342049" w:rsidRPr="00016D7C">
        <w:t xml:space="preserve">what </w:t>
      </w:r>
      <w:r w:rsidR="00E535BD" w:rsidRPr="00016D7C">
        <w:t xml:space="preserve">was </w:t>
      </w:r>
      <w:r w:rsidRPr="00016D7C">
        <w:t>originally budgeted</w:t>
      </w:r>
      <w:r w:rsidR="00342049" w:rsidRPr="00016D7C">
        <w:t>.</w:t>
      </w:r>
      <w:r w:rsidRPr="00016D7C">
        <w:t xml:space="preserve"> </w:t>
      </w:r>
      <w:r w:rsidR="00342049" w:rsidRPr="00016D7C">
        <w:t>Furthermore, the</w:t>
      </w:r>
      <w:r w:rsidRPr="00016D7C">
        <w:t xml:space="preserve"> trend, constant in last three eve</w:t>
      </w:r>
      <w:r w:rsidR="00891629" w:rsidRPr="00016D7C">
        <w:t xml:space="preserve">nts, shows </w:t>
      </w:r>
      <w:r w:rsidR="0086513F" w:rsidRPr="00016D7C">
        <w:t>favourable source of revenue from</w:t>
      </w:r>
      <w:r w:rsidRPr="00016D7C">
        <w:t xml:space="preserve"> other solutions.  </w:t>
      </w:r>
      <w:r w:rsidR="00342049" w:rsidRPr="00016D7C">
        <w:t>Among them, the “turnkey” option met very well the demand from ex</w:t>
      </w:r>
      <w:r w:rsidR="00E535BD" w:rsidRPr="00016D7C">
        <w:t>hibitors.</w:t>
      </w:r>
    </w:p>
    <w:p w14:paraId="0518EEB8" w14:textId="77777777" w:rsidR="00021DC3" w:rsidRPr="00016D7C" w:rsidRDefault="00E535BD" w:rsidP="00AA1079">
      <w:pPr>
        <w:pStyle w:val="testobase"/>
      </w:pPr>
      <w:r w:rsidRPr="00016D7C">
        <w:lastRenderedPageBreak/>
        <w:t>Although</w:t>
      </w:r>
      <w:r w:rsidR="00021DC3" w:rsidRPr="00016D7C">
        <w:t xml:space="preserve"> original budget </w:t>
      </w:r>
      <w:r w:rsidRPr="00016D7C">
        <w:t xml:space="preserve">had not </w:t>
      </w:r>
      <w:r w:rsidR="00021DC3" w:rsidRPr="00016D7C">
        <w:t>considered entirely the dimension of that trend</w:t>
      </w:r>
      <w:r w:rsidR="00A856A5" w:rsidRPr="00016D7C">
        <w:t>, in revised budget the actual figures at that date permitted a more precise prevision</w:t>
      </w:r>
      <w:r w:rsidR="00021DC3" w:rsidRPr="00016D7C">
        <w:t xml:space="preserve">. </w:t>
      </w:r>
      <w:r w:rsidR="003E05B4" w:rsidRPr="00016D7C">
        <w:t xml:space="preserve"> </w:t>
      </w:r>
      <w:r w:rsidR="006425D6" w:rsidRPr="00016D7C">
        <w:t xml:space="preserve">On the other hand, we noted that the cost for construction and set-up of turnkey solution packages </w:t>
      </w:r>
      <w:r w:rsidR="00911B98" w:rsidRPr="00016D7C">
        <w:t>was substantially lower than predicted.</w:t>
      </w:r>
    </w:p>
    <w:p w14:paraId="288AC995" w14:textId="724DB747" w:rsidR="00AA1079" w:rsidRPr="00016D7C" w:rsidRDefault="000C15CD" w:rsidP="00241C4D">
      <w:pPr>
        <w:pStyle w:val="titolorecesug"/>
      </w:pPr>
      <w:r w:rsidRPr="00016D7C">
        <w:t>Suggestion n</w:t>
      </w:r>
      <w:r w:rsidR="00241C4D" w:rsidRPr="00016D7C">
        <w:t>o</w:t>
      </w:r>
      <w:r w:rsidRPr="00016D7C">
        <w:t>. </w:t>
      </w:r>
      <w:r w:rsidR="00241C4D" w:rsidRPr="00016D7C">
        <w:t>5</w:t>
      </w:r>
    </w:p>
    <w:p w14:paraId="6F643091" w14:textId="6F22D979" w:rsidR="003E05B4" w:rsidRPr="00016D7C" w:rsidRDefault="00B36E26" w:rsidP="00B82E85">
      <w:pPr>
        <w:pStyle w:val="recesugg"/>
      </w:pPr>
      <w:r w:rsidRPr="00016D7C">
        <w:t xml:space="preserve">Considering the relevance in generating </w:t>
      </w:r>
      <w:r w:rsidR="000C15CD" w:rsidRPr="00016D7C">
        <w:t>revenu</w:t>
      </w:r>
      <w:r w:rsidR="00206CBE" w:rsidRPr="00016D7C">
        <w:t>e</w:t>
      </w:r>
      <w:r w:rsidRPr="00016D7C">
        <w:t xml:space="preserve"> </w:t>
      </w:r>
      <w:r w:rsidR="0086513F" w:rsidRPr="00016D7C">
        <w:t>from</w:t>
      </w:r>
      <w:r w:rsidRPr="00016D7C">
        <w:t xml:space="preserve"> turnkey solutions, w</w:t>
      </w:r>
      <w:r w:rsidR="003E05B4" w:rsidRPr="00016D7C">
        <w:t>e</w:t>
      </w:r>
      <w:r w:rsidR="00911B98" w:rsidRPr="00016D7C">
        <w:t xml:space="preserve"> therefore</w:t>
      </w:r>
      <w:r w:rsidR="003E05B4" w:rsidRPr="00016D7C">
        <w:t xml:space="preserve"> </w:t>
      </w:r>
      <w:r w:rsidR="003E05B4" w:rsidRPr="00016D7C">
        <w:rPr>
          <w:b/>
        </w:rPr>
        <w:t>suggest</w:t>
      </w:r>
      <w:r w:rsidR="003E05B4" w:rsidRPr="00016D7C">
        <w:t xml:space="preserve"> </w:t>
      </w:r>
      <w:r w:rsidR="00AA1079" w:rsidRPr="00016D7C">
        <w:t xml:space="preserve">Management </w:t>
      </w:r>
      <w:r w:rsidRPr="00016D7C">
        <w:t xml:space="preserve">to study the possibility </w:t>
      </w:r>
      <w:r w:rsidR="0086513F" w:rsidRPr="00016D7C">
        <w:t xml:space="preserve">of </w:t>
      </w:r>
      <w:r w:rsidRPr="00016D7C">
        <w:t>hav</w:t>
      </w:r>
      <w:r w:rsidR="0086513F" w:rsidRPr="00016D7C">
        <w:t>ing</w:t>
      </w:r>
      <w:r w:rsidRPr="00016D7C">
        <w:t xml:space="preserve"> an even larger variety of </w:t>
      </w:r>
      <w:r w:rsidR="00206CBE" w:rsidRPr="00016D7C">
        <w:t xml:space="preserve">turnkey </w:t>
      </w:r>
      <w:r w:rsidRPr="00016D7C">
        <w:t xml:space="preserve">pavilions </w:t>
      </w:r>
      <w:r w:rsidR="00206CBE" w:rsidRPr="00016D7C">
        <w:t xml:space="preserve">for better </w:t>
      </w:r>
      <w:r w:rsidR="007F5B03" w:rsidRPr="00016D7C">
        <w:t>utiliz</w:t>
      </w:r>
      <w:r w:rsidR="0042565C" w:rsidRPr="00016D7C">
        <w:t>ation</w:t>
      </w:r>
      <w:r w:rsidR="00206CBE" w:rsidRPr="00016D7C">
        <w:t xml:space="preserve"> of this economic opportunity.</w:t>
      </w:r>
      <w:r w:rsidR="00AB33DD" w:rsidRPr="00016D7C">
        <w:t xml:space="preserve"> </w:t>
      </w:r>
    </w:p>
    <w:p w14:paraId="71A829E7" w14:textId="77777777" w:rsidR="00443CA9" w:rsidRPr="00016D7C" w:rsidRDefault="00443CA9" w:rsidP="00443CA9"/>
    <w:p w14:paraId="5B5C6D3D" w14:textId="77777777" w:rsidR="00AA1079" w:rsidRPr="00016D7C" w:rsidRDefault="00AA1079" w:rsidP="00AA1079">
      <w:pPr>
        <w:pStyle w:val="titcomments"/>
      </w:pPr>
      <w:r w:rsidRPr="00016D7C">
        <w:t>Comment by the Secretary-General</w:t>
      </w:r>
    </w:p>
    <w:p w14:paraId="74A64322" w14:textId="74E91E69" w:rsidR="00B82E85" w:rsidRPr="00016D7C" w:rsidRDefault="00B82E85" w:rsidP="00B82E85">
      <w:pPr>
        <w:pStyle w:val="titcomments"/>
        <w:rPr>
          <w:b w:val="0"/>
          <w:bCs w:val="0"/>
          <w:u w:val="none"/>
        </w:rPr>
      </w:pPr>
      <w:r w:rsidRPr="00016D7C">
        <w:rPr>
          <w:b w:val="0"/>
          <w:bCs w:val="0"/>
          <w:u w:val="none"/>
        </w:rPr>
        <w:t>The 2015 rate for a Turnkey Solution provides for an increased value proposition compared with raw space.  An additional low-cost</w:t>
      </w:r>
      <w:r w:rsidR="00850CC6" w:rsidRPr="00016D7C">
        <w:rPr>
          <w:b w:val="0"/>
          <w:bCs w:val="0"/>
          <w:u w:val="none"/>
        </w:rPr>
        <w:t xml:space="preserve"> turnkey product has also been developed to attract Small and Medium Enterprises (SMEs) and Startup companies with low budgets for event participation.  ITU shall continue to monitor the appeal and cost benefit of these products.</w:t>
      </w:r>
    </w:p>
    <w:p w14:paraId="03D7B3C7" w14:textId="77777777" w:rsidR="00AA1079" w:rsidRPr="00016D7C" w:rsidRDefault="00AA1079" w:rsidP="00AA1079">
      <w:pPr>
        <w:pStyle w:val="comments"/>
      </w:pPr>
    </w:p>
    <w:p w14:paraId="05187B04" w14:textId="77777777" w:rsidR="0011743F" w:rsidRPr="00016D7C" w:rsidRDefault="0011743F" w:rsidP="0002440A">
      <w:pPr>
        <w:pStyle w:val="Heading1"/>
      </w:pPr>
      <w:bookmarkStart w:id="31" w:name="_Toc417373395"/>
      <w:r w:rsidRPr="00016D7C">
        <w:t>E</w:t>
      </w:r>
      <w:r w:rsidR="00BF320B" w:rsidRPr="00016D7C">
        <w:t>XPENSES</w:t>
      </w:r>
      <w:bookmarkEnd w:id="31"/>
    </w:p>
    <w:p w14:paraId="1733F1E4" w14:textId="77777777" w:rsidR="0011743F" w:rsidRPr="00016D7C" w:rsidRDefault="0011743F" w:rsidP="00AA1079">
      <w:pPr>
        <w:pStyle w:val="Heading3"/>
      </w:pPr>
      <w:bookmarkStart w:id="32" w:name="_Toc417373396"/>
      <w:r w:rsidRPr="00016D7C">
        <w:t>Cost Recovery</w:t>
      </w:r>
      <w:bookmarkEnd w:id="32"/>
    </w:p>
    <w:p w14:paraId="3ED37C76" w14:textId="26FDD8BE" w:rsidR="00BF320B" w:rsidRPr="00016D7C" w:rsidRDefault="00BF320B" w:rsidP="007042E8">
      <w:pPr>
        <w:pStyle w:val="testobase"/>
      </w:pPr>
      <w:bookmarkStart w:id="33" w:name="_Ref416442001"/>
      <w:r w:rsidRPr="00016D7C">
        <w:t>Although, as answered by S</w:t>
      </w:r>
      <w:r w:rsidR="00D8188F" w:rsidRPr="00016D7C">
        <w:t>e</w:t>
      </w:r>
      <w:r w:rsidR="00437F70" w:rsidRPr="00016D7C">
        <w:t>c</w:t>
      </w:r>
      <w:r w:rsidR="00D8188F" w:rsidRPr="00016D7C">
        <w:t>retary-</w:t>
      </w:r>
      <w:r w:rsidRPr="00016D7C">
        <w:t>G</w:t>
      </w:r>
      <w:r w:rsidR="00D8188F" w:rsidRPr="00016D7C">
        <w:t>eneral</w:t>
      </w:r>
      <w:r w:rsidRPr="00016D7C">
        <w:t xml:space="preserve"> last year</w:t>
      </w:r>
      <w:r w:rsidR="005119B5" w:rsidRPr="00016D7C">
        <w:t xml:space="preserve"> to our Recommendation 3/2013,</w:t>
      </w:r>
      <w:r w:rsidRPr="00016D7C">
        <w:t xml:space="preserve"> “The amounts of cost recovery for 2014 and 2015 have already been defined in the approved biennial budget”, </w:t>
      </w:r>
      <w:r w:rsidR="005119B5" w:rsidRPr="00016D7C">
        <w:t xml:space="preserve">a </w:t>
      </w:r>
      <w:r w:rsidR="00A86AA8" w:rsidRPr="00016D7C">
        <w:t xml:space="preserve">study on </w:t>
      </w:r>
      <w:r w:rsidR="005119B5" w:rsidRPr="00016D7C">
        <w:t xml:space="preserve">cost recovery </w:t>
      </w:r>
      <w:r w:rsidR="00A86AA8" w:rsidRPr="00016D7C">
        <w:t>charges</w:t>
      </w:r>
      <w:r w:rsidR="005119B5" w:rsidRPr="00016D7C">
        <w:t xml:space="preserve"> has been conducted by FRMD</w:t>
      </w:r>
      <w:r w:rsidR="00310162" w:rsidRPr="00016D7C">
        <w:t xml:space="preserve"> </w:t>
      </w:r>
      <w:r w:rsidR="005119B5" w:rsidRPr="00016D7C">
        <w:t xml:space="preserve">the </w:t>
      </w:r>
      <w:r w:rsidR="00A86AA8" w:rsidRPr="00016D7C">
        <w:t>outcome</w:t>
      </w:r>
      <w:r w:rsidR="005119B5" w:rsidRPr="00016D7C">
        <w:t xml:space="preserve"> of which was sent for comments to the ITU-Telecom </w:t>
      </w:r>
      <w:r w:rsidR="008D0151" w:rsidRPr="00016D7C">
        <w:t>Secretariat</w:t>
      </w:r>
      <w:r w:rsidR="005119B5" w:rsidRPr="00016D7C">
        <w:t xml:space="preserve"> in October 2014.</w:t>
      </w:r>
      <w:bookmarkEnd w:id="33"/>
      <w:r w:rsidR="005119B5" w:rsidRPr="00016D7C">
        <w:t xml:space="preserve"> </w:t>
      </w:r>
    </w:p>
    <w:p w14:paraId="525AA364" w14:textId="0689659E" w:rsidR="00BF320B" w:rsidRPr="00016D7C" w:rsidRDefault="00AA1079" w:rsidP="00AA1079">
      <w:pPr>
        <w:pStyle w:val="titolorecesug"/>
      </w:pPr>
      <w:r w:rsidRPr="00016D7C">
        <w:t>Rec</w:t>
      </w:r>
      <w:r w:rsidR="004F3C7C" w:rsidRPr="00016D7C">
        <w:t>ommendation n</w:t>
      </w:r>
      <w:r w:rsidR="00241C4D" w:rsidRPr="00016D7C">
        <w:t>o</w:t>
      </w:r>
      <w:r w:rsidR="004F3C7C" w:rsidRPr="00016D7C">
        <w:t>. 1</w:t>
      </w:r>
    </w:p>
    <w:p w14:paraId="7A3B1C13" w14:textId="01A90DFE" w:rsidR="00BF320B" w:rsidRPr="00016D7C" w:rsidRDefault="005119B5" w:rsidP="0024031A">
      <w:pPr>
        <w:pStyle w:val="recesugg"/>
      </w:pPr>
      <w:r w:rsidRPr="00016D7C">
        <w:t>W</w:t>
      </w:r>
      <w:r w:rsidR="00BF320B" w:rsidRPr="00016D7C">
        <w:t xml:space="preserve">e have been informed that </w:t>
      </w:r>
      <w:r w:rsidRPr="00016D7C">
        <w:t>th</w:t>
      </w:r>
      <w:r w:rsidR="00A86AA8" w:rsidRPr="00016D7C">
        <w:t>e outcome of the study on cost recovery</w:t>
      </w:r>
      <w:r w:rsidR="00856390" w:rsidRPr="00016D7C">
        <w:t xml:space="preserve"> </w:t>
      </w:r>
      <w:r w:rsidR="00A86AA8" w:rsidRPr="00016D7C">
        <w:t>is currently being discussed</w:t>
      </w:r>
      <w:r w:rsidR="008D7983" w:rsidRPr="00016D7C">
        <w:t xml:space="preserve">. </w:t>
      </w:r>
      <w:r w:rsidR="00A86AA8" w:rsidRPr="00016D7C">
        <w:t>Once finalized, w</w:t>
      </w:r>
      <w:r w:rsidR="008D7983" w:rsidRPr="00016D7C">
        <w:t xml:space="preserve">e </w:t>
      </w:r>
      <w:r w:rsidR="00E07268" w:rsidRPr="00016D7C">
        <w:rPr>
          <w:b/>
        </w:rPr>
        <w:t>recommend</w:t>
      </w:r>
      <w:r w:rsidR="00BF320B" w:rsidRPr="00016D7C">
        <w:t xml:space="preserve"> </w:t>
      </w:r>
      <w:r w:rsidR="00AA1079" w:rsidRPr="00016D7C">
        <w:t xml:space="preserve">Management </w:t>
      </w:r>
      <w:r w:rsidR="00BF320B" w:rsidRPr="00016D7C">
        <w:t xml:space="preserve">to </w:t>
      </w:r>
      <w:r w:rsidR="008D7983" w:rsidRPr="00016D7C">
        <w:t xml:space="preserve">use </w:t>
      </w:r>
      <w:r w:rsidR="009A4721" w:rsidRPr="00016D7C">
        <w:t xml:space="preserve">the </w:t>
      </w:r>
      <w:r w:rsidR="00A86AA8" w:rsidRPr="00016D7C">
        <w:t>outcome of the study</w:t>
      </w:r>
      <w:r w:rsidR="009A4721" w:rsidRPr="00016D7C">
        <w:t xml:space="preserve"> as a</w:t>
      </w:r>
      <w:r w:rsidR="008D7983" w:rsidRPr="00016D7C">
        <w:t xml:space="preserve"> basis in </w:t>
      </w:r>
      <w:r w:rsidR="0024031A" w:rsidRPr="00016D7C">
        <w:t>establishing the amount of</w:t>
      </w:r>
      <w:r w:rsidR="008D7983" w:rsidRPr="00016D7C">
        <w:t xml:space="preserve"> </w:t>
      </w:r>
      <w:r w:rsidR="00BF320B" w:rsidRPr="00016D7C">
        <w:t>cost</w:t>
      </w:r>
      <w:r w:rsidR="009A4721" w:rsidRPr="00016D7C">
        <w:t xml:space="preserve"> recovery</w:t>
      </w:r>
      <w:r w:rsidR="0024031A" w:rsidRPr="00016D7C">
        <w:t xml:space="preserve"> charges</w:t>
      </w:r>
      <w:r w:rsidR="00BF320B" w:rsidRPr="00016D7C">
        <w:t>.</w:t>
      </w:r>
    </w:p>
    <w:p w14:paraId="48B1028F" w14:textId="77777777" w:rsidR="00182558" w:rsidRPr="00016D7C" w:rsidRDefault="00182558" w:rsidP="00182558"/>
    <w:p w14:paraId="49BBF2F4" w14:textId="77777777" w:rsidR="00AA1079" w:rsidRPr="00016D7C" w:rsidRDefault="00AA1079" w:rsidP="00AA1079">
      <w:pPr>
        <w:pStyle w:val="titcomments"/>
      </w:pPr>
      <w:r w:rsidRPr="00016D7C">
        <w:lastRenderedPageBreak/>
        <w:t>Comment by the Secretary-General</w:t>
      </w:r>
    </w:p>
    <w:p w14:paraId="4A644DA9" w14:textId="0B39ECC4" w:rsidR="00AA1079" w:rsidRPr="00016D7C" w:rsidRDefault="00850CC6" w:rsidP="002C2DBC">
      <w:pPr>
        <w:pStyle w:val="comments"/>
      </w:pPr>
      <w:r w:rsidRPr="00016D7C">
        <w:t>A detailed study on cost recovery had been conducted by the Financial Resources Management Department, the outcome of which has been shared with ITU T</w:t>
      </w:r>
      <w:r w:rsidR="002C2DBC" w:rsidRPr="00016D7C">
        <w:t>elecom</w:t>
      </w:r>
      <w:r w:rsidRPr="00016D7C">
        <w:t xml:space="preserve"> Secretariat and is currently being discussed. The outcome of the study on cost recovery shall be used as a basis in determining the chargeable amount of cost recovery.</w:t>
      </w:r>
    </w:p>
    <w:p w14:paraId="05043021" w14:textId="77777777" w:rsidR="00182558" w:rsidRPr="00016D7C" w:rsidRDefault="00182558" w:rsidP="00AA1079">
      <w:pPr>
        <w:pStyle w:val="Heading2"/>
      </w:pPr>
      <w:bookmarkStart w:id="34" w:name="_Toc417373397"/>
      <w:r w:rsidRPr="00016D7C">
        <w:t>Staff costs</w:t>
      </w:r>
      <w:bookmarkEnd w:id="34"/>
    </w:p>
    <w:p w14:paraId="0CB70C67" w14:textId="77777777" w:rsidR="00070F40" w:rsidRPr="00016D7C" w:rsidRDefault="00182558" w:rsidP="00AA1079">
      <w:pPr>
        <w:pStyle w:val="testobase"/>
      </w:pPr>
      <w:r w:rsidRPr="00016D7C">
        <w:t xml:space="preserve">We </w:t>
      </w:r>
      <w:r w:rsidR="00AB14D1" w:rsidRPr="00016D7C">
        <w:t>noted that for temporary staff an amount of 24.678,05 CHF</w:t>
      </w:r>
      <w:r w:rsidR="004E32CF" w:rsidRPr="00016D7C">
        <w:t xml:space="preserve"> </w:t>
      </w:r>
      <w:r w:rsidR="009B3153" w:rsidRPr="00016D7C">
        <w:t>is referred to accrued leaves.</w:t>
      </w:r>
      <w:r w:rsidR="00AB14D1" w:rsidRPr="00016D7C">
        <w:t xml:space="preserve"> In some cases, a high number of days (up to 19) of unused leave</w:t>
      </w:r>
      <w:r w:rsidR="004E32CF" w:rsidRPr="00016D7C">
        <w:t xml:space="preserve"> have been considered.</w:t>
      </w:r>
    </w:p>
    <w:p w14:paraId="6563778C" w14:textId="77777777" w:rsidR="000255C4" w:rsidRPr="00016D7C" w:rsidRDefault="00DC7F6A" w:rsidP="008339EE">
      <w:pPr>
        <w:pStyle w:val="Heading1"/>
      </w:pPr>
      <w:bookmarkStart w:id="35" w:name="_Toc417373398"/>
      <w:r w:rsidRPr="00016D7C">
        <w:t>Co</w:t>
      </w:r>
      <w:r w:rsidR="008339EE" w:rsidRPr="00016D7C">
        <w:t>rrespondenc</w:t>
      </w:r>
      <w:r w:rsidRPr="00016D7C">
        <w:t>e of Budget and Results</w:t>
      </w:r>
      <w:bookmarkEnd w:id="35"/>
    </w:p>
    <w:p w14:paraId="33EE358A" w14:textId="4D8A8058" w:rsidR="00DC7F6A" w:rsidRPr="00016D7C" w:rsidRDefault="000255C4" w:rsidP="009C5DCE">
      <w:pPr>
        <w:pStyle w:val="testobase"/>
      </w:pPr>
      <w:r w:rsidRPr="00016D7C">
        <w:t xml:space="preserve">In some case </w:t>
      </w:r>
      <w:r w:rsidR="008339EE" w:rsidRPr="00016D7C">
        <w:t>the disclosure</w:t>
      </w:r>
      <w:r w:rsidRPr="00016D7C">
        <w:t xml:space="preserve"> of actual revenues and expenses does not follow correct</w:t>
      </w:r>
      <w:r w:rsidR="00AA1079" w:rsidRPr="00016D7C">
        <w:t>ly the breakdown of the budget</w:t>
      </w:r>
      <w:r w:rsidRPr="00016D7C">
        <w:t xml:space="preserve"> (e.g.</w:t>
      </w:r>
      <w:r w:rsidR="00AA1079" w:rsidRPr="00016D7C">
        <w:t>:</w:t>
      </w:r>
      <w:r w:rsidRPr="00016D7C">
        <w:t xml:space="preserve"> sponsorship of registration service among revenues, Innovati</w:t>
      </w:r>
      <w:r w:rsidR="008339EE" w:rsidRPr="00016D7C">
        <w:t>on Space and some other “spaces</w:t>
      </w:r>
      <w:r w:rsidRPr="00016D7C">
        <w:t>”</w:t>
      </w:r>
      <w:r w:rsidR="008339EE" w:rsidRPr="00016D7C">
        <w:t>)</w:t>
      </w:r>
      <w:r w:rsidRPr="00016D7C">
        <w:t xml:space="preserve">; this </w:t>
      </w:r>
      <w:r w:rsidR="008339EE" w:rsidRPr="00016D7C">
        <w:t>does not allow a direct</w:t>
      </w:r>
      <w:r w:rsidR="00DC7F6A" w:rsidRPr="00016D7C">
        <w:t xml:space="preserve"> compari</w:t>
      </w:r>
      <w:r w:rsidR="008339EE" w:rsidRPr="00016D7C">
        <w:t xml:space="preserve">son amongst </w:t>
      </w:r>
      <w:r w:rsidR="00DC7F6A" w:rsidRPr="00016D7C">
        <w:t>figures</w:t>
      </w:r>
      <w:r w:rsidR="008339EE" w:rsidRPr="00016D7C">
        <w:t>,</w:t>
      </w:r>
      <w:r w:rsidR="00DC7F6A" w:rsidRPr="00016D7C">
        <w:t xml:space="preserve"> an</w:t>
      </w:r>
      <w:r w:rsidR="008339EE" w:rsidRPr="00016D7C">
        <w:t>d</w:t>
      </w:r>
      <w:r w:rsidR="00DC7F6A" w:rsidRPr="00016D7C">
        <w:t xml:space="preserve"> </w:t>
      </w:r>
      <w:r w:rsidR="008339EE" w:rsidRPr="00016D7C">
        <w:t xml:space="preserve">an </w:t>
      </w:r>
      <w:r w:rsidR="00DC7F6A" w:rsidRPr="00016D7C">
        <w:t>analy</w:t>
      </w:r>
      <w:r w:rsidR="008339EE" w:rsidRPr="00016D7C">
        <w:t>sis</w:t>
      </w:r>
      <w:r w:rsidR="00DC7F6A" w:rsidRPr="00016D7C">
        <w:t xml:space="preserve"> </w:t>
      </w:r>
      <w:r w:rsidR="008339EE" w:rsidRPr="00016D7C">
        <w:t xml:space="preserve">on </w:t>
      </w:r>
      <w:r w:rsidR="00DC7F6A" w:rsidRPr="00016D7C">
        <w:t>them.</w:t>
      </w:r>
    </w:p>
    <w:p w14:paraId="5488B664" w14:textId="600C220F" w:rsidR="00DC7F6A" w:rsidRPr="00016D7C" w:rsidRDefault="004F3C7C" w:rsidP="00AA1079">
      <w:pPr>
        <w:pStyle w:val="titolorecesug"/>
      </w:pPr>
      <w:r w:rsidRPr="00016D7C">
        <w:t>Recommendation n</w:t>
      </w:r>
      <w:r w:rsidR="00241C4D" w:rsidRPr="00016D7C">
        <w:t>o</w:t>
      </w:r>
      <w:r w:rsidRPr="00016D7C">
        <w:t>. 2</w:t>
      </w:r>
    </w:p>
    <w:p w14:paraId="1BC9EA34" w14:textId="761E25D6" w:rsidR="00DC7F6A" w:rsidRPr="00016D7C" w:rsidRDefault="009C5DCE" w:rsidP="009C5DCE">
      <w:pPr>
        <w:pStyle w:val="recesugg"/>
      </w:pPr>
      <w:r w:rsidRPr="00016D7C">
        <w:t>We acknowledge the efforts made by Management in preparing a reliable budget and</w:t>
      </w:r>
      <w:r w:rsidR="00DC7F6A" w:rsidRPr="00016D7C">
        <w:t xml:space="preserve"> </w:t>
      </w:r>
      <w:r w:rsidR="00DC7F6A" w:rsidRPr="00016D7C">
        <w:rPr>
          <w:b/>
          <w:bCs/>
        </w:rPr>
        <w:t>recommend</w:t>
      </w:r>
      <w:r w:rsidR="00DC7F6A" w:rsidRPr="00016D7C">
        <w:t xml:space="preserve"> </w:t>
      </w:r>
      <w:r w:rsidR="00AA1079" w:rsidRPr="00016D7C">
        <w:t xml:space="preserve">Management </w:t>
      </w:r>
      <w:r w:rsidR="00DC7F6A" w:rsidRPr="00016D7C">
        <w:t xml:space="preserve">to </w:t>
      </w:r>
      <w:r w:rsidR="00266C1B" w:rsidRPr="00016D7C">
        <w:t xml:space="preserve">strictly </w:t>
      </w:r>
      <w:r w:rsidR="00DC7F6A" w:rsidRPr="00016D7C">
        <w:t xml:space="preserve">follow the same </w:t>
      </w:r>
      <w:r w:rsidR="0030559E" w:rsidRPr="00016D7C">
        <w:t xml:space="preserve">budget </w:t>
      </w:r>
      <w:r w:rsidR="00266C1B" w:rsidRPr="00016D7C">
        <w:t>brea</w:t>
      </w:r>
      <w:r w:rsidR="00085092" w:rsidRPr="00016D7C">
        <w:t>kdown</w:t>
      </w:r>
      <w:r w:rsidR="00DC7F6A" w:rsidRPr="00016D7C">
        <w:t xml:space="preserve"> </w:t>
      </w:r>
      <w:r w:rsidR="00085092" w:rsidRPr="00016D7C">
        <w:t xml:space="preserve">in </w:t>
      </w:r>
      <w:r w:rsidR="00DC7F6A" w:rsidRPr="00016D7C">
        <w:t xml:space="preserve">result </w:t>
      </w:r>
      <w:r w:rsidR="00085092" w:rsidRPr="00016D7C">
        <w:t>reporting</w:t>
      </w:r>
      <w:r w:rsidR="00DC7F6A" w:rsidRPr="00016D7C">
        <w:t>.</w:t>
      </w:r>
    </w:p>
    <w:p w14:paraId="2C2A987F" w14:textId="77777777" w:rsidR="00E07268" w:rsidRPr="00016D7C" w:rsidRDefault="00E07268" w:rsidP="00E07268"/>
    <w:p w14:paraId="7928FE2D" w14:textId="77777777" w:rsidR="00AA1079" w:rsidRPr="00016D7C" w:rsidRDefault="00AA1079" w:rsidP="00AA1079">
      <w:pPr>
        <w:pStyle w:val="titcomments"/>
      </w:pPr>
      <w:r w:rsidRPr="00016D7C">
        <w:t>Comment by the Secretary-General</w:t>
      </w:r>
    </w:p>
    <w:p w14:paraId="34ABED79" w14:textId="7370A625" w:rsidR="00AA1079" w:rsidRPr="00016D7C" w:rsidRDefault="00850CC6" w:rsidP="00E3537B">
      <w:pPr>
        <w:pStyle w:val="titcomments"/>
        <w:rPr>
          <w:b w:val="0"/>
          <w:bCs w:val="0"/>
          <w:u w:val="none"/>
        </w:rPr>
      </w:pPr>
      <w:r w:rsidRPr="00016D7C">
        <w:rPr>
          <w:b w:val="0"/>
          <w:bCs w:val="0"/>
          <w:u w:val="none"/>
        </w:rPr>
        <w:t xml:space="preserve">Efforts shall be made </w:t>
      </w:r>
      <w:r w:rsidR="004A0BB9" w:rsidRPr="00016D7C">
        <w:rPr>
          <w:b w:val="0"/>
          <w:bCs w:val="0"/>
          <w:u w:val="none"/>
        </w:rPr>
        <w:t>towards</w:t>
      </w:r>
      <w:r w:rsidR="00701400" w:rsidRPr="00016D7C">
        <w:rPr>
          <w:b w:val="0"/>
          <w:bCs w:val="0"/>
          <w:u w:val="none"/>
        </w:rPr>
        <w:t xml:space="preserve"> </w:t>
      </w:r>
      <w:r w:rsidR="0030340E" w:rsidRPr="00016D7C">
        <w:rPr>
          <w:b w:val="0"/>
          <w:bCs w:val="0"/>
          <w:u w:val="none"/>
        </w:rPr>
        <w:t xml:space="preserve">a </w:t>
      </w:r>
      <w:r w:rsidR="00A618AC" w:rsidRPr="00016D7C">
        <w:rPr>
          <w:b w:val="0"/>
          <w:bCs w:val="0"/>
          <w:u w:val="none"/>
        </w:rPr>
        <w:t xml:space="preserve">closer </w:t>
      </w:r>
      <w:r w:rsidR="00B0749A" w:rsidRPr="00016D7C">
        <w:rPr>
          <w:b w:val="0"/>
          <w:bCs w:val="0"/>
          <w:u w:val="none"/>
        </w:rPr>
        <w:t>coordination between the ITU T</w:t>
      </w:r>
      <w:r w:rsidR="002C2DBC" w:rsidRPr="00016D7C">
        <w:rPr>
          <w:b w:val="0"/>
          <w:bCs w:val="0"/>
          <w:u w:val="none"/>
        </w:rPr>
        <w:t>elecom</w:t>
      </w:r>
      <w:r w:rsidR="00B0749A" w:rsidRPr="00016D7C">
        <w:rPr>
          <w:b w:val="0"/>
          <w:bCs w:val="0"/>
          <w:u w:val="none"/>
        </w:rPr>
        <w:t xml:space="preserve"> Secretariat and FRMD to </w:t>
      </w:r>
      <w:r w:rsidR="00701400" w:rsidRPr="00016D7C">
        <w:rPr>
          <w:b w:val="0"/>
          <w:bCs w:val="0"/>
          <w:u w:val="none"/>
        </w:rPr>
        <w:t>address this issue</w:t>
      </w:r>
      <w:r w:rsidR="00B0749A" w:rsidRPr="00016D7C">
        <w:rPr>
          <w:b w:val="0"/>
          <w:bCs w:val="0"/>
          <w:u w:val="none"/>
        </w:rPr>
        <w:t>.</w:t>
      </w:r>
    </w:p>
    <w:p w14:paraId="42C20ECD" w14:textId="77777777" w:rsidR="00021DC3" w:rsidRPr="00016D7C" w:rsidRDefault="008D28AD" w:rsidP="0002440A">
      <w:pPr>
        <w:pStyle w:val="Heading1"/>
      </w:pPr>
      <w:bookmarkStart w:id="36" w:name="_Toc417373399"/>
      <w:r w:rsidRPr="00016D7C">
        <w:t>Registration service</w:t>
      </w:r>
      <w:bookmarkEnd w:id="36"/>
    </w:p>
    <w:p w14:paraId="29BEB221" w14:textId="77777777" w:rsidR="000F0A5F" w:rsidRPr="00016D7C" w:rsidRDefault="00021DC3" w:rsidP="00AA1079">
      <w:pPr>
        <w:pStyle w:val="testobase"/>
      </w:pPr>
      <w:r w:rsidRPr="00016D7C">
        <w:t>We verified that our previous recommendation</w:t>
      </w:r>
      <w:r w:rsidR="000255C4" w:rsidRPr="00016D7C">
        <w:t xml:space="preserve"> (Rec. n. 2 in our report on Dubai 2012)</w:t>
      </w:r>
      <w:r w:rsidRPr="00016D7C">
        <w:t xml:space="preserve">, about the insourcing of registration services, has been duly followed.  </w:t>
      </w:r>
      <w:r w:rsidR="00D06FD5" w:rsidRPr="00016D7C">
        <w:t>However, o</w:t>
      </w:r>
      <w:r w:rsidRPr="00016D7C">
        <w:t xml:space="preserve">ur interviews showed some lack in flexibility, but we can </w:t>
      </w:r>
      <w:r w:rsidR="00D06FD5" w:rsidRPr="00016D7C">
        <w:t>a</w:t>
      </w:r>
      <w:r w:rsidR="00F948C8" w:rsidRPr="00016D7C">
        <w:t>c</w:t>
      </w:r>
      <w:r w:rsidR="00D06FD5" w:rsidRPr="00016D7C">
        <w:t>knowledge</w:t>
      </w:r>
      <w:r w:rsidRPr="00016D7C">
        <w:t xml:space="preserve"> that the cooperation with internal resources gives the possibility of </w:t>
      </w:r>
      <w:r w:rsidR="00AA1079" w:rsidRPr="00016D7C">
        <w:t>continuous improvements</w:t>
      </w:r>
      <w:r w:rsidRPr="00016D7C">
        <w:t xml:space="preserve"> year after year, with the sharing of specific experiences.  </w:t>
      </w:r>
    </w:p>
    <w:p w14:paraId="13C465CC" w14:textId="77777777" w:rsidR="00266C1B" w:rsidRPr="00016D7C" w:rsidRDefault="00266C1B" w:rsidP="00AA1079">
      <w:pPr>
        <w:pStyle w:val="testobase"/>
      </w:pPr>
      <w:r w:rsidRPr="00016D7C">
        <w:t xml:space="preserve">We will </w:t>
      </w:r>
      <w:r w:rsidR="00F948C8" w:rsidRPr="00016D7C">
        <w:t>monitor this issue to verify the actual improvements.</w:t>
      </w:r>
    </w:p>
    <w:p w14:paraId="7081F35C" w14:textId="77777777" w:rsidR="008D28AD" w:rsidRPr="00016D7C" w:rsidRDefault="008D28AD" w:rsidP="00F9159C">
      <w:pPr>
        <w:pStyle w:val="Heading3"/>
      </w:pPr>
      <w:bookmarkStart w:id="37" w:name="_Toc417373400"/>
      <w:r w:rsidRPr="00016D7C">
        <w:lastRenderedPageBreak/>
        <w:t>P</w:t>
      </w:r>
      <w:r w:rsidR="00F9159C" w:rsidRPr="00016D7C">
        <w:t>olicy concerning strategic expenditures</w:t>
      </w:r>
      <w:bookmarkEnd w:id="37"/>
      <w:r w:rsidRPr="00016D7C">
        <w:t xml:space="preserve"> </w:t>
      </w:r>
    </w:p>
    <w:p w14:paraId="44620FBA" w14:textId="77777777" w:rsidR="008D28AD" w:rsidRPr="00016D7C" w:rsidRDefault="008D28AD" w:rsidP="00AA1079">
      <w:pPr>
        <w:pStyle w:val="testobase"/>
      </w:pPr>
      <w:r w:rsidRPr="00016D7C">
        <w:t xml:space="preserve">Resolution 11 (Rev. Guadalajara, 2010) highlights in several sections the need to enhance the participation of </w:t>
      </w:r>
      <w:r w:rsidR="00D06FD5" w:rsidRPr="00016D7C">
        <w:t>D</w:t>
      </w:r>
      <w:r w:rsidRPr="00016D7C">
        <w:t>eveloping Countries, in particular with reference to considering “a) (...) promoting the extension of the benefits of the new telecommunication technologies to all the world's inhabitants (...)” and in considering “d) (...) possibilities of applying these achievements for the benefit of all Member States and Sector members, particularly the developing countries”.</w:t>
      </w:r>
    </w:p>
    <w:p w14:paraId="01021D6E" w14:textId="63419FB2" w:rsidR="008D28AD" w:rsidRPr="00016D7C" w:rsidRDefault="008D28AD" w:rsidP="00BD0B80">
      <w:pPr>
        <w:pStyle w:val="testobase"/>
      </w:pPr>
      <w:r w:rsidRPr="00016D7C">
        <w:t>Furthermore, Resolution 11 instructs the Secretary-General 3) prescribes that “[Secretary-General] could consider measures that will enable and assist Member States which are capable and willing to do so, particularly developing countries, to host and stage ITU TELECOM events”</w:t>
      </w:r>
      <w:r w:rsidR="00EF3AB4">
        <w:t>.</w:t>
      </w:r>
    </w:p>
    <w:p w14:paraId="492FA3AE" w14:textId="7DA5521F" w:rsidR="008D28AD" w:rsidRPr="00016D7C" w:rsidRDefault="008D28AD" w:rsidP="00EF3AB4">
      <w:pPr>
        <w:pStyle w:val="testobase"/>
      </w:pPr>
      <w:r w:rsidRPr="00016D7C">
        <w:t>Management clearly reported that several measures are in favor of the objectives stated in the aforementioned Resolution 11, such as</w:t>
      </w:r>
      <w:r w:rsidR="00D06FD5" w:rsidRPr="00016D7C">
        <w:t>: a)</w:t>
      </w:r>
      <w:r w:rsidRPr="00016D7C">
        <w:t xml:space="preserve"> a programme of fellowship</w:t>
      </w:r>
      <w:r w:rsidR="00D06FD5" w:rsidRPr="00016D7C">
        <w:t>; b)</w:t>
      </w:r>
      <w:r w:rsidRPr="00016D7C">
        <w:t xml:space="preserve"> discounts</w:t>
      </w:r>
      <w:r w:rsidR="00D06FD5" w:rsidRPr="00016D7C">
        <w:t>; c)</w:t>
      </w:r>
      <w:r w:rsidRPr="00016D7C">
        <w:t xml:space="preserve"> help in building national pavilions</w:t>
      </w:r>
      <w:r w:rsidR="00D06FD5" w:rsidRPr="00016D7C">
        <w:t>;</w:t>
      </w:r>
      <w:r w:rsidRPr="00016D7C">
        <w:t xml:space="preserve"> </w:t>
      </w:r>
      <w:r w:rsidR="00D06FD5" w:rsidRPr="00016D7C">
        <w:t xml:space="preserve">d) </w:t>
      </w:r>
      <w:r w:rsidRPr="00016D7C">
        <w:t>creating networking meeting etc.</w:t>
      </w:r>
    </w:p>
    <w:p w14:paraId="43A7362F" w14:textId="77777777" w:rsidR="008D28AD" w:rsidRPr="00016D7C" w:rsidRDefault="008D28AD" w:rsidP="00AA1079">
      <w:pPr>
        <w:pStyle w:val="testobase"/>
      </w:pPr>
      <w:r w:rsidRPr="00016D7C">
        <w:t xml:space="preserve">With reference to our previous Suggestion 8, we verified that for Least Developed Countries and Low Income Countries Fellowship Programme an amount of 100 kCHF was budgeted but only 76% was spent. Although we welcome any savings, we have to </w:t>
      </w:r>
      <w:r w:rsidR="00C6601A" w:rsidRPr="00016D7C">
        <w:t>consider</w:t>
      </w:r>
      <w:r w:rsidRPr="00016D7C">
        <w:t xml:space="preserve"> that in some cases a more complete expenditure reflects more likely the compliance with the above mentioned principles and rules. </w:t>
      </w:r>
    </w:p>
    <w:p w14:paraId="00D68491" w14:textId="77777777" w:rsidR="008D28AD" w:rsidRPr="00016D7C" w:rsidRDefault="008D28AD" w:rsidP="002D1903">
      <w:pPr>
        <w:pStyle w:val="testobase"/>
      </w:pPr>
      <w:r w:rsidRPr="00016D7C">
        <w:t>We noted that in 2014 event (and similarly in previous Telecom World events) awards for Young Innovators have been given for less of the half of the budgeted amount</w:t>
      </w:r>
      <w:r w:rsidR="009B62A1" w:rsidRPr="00016D7C">
        <w:t xml:space="preserve"> (80,000 CHF budgeted, 35,397 CHF actual expenses)</w:t>
      </w:r>
      <w:r w:rsidRPr="00016D7C">
        <w:t>.</w:t>
      </w:r>
    </w:p>
    <w:p w14:paraId="158B3233" w14:textId="0BC33FA1" w:rsidR="002D1903" w:rsidRPr="00016D7C" w:rsidRDefault="00F00041" w:rsidP="00241C4D">
      <w:pPr>
        <w:pStyle w:val="titolorecesug"/>
      </w:pPr>
      <w:r w:rsidRPr="00016D7C">
        <w:t>Suggestion n</w:t>
      </w:r>
      <w:r w:rsidR="00241C4D" w:rsidRPr="00016D7C">
        <w:t>o</w:t>
      </w:r>
      <w:r w:rsidRPr="00016D7C">
        <w:t>. </w:t>
      </w:r>
      <w:r w:rsidR="00241C4D" w:rsidRPr="00016D7C">
        <w:t>6</w:t>
      </w:r>
    </w:p>
    <w:p w14:paraId="18118A19" w14:textId="5C6CCC3E" w:rsidR="009B62A1" w:rsidRPr="00016D7C" w:rsidRDefault="00FC7FC1" w:rsidP="0030559E">
      <w:pPr>
        <w:pStyle w:val="recesugg"/>
      </w:pPr>
      <w:r w:rsidRPr="00016D7C">
        <w:t xml:space="preserve">We </w:t>
      </w:r>
      <w:r w:rsidRPr="00016D7C">
        <w:rPr>
          <w:b/>
          <w:bCs/>
        </w:rPr>
        <w:t>suggest</w:t>
      </w:r>
      <w:r w:rsidRPr="00016D7C">
        <w:t xml:space="preserve"> </w:t>
      </w:r>
      <w:r w:rsidR="00F00041" w:rsidRPr="00016D7C">
        <w:t>M</w:t>
      </w:r>
      <w:r w:rsidR="002D1903" w:rsidRPr="00016D7C">
        <w:t xml:space="preserve">anagement </w:t>
      </w:r>
      <w:r w:rsidRPr="00016D7C">
        <w:t xml:space="preserve">to </w:t>
      </w:r>
      <w:r w:rsidR="004F3C7C" w:rsidRPr="00016D7C">
        <w:t xml:space="preserve">analyse </w:t>
      </w:r>
      <w:r w:rsidR="00F00041" w:rsidRPr="00016D7C">
        <w:t xml:space="preserve">which budget line related to </w:t>
      </w:r>
      <w:r w:rsidR="0030559E" w:rsidRPr="00016D7C">
        <w:t>expenses</w:t>
      </w:r>
      <w:r w:rsidR="00F00041" w:rsidRPr="00016D7C">
        <w:t xml:space="preserve"> are strategic and consequently</w:t>
      </w:r>
      <w:r w:rsidR="003419E8" w:rsidRPr="00016D7C">
        <w:t>, once decided,</w:t>
      </w:r>
      <w:r w:rsidR="00F00041" w:rsidRPr="00016D7C">
        <w:t xml:space="preserve"> to </w:t>
      </w:r>
      <w:r w:rsidR="003419E8" w:rsidRPr="00016D7C">
        <w:t>assess if</w:t>
      </w:r>
      <w:r w:rsidR="00F00041" w:rsidRPr="00016D7C">
        <w:t xml:space="preserve"> savings related to the</w:t>
      </w:r>
      <w:r w:rsidRPr="00016D7C">
        <w:t>s</w:t>
      </w:r>
      <w:r w:rsidR="00F00041" w:rsidRPr="00016D7C">
        <w:t>e</w:t>
      </w:r>
      <w:r w:rsidRPr="00016D7C">
        <w:t xml:space="preserve"> </w:t>
      </w:r>
      <w:r w:rsidR="003419E8" w:rsidRPr="00016D7C">
        <w:t>strategies would be appropriate</w:t>
      </w:r>
      <w:r w:rsidR="00F00041" w:rsidRPr="00016D7C">
        <w:t>.</w:t>
      </w:r>
      <w:r w:rsidRPr="00016D7C">
        <w:t xml:space="preserve"> </w:t>
      </w:r>
    </w:p>
    <w:p w14:paraId="73EBA411" w14:textId="77777777" w:rsidR="009B62A1" w:rsidRPr="00016D7C" w:rsidRDefault="009B62A1" w:rsidP="007C4F4F">
      <w:pPr>
        <w:rPr>
          <w:lang w:val="en-GB"/>
        </w:rPr>
      </w:pPr>
    </w:p>
    <w:p w14:paraId="320208DA" w14:textId="77777777" w:rsidR="002D1903" w:rsidRPr="00016D7C" w:rsidRDefault="002D1903" w:rsidP="002D1903">
      <w:pPr>
        <w:pStyle w:val="titcomments"/>
      </w:pPr>
      <w:r w:rsidRPr="00016D7C">
        <w:t>Comment by the Secretary-General</w:t>
      </w:r>
    </w:p>
    <w:p w14:paraId="362F3EB2" w14:textId="4A4C64AD" w:rsidR="00B0749A" w:rsidRPr="00016D7C" w:rsidRDefault="00B0749A" w:rsidP="00B0749A">
      <w:pPr>
        <w:pStyle w:val="comments"/>
      </w:pPr>
      <w:r w:rsidRPr="00016D7C">
        <w:t>The actual expenses incurred for fellowships including awards for Young Innovators are directly related to the number of eligible applications. Notwithstanding, ITU shall analyze any potential savings on these and other budgeted items that could be considered as strategic expenses and carefully assess the impact on the success of the event.</w:t>
      </w:r>
    </w:p>
    <w:p w14:paraId="766B943C" w14:textId="77777777" w:rsidR="008D28AD" w:rsidRPr="00016D7C" w:rsidRDefault="008D28AD" w:rsidP="002D1903">
      <w:pPr>
        <w:pStyle w:val="Heading2"/>
      </w:pPr>
      <w:bookmarkStart w:id="38" w:name="_Toc417373401"/>
      <w:r w:rsidRPr="00016D7C">
        <w:lastRenderedPageBreak/>
        <w:t>KPIs and Post Event Survey</w:t>
      </w:r>
      <w:bookmarkEnd w:id="38"/>
    </w:p>
    <w:p w14:paraId="1822AFB8" w14:textId="77777777" w:rsidR="008D28AD" w:rsidRPr="00016D7C" w:rsidRDefault="008D28AD" w:rsidP="002D1903">
      <w:pPr>
        <w:pStyle w:val="testobase"/>
      </w:pPr>
      <w:r w:rsidRPr="00016D7C">
        <w:t>Results of KPIs analysis are basically aimed at helping Management in its strategic decisions, and can be also partially useful in strengthening some evidence we already obtained.</w:t>
      </w:r>
    </w:p>
    <w:p w14:paraId="05BBEB4E" w14:textId="77777777" w:rsidR="008D28AD" w:rsidRPr="00016D7C" w:rsidRDefault="008D28AD" w:rsidP="002D1903">
      <w:pPr>
        <w:pStyle w:val="testobase"/>
      </w:pPr>
      <w:r w:rsidRPr="00016D7C">
        <w:t>Originally, an amount of 10 kCHF was budgeted for the survey, but according to our general indication for insourcing activities when possible, no external service was purchased.</w:t>
      </w:r>
    </w:p>
    <w:p w14:paraId="153ED16D" w14:textId="77777777" w:rsidR="008D28AD" w:rsidRPr="00016D7C" w:rsidRDefault="008D28AD" w:rsidP="002D1903">
      <w:pPr>
        <w:pStyle w:val="testobase"/>
      </w:pPr>
      <w:r w:rsidRPr="00016D7C">
        <w:t xml:space="preserve">On </w:t>
      </w:r>
      <w:r w:rsidR="00044E4E" w:rsidRPr="00016D7C">
        <w:t>17</w:t>
      </w:r>
      <w:r w:rsidRPr="00016D7C">
        <w:t xml:space="preserve"> December 2014 a “Post event online Survey” was al</w:t>
      </w:r>
      <w:r w:rsidR="00044E4E" w:rsidRPr="00016D7C">
        <w:t>so started about some aspect of</w:t>
      </w:r>
      <w:r w:rsidRPr="00016D7C">
        <w:t xml:space="preserve"> ITU Telecom World 2014, using a specialized software. After sending three reminders to those who </w:t>
      </w:r>
      <w:r w:rsidR="008303EE" w:rsidRPr="00016D7C">
        <w:t>did not respond</w:t>
      </w:r>
      <w:r w:rsidRPr="00016D7C">
        <w:t>, the survey was closed on 2 January 2015.</w:t>
      </w:r>
    </w:p>
    <w:p w14:paraId="25F4FE05" w14:textId="77777777" w:rsidR="006B38E1" w:rsidRPr="00016D7C" w:rsidRDefault="006B38E1" w:rsidP="003419E8">
      <w:pPr>
        <w:pStyle w:val="Heading3"/>
      </w:pPr>
      <w:bookmarkStart w:id="39" w:name="_Toc417373402"/>
      <w:r w:rsidRPr="00016D7C">
        <w:t>Prize draw</w:t>
      </w:r>
      <w:bookmarkEnd w:id="39"/>
    </w:p>
    <w:p w14:paraId="42C1BADE" w14:textId="5922A417" w:rsidR="008D28AD" w:rsidRPr="00016D7C" w:rsidRDefault="008D28AD" w:rsidP="002D1903">
      <w:pPr>
        <w:pStyle w:val="testobase"/>
      </w:pPr>
      <w:r w:rsidRPr="00016D7C">
        <w:t>Only an 8% of answers ha</w:t>
      </w:r>
      <w:r w:rsidR="008303EE" w:rsidRPr="00016D7C">
        <w:t>ve</w:t>
      </w:r>
      <w:r w:rsidRPr="00016D7C">
        <w:t xml:space="preserve"> been obtained, although an incentive of a “prize draw” was offered to </w:t>
      </w:r>
      <w:r w:rsidR="008303EE" w:rsidRPr="00016D7C">
        <w:t xml:space="preserve">those who replied before </w:t>
      </w:r>
      <w:r w:rsidRPr="00016D7C">
        <w:t xml:space="preserve">31 December 2014. We </w:t>
      </w:r>
      <w:r w:rsidR="008303EE" w:rsidRPr="00016D7C">
        <w:t>obtained</w:t>
      </w:r>
      <w:r w:rsidRPr="00016D7C">
        <w:t xml:space="preserve"> evidence that a random draw has </w:t>
      </w:r>
      <w:r w:rsidR="008303EE" w:rsidRPr="00016D7C">
        <w:t xml:space="preserve">taken place and that 10 watches have been </w:t>
      </w:r>
      <w:r w:rsidRPr="00016D7C">
        <w:t>sent to the winner</w:t>
      </w:r>
      <w:r w:rsidR="0020628D">
        <w:t>s</w:t>
      </w:r>
      <w:r w:rsidRPr="00016D7C">
        <w:t xml:space="preserve"> of the draw, in different parts of the world.</w:t>
      </w:r>
    </w:p>
    <w:p w14:paraId="1D2AA134" w14:textId="76B30A64" w:rsidR="00980FAA" w:rsidRPr="00016D7C" w:rsidRDefault="00980FAA" w:rsidP="00A26EFC">
      <w:pPr>
        <w:pStyle w:val="testobase"/>
      </w:pPr>
      <w:r w:rsidRPr="00016D7C">
        <w:t>The</w:t>
      </w:r>
      <w:r w:rsidR="003321CE" w:rsidRPr="00016D7C">
        <w:t xml:space="preserve"> cost of </w:t>
      </w:r>
      <w:r w:rsidR="00A26EFC" w:rsidRPr="00016D7C">
        <w:t xml:space="preserve">sending the prizes (watches) has </w:t>
      </w:r>
      <w:r w:rsidRPr="00016D7C">
        <w:t xml:space="preserve">been recorded in the accounts of </w:t>
      </w:r>
      <w:r w:rsidR="003321CE" w:rsidRPr="00016D7C">
        <w:t>WT</w:t>
      </w:r>
      <w:r w:rsidRPr="00016D7C">
        <w:t>14 financial statements</w:t>
      </w:r>
      <w:r w:rsidR="00A26EFC" w:rsidRPr="00016D7C">
        <w:t xml:space="preserve"> under Communications and Marketing postage and freight services budget line. However, for one invoice that arrived in February 2015</w:t>
      </w:r>
      <w:r w:rsidRPr="00016D7C">
        <w:t>, an accrual to the 2014 event should have been disclosed.</w:t>
      </w:r>
    </w:p>
    <w:p w14:paraId="07771778" w14:textId="4DA2A114" w:rsidR="00BE2194" w:rsidRPr="00016D7C" w:rsidRDefault="00A46D48" w:rsidP="00241C4D">
      <w:pPr>
        <w:pStyle w:val="titolorecesug"/>
      </w:pPr>
      <w:r w:rsidRPr="00016D7C">
        <w:t>Suggestion n</w:t>
      </w:r>
      <w:r w:rsidR="00241C4D" w:rsidRPr="00016D7C">
        <w:t>o</w:t>
      </w:r>
      <w:r w:rsidRPr="00016D7C">
        <w:t>. </w:t>
      </w:r>
      <w:r w:rsidR="00241C4D" w:rsidRPr="00016D7C">
        <w:t>7</w:t>
      </w:r>
    </w:p>
    <w:p w14:paraId="7ECC0652" w14:textId="43A2D154" w:rsidR="008D28AD" w:rsidRPr="00016D7C" w:rsidRDefault="00980FAA" w:rsidP="00310162">
      <w:pPr>
        <w:pStyle w:val="recesugg"/>
      </w:pPr>
      <w:r w:rsidRPr="00016D7C">
        <w:t xml:space="preserve">We </w:t>
      </w:r>
      <w:r w:rsidR="00A46D48" w:rsidRPr="00016D7C">
        <w:rPr>
          <w:b/>
          <w:bCs/>
        </w:rPr>
        <w:t xml:space="preserve">suggest </w:t>
      </w:r>
      <w:r w:rsidRPr="00016D7C">
        <w:t xml:space="preserve">Management </w:t>
      </w:r>
      <w:r w:rsidR="008D28AD" w:rsidRPr="00016D7C">
        <w:t xml:space="preserve">to </w:t>
      </w:r>
      <w:r w:rsidR="00EF1117" w:rsidRPr="00016D7C">
        <w:t>allocate budgetary provisions in the future should significant expenses relating to the prize draw be foreseen.</w:t>
      </w:r>
    </w:p>
    <w:p w14:paraId="741B6CAD" w14:textId="77777777" w:rsidR="00BE2194" w:rsidRPr="00016D7C" w:rsidRDefault="00BE2194" w:rsidP="00BE2194">
      <w:pPr>
        <w:rPr>
          <w:lang w:val="en-GB"/>
        </w:rPr>
      </w:pPr>
    </w:p>
    <w:p w14:paraId="5B251079" w14:textId="77777777" w:rsidR="00980FAA" w:rsidRPr="00016D7C" w:rsidRDefault="00980FAA" w:rsidP="00980FAA">
      <w:pPr>
        <w:pStyle w:val="titcomments"/>
      </w:pPr>
      <w:r w:rsidRPr="00016D7C">
        <w:t>Comment by the Secretary-General</w:t>
      </w:r>
    </w:p>
    <w:p w14:paraId="37F5D3E4" w14:textId="1ABB7FAF" w:rsidR="00980FAA" w:rsidRPr="00016D7C" w:rsidRDefault="00B228D0" w:rsidP="008A4AF7">
      <w:pPr>
        <w:pStyle w:val="comments"/>
      </w:pPr>
      <w:r w:rsidRPr="00016D7C">
        <w:t>Budgetary provisions shall be made for the prize draw should significant expenses be envisaged.</w:t>
      </w:r>
      <w:r w:rsidR="00EC176F" w:rsidRPr="00016D7C">
        <w:t xml:space="preserve">  Although </w:t>
      </w:r>
      <w:r w:rsidR="00595835" w:rsidRPr="00016D7C">
        <w:t xml:space="preserve">the event budget includes cost of postage and freight services, </w:t>
      </w:r>
      <w:r w:rsidR="00EC176F" w:rsidRPr="00016D7C">
        <w:t>FRMD shall be informed</w:t>
      </w:r>
      <w:r w:rsidR="00595835" w:rsidRPr="00016D7C">
        <w:t xml:space="preserve"> by ITU Telecom in due course </w:t>
      </w:r>
      <w:r w:rsidR="00D83B21" w:rsidRPr="00016D7C">
        <w:t>should</w:t>
      </w:r>
      <w:r w:rsidR="00595835" w:rsidRPr="00016D7C">
        <w:t xml:space="preserve"> additional invoices </w:t>
      </w:r>
      <w:r w:rsidR="00D83B21" w:rsidRPr="00016D7C">
        <w:t>be</w:t>
      </w:r>
      <w:r w:rsidR="00595835" w:rsidRPr="00016D7C">
        <w:t xml:space="preserve"> anticipated </w:t>
      </w:r>
      <w:r w:rsidR="00D83B21" w:rsidRPr="00016D7C">
        <w:t xml:space="preserve">after the accounts closing </w:t>
      </w:r>
      <w:r w:rsidR="00595835" w:rsidRPr="00016D7C">
        <w:t xml:space="preserve">to allow the </w:t>
      </w:r>
      <w:r w:rsidR="009D7FB9" w:rsidRPr="00016D7C">
        <w:t xml:space="preserve">relevant </w:t>
      </w:r>
      <w:r w:rsidR="00595835" w:rsidRPr="00016D7C">
        <w:t>allocation of provisions.</w:t>
      </w:r>
    </w:p>
    <w:p w14:paraId="6CCE94D0" w14:textId="77777777" w:rsidR="008D28AD" w:rsidRPr="00016D7C" w:rsidRDefault="008D28AD" w:rsidP="00980FAA">
      <w:pPr>
        <w:pStyle w:val="Heading2"/>
      </w:pPr>
      <w:bookmarkStart w:id="40" w:name="_Toc417373403"/>
      <w:r w:rsidRPr="00016D7C">
        <w:t>Gender distribution</w:t>
      </w:r>
      <w:bookmarkEnd w:id="40"/>
    </w:p>
    <w:p w14:paraId="4C2FD83D" w14:textId="783CDF1C" w:rsidR="000F0A5F" w:rsidRPr="00016D7C" w:rsidRDefault="008D28AD" w:rsidP="006B5A54">
      <w:pPr>
        <w:pStyle w:val="testobase"/>
      </w:pPr>
      <w:r w:rsidRPr="00016D7C">
        <w:t xml:space="preserve">We acknowledge the efforts made by Management to tackle the gender issue </w:t>
      </w:r>
      <w:r w:rsidR="008303EE" w:rsidRPr="00016D7C">
        <w:t xml:space="preserve">that </w:t>
      </w:r>
      <w:r w:rsidRPr="00016D7C">
        <w:t xml:space="preserve">we </w:t>
      </w:r>
      <w:r w:rsidR="008303EE" w:rsidRPr="00016D7C">
        <w:t xml:space="preserve">have </w:t>
      </w:r>
      <w:r w:rsidRPr="00016D7C">
        <w:t>included</w:t>
      </w:r>
      <w:r w:rsidR="008303EE" w:rsidRPr="00016D7C">
        <w:t xml:space="preserve"> in our last report as Sugges</w:t>
      </w:r>
      <w:r w:rsidRPr="00016D7C">
        <w:t xml:space="preserve">tion no. 9. In first place, while in Bangkok 2013 </w:t>
      </w:r>
      <w:r w:rsidRPr="00016D7C">
        <w:lastRenderedPageBreak/>
        <w:t xml:space="preserve">participation to the Forum sessions was unbalanced in favour of the male </w:t>
      </w:r>
      <w:r w:rsidR="0005456F" w:rsidRPr="00016D7C">
        <w:t>gender</w:t>
      </w:r>
      <w:r w:rsidRPr="00016D7C">
        <w:t xml:space="preserve"> </w:t>
      </w:r>
      <w:r w:rsidR="0005456F" w:rsidRPr="00016D7C">
        <w:t>at</w:t>
      </w:r>
      <w:r w:rsidRPr="00016D7C">
        <w:t xml:space="preserve"> a rate of 82%, </w:t>
      </w:r>
      <w:r w:rsidR="00702FC4" w:rsidRPr="00016D7C">
        <w:t xml:space="preserve">while </w:t>
      </w:r>
      <w:r w:rsidRPr="00016D7C">
        <w:t xml:space="preserve">in Doha 2014 the percentage diminished slightly, at 79%. </w:t>
      </w:r>
    </w:p>
    <w:p w14:paraId="62876C8E" w14:textId="77777777" w:rsidR="008D28AD" w:rsidRPr="00016D7C" w:rsidRDefault="006B38E1" w:rsidP="00980FAA">
      <w:pPr>
        <w:pStyle w:val="testobase"/>
      </w:pPr>
      <w:r w:rsidRPr="00016D7C">
        <w:t>However</w:t>
      </w:r>
      <w:r w:rsidR="008D28AD" w:rsidRPr="00016D7C">
        <w:t xml:space="preserve"> we </w:t>
      </w:r>
      <w:r w:rsidR="00702FC4" w:rsidRPr="00016D7C">
        <w:t>recognize that</w:t>
      </w:r>
      <w:r w:rsidRPr="00016D7C">
        <w:t xml:space="preserve"> an increasing</w:t>
      </w:r>
      <w:r w:rsidR="007C6058" w:rsidRPr="00016D7C">
        <w:t xml:space="preserve"> number of</w:t>
      </w:r>
      <w:r w:rsidR="008D28AD" w:rsidRPr="00016D7C">
        <w:t xml:space="preserve"> female speakers </w:t>
      </w:r>
      <w:r w:rsidR="00702FC4" w:rsidRPr="00016D7C">
        <w:t xml:space="preserve">have been </w:t>
      </w:r>
      <w:r w:rsidR="008D28AD" w:rsidRPr="00016D7C">
        <w:t>invited</w:t>
      </w:r>
      <w:r w:rsidR="00F63B5A" w:rsidRPr="00016D7C">
        <w:t>. Although this represents a good</w:t>
      </w:r>
      <w:r w:rsidR="00702FC4" w:rsidRPr="00016D7C">
        <w:t xml:space="preserve"> start for </w:t>
      </w:r>
      <w:r w:rsidR="008D28AD" w:rsidRPr="00016D7C">
        <w:t>compliance with the principles we r</w:t>
      </w:r>
      <w:r w:rsidR="00702FC4" w:rsidRPr="00016D7C">
        <w:t>ais</w:t>
      </w:r>
      <w:r w:rsidR="008D28AD" w:rsidRPr="00016D7C">
        <w:t>ed last year, we intend to go on monitoring f</w:t>
      </w:r>
      <w:r w:rsidR="00D7587D" w:rsidRPr="00016D7C">
        <w:t>urther</w:t>
      </w:r>
      <w:r w:rsidR="008D28AD" w:rsidRPr="00016D7C">
        <w:t xml:space="preserve"> the results of the above mentioned efforts.  </w:t>
      </w:r>
    </w:p>
    <w:p w14:paraId="005C7FF9" w14:textId="524822DE" w:rsidR="00BE2194" w:rsidRPr="00016D7C" w:rsidRDefault="008D28AD" w:rsidP="006B5A54">
      <w:pPr>
        <w:pStyle w:val="Heading3"/>
      </w:pPr>
      <w:bookmarkStart w:id="41" w:name="_Toc417373404"/>
      <w:r w:rsidRPr="00016D7C">
        <w:t xml:space="preserve">Diminishing </w:t>
      </w:r>
      <w:r w:rsidR="00C940C7" w:rsidRPr="00016D7C">
        <w:t xml:space="preserve">number of </w:t>
      </w:r>
      <w:r w:rsidRPr="00016D7C">
        <w:t>Exhibitors</w:t>
      </w:r>
      <w:r w:rsidR="003419E8" w:rsidRPr="00016D7C">
        <w:t xml:space="preserve"> and participants</w:t>
      </w:r>
      <w:bookmarkEnd w:id="41"/>
    </w:p>
    <w:p w14:paraId="77A614A6" w14:textId="77777777" w:rsidR="008D28AD" w:rsidRPr="00016D7C" w:rsidRDefault="007C6058" w:rsidP="00980FAA">
      <w:pPr>
        <w:pStyle w:val="testobase"/>
      </w:pPr>
      <w:r w:rsidRPr="00016D7C">
        <w:t>From the insourced</w:t>
      </w:r>
      <w:r w:rsidR="008D28AD" w:rsidRPr="00016D7C">
        <w:t xml:space="preserve"> </w:t>
      </w:r>
      <w:r w:rsidRPr="00016D7C">
        <w:t>“Event Analysis”, w</w:t>
      </w:r>
      <w:r w:rsidR="00170C1C" w:rsidRPr="00016D7C">
        <w:t xml:space="preserve">e noted that while </w:t>
      </w:r>
      <w:r w:rsidR="008D28AD" w:rsidRPr="00016D7C">
        <w:t xml:space="preserve">square meters </w:t>
      </w:r>
      <w:r w:rsidR="00170C1C" w:rsidRPr="00016D7C">
        <w:t xml:space="preserve">of exhibitions </w:t>
      </w:r>
      <w:r w:rsidR="00190B3D" w:rsidRPr="00016D7C">
        <w:t>increase</w:t>
      </w:r>
      <w:r w:rsidR="000F0A5F" w:rsidRPr="00016D7C">
        <w:t>d</w:t>
      </w:r>
      <w:r w:rsidR="00D7587D" w:rsidRPr="00016D7C">
        <w:t xml:space="preserve"> (5,812 SQMs instead of expected 4,300)</w:t>
      </w:r>
      <w:r w:rsidR="000F0A5F" w:rsidRPr="00016D7C">
        <w:t xml:space="preserve">, </w:t>
      </w:r>
      <w:r w:rsidR="00170C1C" w:rsidRPr="00016D7C">
        <w:t xml:space="preserve">a </w:t>
      </w:r>
      <w:r w:rsidR="000F0A5F" w:rsidRPr="00016D7C">
        <w:t>less</w:t>
      </w:r>
      <w:r w:rsidR="00170C1C" w:rsidRPr="00016D7C">
        <w:t>er</w:t>
      </w:r>
      <w:r w:rsidR="000F0A5F" w:rsidRPr="00016D7C">
        <w:t xml:space="preserve"> </w:t>
      </w:r>
      <w:r w:rsidR="00170C1C" w:rsidRPr="00016D7C">
        <w:t>number of exhibitors were present</w:t>
      </w:r>
      <w:r w:rsidR="00D7587D" w:rsidRPr="00016D7C">
        <w:t xml:space="preserve"> (with 16 national pavil</w:t>
      </w:r>
      <w:r w:rsidRPr="00016D7C">
        <w:t>i</w:t>
      </w:r>
      <w:r w:rsidR="00D7587D" w:rsidRPr="00016D7C">
        <w:t>ons instead of 18 targeted) and only 27 financial contributors (compared with a target of 80) part</w:t>
      </w:r>
      <w:r w:rsidRPr="00016D7C">
        <w:t>i</w:t>
      </w:r>
      <w:r w:rsidR="00D7587D" w:rsidRPr="00016D7C">
        <w:t xml:space="preserve">cipated to the </w:t>
      </w:r>
      <w:r w:rsidR="00980FAA" w:rsidRPr="00016D7C">
        <w:t>show-floor</w:t>
      </w:r>
      <w:r w:rsidR="00170C1C" w:rsidRPr="00016D7C">
        <w:t>.</w:t>
      </w:r>
      <w:r w:rsidRPr="00016D7C">
        <w:t xml:space="preserve"> </w:t>
      </w:r>
      <w:r w:rsidR="002A0901" w:rsidRPr="00016D7C">
        <w:t>Financial report presents a t</w:t>
      </w:r>
      <w:r w:rsidR="00B441A9" w:rsidRPr="00016D7C">
        <w:t>otal of 3,</w:t>
      </w:r>
      <w:r w:rsidR="002A0901" w:rsidRPr="00016D7C">
        <w:t xml:space="preserve">945 SQMs paid exhibition space (including turnkey solutions) and </w:t>
      </w:r>
      <w:r w:rsidR="00980FAA" w:rsidRPr="00016D7C">
        <w:t>revenue</w:t>
      </w:r>
      <w:r w:rsidR="002A0901" w:rsidRPr="00016D7C">
        <w:t xml:space="preserve"> of </w:t>
      </w:r>
      <w:r w:rsidR="00821763" w:rsidRPr="00016D7C">
        <w:t>2,510 k</w:t>
      </w:r>
      <w:r w:rsidR="002A0901" w:rsidRPr="00016D7C">
        <w:t>CHF</w:t>
      </w:r>
      <w:r w:rsidR="00821763" w:rsidRPr="00016D7C">
        <w:t>,</w:t>
      </w:r>
      <w:r w:rsidR="002A0901" w:rsidRPr="00016D7C">
        <w:t xml:space="preserve"> which represents a decrease of 22%</w:t>
      </w:r>
      <w:r w:rsidR="00980FAA" w:rsidRPr="00016D7C">
        <w:t>,</w:t>
      </w:r>
      <w:r w:rsidR="002A0901" w:rsidRPr="00016D7C">
        <w:t xml:space="preserve"> compared to 2013 figures.</w:t>
      </w:r>
    </w:p>
    <w:p w14:paraId="3973100E" w14:textId="77777777" w:rsidR="00170C1C" w:rsidRPr="00016D7C" w:rsidRDefault="00170C1C" w:rsidP="00357C65">
      <w:pPr>
        <w:pStyle w:val="testobase"/>
      </w:pPr>
      <w:r w:rsidRPr="00016D7C">
        <w:t xml:space="preserve">Apart </w:t>
      </w:r>
      <w:r w:rsidR="007C6058" w:rsidRPr="00016D7C">
        <w:t xml:space="preserve">from the </w:t>
      </w:r>
      <w:r w:rsidRPr="00016D7C">
        <w:t xml:space="preserve">financial </w:t>
      </w:r>
      <w:r w:rsidR="00980FAA" w:rsidRPr="00016D7C">
        <w:t>effect,</w:t>
      </w:r>
      <w:r w:rsidRPr="00016D7C">
        <w:t xml:space="preserve"> this trend, where</w:t>
      </w:r>
      <w:r w:rsidR="00A64700" w:rsidRPr="00016D7C">
        <w:t>as</w:t>
      </w:r>
      <w:r w:rsidR="00980FAA" w:rsidRPr="00016D7C">
        <w:t xml:space="preserve"> confirmed, </w:t>
      </w:r>
      <w:r w:rsidRPr="00016D7C">
        <w:t xml:space="preserve">could endanger </w:t>
      </w:r>
      <w:r w:rsidR="00A64700" w:rsidRPr="00016D7C">
        <w:t>the perception and the significance of the event.</w:t>
      </w:r>
    </w:p>
    <w:p w14:paraId="0E3BB298" w14:textId="77777777" w:rsidR="003419E8" w:rsidRPr="00016D7C" w:rsidRDefault="003419E8" w:rsidP="003419E8">
      <w:pPr>
        <w:pStyle w:val="testobase"/>
      </w:pPr>
      <w:r w:rsidRPr="00016D7C">
        <w:t xml:space="preserve">Participations of leaders were much less than expected (205 instead of 350). There were less governmental officials and more operators and regulators. The percentage of participation of private/public sector’s leaders was 35/65, whereas the expected ratio declared in the KPI Event Analysis was 50/50.  </w:t>
      </w:r>
    </w:p>
    <w:p w14:paraId="233F2BF7" w14:textId="77777777" w:rsidR="003419E8" w:rsidRPr="00016D7C" w:rsidRDefault="003419E8" w:rsidP="003419E8">
      <w:pPr>
        <w:pStyle w:val="testobase"/>
      </w:pPr>
      <w:r w:rsidRPr="00016D7C">
        <w:t>In the meeting of 10 March 2015 with World Telecom staff it has been assumed that this problems of scarce participations is partly due to the recent ITU Plenipotentiary Conference in Busan, that could have drained, for States with limited budget, resources allocated for similar events.</w:t>
      </w:r>
    </w:p>
    <w:p w14:paraId="498665CB" w14:textId="5BAFFC76" w:rsidR="00A64700" w:rsidRPr="00016D7C" w:rsidRDefault="003419E8" w:rsidP="00357C65">
      <w:pPr>
        <w:pStyle w:val="titolorecesug"/>
      </w:pPr>
      <w:r w:rsidRPr="00016D7C">
        <w:t>Recommendation n</w:t>
      </w:r>
      <w:r w:rsidR="00241C4D" w:rsidRPr="00016D7C">
        <w:t>o</w:t>
      </w:r>
      <w:r w:rsidRPr="00016D7C">
        <w:t>. 3</w:t>
      </w:r>
    </w:p>
    <w:p w14:paraId="43FBE607" w14:textId="77777777" w:rsidR="00190B3D" w:rsidRPr="00016D7C" w:rsidRDefault="00357C65" w:rsidP="003419E8">
      <w:pPr>
        <w:pStyle w:val="recesugg"/>
      </w:pPr>
      <w:r w:rsidRPr="00016D7C">
        <w:t xml:space="preserve">We </w:t>
      </w:r>
      <w:r w:rsidR="00A64700" w:rsidRPr="00016D7C">
        <w:rPr>
          <w:b/>
        </w:rPr>
        <w:t>recommend</w:t>
      </w:r>
      <w:r w:rsidR="00A64700" w:rsidRPr="00016D7C">
        <w:t xml:space="preserve"> </w:t>
      </w:r>
      <w:r w:rsidR="00980FAA" w:rsidRPr="00016D7C">
        <w:t xml:space="preserve">Management </w:t>
      </w:r>
      <w:r w:rsidR="00A64700" w:rsidRPr="00016D7C">
        <w:t xml:space="preserve">to </w:t>
      </w:r>
      <w:r w:rsidR="003419E8" w:rsidRPr="00016D7C">
        <w:t>continue its effort in consolidating the</w:t>
      </w:r>
      <w:r w:rsidR="00A64700" w:rsidRPr="00016D7C">
        <w:t xml:space="preserve"> exhibitors</w:t>
      </w:r>
      <w:r w:rsidR="00980FAA" w:rsidRPr="00016D7C">
        <w:t>’</w:t>
      </w:r>
      <w:r w:rsidR="00A64700" w:rsidRPr="00016D7C">
        <w:t xml:space="preserve"> presence </w:t>
      </w:r>
      <w:r w:rsidR="003419E8" w:rsidRPr="00016D7C">
        <w:t>and participants’ number</w:t>
      </w:r>
      <w:r w:rsidR="00A64700" w:rsidRPr="00016D7C">
        <w:t>.</w:t>
      </w:r>
    </w:p>
    <w:p w14:paraId="31B466BF" w14:textId="77777777" w:rsidR="00357C65" w:rsidRPr="00016D7C" w:rsidRDefault="00357C65" w:rsidP="00357C65"/>
    <w:p w14:paraId="70D67CCF" w14:textId="77777777" w:rsidR="00357C65" w:rsidRPr="00016D7C" w:rsidRDefault="00357C65" w:rsidP="00357C65">
      <w:pPr>
        <w:pStyle w:val="titcomments"/>
      </w:pPr>
      <w:r w:rsidRPr="00016D7C">
        <w:t>Comment by the Secretary-General</w:t>
      </w:r>
    </w:p>
    <w:p w14:paraId="6F7EFFB7" w14:textId="186CC4B2" w:rsidR="00357C65" w:rsidRPr="00016D7C" w:rsidRDefault="002C2DBC" w:rsidP="00E440C1">
      <w:pPr>
        <w:pStyle w:val="comments"/>
      </w:pPr>
      <w:r w:rsidRPr="00016D7C">
        <w:t>As of 2015, ITU Telecom will enter a transitional period to present itself as an international platform with a focus on ICT entrepreneurship and SME support initiatives.  With such re-position</w:t>
      </w:r>
      <w:r w:rsidR="00E440C1" w:rsidRPr="00016D7C">
        <w:t>ing</w:t>
      </w:r>
      <w:r w:rsidRPr="00016D7C">
        <w:t>, there will be an opportunity to engage a new wider audience, while still fulfilling the mandate for Member States.  Additional focus and relevance is being given to the exhibition in order to significantly increase the number of participants.  KPIs are being established to monitor progress.</w:t>
      </w:r>
    </w:p>
    <w:p w14:paraId="76250CAF" w14:textId="77777777" w:rsidR="008D28AD" w:rsidRPr="00016D7C" w:rsidRDefault="00190B3D" w:rsidP="003D770A">
      <w:pPr>
        <w:pStyle w:val="Heading3"/>
      </w:pPr>
      <w:bookmarkStart w:id="42" w:name="_Toc417373405"/>
      <w:r w:rsidRPr="00016D7C">
        <w:lastRenderedPageBreak/>
        <w:t>Problems with Visas</w:t>
      </w:r>
      <w:bookmarkEnd w:id="42"/>
    </w:p>
    <w:p w14:paraId="0664837F" w14:textId="77777777" w:rsidR="00357C65" w:rsidRPr="00016D7C" w:rsidRDefault="00B05FA5" w:rsidP="00A679D9">
      <w:pPr>
        <w:pStyle w:val="testobase"/>
      </w:pPr>
      <w:r w:rsidRPr="00016D7C">
        <w:t>In the above mentioned meeting with World Telecom staff, p</w:t>
      </w:r>
      <w:r w:rsidR="008D28AD" w:rsidRPr="00016D7C">
        <w:t>roblems with Visas have been reported to us.</w:t>
      </w:r>
      <w:r w:rsidR="00190B3D" w:rsidRPr="00016D7C">
        <w:t xml:space="preserve"> This caused cancellations. </w:t>
      </w:r>
      <w:r w:rsidR="00C62F94" w:rsidRPr="00016D7C">
        <w:t>We think that such</w:t>
      </w:r>
      <w:r w:rsidR="00C67981" w:rsidRPr="00016D7C">
        <w:t xml:space="preserve"> issue is not easy to be </w:t>
      </w:r>
      <w:r w:rsidR="00357C65" w:rsidRPr="00016D7C">
        <w:t>raised in</w:t>
      </w:r>
      <w:r w:rsidR="00C67981" w:rsidRPr="00016D7C">
        <w:t xml:space="preserve"> the relations with the Host Country.</w:t>
      </w:r>
      <w:r w:rsidR="00357C65" w:rsidRPr="00016D7C">
        <w:t xml:space="preserve"> Nevertheless, it has to be considered that a wider participation to the Telecom World events is </w:t>
      </w:r>
      <w:r w:rsidR="0066011D" w:rsidRPr="00016D7C">
        <w:t xml:space="preserve">in </w:t>
      </w:r>
      <w:r w:rsidR="003D770A" w:rsidRPr="00016D7C">
        <w:t>ITU’s</w:t>
      </w:r>
      <w:r w:rsidR="0066011D" w:rsidRPr="00016D7C">
        <w:t xml:space="preserve"> and stakeholders’</w:t>
      </w:r>
      <w:r w:rsidR="003419E8" w:rsidRPr="00016D7C">
        <w:t xml:space="preserve"> </w:t>
      </w:r>
      <w:r w:rsidR="00A679D9" w:rsidRPr="00016D7C">
        <w:t>benefit</w:t>
      </w:r>
      <w:r w:rsidR="003D770A" w:rsidRPr="00016D7C">
        <w:t>.</w:t>
      </w:r>
    </w:p>
    <w:p w14:paraId="59156498" w14:textId="346E757E" w:rsidR="00357C65" w:rsidRPr="00016D7C" w:rsidRDefault="0066011D" w:rsidP="00241C4D">
      <w:pPr>
        <w:pStyle w:val="titolorecesug"/>
      </w:pPr>
      <w:r w:rsidRPr="00016D7C">
        <w:t>Suggestion n</w:t>
      </w:r>
      <w:r w:rsidR="00241C4D" w:rsidRPr="00016D7C">
        <w:t>o</w:t>
      </w:r>
      <w:r w:rsidRPr="00016D7C">
        <w:t>. </w:t>
      </w:r>
      <w:r w:rsidR="00241C4D" w:rsidRPr="00016D7C">
        <w:t>8</w:t>
      </w:r>
    </w:p>
    <w:p w14:paraId="24C103AC" w14:textId="6D78BC34" w:rsidR="008D28AD" w:rsidRPr="00016D7C" w:rsidRDefault="003D770A" w:rsidP="008A36F2">
      <w:pPr>
        <w:pStyle w:val="recesugg"/>
      </w:pPr>
      <w:r w:rsidRPr="00016D7C">
        <w:t xml:space="preserve">We </w:t>
      </w:r>
      <w:r w:rsidR="00C67981" w:rsidRPr="00016D7C">
        <w:rPr>
          <w:b/>
          <w:bCs/>
        </w:rPr>
        <w:t>suggest</w:t>
      </w:r>
      <w:r w:rsidR="00C67981" w:rsidRPr="00016D7C">
        <w:t xml:space="preserve"> </w:t>
      </w:r>
      <w:r w:rsidR="00357C65" w:rsidRPr="00016D7C">
        <w:t xml:space="preserve">Management </w:t>
      </w:r>
      <w:r w:rsidR="00C67981" w:rsidRPr="00016D7C">
        <w:t xml:space="preserve">to </w:t>
      </w:r>
      <w:r w:rsidR="006B5A54" w:rsidRPr="00016D7C">
        <w:t xml:space="preserve">request </w:t>
      </w:r>
      <w:r w:rsidR="008A36F2" w:rsidRPr="00016D7C">
        <w:t>M</w:t>
      </w:r>
      <w:r w:rsidR="006B5A54" w:rsidRPr="00016D7C">
        <w:t xml:space="preserve">ember </w:t>
      </w:r>
      <w:r w:rsidR="008A36F2" w:rsidRPr="00016D7C">
        <w:t>S</w:t>
      </w:r>
      <w:r w:rsidR="006B5A54" w:rsidRPr="00016D7C">
        <w:t xml:space="preserve">tates to </w:t>
      </w:r>
      <w:r w:rsidR="00D76403" w:rsidRPr="00016D7C">
        <w:t xml:space="preserve">facilitate </w:t>
      </w:r>
      <w:r w:rsidR="006B5A54" w:rsidRPr="00016D7C">
        <w:t xml:space="preserve">the </w:t>
      </w:r>
      <w:r w:rsidR="00D76403" w:rsidRPr="00016D7C">
        <w:t xml:space="preserve">issuance of visas </w:t>
      </w:r>
      <w:r w:rsidR="006B5A54" w:rsidRPr="00016D7C">
        <w:t>to participants of ITU Telecom World events</w:t>
      </w:r>
      <w:r w:rsidR="00C67981" w:rsidRPr="00016D7C">
        <w:t>.</w:t>
      </w:r>
      <w:r w:rsidR="00190B3D" w:rsidRPr="00016D7C">
        <w:t xml:space="preserve"> </w:t>
      </w:r>
    </w:p>
    <w:p w14:paraId="1BB698E8" w14:textId="77777777" w:rsidR="00357C65" w:rsidRPr="00016D7C" w:rsidRDefault="00357C65" w:rsidP="00357C65"/>
    <w:p w14:paraId="4714B155" w14:textId="77777777" w:rsidR="003D770A" w:rsidRPr="00016D7C" w:rsidRDefault="003D770A" w:rsidP="003D770A">
      <w:pPr>
        <w:pStyle w:val="titcomments"/>
      </w:pPr>
      <w:r w:rsidRPr="00016D7C">
        <w:t>Comment by the Secretary-General</w:t>
      </w:r>
    </w:p>
    <w:p w14:paraId="7FE3D46E" w14:textId="63EF6FCD" w:rsidR="003D770A" w:rsidRPr="00016D7C" w:rsidRDefault="0077496F" w:rsidP="003D770A">
      <w:pPr>
        <w:pStyle w:val="comments"/>
      </w:pPr>
      <w:r w:rsidRPr="00016D7C">
        <w:t>ITU is continuing to draw close attention to this issue during discussions with future Host Countries, and to reinforce the importance of implementing efficient and timely processes for visa applications for participants from all Member States.</w:t>
      </w:r>
    </w:p>
    <w:p w14:paraId="625975E5" w14:textId="77777777" w:rsidR="008D28AD" w:rsidRPr="00016D7C" w:rsidRDefault="00190B3D" w:rsidP="003D770A">
      <w:pPr>
        <w:pStyle w:val="Heading3"/>
      </w:pPr>
      <w:bookmarkStart w:id="43" w:name="_Toc417373406"/>
      <w:r w:rsidRPr="00016D7C">
        <w:t>Forum sessions</w:t>
      </w:r>
      <w:r w:rsidR="0091729A" w:rsidRPr="00016D7C">
        <w:t xml:space="preserve"> and Media presence</w:t>
      </w:r>
      <w:bookmarkEnd w:id="43"/>
    </w:p>
    <w:p w14:paraId="1D0CCECD" w14:textId="77777777" w:rsidR="00596E7E" w:rsidRPr="00016D7C" w:rsidRDefault="008D28AD" w:rsidP="003D770A">
      <w:pPr>
        <w:pStyle w:val="testobase"/>
      </w:pPr>
      <w:r w:rsidRPr="00016D7C">
        <w:t>Forum sessions had some cases of very scarce attendance. Overcrowded were sessions with lunch</w:t>
      </w:r>
      <w:r w:rsidR="00E502F8" w:rsidRPr="00016D7C">
        <w:t>: for MC1 and MC3 on Second Day, TC1 and TC2 on Third Day and WC1 on Fourth Day, the attendance exceeded the capacity of the room</w:t>
      </w:r>
      <w:r w:rsidRPr="00016D7C">
        <w:t>.</w:t>
      </w:r>
      <w:r w:rsidR="00596E7E" w:rsidRPr="00016D7C">
        <w:t xml:space="preserve"> </w:t>
      </w:r>
    </w:p>
    <w:p w14:paraId="0F664493" w14:textId="77777777" w:rsidR="00596E7E" w:rsidRPr="00016D7C" w:rsidRDefault="00596E7E" w:rsidP="003D770A">
      <w:pPr>
        <w:pStyle w:val="testobase"/>
      </w:pPr>
      <w:r w:rsidRPr="00016D7C">
        <w:t>All attendance indicators show a sharp decrease of Forum participants during the event (from around 2000 the first day to less than 1200 the last day).</w:t>
      </w:r>
    </w:p>
    <w:p w14:paraId="6161746C" w14:textId="77777777" w:rsidR="00891629" w:rsidRPr="00016D7C" w:rsidRDefault="008D28AD" w:rsidP="003D770A">
      <w:pPr>
        <w:pStyle w:val="testobase"/>
      </w:pPr>
      <w:r w:rsidRPr="00016D7C">
        <w:t>The survey shown a scarce attention of the Media for the forum sessions after the first ones</w:t>
      </w:r>
      <w:r w:rsidR="00E502F8" w:rsidRPr="00016D7C">
        <w:t xml:space="preserve"> (87 attendee on first day, then 54, 37, 20 in following days)</w:t>
      </w:r>
      <w:r w:rsidRPr="00016D7C">
        <w:t>.</w:t>
      </w:r>
    </w:p>
    <w:p w14:paraId="72BC35D6" w14:textId="5191B5EE" w:rsidR="003D770A" w:rsidRPr="00016D7C" w:rsidRDefault="003419E8" w:rsidP="00241C4D">
      <w:pPr>
        <w:pStyle w:val="titolorecesug"/>
      </w:pPr>
      <w:r w:rsidRPr="00016D7C">
        <w:t>Suggestion n</w:t>
      </w:r>
      <w:r w:rsidR="00241C4D" w:rsidRPr="00016D7C">
        <w:t>o</w:t>
      </w:r>
      <w:r w:rsidRPr="00016D7C">
        <w:t>. </w:t>
      </w:r>
      <w:r w:rsidR="00241C4D" w:rsidRPr="00016D7C">
        <w:t>9</w:t>
      </w:r>
    </w:p>
    <w:p w14:paraId="396A5472" w14:textId="5DFD50FD" w:rsidR="008D28AD" w:rsidRPr="00016D7C" w:rsidRDefault="00180F1A" w:rsidP="007448B4">
      <w:pPr>
        <w:pStyle w:val="recesugg"/>
      </w:pPr>
      <w:r w:rsidRPr="00016D7C">
        <w:t>We</w:t>
      </w:r>
      <w:r w:rsidR="00596E7E" w:rsidRPr="00016D7C">
        <w:t xml:space="preserve"> </w:t>
      </w:r>
      <w:r w:rsidR="00596E7E" w:rsidRPr="00016D7C">
        <w:rPr>
          <w:b/>
          <w:bCs/>
        </w:rPr>
        <w:t>suggest</w:t>
      </w:r>
      <w:r w:rsidR="00E502F8" w:rsidRPr="00016D7C">
        <w:t xml:space="preserve"> </w:t>
      </w:r>
      <w:r w:rsidR="003D770A" w:rsidRPr="00016D7C">
        <w:t xml:space="preserve">Management to </w:t>
      </w:r>
      <w:r w:rsidR="007448B4" w:rsidRPr="00016D7C">
        <w:t>conduct</w:t>
      </w:r>
      <w:r w:rsidR="003D770A" w:rsidRPr="00016D7C">
        <w:t xml:space="preserve"> </w:t>
      </w:r>
      <w:r w:rsidRPr="00016D7C">
        <w:t>a</w:t>
      </w:r>
      <w:r w:rsidR="00596E7E" w:rsidRPr="00016D7C">
        <w:t xml:space="preserve"> </w:t>
      </w:r>
      <w:r w:rsidRPr="00016D7C">
        <w:t>study</w:t>
      </w:r>
      <w:r w:rsidR="00E502F8" w:rsidRPr="00016D7C">
        <w:t xml:space="preserve"> o</w:t>
      </w:r>
      <w:r w:rsidRPr="00016D7C">
        <w:t>n</w:t>
      </w:r>
      <w:r w:rsidR="00E502F8" w:rsidRPr="00016D7C">
        <w:t xml:space="preserve"> the duration</w:t>
      </w:r>
      <w:r w:rsidR="00891629" w:rsidRPr="00016D7C">
        <w:t xml:space="preserve"> of the event, and on the distribution of main meetings and relevant conferences along the entire event, to maintain the awareness of the Media for a longer period.</w:t>
      </w:r>
    </w:p>
    <w:p w14:paraId="3F365D13" w14:textId="77777777" w:rsidR="000F0A5F" w:rsidRPr="00016D7C" w:rsidRDefault="000F0A5F" w:rsidP="003D770A"/>
    <w:p w14:paraId="239D7C91" w14:textId="77777777" w:rsidR="003D770A" w:rsidRPr="00016D7C" w:rsidRDefault="003D770A" w:rsidP="003D770A">
      <w:pPr>
        <w:pStyle w:val="titcomments"/>
      </w:pPr>
      <w:r w:rsidRPr="00016D7C">
        <w:t>Comment by the Secretary-General</w:t>
      </w:r>
    </w:p>
    <w:p w14:paraId="6BC09845" w14:textId="5ED85762" w:rsidR="003D770A" w:rsidRPr="00016D7C" w:rsidRDefault="0077496F" w:rsidP="003D770A">
      <w:pPr>
        <w:pStyle w:val="comments"/>
      </w:pPr>
      <w:r w:rsidRPr="00016D7C">
        <w:t>Efforts shall be made to assess the optimal duration of the event and scheduling of meetings and relevant conferences to encourage media to maintain their interest throughout the event.  In addition, further efforts shall be made to schedule press conferences and announcements throughout the event to stimulate and maintain media interest.</w:t>
      </w:r>
    </w:p>
    <w:p w14:paraId="569E87DA" w14:textId="77777777" w:rsidR="008D28AD" w:rsidRPr="00016D7C" w:rsidRDefault="000F0A5F" w:rsidP="003D770A">
      <w:pPr>
        <w:pStyle w:val="Heading3"/>
      </w:pPr>
      <w:bookmarkStart w:id="44" w:name="_Toc417373407"/>
      <w:r w:rsidRPr="00016D7C">
        <w:lastRenderedPageBreak/>
        <w:t>Global dimension</w:t>
      </w:r>
      <w:bookmarkEnd w:id="44"/>
    </w:p>
    <w:p w14:paraId="1ACE888B" w14:textId="77777777" w:rsidR="008D28AD" w:rsidRPr="00016D7C" w:rsidRDefault="0066011D" w:rsidP="0066011D">
      <w:pPr>
        <w:pStyle w:val="testobase"/>
      </w:pPr>
      <w:r w:rsidRPr="00016D7C">
        <w:t>The global dimension o</w:t>
      </w:r>
      <w:r w:rsidR="008D28AD" w:rsidRPr="00016D7C">
        <w:t>f the Telecom World event i</w:t>
      </w:r>
      <w:r w:rsidRPr="00016D7C">
        <w:t>s</w:t>
      </w:r>
      <w:r w:rsidR="008D28AD" w:rsidRPr="00016D7C">
        <w:t xml:space="preserve"> even more every year endangered by the regional distribution of participants: in Doha 2014 48% of participants came from Arab</w:t>
      </w:r>
      <w:r w:rsidR="00C62F94" w:rsidRPr="00016D7C">
        <w:t xml:space="preserve"> States and very few from Europe</w:t>
      </w:r>
      <w:r w:rsidR="008D28AD" w:rsidRPr="00016D7C">
        <w:t xml:space="preserve"> and Americas</w:t>
      </w:r>
      <w:r w:rsidR="00C62F94" w:rsidRPr="00016D7C">
        <w:t xml:space="preserve"> regions</w:t>
      </w:r>
      <w:r w:rsidR="008D28AD" w:rsidRPr="00016D7C">
        <w:t>. On the positive side of this situation, it has to be noted that the principal emerging markets were represented.</w:t>
      </w:r>
    </w:p>
    <w:p w14:paraId="005907E1" w14:textId="77777777" w:rsidR="0017193D" w:rsidRPr="00016D7C" w:rsidRDefault="0091729A" w:rsidP="003D770A">
      <w:pPr>
        <w:pStyle w:val="testobase"/>
      </w:pPr>
      <w:r w:rsidRPr="00016D7C">
        <w:t xml:space="preserve">The rotation of the venues is only </w:t>
      </w:r>
      <w:r w:rsidR="0017193D" w:rsidRPr="00016D7C">
        <w:t>a partial solution of the problem of</w:t>
      </w:r>
      <w:r w:rsidR="003970DB" w:rsidRPr="00016D7C">
        <w:t xml:space="preserve"> preserv</w:t>
      </w:r>
      <w:r w:rsidR="0017193D" w:rsidRPr="00016D7C">
        <w:t>ing</w:t>
      </w:r>
      <w:r w:rsidR="003970DB" w:rsidRPr="00016D7C">
        <w:t xml:space="preserve"> the global dimension of the event</w:t>
      </w:r>
      <w:r w:rsidR="0017193D" w:rsidRPr="00016D7C">
        <w:t>.</w:t>
      </w:r>
    </w:p>
    <w:p w14:paraId="728FEBDF" w14:textId="5A18D878" w:rsidR="003D770A" w:rsidRPr="00016D7C" w:rsidRDefault="003419E8" w:rsidP="00241C4D">
      <w:pPr>
        <w:pStyle w:val="titolorecesug"/>
      </w:pPr>
      <w:r w:rsidRPr="00016D7C">
        <w:t>Suggestion n</w:t>
      </w:r>
      <w:r w:rsidR="00241C4D" w:rsidRPr="00016D7C">
        <w:t>o</w:t>
      </w:r>
      <w:r w:rsidRPr="00016D7C">
        <w:t>. 1</w:t>
      </w:r>
      <w:r w:rsidR="00241C4D" w:rsidRPr="00016D7C">
        <w:t>0</w:t>
      </w:r>
    </w:p>
    <w:p w14:paraId="1658BF81" w14:textId="77777777" w:rsidR="003970DB" w:rsidRPr="00016D7C" w:rsidRDefault="0017193D" w:rsidP="003D770A">
      <w:pPr>
        <w:pStyle w:val="recesugg"/>
      </w:pPr>
      <w:r w:rsidRPr="00016D7C">
        <w:t xml:space="preserve">Therefore, we </w:t>
      </w:r>
      <w:r w:rsidRPr="00016D7C">
        <w:rPr>
          <w:b/>
          <w:bCs/>
        </w:rPr>
        <w:t>suggest</w:t>
      </w:r>
      <w:r w:rsidRPr="00016D7C">
        <w:t xml:space="preserve"> </w:t>
      </w:r>
      <w:r w:rsidR="003D770A" w:rsidRPr="00016D7C">
        <w:t xml:space="preserve">Management </w:t>
      </w:r>
      <w:r w:rsidRPr="00016D7C">
        <w:t xml:space="preserve">to study any communication and advertising activity to strengthen the image of a global </w:t>
      </w:r>
      <w:r w:rsidR="003D770A" w:rsidRPr="00016D7C">
        <w:t>dimension of</w:t>
      </w:r>
      <w:r w:rsidRPr="00016D7C">
        <w:t xml:space="preserve"> ITU Telecom World event.</w:t>
      </w:r>
    </w:p>
    <w:p w14:paraId="65B77288" w14:textId="77777777" w:rsidR="003970DB" w:rsidRPr="00016D7C" w:rsidRDefault="003970DB" w:rsidP="003970DB"/>
    <w:p w14:paraId="49B1ADDD" w14:textId="77777777" w:rsidR="003D770A" w:rsidRPr="00016D7C" w:rsidRDefault="003D770A" w:rsidP="003D770A">
      <w:pPr>
        <w:pStyle w:val="titcomments"/>
      </w:pPr>
      <w:r w:rsidRPr="00016D7C">
        <w:t>Comment by the Secretary-General</w:t>
      </w:r>
    </w:p>
    <w:p w14:paraId="4067C4B0" w14:textId="086465FA" w:rsidR="003D770A" w:rsidRPr="00016D7C" w:rsidRDefault="00202F1F" w:rsidP="00202F1F">
      <w:pPr>
        <w:pStyle w:val="comments"/>
      </w:pPr>
      <w:r w:rsidRPr="00016D7C">
        <w:t>Further efforts shall be made to determine and engage the best communication and advertising channels to strengthen the global dimension of ITU Telecom events, within the established budgetary provisions.</w:t>
      </w:r>
    </w:p>
    <w:p w14:paraId="67F15FC3" w14:textId="06355647" w:rsidR="000F0A5F" w:rsidRPr="00016D7C" w:rsidRDefault="003D770A" w:rsidP="00241C4D">
      <w:pPr>
        <w:pStyle w:val="Heading1"/>
      </w:pPr>
      <w:bookmarkStart w:id="45" w:name="_Toc417373408"/>
      <w:r w:rsidRPr="00016D7C">
        <w:t>FOLLOW</w:t>
      </w:r>
      <w:r w:rsidR="00241C4D" w:rsidRPr="00016D7C">
        <w:t>-</w:t>
      </w:r>
      <w:r w:rsidRPr="00016D7C">
        <w:t>UP</w:t>
      </w:r>
      <w:bookmarkEnd w:id="45"/>
    </w:p>
    <w:p w14:paraId="31F3B526" w14:textId="6FBF0C99" w:rsidR="00021DC3" w:rsidRPr="001E1CB0" w:rsidRDefault="00891629" w:rsidP="00021DC3">
      <w:r w:rsidRPr="00016D7C">
        <w:t xml:space="preserve">Here below </w:t>
      </w:r>
      <w:r w:rsidR="00AB6180" w:rsidRPr="00016D7C">
        <w:t xml:space="preserve">annexed </w:t>
      </w:r>
      <w:r w:rsidRPr="00016D7C">
        <w:t>are the tables of follow up of our previous recommendations and suggestions</w:t>
      </w:r>
      <w:r w:rsidR="00AB6180" w:rsidRPr="00016D7C">
        <w:t>.</w:t>
      </w:r>
    </w:p>
    <w:p w14:paraId="6D794F90" w14:textId="77777777" w:rsidR="00EA742D" w:rsidRPr="001E1CB0" w:rsidRDefault="00EA742D" w:rsidP="003D770A">
      <w:pPr>
        <w:rPr>
          <w:b/>
        </w:rPr>
      </w:pPr>
    </w:p>
    <w:p w14:paraId="61EE4291" w14:textId="77777777" w:rsidR="00910964" w:rsidRPr="001E1CB0" w:rsidRDefault="00910964" w:rsidP="006C00C0">
      <w:pPr>
        <w:sectPr w:rsidR="00910964" w:rsidRPr="001E1CB0" w:rsidSect="005D2D9D">
          <w:pgSz w:w="11907" w:h="16840" w:code="9"/>
          <w:pgMar w:top="1418" w:right="1418" w:bottom="1418" w:left="1418" w:header="720" w:footer="720" w:gutter="0"/>
          <w:cols w:space="720"/>
          <w:docGrid w:linePitch="360"/>
        </w:sectPr>
      </w:pPr>
    </w:p>
    <w:p w14:paraId="0C7CAD3D" w14:textId="77777777" w:rsidR="009E2EFF" w:rsidRPr="002B72EA" w:rsidRDefault="00745A5E" w:rsidP="002B72EA">
      <w:pPr>
        <w:pStyle w:val="Heading1"/>
        <w:jc w:val="center"/>
      </w:pPr>
      <w:bookmarkStart w:id="46" w:name="_Toc417373409"/>
      <w:r w:rsidRPr="002B72EA">
        <w:lastRenderedPageBreak/>
        <w:t>ANNEX I</w:t>
      </w:r>
      <w:r w:rsidR="002B72EA">
        <w:t xml:space="preserve"> – </w:t>
      </w:r>
      <w:r w:rsidR="00910964" w:rsidRPr="002B72EA">
        <w:t xml:space="preserve">Follow-up of </w:t>
      </w:r>
      <w:r w:rsidR="00883B94" w:rsidRPr="002B72EA">
        <w:t>observ</w:t>
      </w:r>
      <w:r w:rsidR="00910964" w:rsidRPr="002B72EA">
        <w:t>ations in previous report</w:t>
      </w:r>
      <w:r w:rsidR="008D28AD" w:rsidRPr="002B72EA">
        <w:t>s</w:t>
      </w:r>
      <w:bookmarkEnd w:id="46"/>
    </w:p>
    <w:p w14:paraId="260EBA9A" w14:textId="77777777" w:rsidR="00ED0162" w:rsidRPr="001E1CB0" w:rsidRDefault="00ED0162" w:rsidP="0084023A">
      <w:pPr>
        <w:jc w:val="center"/>
        <w:rPr>
          <w:b/>
          <w:bCs/>
        </w:rPr>
      </w:pPr>
      <w:r w:rsidRPr="001E1CB0">
        <w:rPr>
          <w:b/>
          <w:bCs/>
        </w:rPr>
        <w:t>Recommendations</w:t>
      </w:r>
    </w:p>
    <w:tbl>
      <w:tblPr>
        <w:tblW w:w="5000" w:type="pct"/>
        <w:tblCellMar>
          <w:top w:w="28" w:type="dxa"/>
          <w:left w:w="57" w:type="dxa"/>
          <w:bottom w:w="28" w:type="dxa"/>
          <w:right w:w="57" w:type="dxa"/>
        </w:tblCellMar>
        <w:tblLook w:val="0000" w:firstRow="0" w:lastRow="0" w:firstColumn="0" w:lastColumn="0" w:noHBand="0" w:noVBand="0"/>
      </w:tblPr>
      <w:tblGrid>
        <w:gridCol w:w="594"/>
        <w:gridCol w:w="2233"/>
        <w:gridCol w:w="2415"/>
        <w:gridCol w:w="2230"/>
        <w:gridCol w:w="2157"/>
      </w:tblGrid>
      <w:tr w:rsidR="00ED0162" w:rsidRPr="001E1CB0" w14:paraId="6D3D8CB4" w14:textId="77777777" w:rsidTr="002B72EA">
        <w:trPr>
          <w:cantSplit/>
          <w:trHeight w:hRule="exact" w:val="1106"/>
          <w:tblHeader/>
        </w:trPr>
        <w:tc>
          <w:tcPr>
            <w:tcW w:w="308" w:type="pct"/>
            <w:tcBorders>
              <w:top w:val="single" w:sz="4" w:space="0" w:color="auto"/>
              <w:left w:val="single" w:sz="4" w:space="0" w:color="auto"/>
              <w:bottom w:val="single" w:sz="4" w:space="0" w:color="auto"/>
              <w:right w:val="single" w:sz="4" w:space="0" w:color="auto"/>
            </w:tcBorders>
            <w:vAlign w:val="center"/>
          </w:tcPr>
          <w:p w14:paraId="1E197DB0" w14:textId="77777777" w:rsidR="00ED0162" w:rsidRPr="001E1CB0" w:rsidRDefault="00ED0162" w:rsidP="002B72EA">
            <w:pPr>
              <w:spacing w:before="0" w:line="240" w:lineRule="auto"/>
              <w:jc w:val="center"/>
              <w:rPr>
                <w:b/>
                <w:bCs/>
              </w:rPr>
            </w:pPr>
          </w:p>
        </w:tc>
        <w:tc>
          <w:tcPr>
            <w:tcW w:w="1160" w:type="pct"/>
            <w:tcBorders>
              <w:top w:val="single" w:sz="4" w:space="0" w:color="auto"/>
              <w:left w:val="single" w:sz="4" w:space="0" w:color="auto"/>
              <w:bottom w:val="single" w:sz="4" w:space="0" w:color="auto"/>
              <w:right w:val="single" w:sz="4" w:space="0" w:color="auto"/>
            </w:tcBorders>
            <w:vAlign w:val="center"/>
          </w:tcPr>
          <w:p w14:paraId="52F79750" w14:textId="0F533BED" w:rsidR="00ED0162" w:rsidRPr="001E1CB0" w:rsidRDefault="00ED0162" w:rsidP="000A4224">
            <w:pPr>
              <w:spacing w:before="0" w:line="240" w:lineRule="auto"/>
              <w:jc w:val="center"/>
              <w:rPr>
                <w:b/>
                <w:bCs/>
                <w:lang w:val="en-GB"/>
              </w:rPr>
            </w:pPr>
            <w:r w:rsidRPr="001E1CB0">
              <w:rPr>
                <w:b/>
                <w:bCs/>
                <w:lang w:val="en-GB"/>
              </w:rPr>
              <w:t>Recommendation raised</w:t>
            </w:r>
            <w:r w:rsidRPr="001E1CB0">
              <w:rPr>
                <w:b/>
                <w:bCs/>
                <w:lang w:val="en-GB"/>
              </w:rPr>
              <w:br/>
              <w:t xml:space="preserve">by Italian </w:t>
            </w:r>
            <w:r w:rsidR="000A4224">
              <w:rPr>
                <w:b/>
                <w:bCs/>
                <w:lang w:val="en-GB"/>
              </w:rPr>
              <w:t>Corte dei conti</w:t>
            </w:r>
          </w:p>
        </w:tc>
        <w:tc>
          <w:tcPr>
            <w:tcW w:w="1254" w:type="pct"/>
            <w:tcBorders>
              <w:top w:val="single" w:sz="4" w:space="0" w:color="auto"/>
              <w:left w:val="single" w:sz="4" w:space="0" w:color="auto"/>
              <w:bottom w:val="single" w:sz="4" w:space="0" w:color="auto"/>
              <w:right w:val="single" w:sz="4" w:space="0" w:color="auto"/>
            </w:tcBorders>
            <w:vAlign w:val="center"/>
          </w:tcPr>
          <w:p w14:paraId="7F74B1C0" w14:textId="77777777" w:rsidR="00ED0162" w:rsidRPr="001E1CB0" w:rsidRDefault="00ED0162" w:rsidP="002B72EA">
            <w:pPr>
              <w:spacing w:before="0" w:line="240" w:lineRule="auto"/>
              <w:jc w:val="center"/>
              <w:rPr>
                <w:b/>
                <w:bCs/>
                <w:lang w:val="en-GB"/>
              </w:rPr>
            </w:pPr>
            <w:r w:rsidRPr="00B77F2D">
              <w:rPr>
                <w:b/>
                <w:bCs/>
                <w:sz w:val="20"/>
                <w:szCs w:val="20"/>
                <w:lang w:val="en-GB"/>
              </w:rPr>
              <w:t>Comments received from</w:t>
            </w:r>
            <w:r w:rsidRPr="00B77F2D">
              <w:rPr>
                <w:b/>
                <w:bCs/>
                <w:sz w:val="20"/>
                <w:szCs w:val="20"/>
                <w:lang w:val="en-GB"/>
              </w:rPr>
              <w:br/>
              <w:t xml:space="preserve"> Secretary-General at the time of the issuance of the report</w:t>
            </w:r>
          </w:p>
        </w:tc>
        <w:tc>
          <w:tcPr>
            <w:tcW w:w="1158" w:type="pct"/>
            <w:tcBorders>
              <w:top w:val="single" w:sz="4" w:space="0" w:color="auto"/>
              <w:left w:val="single" w:sz="4" w:space="0" w:color="auto"/>
              <w:bottom w:val="single" w:sz="4" w:space="0" w:color="auto"/>
              <w:right w:val="single" w:sz="4" w:space="0" w:color="auto"/>
            </w:tcBorders>
            <w:vAlign w:val="center"/>
          </w:tcPr>
          <w:p w14:paraId="3AD3FCD9" w14:textId="77777777" w:rsidR="00ED0162" w:rsidRPr="001E1CB0" w:rsidRDefault="00ED0162" w:rsidP="002B72EA">
            <w:pPr>
              <w:spacing w:before="0" w:line="240" w:lineRule="auto"/>
              <w:jc w:val="center"/>
              <w:rPr>
                <w:b/>
                <w:bCs/>
                <w:lang w:val="en-GB"/>
              </w:rPr>
            </w:pPr>
            <w:r w:rsidRPr="001E1CB0">
              <w:rPr>
                <w:b/>
                <w:bCs/>
                <w:lang w:val="en-GB"/>
              </w:rPr>
              <w:t>Status as</w:t>
            </w:r>
            <w:r w:rsidRPr="001E1CB0">
              <w:rPr>
                <w:b/>
                <w:bCs/>
                <w:lang w:val="en-GB"/>
              </w:rPr>
              <w:br/>
              <w:t>reported by ITU Management</w:t>
            </w:r>
          </w:p>
        </w:tc>
        <w:tc>
          <w:tcPr>
            <w:tcW w:w="1120" w:type="pct"/>
            <w:tcBorders>
              <w:top w:val="single" w:sz="4" w:space="0" w:color="auto"/>
              <w:left w:val="single" w:sz="4" w:space="0" w:color="auto"/>
              <w:bottom w:val="single" w:sz="4" w:space="0" w:color="auto"/>
              <w:right w:val="single" w:sz="4" w:space="0" w:color="auto"/>
            </w:tcBorders>
            <w:vAlign w:val="center"/>
          </w:tcPr>
          <w:p w14:paraId="7197F276" w14:textId="6B8492CB" w:rsidR="00ED0162" w:rsidRPr="00B77F2D" w:rsidRDefault="00ED0162" w:rsidP="00AD6125">
            <w:pPr>
              <w:spacing w:before="0" w:line="240" w:lineRule="auto"/>
              <w:jc w:val="center"/>
              <w:rPr>
                <w:b/>
                <w:bCs/>
                <w:sz w:val="20"/>
                <w:szCs w:val="20"/>
                <w:lang w:val="en-GB"/>
              </w:rPr>
            </w:pPr>
            <w:r w:rsidRPr="00B77F2D">
              <w:rPr>
                <w:b/>
                <w:bCs/>
                <w:sz w:val="20"/>
                <w:szCs w:val="20"/>
                <w:lang w:val="en-GB"/>
              </w:rPr>
              <w:t>Status on actions taken</w:t>
            </w:r>
            <w:r w:rsidR="002B72EA" w:rsidRPr="00B77F2D">
              <w:rPr>
                <w:b/>
                <w:bCs/>
                <w:sz w:val="20"/>
                <w:szCs w:val="20"/>
                <w:lang w:val="en-GB"/>
              </w:rPr>
              <w:t xml:space="preserve"> </w:t>
            </w:r>
            <w:r w:rsidRPr="00B77F2D">
              <w:rPr>
                <w:b/>
                <w:bCs/>
                <w:sz w:val="20"/>
                <w:szCs w:val="20"/>
                <w:lang w:val="en-GB"/>
              </w:rPr>
              <w:t>by Management as evaluated by</w:t>
            </w:r>
            <w:r w:rsidR="00D7174A">
              <w:rPr>
                <w:b/>
                <w:bCs/>
                <w:sz w:val="20"/>
                <w:szCs w:val="20"/>
                <w:lang w:val="en-GB"/>
              </w:rPr>
              <w:t xml:space="preserve"> Italian</w:t>
            </w:r>
            <w:r w:rsidRPr="00B77F2D">
              <w:rPr>
                <w:b/>
                <w:bCs/>
                <w:sz w:val="20"/>
                <w:szCs w:val="20"/>
                <w:lang w:val="en-GB"/>
              </w:rPr>
              <w:t xml:space="preserve"> </w:t>
            </w:r>
            <w:r w:rsidR="000A4224" w:rsidRPr="00B77F2D">
              <w:rPr>
                <w:b/>
                <w:bCs/>
                <w:sz w:val="20"/>
                <w:szCs w:val="20"/>
                <w:lang w:val="en-GB"/>
              </w:rPr>
              <w:t xml:space="preserve">Corte dei conti </w:t>
            </w:r>
          </w:p>
        </w:tc>
      </w:tr>
      <w:tr w:rsidR="00ED0162" w:rsidRPr="001E1CB0" w14:paraId="21507028" w14:textId="77777777" w:rsidTr="002B72EA">
        <w:trPr>
          <w:cantSplit/>
          <w:trHeight w:val="6388"/>
        </w:trPr>
        <w:tc>
          <w:tcPr>
            <w:tcW w:w="308" w:type="pct"/>
            <w:tcBorders>
              <w:top w:val="single" w:sz="4" w:space="0" w:color="auto"/>
              <w:left w:val="single" w:sz="4" w:space="0" w:color="auto"/>
              <w:bottom w:val="single" w:sz="4" w:space="0" w:color="auto"/>
              <w:right w:val="single" w:sz="4" w:space="0" w:color="auto"/>
            </w:tcBorders>
          </w:tcPr>
          <w:p w14:paraId="6D4BCEB2" w14:textId="77777777" w:rsidR="00ED0162" w:rsidRPr="001E1CB0" w:rsidRDefault="00ED0162" w:rsidP="00ED0162">
            <w:pPr>
              <w:jc w:val="center"/>
              <w:rPr>
                <w:b/>
                <w:bCs/>
              </w:rPr>
            </w:pPr>
            <w:r w:rsidRPr="001E1CB0">
              <w:rPr>
                <w:b/>
                <w:bCs/>
              </w:rPr>
              <w:t>Rec. 3</w:t>
            </w:r>
          </w:p>
          <w:p w14:paraId="104585DE" w14:textId="77777777" w:rsidR="00ED0162" w:rsidRPr="001E1CB0" w:rsidRDefault="00ED0162" w:rsidP="00ED0162">
            <w:pPr>
              <w:jc w:val="center"/>
              <w:rPr>
                <w:b/>
                <w:bCs/>
              </w:rPr>
            </w:pPr>
            <w:r w:rsidRPr="001E1CB0">
              <w:rPr>
                <w:b/>
                <w:bCs/>
              </w:rPr>
              <w:t>2012</w:t>
            </w:r>
          </w:p>
        </w:tc>
        <w:tc>
          <w:tcPr>
            <w:tcW w:w="1160" w:type="pct"/>
            <w:tcBorders>
              <w:top w:val="single" w:sz="4" w:space="0" w:color="auto"/>
              <w:left w:val="single" w:sz="4" w:space="0" w:color="auto"/>
              <w:bottom w:val="single" w:sz="4" w:space="0" w:color="auto"/>
              <w:right w:val="single" w:sz="4" w:space="0" w:color="auto"/>
            </w:tcBorders>
          </w:tcPr>
          <w:p w14:paraId="562D4B39" w14:textId="77777777" w:rsidR="00ED0162" w:rsidRPr="001E1CB0" w:rsidRDefault="00ED0162" w:rsidP="00ED0162">
            <w:pPr>
              <w:rPr>
                <w:bCs/>
                <w:lang w:val="en-GB"/>
              </w:rPr>
            </w:pPr>
            <w:r w:rsidRPr="001E1CB0">
              <w:rPr>
                <w:bCs/>
                <w:lang w:val="en-GB"/>
              </w:rPr>
              <w:t xml:space="preserve">Although we fully understand the necessity for ITU to have this cost-recovery applied in ITU Telecom World 2012, due to the relevant impact of the cost-recovery on the final result of the event, we have found no sufficient evidence on the cost-accounting process that implement such determination of the value of the cost recovery. Therefore </w:t>
            </w:r>
            <w:r w:rsidRPr="001E1CB0">
              <w:rPr>
                <w:bCs/>
                <w:u w:val="single"/>
                <w:lang w:val="en-GB"/>
              </w:rPr>
              <w:t>we recommend</w:t>
            </w:r>
            <w:r w:rsidRPr="001E1CB0">
              <w:rPr>
                <w:bCs/>
                <w:lang w:val="en-GB"/>
              </w:rPr>
              <w:t xml:space="preserve"> that Management better disclose, in the decision process of the coming years, all the relevant elements, that are essential in the correct determination of this value.   </w:t>
            </w:r>
          </w:p>
        </w:tc>
        <w:tc>
          <w:tcPr>
            <w:tcW w:w="1254" w:type="pct"/>
            <w:tcBorders>
              <w:top w:val="single" w:sz="4" w:space="0" w:color="auto"/>
              <w:left w:val="single" w:sz="4" w:space="0" w:color="auto"/>
              <w:bottom w:val="single" w:sz="4" w:space="0" w:color="auto"/>
              <w:right w:val="single" w:sz="4" w:space="0" w:color="auto"/>
            </w:tcBorders>
          </w:tcPr>
          <w:p w14:paraId="22AB9EAE" w14:textId="77777777" w:rsidR="00ED0162" w:rsidRPr="001E1CB0" w:rsidRDefault="00ED0162" w:rsidP="00ED0162">
            <w:pPr>
              <w:rPr>
                <w:lang w:val="en-GB"/>
              </w:rPr>
            </w:pPr>
            <w:r w:rsidRPr="001E1CB0">
              <w:rPr>
                <w:lang w:val="en-GB"/>
              </w:rPr>
              <w:t>A study shall be conducted to identify, as of 2016, in a coherent manner, the basis in determining the value of cost recovery that will be chargeable to an ITU Telecom event. The amounts for 2014 and 2015 have already been determined in the ITU budget for that period.</w:t>
            </w:r>
          </w:p>
        </w:tc>
        <w:tc>
          <w:tcPr>
            <w:tcW w:w="1158" w:type="pct"/>
            <w:tcBorders>
              <w:top w:val="single" w:sz="4" w:space="0" w:color="auto"/>
              <w:left w:val="single" w:sz="4" w:space="0" w:color="auto"/>
              <w:bottom w:val="single" w:sz="4" w:space="0" w:color="auto"/>
              <w:right w:val="single" w:sz="4" w:space="0" w:color="auto"/>
            </w:tcBorders>
          </w:tcPr>
          <w:p w14:paraId="2CF32BF0" w14:textId="58454EF8" w:rsidR="00ED0162" w:rsidRPr="001E1CB0" w:rsidRDefault="00D614C5" w:rsidP="00D614C5">
            <w:pPr>
              <w:rPr>
                <w:lang w:val="en-GB"/>
              </w:rPr>
            </w:pPr>
            <w:r>
              <w:rPr>
                <w:lang w:val="en-GB"/>
              </w:rPr>
              <w:t>The detailed study on cost recovery charges for ITU Telecom has been completed in relation to 2013 Recommendation no. 3.  Action completed.  Closed.</w:t>
            </w:r>
          </w:p>
        </w:tc>
        <w:tc>
          <w:tcPr>
            <w:tcW w:w="1120" w:type="pct"/>
            <w:tcBorders>
              <w:top w:val="single" w:sz="4" w:space="0" w:color="auto"/>
              <w:left w:val="single" w:sz="4" w:space="0" w:color="auto"/>
              <w:bottom w:val="single" w:sz="4" w:space="0" w:color="auto"/>
              <w:right w:val="single" w:sz="4" w:space="0" w:color="auto"/>
            </w:tcBorders>
          </w:tcPr>
          <w:p w14:paraId="07E96EE8" w14:textId="551F1B20" w:rsidR="00ED0162" w:rsidRPr="001E1CB0" w:rsidRDefault="00D614C5" w:rsidP="003D770A">
            <w:pPr>
              <w:rPr>
                <w:lang w:val="en-GB"/>
              </w:rPr>
            </w:pPr>
            <w:r>
              <w:rPr>
                <w:lang w:val="en-GB"/>
              </w:rPr>
              <w:t>Closed</w:t>
            </w:r>
          </w:p>
        </w:tc>
      </w:tr>
      <w:tr w:rsidR="00ED0162" w:rsidRPr="001E1CB0" w14:paraId="3C5DA9DC" w14:textId="77777777" w:rsidTr="002B72EA">
        <w:trPr>
          <w:cantSplit/>
          <w:trHeight w:val="6910"/>
        </w:trPr>
        <w:tc>
          <w:tcPr>
            <w:tcW w:w="308" w:type="pct"/>
            <w:tcBorders>
              <w:top w:val="single" w:sz="4" w:space="0" w:color="auto"/>
              <w:left w:val="single" w:sz="4" w:space="0" w:color="auto"/>
              <w:bottom w:val="single" w:sz="4" w:space="0" w:color="auto"/>
              <w:right w:val="single" w:sz="4" w:space="0" w:color="auto"/>
            </w:tcBorders>
          </w:tcPr>
          <w:p w14:paraId="25EB7903" w14:textId="77777777" w:rsidR="00ED0162" w:rsidRPr="001E1CB0" w:rsidRDefault="00ED0162" w:rsidP="00ED0162">
            <w:pPr>
              <w:jc w:val="center"/>
              <w:rPr>
                <w:b/>
                <w:bCs/>
              </w:rPr>
            </w:pPr>
            <w:r w:rsidRPr="001E1CB0">
              <w:rPr>
                <w:b/>
                <w:bCs/>
              </w:rPr>
              <w:lastRenderedPageBreak/>
              <w:t>Rec. 4</w:t>
            </w:r>
          </w:p>
          <w:p w14:paraId="558E30B2" w14:textId="77777777" w:rsidR="00ED0162" w:rsidRPr="001E1CB0" w:rsidRDefault="00ED0162" w:rsidP="00ED0162">
            <w:pPr>
              <w:jc w:val="center"/>
              <w:rPr>
                <w:b/>
                <w:bCs/>
              </w:rPr>
            </w:pPr>
            <w:r w:rsidRPr="001E1CB0">
              <w:rPr>
                <w:b/>
                <w:bCs/>
              </w:rPr>
              <w:t>2012</w:t>
            </w:r>
          </w:p>
        </w:tc>
        <w:tc>
          <w:tcPr>
            <w:tcW w:w="1160" w:type="pct"/>
            <w:tcBorders>
              <w:top w:val="single" w:sz="4" w:space="0" w:color="auto"/>
              <w:left w:val="single" w:sz="4" w:space="0" w:color="auto"/>
              <w:bottom w:val="single" w:sz="4" w:space="0" w:color="auto"/>
              <w:right w:val="single" w:sz="4" w:space="0" w:color="auto"/>
            </w:tcBorders>
          </w:tcPr>
          <w:p w14:paraId="4AEEF6E1" w14:textId="77777777" w:rsidR="00ED0162" w:rsidRPr="001E1CB0" w:rsidRDefault="00ED0162" w:rsidP="00ED0162">
            <w:pPr>
              <w:rPr>
                <w:bCs/>
                <w:lang w:val="en-GB"/>
              </w:rPr>
            </w:pPr>
            <w:r w:rsidRPr="001E1CB0">
              <w:rPr>
                <w:bCs/>
                <w:lang w:val="en-GB"/>
              </w:rPr>
              <w:t xml:space="preserve">However, Resolution 11 (Rev. Guadalajara, 2010) </w:t>
            </w:r>
            <w:r w:rsidRPr="001E1CB0">
              <w:rPr>
                <w:bCs/>
                <w:i/>
                <w:iCs/>
                <w:lang w:val="en-GB"/>
              </w:rPr>
              <w:t>resolves 5.6</w:t>
            </w:r>
            <w:r w:rsidRPr="001E1CB0">
              <w:rPr>
                <w:bCs/>
                <w:lang w:val="en-GB"/>
              </w:rPr>
              <w:t xml:space="preserve"> indicated “that fixed venues are negotiated for three consecutive events, after which a new call for bids will be conducted for the next three fixed events”. Consequently, although we understand the difficulties expressed by the Management and the fact that this is the first year of implementation of Resolution 11, </w:t>
            </w:r>
            <w:r w:rsidRPr="001E1CB0">
              <w:rPr>
                <w:bCs/>
                <w:u w:val="single"/>
                <w:lang w:val="en-GB"/>
              </w:rPr>
              <w:t>we recommend</w:t>
            </w:r>
            <w:r w:rsidRPr="001E1CB0">
              <w:rPr>
                <w:bCs/>
                <w:lang w:val="en-GB"/>
              </w:rPr>
              <w:t xml:space="preserve"> to start organizing in the next years calls for bids, in order to </w:t>
            </w:r>
            <w:r w:rsidR="008D70F2" w:rsidRPr="001E1CB0">
              <w:rPr>
                <w:bCs/>
                <w:lang w:val="en-GB"/>
              </w:rPr>
              <w:t>fulfil</w:t>
            </w:r>
            <w:r w:rsidRPr="001E1CB0">
              <w:rPr>
                <w:bCs/>
                <w:lang w:val="en-GB"/>
              </w:rPr>
              <w:t xml:space="preserve"> the requirements of the Resolution.</w:t>
            </w:r>
          </w:p>
        </w:tc>
        <w:tc>
          <w:tcPr>
            <w:tcW w:w="1254" w:type="pct"/>
            <w:tcBorders>
              <w:top w:val="single" w:sz="4" w:space="0" w:color="auto"/>
              <w:left w:val="single" w:sz="4" w:space="0" w:color="auto"/>
              <w:bottom w:val="single" w:sz="4" w:space="0" w:color="auto"/>
              <w:right w:val="single" w:sz="4" w:space="0" w:color="auto"/>
            </w:tcBorders>
          </w:tcPr>
          <w:p w14:paraId="4C81E3E3" w14:textId="77777777" w:rsidR="00ED0162" w:rsidRPr="001E1CB0" w:rsidRDefault="00ED0162" w:rsidP="00ED0162">
            <w:pPr>
              <w:rPr>
                <w:lang w:val="en-GB"/>
              </w:rPr>
            </w:pPr>
            <w:r w:rsidRPr="001E1CB0">
              <w:rPr>
                <w:lang w:val="en-GB"/>
              </w:rPr>
              <w:t>Through a Circular Letter distributed to all Member States, ITU invites countries interested in hosting ITU Telecom events to submit offers. To date, most of the proposals have been limited to the organization of a single event.</w:t>
            </w:r>
          </w:p>
        </w:tc>
        <w:tc>
          <w:tcPr>
            <w:tcW w:w="1158" w:type="pct"/>
            <w:tcBorders>
              <w:top w:val="single" w:sz="4" w:space="0" w:color="auto"/>
              <w:left w:val="single" w:sz="4" w:space="0" w:color="auto"/>
              <w:bottom w:val="single" w:sz="4" w:space="0" w:color="auto"/>
              <w:right w:val="single" w:sz="4" w:space="0" w:color="auto"/>
            </w:tcBorders>
          </w:tcPr>
          <w:p w14:paraId="2E10669D" w14:textId="77777777" w:rsidR="00ED0162" w:rsidRPr="001E1CB0" w:rsidRDefault="00ED0162" w:rsidP="00ED0162">
            <w:pPr>
              <w:rPr>
                <w:lang w:val="en-GB"/>
              </w:rPr>
            </w:pPr>
            <w:r w:rsidRPr="001E1CB0">
              <w:rPr>
                <w:lang w:val="en-GB"/>
              </w:rPr>
              <w:t xml:space="preserve">The hosting of ITU Telecom events will continue to be based on the review of proposals received from potential host countries.  </w:t>
            </w:r>
          </w:p>
        </w:tc>
        <w:tc>
          <w:tcPr>
            <w:tcW w:w="1120" w:type="pct"/>
            <w:tcBorders>
              <w:top w:val="single" w:sz="4" w:space="0" w:color="auto"/>
              <w:left w:val="single" w:sz="4" w:space="0" w:color="auto"/>
              <w:bottom w:val="single" w:sz="4" w:space="0" w:color="auto"/>
              <w:right w:val="single" w:sz="4" w:space="0" w:color="auto"/>
            </w:tcBorders>
          </w:tcPr>
          <w:p w14:paraId="463D6522" w14:textId="77777777" w:rsidR="00ED0162" w:rsidRPr="001E1CB0" w:rsidRDefault="0082167A" w:rsidP="003D770A">
            <w:pPr>
              <w:rPr>
                <w:lang w:val="en-GB"/>
              </w:rPr>
            </w:pPr>
            <w:r w:rsidRPr="001E1CB0">
              <w:rPr>
                <w:lang w:val="en-GB"/>
              </w:rPr>
              <w:t>Closed</w:t>
            </w:r>
          </w:p>
        </w:tc>
      </w:tr>
      <w:tr w:rsidR="0082167A" w:rsidRPr="001264B1" w14:paraId="4A325C31" w14:textId="77777777" w:rsidTr="002B72EA">
        <w:trPr>
          <w:cantSplit/>
          <w:trHeight w:val="6910"/>
        </w:trPr>
        <w:tc>
          <w:tcPr>
            <w:tcW w:w="308" w:type="pct"/>
            <w:tcBorders>
              <w:top w:val="single" w:sz="4" w:space="0" w:color="auto"/>
              <w:left w:val="single" w:sz="4" w:space="0" w:color="auto"/>
              <w:bottom w:val="single" w:sz="4" w:space="0" w:color="auto"/>
              <w:right w:val="single" w:sz="4" w:space="0" w:color="auto"/>
            </w:tcBorders>
          </w:tcPr>
          <w:p w14:paraId="704A34F6" w14:textId="77777777" w:rsidR="0082167A" w:rsidRPr="001E1CB0" w:rsidRDefault="0082167A" w:rsidP="0082167A">
            <w:pPr>
              <w:jc w:val="center"/>
              <w:rPr>
                <w:b/>
                <w:bCs/>
              </w:rPr>
            </w:pPr>
            <w:r w:rsidRPr="001E1CB0">
              <w:rPr>
                <w:b/>
                <w:bCs/>
              </w:rPr>
              <w:lastRenderedPageBreak/>
              <w:t>Rec. 1</w:t>
            </w:r>
          </w:p>
          <w:p w14:paraId="69DEAB9D" w14:textId="77777777" w:rsidR="0082167A" w:rsidRPr="001E1CB0" w:rsidRDefault="0082167A" w:rsidP="0082167A">
            <w:pPr>
              <w:jc w:val="center"/>
              <w:rPr>
                <w:b/>
                <w:bCs/>
              </w:rPr>
            </w:pPr>
            <w:r w:rsidRPr="001E1CB0">
              <w:rPr>
                <w:b/>
                <w:bCs/>
              </w:rPr>
              <w:t>2013</w:t>
            </w:r>
          </w:p>
        </w:tc>
        <w:tc>
          <w:tcPr>
            <w:tcW w:w="1160" w:type="pct"/>
            <w:tcBorders>
              <w:top w:val="single" w:sz="4" w:space="0" w:color="auto"/>
              <w:left w:val="single" w:sz="4" w:space="0" w:color="auto"/>
              <w:bottom w:val="single" w:sz="4" w:space="0" w:color="auto"/>
              <w:right w:val="single" w:sz="4" w:space="0" w:color="auto"/>
            </w:tcBorders>
          </w:tcPr>
          <w:p w14:paraId="1E6A95C1" w14:textId="77777777" w:rsidR="0082167A" w:rsidRPr="001E1CB0" w:rsidRDefault="00D30218" w:rsidP="00D30218">
            <w:pPr>
              <w:rPr>
                <w:bCs/>
                <w:lang w:val="en-GB"/>
              </w:rPr>
            </w:pPr>
            <w:r w:rsidRPr="001E1CB0">
              <w:rPr>
                <w:bCs/>
                <w:lang w:val="en-GB"/>
              </w:rPr>
              <w:t xml:space="preserve">We consider that the budget should be based on a more realistic and attainable budget assumptions in order to avoid the burden of revision. Therefore, we recommend that the budget reflects realistic and attainable assumptions.   </w:t>
            </w:r>
          </w:p>
        </w:tc>
        <w:tc>
          <w:tcPr>
            <w:tcW w:w="1254" w:type="pct"/>
            <w:tcBorders>
              <w:top w:val="single" w:sz="4" w:space="0" w:color="auto"/>
              <w:left w:val="single" w:sz="4" w:space="0" w:color="auto"/>
              <w:bottom w:val="single" w:sz="4" w:space="0" w:color="auto"/>
              <w:right w:val="single" w:sz="4" w:space="0" w:color="auto"/>
            </w:tcBorders>
          </w:tcPr>
          <w:p w14:paraId="79FFE048" w14:textId="77777777" w:rsidR="0082167A" w:rsidRPr="001E1CB0" w:rsidRDefault="00D30218" w:rsidP="008F2BFC">
            <w:pPr>
              <w:rPr>
                <w:lang w:val="en-GB"/>
              </w:rPr>
            </w:pPr>
            <w:r w:rsidRPr="001E1CB0">
              <w:rPr>
                <w:lang w:val="en-GB"/>
              </w:rPr>
              <w:t xml:space="preserve"> </w:t>
            </w:r>
            <w:r w:rsidR="008F2BFC" w:rsidRPr="001E1CB0">
              <w:rPr>
                <w:lang w:val="en-GB"/>
              </w:rPr>
              <w:t>Efforts will be continued in refining budget assumptions while taking into account the support from Host Countries which translates into the need for ITU to make adequate contingency planning.</w:t>
            </w:r>
          </w:p>
        </w:tc>
        <w:tc>
          <w:tcPr>
            <w:tcW w:w="1158" w:type="pct"/>
            <w:tcBorders>
              <w:top w:val="single" w:sz="4" w:space="0" w:color="auto"/>
              <w:left w:val="single" w:sz="4" w:space="0" w:color="auto"/>
              <w:bottom w:val="single" w:sz="4" w:space="0" w:color="auto"/>
              <w:right w:val="single" w:sz="4" w:space="0" w:color="auto"/>
            </w:tcBorders>
          </w:tcPr>
          <w:p w14:paraId="684C1BD2" w14:textId="03856C6C" w:rsidR="0082167A" w:rsidRPr="001E1CB0" w:rsidRDefault="00D30218" w:rsidP="00693AAA">
            <w:pPr>
              <w:rPr>
                <w:lang w:val="en-GB"/>
              </w:rPr>
            </w:pPr>
            <w:r w:rsidRPr="001E1CB0">
              <w:rPr>
                <w:lang w:val="en-GB"/>
              </w:rPr>
              <w:t xml:space="preserve"> </w:t>
            </w:r>
            <w:r w:rsidR="009B3078">
              <w:rPr>
                <w:lang w:val="en-GB"/>
              </w:rPr>
              <w:t>In conformity with Corte dei Conti’s 2012 Recommendation no. 1 as well as with this Recommendation, the ITU Telecom World 2014 budget has been revised.  Action completed</w:t>
            </w:r>
            <w:r w:rsidR="009B3078" w:rsidRPr="00C05DF6">
              <w:rPr>
                <w:lang w:val="en-GB"/>
              </w:rPr>
              <w:t xml:space="preserve">. </w:t>
            </w:r>
            <w:r w:rsidR="001909A1" w:rsidRPr="00C05DF6">
              <w:rPr>
                <w:lang w:val="en-GB"/>
              </w:rPr>
              <w:t>Closed</w:t>
            </w:r>
            <w:r w:rsidR="00693AAA">
              <w:rPr>
                <w:lang w:val="en-GB"/>
              </w:rPr>
              <w:t>.</w:t>
            </w:r>
            <w:r w:rsidR="0082167A" w:rsidRPr="001E1CB0">
              <w:rPr>
                <w:lang w:val="en-GB"/>
              </w:rPr>
              <w:t xml:space="preserve">  </w:t>
            </w:r>
          </w:p>
        </w:tc>
        <w:tc>
          <w:tcPr>
            <w:tcW w:w="1120" w:type="pct"/>
            <w:tcBorders>
              <w:top w:val="single" w:sz="4" w:space="0" w:color="auto"/>
              <w:left w:val="single" w:sz="4" w:space="0" w:color="auto"/>
              <w:bottom w:val="single" w:sz="4" w:space="0" w:color="auto"/>
              <w:right w:val="single" w:sz="4" w:space="0" w:color="auto"/>
            </w:tcBorders>
          </w:tcPr>
          <w:p w14:paraId="4AD43642" w14:textId="0EA8D801" w:rsidR="0082167A" w:rsidRPr="001E1CB0" w:rsidRDefault="00202F1F" w:rsidP="00AB33DD">
            <w:pPr>
              <w:rPr>
                <w:lang w:val="en-GB"/>
              </w:rPr>
            </w:pPr>
            <w:r>
              <w:rPr>
                <w:lang w:val="en-GB"/>
              </w:rPr>
              <w:t>Closed</w:t>
            </w:r>
          </w:p>
        </w:tc>
      </w:tr>
      <w:tr w:rsidR="00600DFD" w:rsidRPr="001264B1" w14:paraId="11A691AD" w14:textId="77777777" w:rsidTr="002B72EA">
        <w:trPr>
          <w:cantSplit/>
          <w:trHeight w:val="6910"/>
        </w:trPr>
        <w:tc>
          <w:tcPr>
            <w:tcW w:w="308" w:type="pct"/>
            <w:tcBorders>
              <w:top w:val="single" w:sz="4" w:space="0" w:color="auto"/>
              <w:left w:val="single" w:sz="4" w:space="0" w:color="auto"/>
              <w:bottom w:val="single" w:sz="4" w:space="0" w:color="auto"/>
              <w:right w:val="single" w:sz="4" w:space="0" w:color="auto"/>
            </w:tcBorders>
          </w:tcPr>
          <w:p w14:paraId="090791F4" w14:textId="77777777" w:rsidR="00600DFD" w:rsidRPr="001E1CB0" w:rsidRDefault="00600DFD" w:rsidP="00AB33DD">
            <w:pPr>
              <w:jc w:val="center"/>
              <w:rPr>
                <w:b/>
                <w:bCs/>
              </w:rPr>
            </w:pPr>
            <w:r w:rsidRPr="001E1CB0">
              <w:rPr>
                <w:b/>
                <w:bCs/>
              </w:rPr>
              <w:lastRenderedPageBreak/>
              <w:t>Rec. 2</w:t>
            </w:r>
          </w:p>
          <w:p w14:paraId="0277026E" w14:textId="77777777" w:rsidR="00600DFD" w:rsidRPr="001E1CB0" w:rsidRDefault="00600DFD" w:rsidP="00AB33DD">
            <w:pPr>
              <w:jc w:val="center"/>
              <w:rPr>
                <w:b/>
                <w:bCs/>
              </w:rPr>
            </w:pPr>
            <w:r w:rsidRPr="001E1CB0">
              <w:rPr>
                <w:b/>
                <w:bCs/>
              </w:rPr>
              <w:t>2013</w:t>
            </w:r>
          </w:p>
        </w:tc>
        <w:tc>
          <w:tcPr>
            <w:tcW w:w="1160" w:type="pct"/>
            <w:tcBorders>
              <w:top w:val="single" w:sz="4" w:space="0" w:color="auto"/>
              <w:left w:val="single" w:sz="4" w:space="0" w:color="auto"/>
              <w:bottom w:val="single" w:sz="4" w:space="0" w:color="auto"/>
              <w:right w:val="single" w:sz="4" w:space="0" w:color="auto"/>
            </w:tcBorders>
          </w:tcPr>
          <w:p w14:paraId="2AA4DFB3" w14:textId="77777777" w:rsidR="00600DFD" w:rsidRPr="001E1CB0" w:rsidRDefault="00600DFD" w:rsidP="00600DFD">
            <w:pPr>
              <w:rPr>
                <w:bCs/>
                <w:lang w:val="en-GB"/>
              </w:rPr>
            </w:pPr>
            <w:r w:rsidRPr="001E1CB0">
              <w:rPr>
                <w:bCs/>
                <w:lang w:val="en-GB"/>
              </w:rPr>
              <w:t>Some revenue from upgrading passes, realized directly with a cash operation at the Event opening, have not been timely registered in the system and only lately regul</w:t>
            </w:r>
            <w:r w:rsidR="008D70F2">
              <w:rPr>
                <w:bCs/>
                <w:lang w:val="en-GB"/>
              </w:rPr>
              <w:t>arized. Although the fact is not</w:t>
            </w:r>
            <w:r w:rsidRPr="001E1CB0">
              <w:rPr>
                <w:bCs/>
                <w:lang w:val="en-GB"/>
              </w:rPr>
              <w:t xml:space="preserve"> marked with materiality, we recommend that a standard procedure for such cases should be adopted.</w:t>
            </w:r>
          </w:p>
        </w:tc>
        <w:tc>
          <w:tcPr>
            <w:tcW w:w="1254" w:type="pct"/>
            <w:tcBorders>
              <w:top w:val="single" w:sz="4" w:space="0" w:color="auto"/>
              <w:left w:val="single" w:sz="4" w:space="0" w:color="auto"/>
              <w:bottom w:val="single" w:sz="4" w:space="0" w:color="auto"/>
              <w:right w:val="single" w:sz="4" w:space="0" w:color="auto"/>
            </w:tcBorders>
          </w:tcPr>
          <w:p w14:paraId="1226902D" w14:textId="77777777" w:rsidR="00600DFD" w:rsidRPr="001E1CB0" w:rsidRDefault="00600DFD" w:rsidP="00276518">
            <w:pPr>
              <w:rPr>
                <w:lang w:val="en-GB"/>
              </w:rPr>
            </w:pPr>
            <w:r w:rsidRPr="001E1CB0">
              <w:rPr>
                <w:lang w:val="en-GB"/>
              </w:rPr>
              <w:t xml:space="preserve"> </w:t>
            </w:r>
            <w:r w:rsidR="00276518" w:rsidRPr="001E1CB0">
              <w:rPr>
                <w:lang w:val="en-GB"/>
              </w:rPr>
              <w:t>A written standard procedure will be provided for pass upgrades. The possibility of reflecting the upgrade in the system by the registration team at the back office during the end of the day is being discussed. The possibility of a technical solution for upgrades in the registration system is being explored.</w:t>
            </w:r>
          </w:p>
        </w:tc>
        <w:tc>
          <w:tcPr>
            <w:tcW w:w="1158" w:type="pct"/>
            <w:tcBorders>
              <w:top w:val="single" w:sz="4" w:space="0" w:color="auto"/>
              <w:left w:val="single" w:sz="4" w:space="0" w:color="auto"/>
              <w:bottom w:val="single" w:sz="4" w:space="0" w:color="auto"/>
              <w:right w:val="single" w:sz="4" w:space="0" w:color="auto"/>
            </w:tcBorders>
          </w:tcPr>
          <w:p w14:paraId="6C75D707" w14:textId="4B9D5399" w:rsidR="00600DFD" w:rsidRPr="001E1CB0" w:rsidRDefault="00600DFD" w:rsidP="0009010B">
            <w:pPr>
              <w:rPr>
                <w:lang w:val="en-GB"/>
              </w:rPr>
            </w:pPr>
            <w:r w:rsidRPr="001E1CB0">
              <w:rPr>
                <w:lang w:val="en-GB"/>
              </w:rPr>
              <w:t xml:space="preserve"> </w:t>
            </w:r>
            <w:r w:rsidR="00693AAA">
              <w:rPr>
                <w:lang w:val="en-GB"/>
              </w:rPr>
              <w:t xml:space="preserve">The procedure for pass upgrades has been established </w:t>
            </w:r>
            <w:r w:rsidR="0009010B">
              <w:rPr>
                <w:lang w:val="en-GB"/>
              </w:rPr>
              <w:t>prior to</w:t>
            </w:r>
            <w:r w:rsidR="00693AAA">
              <w:rPr>
                <w:lang w:val="en-GB"/>
              </w:rPr>
              <w:t xml:space="preserve"> ITU Telecom World 2014 and a copy </w:t>
            </w:r>
            <w:r w:rsidR="00DE2D42">
              <w:rPr>
                <w:lang w:val="en-GB"/>
              </w:rPr>
              <w:t xml:space="preserve">was </w:t>
            </w:r>
            <w:r w:rsidR="00693AAA">
              <w:rPr>
                <w:lang w:val="en-GB"/>
              </w:rPr>
              <w:t xml:space="preserve">provided to the Auditor.  Action completed.  </w:t>
            </w:r>
            <w:r w:rsidR="001909A1" w:rsidRPr="00C05DF6">
              <w:rPr>
                <w:lang w:val="en-GB"/>
              </w:rPr>
              <w:t>Closed</w:t>
            </w:r>
            <w:r w:rsidR="00693AAA">
              <w:rPr>
                <w:lang w:val="en-GB"/>
              </w:rPr>
              <w:t>.</w:t>
            </w:r>
            <w:r w:rsidR="001909A1" w:rsidRPr="001E1CB0">
              <w:rPr>
                <w:lang w:val="en-GB"/>
              </w:rPr>
              <w:t xml:space="preserve">  </w:t>
            </w:r>
            <w:r w:rsidRPr="001E1CB0">
              <w:rPr>
                <w:lang w:val="en-GB"/>
              </w:rPr>
              <w:t xml:space="preserve">  </w:t>
            </w:r>
          </w:p>
        </w:tc>
        <w:tc>
          <w:tcPr>
            <w:tcW w:w="1120" w:type="pct"/>
            <w:tcBorders>
              <w:top w:val="single" w:sz="4" w:space="0" w:color="auto"/>
              <w:left w:val="single" w:sz="4" w:space="0" w:color="auto"/>
              <w:bottom w:val="single" w:sz="4" w:space="0" w:color="auto"/>
              <w:right w:val="single" w:sz="4" w:space="0" w:color="auto"/>
            </w:tcBorders>
          </w:tcPr>
          <w:p w14:paraId="7FC708B9" w14:textId="7E7349F8" w:rsidR="00600DFD" w:rsidRPr="001E1CB0" w:rsidRDefault="00202F1F" w:rsidP="00EE2FEE">
            <w:pPr>
              <w:rPr>
                <w:lang w:val="en-GB"/>
              </w:rPr>
            </w:pPr>
            <w:r>
              <w:rPr>
                <w:lang w:val="en-GB"/>
              </w:rPr>
              <w:t>Closed</w:t>
            </w:r>
          </w:p>
        </w:tc>
      </w:tr>
      <w:tr w:rsidR="005357C6" w:rsidRPr="001264B1" w14:paraId="2623B853" w14:textId="77777777" w:rsidTr="002B72EA">
        <w:trPr>
          <w:cantSplit/>
          <w:trHeight w:val="6910"/>
        </w:trPr>
        <w:tc>
          <w:tcPr>
            <w:tcW w:w="308" w:type="pct"/>
            <w:tcBorders>
              <w:top w:val="single" w:sz="4" w:space="0" w:color="auto"/>
              <w:left w:val="single" w:sz="4" w:space="0" w:color="auto"/>
              <w:bottom w:val="single" w:sz="4" w:space="0" w:color="auto"/>
              <w:right w:val="single" w:sz="4" w:space="0" w:color="auto"/>
            </w:tcBorders>
          </w:tcPr>
          <w:p w14:paraId="3E2F660D" w14:textId="77777777" w:rsidR="005357C6" w:rsidRPr="001E1CB0" w:rsidRDefault="005357C6" w:rsidP="00AB33DD">
            <w:pPr>
              <w:jc w:val="center"/>
              <w:rPr>
                <w:b/>
                <w:bCs/>
              </w:rPr>
            </w:pPr>
            <w:r w:rsidRPr="001E1CB0">
              <w:rPr>
                <w:b/>
                <w:bCs/>
              </w:rPr>
              <w:lastRenderedPageBreak/>
              <w:t>Rec. 3</w:t>
            </w:r>
          </w:p>
          <w:p w14:paraId="3B6AD026" w14:textId="77777777" w:rsidR="005357C6" w:rsidRPr="001E1CB0" w:rsidRDefault="005357C6" w:rsidP="00AB33DD">
            <w:pPr>
              <w:jc w:val="center"/>
              <w:rPr>
                <w:b/>
                <w:bCs/>
              </w:rPr>
            </w:pPr>
            <w:r w:rsidRPr="001E1CB0">
              <w:rPr>
                <w:b/>
                <w:bCs/>
              </w:rPr>
              <w:t>2013</w:t>
            </w:r>
          </w:p>
        </w:tc>
        <w:tc>
          <w:tcPr>
            <w:tcW w:w="1160" w:type="pct"/>
            <w:tcBorders>
              <w:top w:val="single" w:sz="4" w:space="0" w:color="auto"/>
              <w:left w:val="single" w:sz="4" w:space="0" w:color="auto"/>
              <w:bottom w:val="single" w:sz="4" w:space="0" w:color="auto"/>
              <w:right w:val="single" w:sz="4" w:space="0" w:color="auto"/>
            </w:tcBorders>
          </w:tcPr>
          <w:p w14:paraId="0BC009F7" w14:textId="77777777" w:rsidR="005357C6" w:rsidRPr="001E1CB0" w:rsidRDefault="005357C6" w:rsidP="005357C6">
            <w:pPr>
              <w:rPr>
                <w:bCs/>
                <w:lang w:val="en-GB"/>
              </w:rPr>
            </w:pPr>
            <w:r w:rsidRPr="001E1CB0">
              <w:rPr>
                <w:bCs/>
                <w:lang w:val="en-GB"/>
              </w:rPr>
              <w:t>Considering that there are no recent analyses of the measure and the composition of Cost Recovery lump-sum, we recommend the Management to provide a clear basis on how the amount of cost recovery is arrived at.</w:t>
            </w:r>
          </w:p>
        </w:tc>
        <w:tc>
          <w:tcPr>
            <w:tcW w:w="1254" w:type="pct"/>
            <w:tcBorders>
              <w:top w:val="single" w:sz="4" w:space="0" w:color="auto"/>
              <w:left w:val="single" w:sz="4" w:space="0" w:color="auto"/>
              <w:bottom w:val="single" w:sz="4" w:space="0" w:color="auto"/>
              <w:right w:val="single" w:sz="4" w:space="0" w:color="auto"/>
            </w:tcBorders>
          </w:tcPr>
          <w:p w14:paraId="614AF922" w14:textId="77777777" w:rsidR="005357C6" w:rsidRPr="001E1CB0" w:rsidRDefault="005357C6" w:rsidP="005357C6">
            <w:pPr>
              <w:rPr>
                <w:lang w:val="en-GB"/>
              </w:rPr>
            </w:pPr>
            <w:r w:rsidRPr="001E1CB0">
              <w:rPr>
                <w:lang w:val="en-GB"/>
              </w:rPr>
              <w:t xml:space="preserve">  The amounts of cost recovery for 2014 and 2015 have already been defined in the approved biennial budget. For the cost recovery from 2016, a detailed study will be completed which will serve as the basis for the charges.</w:t>
            </w:r>
          </w:p>
        </w:tc>
        <w:tc>
          <w:tcPr>
            <w:tcW w:w="1158" w:type="pct"/>
            <w:tcBorders>
              <w:top w:val="single" w:sz="4" w:space="0" w:color="auto"/>
              <w:left w:val="single" w:sz="4" w:space="0" w:color="auto"/>
              <w:bottom w:val="single" w:sz="4" w:space="0" w:color="auto"/>
              <w:right w:val="single" w:sz="4" w:space="0" w:color="auto"/>
            </w:tcBorders>
          </w:tcPr>
          <w:p w14:paraId="04BCE24C" w14:textId="25606EB2" w:rsidR="00693AAA" w:rsidRDefault="005357C6" w:rsidP="004B5DD5">
            <w:pPr>
              <w:rPr>
                <w:lang w:val="en-GB"/>
              </w:rPr>
            </w:pPr>
            <w:r w:rsidRPr="001E1CB0">
              <w:rPr>
                <w:lang w:val="en-GB"/>
              </w:rPr>
              <w:t xml:space="preserve"> </w:t>
            </w:r>
            <w:r w:rsidR="00693AAA">
              <w:rPr>
                <w:lang w:val="en-GB"/>
              </w:rPr>
              <w:t xml:space="preserve">The detailed study on cost recovery charges for ITU Telecom has been completed.    This is also in compliance with 2012 Recommendation no. 3.  </w:t>
            </w:r>
            <w:r w:rsidR="004B5DD5">
              <w:rPr>
                <w:lang w:val="en-GB"/>
              </w:rPr>
              <w:t>A</w:t>
            </w:r>
            <w:r w:rsidR="00693AAA">
              <w:rPr>
                <w:lang w:val="en-GB"/>
              </w:rPr>
              <w:t>ction completed.  Closed.</w:t>
            </w:r>
          </w:p>
          <w:p w14:paraId="1444743B" w14:textId="5D423E45" w:rsidR="005357C6" w:rsidRPr="001E1CB0" w:rsidRDefault="005357C6" w:rsidP="00693AAA">
            <w:pPr>
              <w:rPr>
                <w:lang w:val="en-GB"/>
              </w:rPr>
            </w:pPr>
            <w:r w:rsidRPr="001E1CB0">
              <w:rPr>
                <w:lang w:val="en-GB"/>
              </w:rPr>
              <w:t xml:space="preserve">  </w:t>
            </w:r>
          </w:p>
        </w:tc>
        <w:tc>
          <w:tcPr>
            <w:tcW w:w="1120" w:type="pct"/>
            <w:tcBorders>
              <w:top w:val="single" w:sz="4" w:space="0" w:color="auto"/>
              <w:left w:val="single" w:sz="4" w:space="0" w:color="auto"/>
              <w:bottom w:val="single" w:sz="4" w:space="0" w:color="auto"/>
              <w:right w:val="single" w:sz="4" w:space="0" w:color="auto"/>
            </w:tcBorders>
          </w:tcPr>
          <w:p w14:paraId="212BBDF9" w14:textId="27E9A45C" w:rsidR="005357C6" w:rsidRPr="001E1CB0" w:rsidRDefault="00202F1F" w:rsidP="00EE2FEE">
            <w:pPr>
              <w:rPr>
                <w:lang w:val="en-GB"/>
              </w:rPr>
            </w:pPr>
            <w:r>
              <w:rPr>
                <w:lang w:val="en-GB"/>
              </w:rPr>
              <w:t>Closed</w:t>
            </w:r>
          </w:p>
        </w:tc>
      </w:tr>
      <w:tr w:rsidR="00867DE5" w:rsidRPr="001264B1" w14:paraId="0BA3A002" w14:textId="77777777" w:rsidTr="002B72EA">
        <w:trPr>
          <w:cantSplit/>
          <w:trHeight w:val="6910"/>
        </w:trPr>
        <w:tc>
          <w:tcPr>
            <w:tcW w:w="308" w:type="pct"/>
            <w:tcBorders>
              <w:top w:val="single" w:sz="4" w:space="0" w:color="auto"/>
              <w:left w:val="single" w:sz="4" w:space="0" w:color="auto"/>
              <w:bottom w:val="single" w:sz="4" w:space="0" w:color="auto"/>
              <w:right w:val="single" w:sz="4" w:space="0" w:color="auto"/>
            </w:tcBorders>
          </w:tcPr>
          <w:p w14:paraId="43630AD7" w14:textId="77777777" w:rsidR="00867DE5" w:rsidRPr="001E1CB0" w:rsidRDefault="00867DE5" w:rsidP="00AB33DD">
            <w:pPr>
              <w:rPr>
                <w:b/>
                <w:bCs/>
              </w:rPr>
            </w:pPr>
          </w:p>
          <w:p w14:paraId="49A3A6E8" w14:textId="77777777" w:rsidR="00867DE5" w:rsidRPr="001E1CB0" w:rsidRDefault="00867DE5" w:rsidP="00AB33DD">
            <w:pPr>
              <w:jc w:val="center"/>
              <w:rPr>
                <w:b/>
                <w:bCs/>
              </w:rPr>
            </w:pPr>
            <w:r w:rsidRPr="001E1CB0">
              <w:rPr>
                <w:b/>
                <w:bCs/>
              </w:rPr>
              <w:t>Rec. 4</w:t>
            </w:r>
          </w:p>
          <w:p w14:paraId="2646F317" w14:textId="77777777" w:rsidR="00867DE5" w:rsidRPr="001E1CB0" w:rsidRDefault="00867DE5" w:rsidP="00AB33DD">
            <w:pPr>
              <w:jc w:val="center"/>
              <w:rPr>
                <w:b/>
                <w:bCs/>
              </w:rPr>
            </w:pPr>
            <w:r w:rsidRPr="001E1CB0">
              <w:rPr>
                <w:b/>
                <w:bCs/>
              </w:rPr>
              <w:t>2013</w:t>
            </w:r>
          </w:p>
        </w:tc>
        <w:tc>
          <w:tcPr>
            <w:tcW w:w="1160" w:type="pct"/>
            <w:tcBorders>
              <w:top w:val="single" w:sz="4" w:space="0" w:color="auto"/>
              <w:left w:val="single" w:sz="4" w:space="0" w:color="auto"/>
              <w:bottom w:val="single" w:sz="4" w:space="0" w:color="auto"/>
              <w:right w:val="single" w:sz="4" w:space="0" w:color="auto"/>
            </w:tcBorders>
          </w:tcPr>
          <w:p w14:paraId="0AE886E9" w14:textId="77777777" w:rsidR="00867DE5" w:rsidRPr="001E1CB0" w:rsidRDefault="00867DE5" w:rsidP="008D70F2">
            <w:pPr>
              <w:rPr>
                <w:bCs/>
                <w:lang w:val="en-GB"/>
              </w:rPr>
            </w:pPr>
            <w:r w:rsidRPr="001E1CB0">
              <w:rPr>
                <w:bCs/>
                <w:lang w:val="en-GB"/>
              </w:rPr>
              <w:t>We recommend that ITU-Telecom organization makes sure to preserve a possibility of choice also in case of free services that are offered by Host Country</w:t>
            </w:r>
            <w:r w:rsidR="005A7877">
              <w:rPr>
                <w:bCs/>
                <w:lang w:val="en-GB"/>
              </w:rPr>
              <w:t>.</w:t>
            </w:r>
          </w:p>
        </w:tc>
        <w:tc>
          <w:tcPr>
            <w:tcW w:w="1254" w:type="pct"/>
            <w:tcBorders>
              <w:top w:val="single" w:sz="4" w:space="0" w:color="auto"/>
              <w:left w:val="single" w:sz="4" w:space="0" w:color="auto"/>
              <w:bottom w:val="single" w:sz="4" w:space="0" w:color="auto"/>
              <w:right w:val="single" w:sz="4" w:space="0" w:color="auto"/>
            </w:tcBorders>
          </w:tcPr>
          <w:p w14:paraId="158C4C0C" w14:textId="77777777" w:rsidR="00867DE5" w:rsidRPr="001E1CB0" w:rsidRDefault="00867DE5" w:rsidP="00867DE5">
            <w:pPr>
              <w:rPr>
                <w:lang w:val="en-GB"/>
              </w:rPr>
            </w:pPr>
            <w:r w:rsidRPr="001E1CB0">
              <w:rPr>
                <w:lang w:val="en-GB"/>
              </w:rPr>
              <w:t xml:space="preserve">  ITU will carefully review free services proposed by the Host Country to assess adequacy of the anticipated quality level.</w:t>
            </w:r>
          </w:p>
        </w:tc>
        <w:tc>
          <w:tcPr>
            <w:tcW w:w="1158" w:type="pct"/>
            <w:tcBorders>
              <w:top w:val="single" w:sz="4" w:space="0" w:color="auto"/>
              <w:left w:val="single" w:sz="4" w:space="0" w:color="auto"/>
              <w:bottom w:val="single" w:sz="4" w:space="0" w:color="auto"/>
              <w:right w:val="single" w:sz="4" w:space="0" w:color="auto"/>
            </w:tcBorders>
          </w:tcPr>
          <w:p w14:paraId="424E3310" w14:textId="6AEA8703" w:rsidR="00867DE5" w:rsidRPr="001E1CB0" w:rsidRDefault="00867DE5" w:rsidP="00AB33DD">
            <w:pPr>
              <w:rPr>
                <w:lang w:val="en-GB"/>
              </w:rPr>
            </w:pPr>
            <w:r w:rsidRPr="001E1CB0">
              <w:rPr>
                <w:lang w:val="en-GB"/>
              </w:rPr>
              <w:t xml:space="preserve">   </w:t>
            </w:r>
            <w:r w:rsidR="00A86AA8">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4D09CA53" w14:textId="75F3568F" w:rsidR="00867DE5" w:rsidRPr="001E1CB0" w:rsidRDefault="00BF0962" w:rsidP="00EE2FEE">
            <w:pPr>
              <w:rPr>
                <w:lang w:val="en-GB"/>
              </w:rPr>
            </w:pPr>
            <w:r>
              <w:rPr>
                <w:lang w:val="en-GB"/>
              </w:rPr>
              <w:t>On-going</w:t>
            </w:r>
          </w:p>
        </w:tc>
      </w:tr>
    </w:tbl>
    <w:p w14:paraId="1F3E15A4" w14:textId="77777777" w:rsidR="00EE2FEE" w:rsidRDefault="00EE2FEE" w:rsidP="00ED0162">
      <w:pPr>
        <w:rPr>
          <w:lang w:val="en-GB"/>
        </w:rPr>
      </w:pPr>
    </w:p>
    <w:p w14:paraId="2BD0EECD" w14:textId="77777777" w:rsidR="00EE2FEE" w:rsidRDefault="00EE2FEE">
      <w:pPr>
        <w:adjustRightInd/>
        <w:spacing w:before="0" w:after="200" w:line="276" w:lineRule="auto"/>
        <w:jc w:val="left"/>
        <w:rPr>
          <w:lang w:val="en-GB"/>
        </w:rPr>
      </w:pPr>
      <w:r>
        <w:rPr>
          <w:lang w:val="en-GB"/>
        </w:rPr>
        <w:br w:type="page"/>
      </w:r>
    </w:p>
    <w:p w14:paraId="0965E71F" w14:textId="77777777" w:rsidR="00ED0162" w:rsidRPr="001E1CB0" w:rsidRDefault="00ED0162" w:rsidP="002B72EA">
      <w:pPr>
        <w:pStyle w:val="Heading2"/>
        <w:jc w:val="center"/>
      </w:pPr>
      <w:bookmarkStart w:id="47" w:name="_Toc417373410"/>
      <w:r w:rsidRPr="001E1CB0">
        <w:lastRenderedPageBreak/>
        <w:t>Suggestions</w:t>
      </w:r>
      <w:bookmarkEnd w:id="47"/>
    </w:p>
    <w:tbl>
      <w:tblPr>
        <w:tblW w:w="5000" w:type="pct"/>
        <w:tblCellMar>
          <w:top w:w="28" w:type="dxa"/>
          <w:left w:w="57" w:type="dxa"/>
          <w:bottom w:w="28" w:type="dxa"/>
          <w:right w:w="57" w:type="dxa"/>
        </w:tblCellMar>
        <w:tblLook w:val="0000" w:firstRow="0" w:lastRow="0" w:firstColumn="0" w:lastColumn="0" w:noHBand="0" w:noVBand="0"/>
      </w:tblPr>
      <w:tblGrid>
        <w:gridCol w:w="687"/>
        <w:gridCol w:w="2232"/>
        <w:gridCol w:w="2323"/>
        <w:gridCol w:w="2230"/>
        <w:gridCol w:w="2157"/>
      </w:tblGrid>
      <w:tr w:rsidR="002B72EA" w:rsidRPr="001E1CB0" w14:paraId="0078BD87" w14:textId="77777777" w:rsidTr="002B72EA">
        <w:trPr>
          <w:cantSplit/>
          <w:trHeight w:hRule="exact" w:val="1160"/>
          <w:tblHeader/>
        </w:trPr>
        <w:tc>
          <w:tcPr>
            <w:tcW w:w="357" w:type="pct"/>
            <w:tcBorders>
              <w:top w:val="single" w:sz="4" w:space="0" w:color="auto"/>
              <w:left w:val="single" w:sz="4" w:space="0" w:color="auto"/>
              <w:bottom w:val="single" w:sz="4" w:space="0" w:color="auto"/>
              <w:right w:val="single" w:sz="4" w:space="0" w:color="auto"/>
            </w:tcBorders>
            <w:vAlign w:val="center"/>
          </w:tcPr>
          <w:p w14:paraId="25605007" w14:textId="77777777" w:rsidR="002B72EA" w:rsidRPr="001E1CB0" w:rsidRDefault="002B72EA" w:rsidP="002B72EA">
            <w:pPr>
              <w:spacing w:before="0" w:line="240" w:lineRule="auto"/>
              <w:jc w:val="center"/>
              <w:rPr>
                <w:b/>
                <w:bCs/>
              </w:rPr>
            </w:pPr>
          </w:p>
        </w:tc>
        <w:tc>
          <w:tcPr>
            <w:tcW w:w="1159" w:type="pct"/>
            <w:tcBorders>
              <w:top w:val="single" w:sz="4" w:space="0" w:color="auto"/>
              <w:left w:val="single" w:sz="4" w:space="0" w:color="auto"/>
              <w:bottom w:val="single" w:sz="4" w:space="0" w:color="auto"/>
              <w:right w:val="single" w:sz="4" w:space="0" w:color="auto"/>
            </w:tcBorders>
            <w:vAlign w:val="center"/>
          </w:tcPr>
          <w:p w14:paraId="7AEAE61F" w14:textId="580067F0" w:rsidR="002B72EA" w:rsidRPr="001E1CB0" w:rsidRDefault="002B72EA" w:rsidP="00D7174A">
            <w:pPr>
              <w:spacing w:before="0" w:line="240" w:lineRule="auto"/>
              <w:jc w:val="center"/>
              <w:rPr>
                <w:b/>
                <w:bCs/>
                <w:lang w:val="en-GB"/>
              </w:rPr>
            </w:pPr>
            <w:r>
              <w:rPr>
                <w:b/>
                <w:bCs/>
                <w:lang w:val="en-GB"/>
              </w:rPr>
              <w:t>Suggestion</w:t>
            </w:r>
            <w:r w:rsidRPr="001E1CB0">
              <w:rPr>
                <w:b/>
                <w:bCs/>
                <w:lang w:val="en-GB"/>
              </w:rPr>
              <w:t xml:space="preserve"> raised</w:t>
            </w:r>
            <w:r w:rsidRPr="001E1CB0">
              <w:rPr>
                <w:b/>
                <w:bCs/>
                <w:lang w:val="en-GB"/>
              </w:rPr>
              <w:br/>
              <w:t xml:space="preserve">by Italian </w:t>
            </w:r>
            <w:r w:rsidR="00D7174A">
              <w:rPr>
                <w:b/>
                <w:bCs/>
                <w:lang w:val="en-GB"/>
              </w:rPr>
              <w:t>Corte dei conti</w:t>
            </w:r>
          </w:p>
        </w:tc>
        <w:tc>
          <w:tcPr>
            <w:tcW w:w="1206" w:type="pct"/>
            <w:tcBorders>
              <w:top w:val="single" w:sz="4" w:space="0" w:color="auto"/>
              <w:left w:val="single" w:sz="4" w:space="0" w:color="auto"/>
              <w:bottom w:val="single" w:sz="4" w:space="0" w:color="auto"/>
              <w:right w:val="single" w:sz="4" w:space="0" w:color="auto"/>
            </w:tcBorders>
            <w:vAlign w:val="center"/>
          </w:tcPr>
          <w:p w14:paraId="208B1B57" w14:textId="77777777" w:rsidR="002B72EA" w:rsidRPr="00B77F2D" w:rsidRDefault="002B72EA" w:rsidP="002B72EA">
            <w:pPr>
              <w:spacing w:before="0" w:line="240" w:lineRule="auto"/>
              <w:jc w:val="center"/>
              <w:rPr>
                <w:b/>
                <w:bCs/>
                <w:sz w:val="20"/>
                <w:szCs w:val="20"/>
                <w:lang w:val="en-GB"/>
              </w:rPr>
            </w:pPr>
            <w:r w:rsidRPr="00B77F2D">
              <w:rPr>
                <w:b/>
                <w:bCs/>
                <w:sz w:val="20"/>
                <w:szCs w:val="20"/>
                <w:lang w:val="en-GB"/>
              </w:rPr>
              <w:t>Comments received from</w:t>
            </w:r>
            <w:r w:rsidRPr="00B77F2D">
              <w:rPr>
                <w:b/>
                <w:bCs/>
                <w:sz w:val="20"/>
                <w:szCs w:val="20"/>
                <w:lang w:val="en-GB"/>
              </w:rPr>
              <w:br/>
              <w:t xml:space="preserve"> Secretary-General at the time of the issuance of the report</w:t>
            </w:r>
          </w:p>
        </w:tc>
        <w:tc>
          <w:tcPr>
            <w:tcW w:w="1158" w:type="pct"/>
            <w:tcBorders>
              <w:top w:val="single" w:sz="4" w:space="0" w:color="auto"/>
              <w:left w:val="single" w:sz="4" w:space="0" w:color="auto"/>
              <w:bottom w:val="single" w:sz="4" w:space="0" w:color="auto"/>
              <w:right w:val="single" w:sz="4" w:space="0" w:color="auto"/>
            </w:tcBorders>
            <w:vAlign w:val="center"/>
          </w:tcPr>
          <w:p w14:paraId="13A497A0" w14:textId="77777777" w:rsidR="002B72EA" w:rsidRPr="001E1CB0" w:rsidRDefault="002B72EA" w:rsidP="002B72EA">
            <w:pPr>
              <w:spacing w:before="0" w:line="240" w:lineRule="auto"/>
              <w:jc w:val="center"/>
              <w:rPr>
                <w:b/>
                <w:bCs/>
                <w:lang w:val="en-GB"/>
              </w:rPr>
            </w:pPr>
            <w:r w:rsidRPr="001E1CB0">
              <w:rPr>
                <w:b/>
                <w:bCs/>
                <w:lang w:val="en-GB"/>
              </w:rPr>
              <w:t>Status as</w:t>
            </w:r>
            <w:r w:rsidRPr="001E1CB0">
              <w:rPr>
                <w:b/>
                <w:bCs/>
                <w:lang w:val="en-GB"/>
              </w:rPr>
              <w:br/>
              <w:t>reported by ITU Management</w:t>
            </w:r>
          </w:p>
        </w:tc>
        <w:tc>
          <w:tcPr>
            <w:tcW w:w="1120" w:type="pct"/>
            <w:tcBorders>
              <w:top w:val="single" w:sz="4" w:space="0" w:color="auto"/>
              <w:left w:val="single" w:sz="4" w:space="0" w:color="auto"/>
              <w:bottom w:val="single" w:sz="4" w:space="0" w:color="auto"/>
              <w:right w:val="single" w:sz="4" w:space="0" w:color="auto"/>
            </w:tcBorders>
            <w:vAlign w:val="center"/>
          </w:tcPr>
          <w:p w14:paraId="2C597F63" w14:textId="1CDFCB6E" w:rsidR="002B72EA" w:rsidRPr="00B77F2D" w:rsidRDefault="002B72EA" w:rsidP="00D7174A">
            <w:pPr>
              <w:spacing w:before="0" w:line="240" w:lineRule="auto"/>
              <w:jc w:val="center"/>
              <w:rPr>
                <w:b/>
                <w:bCs/>
                <w:sz w:val="20"/>
                <w:szCs w:val="20"/>
                <w:lang w:val="en-GB"/>
              </w:rPr>
            </w:pPr>
            <w:r w:rsidRPr="00B77F2D">
              <w:rPr>
                <w:b/>
                <w:bCs/>
                <w:sz w:val="20"/>
                <w:szCs w:val="20"/>
                <w:lang w:val="en-GB"/>
              </w:rPr>
              <w:t>Status on actions taken by Management as evaluated by Italian Cort</w:t>
            </w:r>
            <w:r w:rsidR="00D7174A" w:rsidRPr="00B77F2D">
              <w:rPr>
                <w:b/>
                <w:bCs/>
                <w:sz w:val="20"/>
                <w:szCs w:val="20"/>
                <w:lang w:val="en-GB"/>
              </w:rPr>
              <w:t>e</w:t>
            </w:r>
            <w:r w:rsidRPr="00B77F2D">
              <w:rPr>
                <w:b/>
                <w:bCs/>
                <w:sz w:val="20"/>
                <w:szCs w:val="20"/>
                <w:lang w:val="en-GB"/>
              </w:rPr>
              <w:t xml:space="preserve"> </w:t>
            </w:r>
            <w:r w:rsidR="00D7174A" w:rsidRPr="00B77F2D">
              <w:rPr>
                <w:b/>
                <w:bCs/>
                <w:sz w:val="20"/>
                <w:szCs w:val="20"/>
                <w:lang w:val="en-GB"/>
              </w:rPr>
              <w:t>dei conti</w:t>
            </w:r>
          </w:p>
        </w:tc>
      </w:tr>
      <w:tr w:rsidR="00ED0162" w:rsidRPr="001264B1" w14:paraId="60DB031D" w14:textId="77777777" w:rsidTr="002B72EA">
        <w:trPr>
          <w:cantSplit/>
          <w:trHeight w:val="6440"/>
        </w:trPr>
        <w:tc>
          <w:tcPr>
            <w:tcW w:w="357" w:type="pct"/>
            <w:tcBorders>
              <w:top w:val="single" w:sz="4" w:space="0" w:color="auto"/>
              <w:left w:val="single" w:sz="4" w:space="0" w:color="auto"/>
              <w:bottom w:val="single" w:sz="4" w:space="0" w:color="auto"/>
              <w:right w:val="single" w:sz="4" w:space="0" w:color="auto"/>
            </w:tcBorders>
          </w:tcPr>
          <w:p w14:paraId="330B9F3D" w14:textId="77777777" w:rsidR="00ED0162" w:rsidRPr="001E1CB0" w:rsidRDefault="00ED0162" w:rsidP="00ED0162">
            <w:pPr>
              <w:jc w:val="center"/>
              <w:rPr>
                <w:b/>
                <w:bCs/>
              </w:rPr>
            </w:pPr>
            <w:r w:rsidRPr="001E1CB0">
              <w:rPr>
                <w:b/>
                <w:bCs/>
              </w:rPr>
              <w:t>Sugg. 2</w:t>
            </w:r>
          </w:p>
          <w:p w14:paraId="5FE8ADAB" w14:textId="77777777" w:rsidR="00ED0162" w:rsidRPr="001E1CB0" w:rsidRDefault="00ED0162" w:rsidP="00ED0162">
            <w:pPr>
              <w:jc w:val="center"/>
              <w:rPr>
                <w:b/>
                <w:bCs/>
              </w:rPr>
            </w:pPr>
            <w:r w:rsidRPr="001E1CB0">
              <w:rPr>
                <w:b/>
                <w:bCs/>
              </w:rPr>
              <w:t>2012</w:t>
            </w:r>
          </w:p>
        </w:tc>
        <w:tc>
          <w:tcPr>
            <w:tcW w:w="1159" w:type="pct"/>
            <w:tcBorders>
              <w:top w:val="single" w:sz="4" w:space="0" w:color="auto"/>
              <w:left w:val="single" w:sz="4" w:space="0" w:color="auto"/>
              <w:bottom w:val="single" w:sz="4" w:space="0" w:color="auto"/>
              <w:right w:val="single" w:sz="4" w:space="0" w:color="auto"/>
            </w:tcBorders>
          </w:tcPr>
          <w:p w14:paraId="7C5B5B89" w14:textId="77777777" w:rsidR="00ED0162" w:rsidRPr="001E1CB0" w:rsidRDefault="00ED0162" w:rsidP="00ED0162">
            <w:pPr>
              <w:rPr>
                <w:bCs/>
                <w:lang w:val="en-GB"/>
              </w:rPr>
            </w:pPr>
            <w:r w:rsidRPr="001E1CB0">
              <w:rPr>
                <w:bCs/>
                <w:lang w:val="en-GB"/>
              </w:rPr>
              <w:t xml:space="preserve">Although such document provides several elements of feedback, we observed that there is no direct link between KPIs and general objectives as stated in Resolution 11. Therefore </w:t>
            </w:r>
            <w:r w:rsidRPr="001E1CB0">
              <w:rPr>
                <w:bCs/>
                <w:u w:val="single"/>
                <w:lang w:val="en-GB"/>
              </w:rPr>
              <w:t>we</w:t>
            </w:r>
            <w:r w:rsidRPr="001E1CB0">
              <w:rPr>
                <w:bCs/>
                <w:lang w:val="en-GB"/>
              </w:rPr>
              <w:t xml:space="preserve"> </w:t>
            </w:r>
            <w:r w:rsidRPr="001E1CB0">
              <w:rPr>
                <w:bCs/>
                <w:u w:val="single"/>
                <w:lang w:val="en-GB"/>
              </w:rPr>
              <w:t>suggest</w:t>
            </w:r>
            <w:r w:rsidRPr="001E1CB0">
              <w:rPr>
                <w:bCs/>
                <w:lang w:val="en-GB"/>
              </w:rPr>
              <w:t xml:space="preserve"> for the next event 2013 to adopt, prior to the start of the event, accurate and robust KPIs linked with generally agreed, reliable and measurable objectives, having as a reference the Resolution 11.    </w:t>
            </w:r>
          </w:p>
        </w:tc>
        <w:tc>
          <w:tcPr>
            <w:tcW w:w="1206" w:type="pct"/>
            <w:tcBorders>
              <w:top w:val="single" w:sz="4" w:space="0" w:color="auto"/>
              <w:left w:val="single" w:sz="4" w:space="0" w:color="auto"/>
              <w:bottom w:val="single" w:sz="4" w:space="0" w:color="auto"/>
              <w:right w:val="single" w:sz="4" w:space="0" w:color="auto"/>
            </w:tcBorders>
          </w:tcPr>
          <w:p w14:paraId="57D39A31" w14:textId="77777777" w:rsidR="00ED0162" w:rsidRPr="001E1CB0" w:rsidRDefault="00ED0162" w:rsidP="00ED0162">
            <w:pPr>
              <w:rPr>
                <w:lang w:val="en-GB"/>
              </w:rPr>
            </w:pPr>
            <w:r w:rsidRPr="001E1CB0">
              <w:rPr>
                <w:lang w:val="en-GB"/>
              </w:rPr>
              <w:t>For future ITU Telecom events additional KPIs will be defined to reflect provisions of the Resolution 11.</w:t>
            </w:r>
          </w:p>
        </w:tc>
        <w:tc>
          <w:tcPr>
            <w:tcW w:w="1158" w:type="pct"/>
            <w:tcBorders>
              <w:top w:val="single" w:sz="4" w:space="0" w:color="auto"/>
              <w:left w:val="single" w:sz="4" w:space="0" w:color="auto"/>
              <w:bottom w:val="single" w:sz="4" w:space="0" w:color="auto"/>
              <w:right w:val="single" w:sz="4" w:space="0" w:color="auto"/>
            </w:tcBorders>
          </w:tcPr>
          <w:p w14:paraId="6BCF3AB7" w14:textId="134C9D52" w:rsidR="00ED0162" w:rsidRPr="001E1CB0" w:rsidRDefault="00202F1F" w:rsidP="00202F1F">
            <w:pPr>
              <w:rPr>
                <w:lang w:val="en-GB"/>
              </w:rPr>
            </w:pPr>
            <w:r>
              <w:rPr>
                <w:lang w:val="en-GB"/>
              </w:rPr>
              <w:t xml:space="preserve">Additional and relevant KPIs for 2013 and 2014 events have been established, measured, analyzed, and provided to the External Auditor.  Such action has become a standard procedure for each event.  Closed. </w:t>
            </w:r>
          </w:p>
        </w:tc>
        <w:tc>
          <w:tcPr>
            <w:tcW w:w="1120" w:type="pct"/>
            <w:tcBorders>
              <w:top w:val="single" w:sz="4" w:space="0" w:color="auto"/>
              <w:left w:val="single" w:sz="4" w:space="0" w:color="auto"/>
              <w:bottom w:val="single" w:sz="4" w:space="0" w:color="auto"/>
              <w:right w:val="single" w:sz="4" w:space="0" w:color="auto"/>
            </w:tcBorders>
          </w:tcPr>
          <w:p w14:paraId="080C746C" w14:textId="3A437D8B" w:rsidR="00ED0162" w:rsidRPr="001E1CB0" w:rsidRDefault="00202F1F" w:rsidP="00ED0162">
            <w:pPr>
              <w:rPr>
                <w:lang w:val="en-GB"/>
              </w:rPr>
            </w:pPr>
            <w:r>
              <w:rPr>
                <w:lang w:val="en-GB"/>
              </w:rPr>
              <w:t>Closed</w:t>
            </w:r>
          </w:p>
        </w:tc>
      </w:tr>
      <w:tr w:rsidR="00ED0162" w:rsidRPr="001264B1" w14:paraId="51097807"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4D134BFF" w14:textId="77777777" w:rsidR="00ED0162" w:rsidRPr="001E1CB0" w:rsidRDefault="00ED0162" w:rsidP="00ED0162">
            <w:pPr>
              <w:rPr>
                <w:b/>
                <w:bCs/>
              </w:rPr>
            </w:pPr>
            <w:r w:rsidRPr="001E1CB0">
              <w:rPr>
                <w:b/>
                <w:bCs/>
              </w:rPr>
              <w:lastRenderedPageBreak/>
              <w:t>Sugg. 3</w:t>
            </w:r>
          </w:p>
          <w:p w14:paraId="78575504" w14:textId="77777777" w:rsidR="00ED0162" w:rsidRPr="001E1CB0" w:rsidRDefault="00ED0162" w:rsidP="00ED0162">
            <w:pPr>
              <w:jc w:val="center"/>
              <w:rPr>
                <w:b/>
                <w:bCs/>
              </w:rPr>
            </w:pPr>
            <w:r w:rsidRPr="001E1CB0">
              <w:rPr>
                <w:b/>
                <w:bCs/>
              </w:rPr>
              <w:t>2012</w:t>
            </w:r>
          </w:p>
        </w:tc>
        <w:tc>
          <w:tcPr>
            <w:tcW w:w="1159" w:type="pct"/>
            <w:tcBorders>
              <w:top w:val="single" w:sz="4" w:space="0" w:color="auto"/>
              <w:left w:val="single" w:sz="4" w:space="0" w:color="auto"/>
              <w:bottom w:val="single" w:sz="4" w:space="0" w:color="auto"/>
              <w:right w:val="single" w:sz="4" w:space="0" w:color="auto"/>
            </w:tcBorders>
          </w:tcPr>
          <w:p w14:paraId="4965836C" w14:textId="77777777" w:rsidR="00ED0162" w:rsidRPr="001E1CB0" w:rsidRDefault="00ED0162" w:rsidP="00ED0162">
            <w:pPr>
              <w:rPr>
                <w:bCs/>
                <w:lang w:val="en-GB"/>
              </w:rPr>
            </w:pPr>
            <w:r w:rsidRPr="001E1CB0">
              <w:rPr>
                <w:bCs/>
                <w:lang w:val="en-GB"/>
              </w:rPr>
              <w:t xml:space="preserve">We are aware that Management considers flexibility an important driver for attracting participants, however </w:t>
            </w:r>
            <w:r w:rsidRPr="001E1CB0">
              <w:rPr>
                <w:bCs/>
                <w:u w:val="single"/>
                <w:lang w:val="en-GB"/>
              </w:rPr>
              <w:t>we suggest</w:t>
            </w:r>
            <w:r w:rsidRPr="001E1CB0">
              <w:rPr>
                <w:bCs/>
                <w:lang w:val="en-GB"/>
              </w:rPr>
              <w:t xml:space="preserve"> to monitor in the coming years the result of this policy, assessing its convenience and evaluating its degree of impact on sales revenue, not only to arrive at the decision whether to maintain it or not, but also to reach a more accurate forecast of the revenues in the budget.</w:t>
            </w:r>
          </w:p>
        </w:tc>
        <w:tc>
          <w:tcPr>
            <w:tcW w:w="1206" w:type="pct"/>
            <w:tcBorders>
              <w:top w:val="single" w:sz="4" w:space="0" w:color="auto"/>
              <w:left w:val="single" w:sz="4" w:space="0" w:color="auto"/>
              <w:bottom w:val="single" w:sz="4" w:space="0" w:color="auto"/>
              <w:right w:val="single" w:sz="4" w:space="0" w:color="auto"/>
            </w:tcBorders>
          </w:tcPr>
          <w:p w14:paraId="566FA192" w14:textId="77777777" w:rsidR="00ED0162" w:rsidRPr="001E1CB0" w:rsidRDefault="00ED0162" w:rsidP="00ED0162">
            <w:pPr>
              <w:rPr>
                <w:lang w:val="en-GB"/>
              </w:rPr>
            </w:pPr>
            <w:r w:rsidRPr="001E1CB0">
              <w:rPr>
                <w:lang w:val="en-GB"/>
              </w:rPr>
              <w:t>The flexibility provided by the discount policy has enabled ITU Telecom to engage with and secure the participation of key industry players. ITU Telecom will continue to monitor the policy to ensure it effectively serves its purpose and reflects developments in our rapidly changing ecosystem. Discounts are only one of several elements partners/clients consider before deciding to participate. There is no direct correlation between revenues and discount policy.</w:t>
            </w:r>
          </w:p>
        </w:tc>
        <w:tc>
          <w:tcPr>
            <w:tcW w:w="1158" w:type="pct"/>
            <w:tcBorders>
              <w:top w:val="single" w:sz="4" w:space="0" w:color="auto"/>
              <w:left w:val="single" w:sz="4" w:space="0" w:color="auto"/>
              <w:bottom w:val="single" w:sz="4" w:space="0" w:color="auto"/>
              <w:right w:val="single" w:sz="4" w:space="0" w:color="auto"/>
            </w:tcBorders>
          </w:tcPr>
          <w:p w14:paraId="139647FE" w14:textId="7D3BFF85" w:rsidR="00ED0162" w:rsidRPr="001E1CB0" w:rsidRDefault="00202F1F" w:rsidP="00202F1F">
            <w:pPr>
              <w:rPr>
                <w:lang w:val="en-GB"/>
              </w:rPr>
            </w:pPr>
            <w:r>
              <w:rPr>
                <w:lang w:val="en-GB"/>
              </w:rPr>
              <w:t>ITU Telecom is continuing to monitor the discount policy and ensure effectiveness.  On-going.</w:t>
            </w:r>
          </w:p>
        </w:tc>
        <w:tc>
          <w:tcPr>
            <w:tcW w:w="1120" w:type="pct"/>
            <w:tcBorders>
              <w:top w:val="single" w:sz="4" w:space="0" w:color="auto"/>
              <w:left w:val="single" w:sz="4" w:space="0" w:color="auto"/>
              <w:bottom w:val="single" w:sz="4" w:space="0" w:color="auto"/>
              <w:right w:val="single" w:sz="4" w:space="0" w:color="auto"/>
            </w:tcBorders>
          </w:tcPr>
          <w:p w14:paraId="0754889C" w14:textId="3006280C" w:rsidR="00ED0162" w:rsidRPr="001E1CB0" w:rsidRDefault="00BF0962" w:rsidP="00ED0162">
            <w:pPr>
              <w:rPr>
                <w:lang w:val="en-GB"/>
              </w:rPr>
            </w:pPr>
            <w:r>
              <w:rPr>
                <w:lang w:val="en-GB"/>
              </w:rPr>
              <w:t>On-going</w:t>
            </w:r>
          </w:p>
        </w:tc>
      </w:tr>
      <w:tr w:rsidR="00ED0162" w:rsidRPr="001264B1" w14:paraId="02EA9E7F" w14:textId="77777777" w:rsidTr="002B72EA">
        <w:trPr>
          <w:cantSplit/>
          <w:trHeight w:val="6400"/>
        </w:trPr>
        <w:tc>
          <w:tcPr>
            <w:tcW w:w="357" w:type="pct"/>
            <w:tcBorders>
              <w:top w:val="single" w:sz="4" w:space="0" w:color="auto"/>
              <w:left w:val="single" w:sz="4" w:space="0" w:color="auto"/>
              <w:bottom w:val="single" w:sz="4" w:space="0" w:color="auto"/>
              <w:right w:val="single" w:sz="4" w:space="0" w:color="auto"/>
            </w:tcBorders>
          </w:tcPr>
          <w:p w14:paraId="734E7696" w14:textId="77777777" w:rsidR="00ED0162" w:rsidRPr="001E1CB0" w:rsidRDefault="00ED0162" w:rsidP="00ED0162">
            <w:pPr>
              <w:jc w:val="center"/>
              <w:rPr>
                <w:b/>
                <w:bCs/>
              </w:rPr>
            </w:pPr>
            <w:r w:rsidRPr="001E1CB0">
              <w:rPr>
                <w:b/>
                <w:bCs/>
              </w:rPr>
              <w:lastRenderedPageBreak/>
              <w:t>Sugg. 5</w:t>
            </w:r>
          </w:p>
          <w:p w14:paraId="242854BA" w14:textId="77777777" w:rsidR="00ED0162" w:rsidRPr="001E1CB0" w:rsidRDefault="00ED0162" w:rsidP="00ED0162">
            <w:pPr>
              <w:jc w:val="center"/>
              <w:rPr>
                <w:b/>
                <w:bCs/>
              </w:rPr>
            </w:pPr>
            <w:r w:rsidRPr="001E1CB0">
              <w:rPr>
                <w:b/>
                <w:bCs/>
              </w:rPr>
              <w:t>2012</w:t>
            </w:r>
          </w:p>
        </w:tc>
        <w:tc>
          <w:tcPr>
            <w:tcW w:w="1159" w:type="pct"/>
            <w:tcBorders>
              <w:top w:val="single" w:sz="4" w:space="0" w:color="auto"/>
              <w:left w:val="single" w:sz="4" w:space="0" w:color="auto"/>
              <w:bottom w:val="single" w:sz="4" w:space="0" w:color="auto"/>
              <w:right w:val="single" w:sz="4" w:space="0" w:color="auto"/>
            </w:tcBorders>
          </w:tcPr>
          <w:p w14:paraId="3A471D57" w14:textId="77777777" w:rsidR="00ED0162" w:rsidRPr="001E1CB0" w:rsidRDefault="00ED0162" w:rsidP="00ED0162">
            <w:pPr>
              <w:rPr>
                <w:bCs/>
                <w:lang w:val="en-GB"/>
              </w:rPr>
            </w:pPr>
            <w:r w:rsidRPr="001E1CB0">
              <w:rPr>
                <w:bCs/>
                <w:lang w:val="en-GB"/>
              </w:rPr>
              <w:t xml:space="preserve">We understood from the Management that barters are important for ITU Telecom World 2012 not only to attract companies and investors but also to acquire critical services and products. We noticed that the valuation of such services, in particular, the calculation of benefits to ITU are mostly based on quoted market value as expressed in rate cards. However, when such information is not available, estimates are sometimes made. Therefore, </w:t>
            </w:r>
            <w:r w:rsidRPr="001E1CB0">
              <w:rPr>
                <w:bCs/>
                <w:u w:val="single"/>
                <w:lang w:val="en-GB"/>
              </w:rPr>
              <w:t>we</w:t>
            </w:r>
            <w:r w:rsidRPr="001E1CB0">
              <w:rPr>
                <w:bCs/>
                <w:lang w:val="en-GB"/>
              </w:rPr>
              <w:t xml:space="preserve"> </w:t>
            </w:r>
            <w:r w:rsidRPr="001E1CB0">
              <w:rPr>
                <w:bCs/>
                <w:u w:val="single"/>
                <w:lang w:val="en-GB"/>
              </w:rPr>
              <w:t>suggest</w:t>
            </w:r>
            <w:r w:rsidRPr="001E1CB0">
              <w:rPr>
                <w:bCs/>
                <w:lang w:val="en-GB"/>
              </w:rPr>
              <w:t xml:space="preserve"> that the information on the benefits to ITU as well as the services provided by ITU be more clearly presented in a measurable manner, in order to better show if a barter is more or less favorable to ITU.</w:t>
            </w:r>
          </w:p>
        </w:tc>
        <w:tc>
          <w:tcPr>
            <w:tcW w:w="1206" w:type="pct"/>
            <w:tcBorders>
              <w:top w:val="single" w:sz="4" w:space="0" w:color="auto"/>
              <w:left w:val="single" w:sz="4" w:space="0" w:color="auto"/>
              <w:bottom w:val="single" w:sz="4" w:space="0" w:color="auto"/>
              <w:right w:val="single" w:sz="4" w:space="0" w:color="auto"/>
            </w:tcBorders>
          </w:tcPr>
          <w:p w14:paraId="553D6E2B" w14:textId="77777777" w:rsidR="00ED0162" w:rsidRPr="001E1CB0" w:rsidRDefault="00ED0162" w:rsidP="00ED0162">
            <w:pPr>
              <w:rPr>
                <w:lang w:val="en-GB"/>
              </w:rPr>
            </w:pPr>
            <w:r w:rsidRPr="001E1CB0">
              <w:rPr>
                <w:lang w:val="en-GB"/>
              </w:rPr>
              <w:t>Barter agreements are important to attract companies/investors and cost-effectively acquire critical services/products. All barters opportunities are rigorously evaluated and information on benefits to ITU as well as services provided by ITU is readily available.</w:t>
            </w:r>
          </w:p>
        </w:tc>
        <w:tc>
          <w:tcPr>
            <w:tcW w:w="1158" w:type="pct"/>
            <w:tcBorders>
              <w:top w:val="single" w:sz="4" w:space="0" w:color="auto"/>
              <w:left w:val="single" w:sz="4" w:space="0" w:color="auto"/>
              <w:bottom w:val="single" w:sz="4" w:space="0" w:color="auto"/>
              <w:right w:val="single" w:sz="4" w:space="0" w:color="auto"/>
            </w:tcBorders>
          </w:tcPr>
          <w:p w14:paraId="30B8401D" w14:textId="1EFE97EB" w:rsidR="00ED0162" w:rsidRPr="001E1CB0" w:rsidRDefault="004B5DD5" w:rsidP="00ED0162">
            <w:pPr>
              <w:rPr>
                <w:lang w:val="en-GB"/>
              </w:rPr>
            </w:pPr>
            <w:r>
              <w:rPr>
                <w:lang w:val="en-GB"/>
              </w:rPr>
              <w:t>Action completed.  Closed.</w:t>
            </w:r>
          </w:p>
        </w:tc>
        <w:tc>
          <w:tcPr>
            <w:tcW w:w="1120" w:type="pct"/>
            <w:tcBorders>
              <w:top w:val="single" w:sz="4" w:space="0" w:color="auto"/>
              <w:left w:val="single" w:sz="4" w:space="0" w:color="auto"/>
              <w:bottom w:val="single" w:sz="4" w:space="0" w:color="auto"/>
              <w:right w:val="single" w:sz="4" w:space="0" w:color="auto"/>
            </w:tcBorders>
          </w:tcPr>
          <w:p w14:paraId="27805FDE" w14:textId="77777777" w:rsidR="00ED0162" w:rsidRPr="001E1CB0" w:rsidRDefault="008D70F2" w:rsidP="00ED0162">
            <w:pPr>
              <w:rPr>
                <w:lang w:val="en-GB"/>
              </w:rPr>
            </w:pPr>
            <w:r>
              <w:rPr>
                <w:lang w:val="en-GB"/>
              </w:rPr>
              <w:t>Closed</w:t>
            </w:r>
          </w:p>
        </w:tc>
      </w:tr>
      <w:tr w:rsidR="00ED0162" w:rsidRPr="001264B1" w14:paraId="4D3AE343" w14:textId="77777777" w:rsidTr="002B72EA">
        <w:trPr>
          <w:cantSplit/>
          <w:trHeight w:val="6733"/>
        </w:trPr>
        <w:tc>
          <w:tcPr>
            <w:tcW w:w="357" w:type="pct"/>
            <w:tcBorders>
              <w:top w:val="single" w:sz="4" w:space="0" w:color="auto"/>
              <w:left w:val="single" w:sz="4" w:space="0" w:color="auto"/>
              <w:bottom w:val="single" w:sz="4" w:space="0" w:color="auto"/>
              <w:right w:val="single" w:sz="4" w:space="0" w:color="auto"/>
            </w:tcBorders>
          </w:tcPr>
          <w:p w14:paraId="7DCF0F40" w14:textId="77777777" w:rsidR="00ED0162" w:rsidRPr="001E1CB0" w:rsidRDefault="00ED0162" w:rsidP="00ED0162">
            <w:pPr>
              <w:jc w:val="center"/>
              <w:rPr>
                <w:b/>
                <w:bCs/>
              </w:rPr>
            </w:pPr>
            <w:r w:rsidRPr="001E1CB0">
              <w:rPr>
                <w:b/>
                <w:bCs/>
              </w:rPr>
              <w:lastRenderedPageBreak/>
              <w:t xml:space="preserve">Sugg. </w:t>
            </w:r>
            <w:r w:rsidR="00645821" w:rsidRPr="001E1CB0">
              <w:rPr>
                <w:b/>
                <w:bCs/>
              </w:rPr>
              <w:t>1</w:t>
            </w:r>
          </w:p>
          <w:p w14:paraId="0B891566" w14:textId="77777777" w:rsidR="00ED0162" w:rsidRPr="001E1CB0" w:rsidRDefault="00ED0162" w:rsidP="00645821">
            <w:pPr>
              <w:jc w:val="center"/>
              <w:rPr>
                <w:b/>
                <w:bCs/>
              </w:rPr>
            </w:pPr>
            <w:r w:rsidRPr="001E1CB0">
              <w:rPr>
                <w:b/>
                <w:bCs/>
              </w:rPr>
              <w:t>201</w:t>
            </w:r>
            <w:r w:rsidR="00645821" w:rsidRPr="001E1CB0">
              <w:rPr>
                <w:b/>
                <w:bCs/>
              </w:rPr>
              <w:t>3</w:t>
            </w:r>
          </w:p>
        </w:tc>
        <w:tc>
          <w:tcPr>
            <w:tcW w:w="1159" w:type="pct"/>
            <w:tcBorders>
              <w:top w:val="single" w:sz="4" w:space="0" w:color="auto"/>
              <w:left w:val="single" w:sz="4" w:space="0" w:color="auto"/>
              <w:bottom w:val="single" w:sz="4" w:space="0" w:color="auto"/>
              <w:right w:val="single" w:sz="4" w:space="0" w:color="auto"/>
            </w:tcBorders>
          </w:tcPr>
          <w:p w14:paraId="250699F0" w14:textId="77777777" w:rsidR="00611DAA" w:rsidRPr="001E1CB0" w:rsidRDefault="00611DAA" w:rsidP="00611DAA">
            <w:pPr>
              <w:rPr>
                <w:b/>
                <w:bCs/>
                <w:lang w:val="en-GB"/>
              </w:rPr>
            </w:pPr>
            <w:r w:rsidRPr="001E1CB0">
              <w:rPr>
                <w:b/>
                <w:bCs/>
                <w:lang w:val="en-GB"/>
              </w:rPr>
              <w:t>Revised budget and actual status</w:t>
            </w:r>
            <w:r w:rsidR="00645821" w:rsidRPr="001E1CB0">
              <w:rPr>
                <w:b/>
                <w:bCs/>
                <w:lang w:val="en-GB"/>
              </w:rPr>
              <w:t xml:space="preserve"> </w:t>
            </w:r>
          </w:p>
          <w:p w14:paraId="094C424A" w14:textId="77777777" w:rsidR="00ED0162" w:rsidRPr="001E1CB0" w:rsidRDefault="00611DAA" w:rsidP="00611DAA">
            <w:pPr>
              <w:rPr>
                <w:bCs/>
                <w:lang w:val="en-GB"/>
              </w:rPr>
            </w:pPr>
            <w:r w:rsidRPr="001E1CB0">
              <w:rPr>
                <w:bCs/>
                <w:lang w:val="en-GB"/>
              </w:rPr>
              <w:t>Since we consider these information as tools for better evaluations, we suggest to add reference to the actual status of revenue and expenses when a revised budget is prepared</w:t>
            </w:r>
            <w:r w:rsidR="005A7877">
              <w:rPr>
                <w:bCs/>
                <w:lang w:val="en-GB"/>
              </w:rPr>
              <w:t>.</w:t>
            </w:r>
          </w:p>
        </w:tc>
        <w:tc>
          <w:tcPr>
            <w:tcW w:w="1206" w:type="pct"/>
            <w:tcBorders>
              <w:top w:val="single" w:sz="4" w:space="0" w:color="auto"/>
              <w:left w:val="single" w:sz="4" w:space="0" w:color="auto"/>
              <w:bottom w:val="single" w:sz="4" w:space="0" w:color="auto"/>
              <w:right w:val="single" w:sz="4" w:space="0" w:color="auto"/>
            </w:tcBorders>
          </w:tcPr>
          <w:p w14:paraId="4D97C9E7" w14:textId="77777777" w:rsidR="00611DAA" w:rsidRPr="001E1CB0" w:rsidRDefault="00645821" w:rsidP="00ED0162">
            <w:pPr>
              <w:rPr>
                <w:lang w:val="en-GB"/>
              </w:rPr>
            </w:pPr>
            <w:r w:rsidRPr="001E1CB0">
              <w:rPr>
                <w:lang w:val="en-GB"/>
              </w:rPr>
              <w:t xml:space="preserve"> </w:t>
            </w:r>
          </w:p>
          <w:p w14:paraId="53298586" w14:textId="77777777" w:rsidR="00ED0162" w:rsidRPr="001E1CB0" w:rsidRDefault="00611DAA" w:rsidP="00ED0162">
            <w:pPr>
              <w:rPr>
                <w:lang w:val="en-GB"/>
              </w:rPr>
            </w:pPr>
            <w:r w:rsidRPr="001E1CB0">
              <w:t>During each budget revision exercise, the actual revenue and expenses are always taken into consideration, the amounts of which are constantly changing. The relevant figures will be made available in a separate document from the budget.</w:t>
            </w:r>
          </w:p>
        </w:tc>
        <w:tc>
          <w:tcPr>
            <w:tcW w:w="1158" w:type="pct"/>
            <w:tcBorders>
              <w:top w:val="single" w:sz="4" w:space="0" w:color="auto"/>
              <w:left w:val="single" w:sz="4" w:space="0" w:color="auto"/>
              <w:bottom w:val="single" w:sz="4" w:space="0" w:color="auto"/>
              <w:right w:val="single" w:sz="4" w:space="0" w:color="auto"/>
            </w:tcBorders>
          </w:tcPr>
          <w:p w14:paraId="5E5C2D47" w14:textId="77777777" w:rsidR="00ED0162" w:rsidRDefault="00ED0162" w:rsidP="00ED0162">
            <w:pPr>
              <w:rPr>
                <w:lang w:val="en-GB"/>
              </w:rPr>
            </w:pPr>
          </w:p>
          <w:p w14:paraId="7AF44104" w14:textId="1141E459" w:rsidR="00F43BFF" w:rsidRPr="001E1CB0" w:rsidRDefault="00F43BFF" w:rsidP="00ED0162">
            <w:pPr>
              <w:rPr>
                <w:lang w:val="en-GB"/>
              </w:rPr>
            </w:pPr>
            <w:r>
              <w:rPr>
                <w:lang w:val="en-GB"/>
              </w:rPr>
              <w:t>Action completed.  Closed.</w:t>
            </w:r>
          </w:p>
        </w:tc>
        <w:tc>
          <w:tcPr>
            <w:tcW w:w="1120" w:type="pct"/>
            <w:tcBorders>
              <w:top w:val="single" w:sz="4" w:space="0" w:color="auto"/>
              <w:left w:val="single" w:sz="4" w:space="0" w:color="auto"/>
              <w:bottom w:val="single" w:sz="4" w:space="0" w:color="auto"/>
              <w:right w:val="single" w:sz="4" w:space="0" w:color="auto"/>
            </w:tcBorders>
          </w:tcPr>
          <w:p w14:paraId="785E0EE5" w14:textId="77777777" w:rsidR="00ED0162" w:rsidRDefault="00ED0162" w:rsidP="00ED0162">
            <w:pPr>
              <w:rPr>
                <w:lang w:val="en-GB"/>
              </w:rPr>
            </w:pPr>
          </w:p>
          <w:p w14:paraId="076F2068" w14:textId="4B6E6DC3" w:rsidR="00202F1F" w:rsidRPr="001E1CB0" w:rsidRDefault="00202F1F" w:rsidP="00ED0162">
            <w:pPr>
              <w:rPr>
                <w:lang w:val="en-GB"/>
              </w:rPr>
            </w:pPr>
            <w:r>
              <w:rPr>
                <w:lang w:val="en-GB"/>
              </w:rPr>
              <w:t>Closed</w:t>
            </w:r>
          </w:p>
        </w:tc>
      </w:tr>
      <w:tr w:rsidR="00ED0162" w:rsidRPr="001264B1" w14:paraId="625ACC6A"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672D64FE" w14:textId="77777777" w:rsidR="00ED0162" w:rsidRPr="001E1CB0" w:rsidRDefault="00ED0162" w:rsidP="00ED0162">
            <w:pPr>
              <w:jc w:val="center"/>
              <w:rPr>
                <w:b/>
                <w:bCs/>
              </w:rPr>
            </w:pPr>
            <w:r w:rsidRPr="001E1CB0">
              <w:rPr>
                <w:b/>
                <w:bCs/>
              </w:rPr>
              <w:lastRenderedPageBreak/>
              <w:t xml:space="preserve">Sugg. </w:t>
            </w:r>
            <w:r w:rsidR="00645821" w:rsidRPr="001E1CB0">
              <w:rPr>
                <w:b/>
                <w:bCs/>
              </w:rPr>
              <w:t>2</w:t>
            </w:r>
          </w:p>
          <w:p w14:paraId="53885471" w14:textId="77777777" w:rsidR="00ED0162" w:rsidRPr="001E1CB0" w:rsidRDefault="00645821" w:rsidP="00ED0162">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301C49AB" w14:textId="77777777" w:rsidR="002E2D6B" w:rsidRPr="001E1CB0" w:rsidRDefault="002E2D6B" w:rsidP="002E2D6B">
            <w:pPr>
              <w:rPr>
                <w:b/>
                <w:bCs/>
                <w:lang w:val="en-GB"/>
              </w:rPr>
            </w:pPr>
            <w:r w:rsidRPr="001E1CB0">
              <w:rPr>
                <w:b/>
                <w:bCs/>
                <w:lang w:val="en-GB"/>
              </w:rPr>
              <w:t>KPI’s categories</w:t>
            </w:r>
            <w:r w:rsidR="00645821" w:rsidRPr="001E1CB0">
              <w:rPr>
                <w:b/>
                <w:bCs/>
                <w:lang w:val="en-GB"/>
              </w:rPr>
              <w:t xml:space="preserve"> </w:t>
            </w:r>
          </w:p>
          <w:p w14:paraId="4D197697" w14:textId="7126FFB9" w:rsidR="00ED0162" w:rsidRPr="001E1CB0" w:rsidRDefault="002E2D6B" w:rsidP="002E2D6B">
            <w:pPr>
              <w:rPr>
                <w:bCs/>
                <w:lang w:val="en-GB"/>
              </w:rPr>
            </w:pPr>
            <w:r w:rsidRPr="001E1CB0">
              <w:rPr>
                <w:bCs/>
                <w:lang w:val="en-GB"/>
              </w:rPr>
              <w:t xml:space="preserve">We consider that an improvement in fixing of categories could be useful to clearly presentKPIs, showing a more detailed view, and therefore we suggest it. </w:t>
            </w:r>
          </w:p>
        </w:tc>
        <w:tc>
          <w:tcPr>
            <w:tcW w:w="1206" w:type="pct"/>
            <w:tcBorders>
              <w:top w:val="single" w:sz="4" w:space="0" w:color="auto"/>
              <w:left w:val="single" w:sz="4" w:space="0" w:color="auto"/>
              <w:bottom w:val="single" w:sz="4" w:space="0" w:color="auto"/>
              <w:right w:val="single" w:sz="4" w:space="0" w:color="auto"/>
            </w:tcBorders>
          </w:tcPr>
          <w:p w14:paraId="64E76355" w14:textId="77777777" w:rsidR="00611DAA" w:rsidRPr="001E1CB0" w:rsidRDefault="00645821" w:rsidP="00611DAA">
            <w:pPr>
              <w:rPr>
                <w:lang w:val="en-GB"/>
              </w:rPr>
            </w:pPr>
            <w:r w:rsidRPr="001E1CB0">
              <w:rPr>
                <w:lang w:val="en-GB"/>
              </w:rPr>
              <w:t xml:space="preserve"> </w:t>
            </w:r>
          </w:p>
          <w:p w14:paraId="1BDAA3F9" w14:textId="77777777" w:rsidR="00ED0162" w:rsidRPr="001E1CB0" w:rsidRDefault="00611DAA" w:rsidP="002B72EA">
            <w:pPr>
              <w:rPr>
                <w:lang w:val="en-GB"/>
              </w:rPr>
            </w:pPr>
            <w:r w:rsidRPr="001E1CB0">
              <w:rPr>
                <w:lang w:val="en-GB"/>
              </w:rPr>
              <w:t>KPIs have been defined and are being tracked. Efforts will be continued in refining the KPIs</w:t>
            </w:r>
            <w:r w:rsidR="002B72EA">
              <w:rPr>
                <w:lang w:val="en-GB"/>
              </w:rPr>
              <w:t xml:space="preserve"> </w:t>
            </w:r>
            <w:r w:rsidRPr="001E1CB0">
              <w:rPr>
                <w:lang w:val="en-GB"/>
              </w:rPr>
              <w:t>and using them to guide the design and staging of ITU Telecom World events.</w:t>
            </w:r>
          </w:p>
        </w:tc>
        <w:tc>
          <w:tcPr>
            <w:tcW w:w="1158" w:type="pct"/>
            <w:tcBorders>
              <w:top w:val="single" w:sz="4" w:space="0" w:color="auto"/>
              <w:left w:val="single" w:sz="4" w:space="0" w:color="auto"/>
              <w:bottom w:val="single" w:sz="4" w:space="0" w:color="auto"/>
              <w:right w:val="single" w:sz="4" w:space="0" w:color="auto"/>
            </w:tcBorders>
          </w:tcPr>
          <w:p w14:paraId="1EE08ACB" w14:textId="77777777" w:rsidR="00ED0162" w:rsidRDefault="00ED0162" w:rsidP="00ED0162">
            <w:pPr>
              <w:rPr>
                <w:lang w:val="en-GB"/>
              </w:rPr>
            </w:pPr>
          </w:p>
          <w:p w14:paraId="2DD1571B" w14:textId="1B53CF08" w:rsidR="00F43BFF" w:rsidRPr="001E1CB0" w:rsidRDefault="004B5DD5" w:rsidP="00ED0162">
            <w:pPr>
              <w:rPr>
                <w:lang w:val="en-GB"/>
              </w:rPr>
            </w:pPr>
            <w:r>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773B1E29" w14:textId="77777777" w:rsidR="00ED0162" w:rsidRDefault="00ED0162" w:rsidP="00ED0162">
            <w:pPr>
              <w:rPr>
                <w:lang w:val="en-GB"/>
              </w:rPr>
            </w:pPr>
          </w:p>
          <w:p w14:paraId="530783DE" w14:textId="320107E0" w:rsidR="00BF0962" w:rsidRPr="001E1CB0" w:rsidRDefault="00BF0962" w:rsidP="00ED0162">
            <w:pPr>
              <w:rPr>
                <w:lang w:val="en-GB"/>
              </w:rPr>
            </w:pPr>
            <w:r>
              <w:rPr>
                <w:lang w:val="en-GB"/>
              </w:rPr>
              <w:t>On-going</w:t>
            </w:r>
          </w:p>
        </w:tc>
      </w:tr>
      <w:tr w:rsidR="00145D4E" w:rsidRPr="001264B1" w14:paraId="23DAD262"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5060E682" w14:textId="77777777" w:rsidR="00145D4E" w:rsidRPr="001E1CB0" w:rsidRDefault="00145D4E" w:rsidP="00EE122C">
            <w:pPr>
              <w:jc w:val="center"/>
              <w:rPr>
                <w:b/>
                <w:bCs/>
              </w:rPr>
            </w:pPr>
            <w:r w:rsidRPr="001E1CB0">
              <w:rPr>
                <w:b/>
                <w:bCs/>
              </w:rPr>
              <w:lastRenderedPageBreak/>
              <w:t>Sugg. 3</w:t>
            </w:r>
          </w:p>
          <w:p w14:paraId="3077E790" w14:textId="77777777" w:rsidR="00145D4E" w:rsidRPr="001E1CB0" w:rsidRDefault="00145D4E"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02FB4D18" w14:textId="77777777" w:rsidR="00145D4E" w:rsidRPr="001E1CB0" w:rsidRDefault="00145D4E" w:rsidP="00EE122C">
            <w:pPr>
              <w:rPr>
                <w:b/>
                <w:bCs/>
                <w:lang w:val="en-GB"/>
              </w:rPr>
            </w:pPr>
            <w:r w:rsidRPr="001E1CB0">
              <w:rPr>
                <w:bCs/>
                <w:lang w:val="en-GB"/>
              </w:rPr>
              <w:t xml:space="preserve"> </w:t>
            </w:r>
            <w:r w:rsidR="000B00E7" w:rsidRPr="001E1CB0">
              <w:rPr>
                <w:b/>
                <w:bCs/>
                <w:lang w:val="en-GB"/>
              </w:rPr>
              <w:t>Discounts</w:t>
            </w:r>
          </w:p>
          <w:p w14:paraId="7DC933A8" w14:textId="77777777" w:rsidR="000B00E7" w:rsidRPr="001E1CB0" w:rsidRDefault="000B00E7" w:rsidP="00EE122C">
            <w:pPr>
              <w:rPr>
                <w:bCs/>
                <w:lang w:val="en-GB"/>
              </w:rPr>
            </w:pPr>
            <w:r w:rsidRPr="001E1CB0">
              <w:t>We suggest to analyze more carefully the behavior of buyers and to modify the conditions for this discounted fee, choosing a later period, or eliminating it.</w:t>
            </w:r>
          </w:p>
        </w:tc>
        <w:tc>
          <w:tcPr>
            <w:tcW w:w="1206" w:type="pct"/>
            <w:tcBorders>
              <w:top w:val="single" w:sz="4" w:space="0" w:color="auto"/>
              <w:left w:val="single" w:sz="4" w:space="0" w:color="auto"/>
              <w:bottom w:val="single" w:sz="4" w:space="0" w:color="auto"/>
              <w:right w:val="single" w:sz="4" w:space="0" w:color="auto"/>
            </w:tcBorders>
          </w:tcPr>
          <w:p w14:paraId="2ACFBF1A" w14:textId="77777777" w:rsidR="000B00E7" w:rsidRPr="001E1CB0" w:rsidRDefault="00145D4E" w:rsidP="00EE122C">
            <w:pPr>
              <w:rPr>
                <w:lang w:val="en-GB"/>
              </w:rPr>
            </w:pPr>
            <w:r w:rsidRPr="001E1CB0">
              <w:rPr>
                <w:lang w:val="en-GB"/>
              </w:rPr>
              <w:t xml:space="preserve"> </w:t>
            </w:r>
          </w:p>
          <w:p w14:paraId="7EE317CA" w14:textId="002D5A51" w:rsidR="00145D4E" w:rsidRPr="001E1CB0" w:rsidRDefault="000B00E7" w:rsidP="00F43BFF">
            <w:pPr>
              <w:rPr>
                <w:lang w:val="en-GB"/>
              </w:rPr>
            </w:pPr>
            <w:r w:rsidRPr="001E1CB0">
              <w:t>The flexibility provided by the discount policy has enabled ITU Telecom to engage with and secure the participation of key industry players. ITU Telecom will continue to monitor the policy to ensure it effectively serves its purpose and reflects developments in our rapidly changing ecosystem. Discounts are only one of several elements partners/clients consider before deciding to participate. There is no direct correlation between revenues and discount policy.</w:t>
            </w:r>
          </w:p>
        </w:tc>
        <w:tc>
          <w:tcPr>
            <w:tcW w:w="1158" w:type="pct"/>
            <w:tcBorders>
              <w:top w:val="single" w:sz="4" w:space="0" w:color="auto"/>
              <w:left w:val="single" w:sz="4" w:space="0" w:color="auto"/>
              <w:bottom w:val="single" w:sz="4" w:space="0" w:color="auto"/>
              <w:right w:val="single" w:sz="4" w:space="0" w:color="auto"/>
            </w:tcBorders>
          </w:tcPr>
          <w:p w14:paraId="0564D0B0" w14:textId="77777777" w:rsidR="00145D4E" w:rsidRDefault="00145D4E" w:rsidP="00EE122C">
            <w:pPr>
              <w:rPr>
                <w:lang w:val="en-GB"/>
              </w:rPr>
            </w:pPr>
          </w:p>
          <w:p w14:paraId="6914AE4B" w14:textId="63A6CE1E" w:rsidR="00F43BFF" w:rsidRPr="001E1CB0" w:rsidRDefault="00F1078A" w:rsidP="004B5DD5">
            <w:pPr>
              <w:rPr>
                <w:lang w:val="en-GB"/>
              </w:rPr>
            </w:pPr>
            <w:r>
              <w:rPr>
                <w:lang w:val="en-GB"/>
              </w:rPr>
              <w:t xml:space="preserve">A new Policy and Procedure which includes discounts has been established for ITU Telecom World 2015, a copy of which has been given to the </w:t>
            </w:r>
            <w:r w:rsidR="00202F1F">
              <w:rPr>
                <w:lang w:val="en-GB"/>
              </w:rPr>
              <w:t xml:space="preserve">External </w:t>
            </w:r>
            <w:r>
              <w:rPr>
                <w:lang w:val="en-GB"/>
              </w:rPr>
              <w:t>Auditor.</w:t>
            </w:r>
            <w:r w:rsidR="00576E8A">
              <w:rPr>
                <w:lang w:val="en-GB"/>
              </w:rPr>
              <w:t xml:space="preserve">  Action completed.  Closed.</w:t>
            </w:r>
          </w:p>
        </w:tc>
        <w:tc>
          <w:tcPr>
            <w:tcW w:w="1120" w:type="pct"/>
            <w:tcBorders>
              <w:top w:val="single" w:sz="4" w:space="0" w:color="auto"/>
              <w:left w:val="single" w:sz="4" w:space="0" w:color="auto"/>
              <w:bottom w:val="single" w:sz="4" w:space="0" w:color="auto"/>
              <w:right w:val="single" w:sz="4" w:space="0" w:color="auto"/>
            </w:tcBorders>
          </w:tcPr>
          <w:p w14:paraId="113E3004" w14:textId="77777777" w:rsidR="00145D4E" w:rsidRDefault="00145D4E" w:rsidP="00EE122C">
            <w:pPr>
              <w:rPr>
                <w:lang w:val="en-GB"/>
              </w:rPr>
            </w:pPr>
          </w:p>
          <w:p w14:paraId="596F74A5" w14:textId="5AC020BD" w:rsidR="00576E8A" w:rsidRPr="001E1CB0" w:rsidRDefault="00576E8A" w:rsidP="00EE122C">
            <w:pPr>
              <w:rPr>
                <w:lang w:val="en-GB"/>
              </w:rPr>
            </w:pPr>
            <w:r>
              <w:rPr>
                <w:lang w:val="en-GB"/>
              </w:rPr>
              <w:t>Closed</w:t>
            </w:r>
          </w:p>
        </w:tc>
      </w:tr>
      <w:tr w:rsidR="00145D4E" w:rsidRPr="001264B1" w14:paraId="0A6D5E1B"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1CC5B76B" w14:textId="77777777" w:rsidR="00145D4E" w:rsidRPr="001E1CB0" w:rsidRDefault="00145D4E" w:rsidP="00EE122C">
            <w:pPr>
              <w:jc w:val="center"/>
              <w:rPr>
                <w:b/>
                <w:bCs/>
              </w:rPr>
            </w:pPr>
            <w:r w:rsidRPr="001E1CB0">
              <w:rPr>
                <w:b/>
                <w:bCs/>
              </w:rPr>
              <w:lastRenderedPageBreak/>
              <w:t>Sugg. 4</w:t>
            </w:r>
          </w:p>
          <w:p w14:paraId="681A5817" w14:textId="77777777" w:rsidR="00145D4E" w:rsidRPr="001E1CB0" w:rsidRDefault="00145D4E"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55B24A7D" w14:textId="77777777" w:rsidR="00BC5239" w:rsidRPr="001E1CB0" w:rsidRDefault="00BC5239" w:rsidP="00BC5239">
            <w:pPr>
              <w:rPr>
                <w:b/>
                <w:bCs/>
                <w:lang w:val="en-GB"/>
              </w:rPr>
            </w:pPr>
            <w:r w:rsidRPr="001E1CB0">
              <w:rPr>
                <w:b/>
                <w:bCs/>
                <w:lang w:val="en-GB"/>
              </w:rPr>
              <w:t>Unused spaces</w:t>
            </w:r>
            <w:r w:rsidR="00145D4E" w:rsidRPr="001E1CB0">
              <w:rPr>
                <w:b/>
                <w:bCs/>
                <w:lang w:val="en-GB"/>
              </w:rPr>
              <w:t xml:space="preserve"> </w:t>
            </w:r>
          </w:p>
          <w:p w14:paraId="33E078F9" w14:textId="77777777" w:rsidR="00145D4E" w:rsidRPr="001E1CB0" w:rsidRDefault="00BC5239" w:rsidP="00BC5239">
            <w:pPr>
              <w:rPr>
                <w:bCs/>
                <w:lang w:val="en-GB"/>
              </w:rPr>
            </w:pPr>
            <w:r w:rsidRPr="001E1CB0">
              <w:rPr>
                <w:bCs/>
                <w:lang w:val="en-GB"/>
              </w:rPr>
              <w:t xml:space="preserve">Conceded that it is a choice of the third parts not to use spaces at their disposal, a deserted area of the Show-floor could have negative impact on the perception of Media interest for the event. We therefore suggest to identify as early as possible such unused spaces and convert them in an appropriate way. </w:t>
            </w:r>
          </w:p>
        </w:tc>
        <w:tc>
          <w:tcPr>
            <w:tcW w:w="1206" w:type="pct"/>
            <w:tcBorders>
              <w:top w:val="single" w:sz="4" w:space="0" w:color="auto"/>
              <w:left w:val="single" w:sz="4" w:space="0" w:color="auto"/>
              <w:bottom w:val="single" w:sz="4" w:space="0" w:color="auto"/>
              <w:right w:val="single" w:sz="4" w:space="0" w:color="auto"/>
            </w:tcBorders>
          </w:tcPr>
          <w:p w14:paraId="458DC0F3" w14:textId="77777777" w:rsidR="00BC5239" w:rsidRPr="001E1CB0" w:rsidRDefault="00145D4E" w:rsidP="00EE122C">
            <w:pPr>
              <w:rPr>
                <w:lang w:val="en-GB"/>
              </w:rPr>
            </w:pPr>
            <w:r w:rsidRPr="001E1CB0">
              <w:rPr>
                <w:lang w:val="en-GB"/>
              </w:rPr>
              <w:t xml:space="preserve"> </w:t>
            </w:r>
          </w:p>
          <w:p w14:paraId="6A2FF19B" w14:textId="77777777" w:rsidR="00145D4E" w:rsidRPr="001E1CB0" w:rsidRDefault="00BC5239" w:rsidP="00EE122C">
            <w:pPr>
              <w:rPr>
                <w:lang w:val="en-GB"/>
              </w:rPr>
            </w:pPr>
            <w:r w:rsidRPr="001E1CB0">
              <w:t>Efforts will be continued in optimizing showfloor utilization taking into account last minute cancellations and the increased expenses associated with the repurposing of “unused” spaces</w:t>
            </w:r>
            <w:r w:rsidR="00145D4E" w:rsidRPr="001E1CB0">
              <w:rPr>
                <w:lang w:val="en-GB"/>
              </w:rPr>
              <w:t xml:space="preserve">. </w:t>
            </w:r>
          </w:p>
        </w:tc>
        <w:tc>
          <w:tcPr>
            <w:tcW w:w="1158" w:type="pct"/>
            <w:tcBorders>
              <w:top w:val="single" w:sz="4" w:space="0" w:color="auto"/>
              <w:left w:val="single" w:sz="4" w:space="0" w:color="auto"/>
              <w:bottom w:val="single" w:sz="4" w:space="0" w:color="auto"/>
              <w:right w:val="single" w:sz="4" w:space="0" w:color="auto"/>
            </w:tcBorders>
          </w:tcPr>
          <w:p w14:paraId="38A5FEBB" w14:textId="77777777" w:rsidR="00145D4E" w:rsidRDefault="00145D4E" w:rsidP="00EE122C">
            <w:pPr>
              <w:rPr>
                <w:lang w:val="en-GB"/>
              </w:rPr>
            </w:pPr>
          </w:p>
          <w:p w14:paraId="4C54C483" w14:textId="01C67C05" w:rsidR="00F43BFF" w:rsidRPr="001E1CB0" w:rsidRDefault="00202F1F" w:rsidP="00F1078A">
            <w:pPr>
              <w:rPr>
                <w:lang w:val="en-GB"/>
              </w:rPr>
            </w:pPr>
            <w:r>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6C97F550" w14:textId="77777777" w:rsidR="00145D4E" w:rsidRDefault="00145D4E" w:rsidP="00EE122C">
            <w:pPr>
              <w:rPr>
                <w:lang w:val="en-GB"/>
              </w:rPr>
            </w:pPr>
          </w:p>
          <w:p w14:paraId="6B03C36F" w14:textId="1CAAEF35" w:rsidR="00BF0962" w:rsidRPr="001E1CB0" w:rsidRDefault="00BF0962" w:rsidP="00EE122C">
            <w:pPr>
              <w:rPr>
                <w:lang w:val="en-GB"/>
              </w:rPr>
            </w:pPr>
            <w:r>
              <w:rPr>
                <w:lang w:val="en-GB"/>
              </w:rPr>
              <w:t>On-going</w:t>
            </w:r>
          </w:p>
        </w:tc>
      </w:tr>
      <w:tr w:rsidR="00145D4E" w:rsidRPr="001264B1" w14:paraId="4F4CA64C"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20BFF120" w14:textId="77777777" w:rsidR="00145D4E" w:rsidRPr="001E1CB0" w:rsidRDefault="00145D4E" w:rsidP="00EE122C">
            <w:pPr>
              <w:jc w:val="center"/>
              <w:rPr>
                <w:b/>
                <w:bCs/>
              </w:rPr>
            </w:pPr>
            <w:r w:rsidRPr="001E1CB0">
              <w:rPr>
                <w:b/>
                <w:bCs/>
              </w:rPr>
              <w:lastRenderedPageBreak/>
              <w:t>Sugg. 5</w:t>
            </w:r>
          </w:p>
          <w:p w14:paraId="7E921EC1" w14:textId="77777777" w:rsidR="00145D4E" w:rsidRPr="001E1CB0" w:rsidRDefault="00145D4E"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46B2D2EA" w14:textId="77777777" w:rsidR="00596C04" w:rsidRPr="001E1CB0" w:rsidRDefault="00145D4E" w:rsidP="00596C04">
            <w:pPr>
              <w:rPr>
                <w:b/>
                <w:bCs/>
                <w:lang w:val="en-GB"/>
              </w:rPr>
            </w:pPr>
            <w:r w:rsidRPr="001E1CB0">
              <w:rPr>
                <w:bCs/>
                <w:lang w:val="en-GB"/>
              </w:rPr>
              <w:t xml:space="preserve"> </w:t>
            </w:r>
            <w:r w:rsidR="00BC5239" w:rsidRPr="001E1CB0">
              <w:rPr>
                <w:b/>
                <w:bCs/>
                <w:lang w:val="en-GB"/>
              </w:rPr>
              <w:t>Media presence</w:t>
            </w:r>
          </w:p>
          <w:p w14:paraId="55523E23" w14:textId="77777777" w:rsidR="00145D4E" w:rsidRPr="001E1CB0" w:rsidRDefault="00596C04" w:rsidP="00BC5239">
            <w:pPr>
              <w:rPr>
                <w:bCs/>
                <w:lang w:val="en-GB"/>
              </w:rPr>
            </w:pPr>
            <w:r w:rsidRPr="001E1CB0">
              <w:rPr>
                <w:bCs/>
                <w:lang w:val="en-GB"/>
              </w:rPr>
              <w:t xml:space="preserve">Since </w:t>
            </w:r>
            <w:r w:rsidRPr="001E1CB0">
              <w:t xml:space="preserve">data on presence show a reduction of the presence (5%) of visitors of the Media sector (quota was 8% in WT12),   we </w:t>
            </w:r>
            <w:r w:rsidR="00BC5239" w:rsidRPr="001E1CB0">
              <w:t xml:space="preserve"> </w:t>
            </w:r>
            <w:r w:rsidRPr="001E1CB0">
              <w:t xml:space="preserve"> suggest to consider and analyze this decrease with the aim of getting a clear view of level of interest of different kinds of media that the Event arises.</w:t>
            </w:r>
          </w:p>
        </w:tc>
        <w:tc>
          <w:tcPr>
            <w:tcW w:w="1206" w:type="pct"/>
            <w:tcBorders>
              <w:top w:val="single" w:sz="4" w:space="0" w:color="auto"/>
              <w:left w:val="single" w:sz="4" w:space="0" w:color="auto"/>
              <w:bottom w:val="single" w:sz="4" w:space="0" w:color="auto"/>
              <w:right w:val="single" w:sz="4" w:space="0" w:color="auto"/>
            </w:tcBorders>
          </w:tcPr>
          <w:p w14:paraId="4F26AA78" w14:textId="77777777" w:rsidR="00BC5239" w:rsidRPr="001E1CB0" w:rsidRDefault="00145D4E" w:rsidP="00BC5239">
            <w:pPr>
              <w:rPr>
                <w:lang w:val="en-GB"/>
              </w:rPr>
            </w:pPr>
            <w:r w:rsidRPr="001E1CB0">
              <w:rPr>
                <w:lang w:val="en-GB"/>
              </w:rPr>
              <w:t xml:space="preserve"> </w:t>
            </w:r>
          </w:p>
          <w:p w14:paraId="19668AB3" w14:textId="77777777" w:rsidR="00145D4E" w:rsidRPr="001E1CB0" w:rsidRDefault="00BC5239" w:rsidP="002B72EA">
            <w:pPr>
              <w:rPr>
                <w:lang w:val="en-GB"/>
              </w:rPr>
            </w:pPr>
            <w:r w:rsidRPr="001E1CB0">
              <w:rPr>
                <w:lang w:val="en-GB"/>
              </w:rPr>
              <w:t>Efforts will be continued in enhancing the participation of quality media groups including new</w:t>
            </w:r>
            <w:r w:rsidR="002B72EA">
              <w:rPr>
                <w:lang w:val="en-GB"/>
              </w:rPr>
              <w:t xml:space="preserve"> </w:t>
            </w:r>
            <w:r w:rsidRPr="001E1CB0">
              <w:rPr>
                <w:lang w:val="en-GB"/>
              </w:rPr>
              <w:t>media and through creative partnerships and remote participation.</w:t>
            </w:r>
          </w:p>
        </w:tc>
        <w:tc>
          <w:tcPr>
            <w:tcW w:w="1158" w:type="pct"/>
            <w:tcBorders>
              <w:top w:val="single" w:sz="4" w:space="0" w:color="auto"/>
              <w:left w:val="single" w:sz="4" w:space="0" w:color="auto"/>
              <w:bottom w:val="single" w:sz="4" w:space="0" w:color="auto"/>
              <w:right w:val="single" w:sz="4" w:space="0" w:color="auto"/>
            </w:tcBorders>
          </w:tcPr>
          <w:p w14:paraId="1F9566FE" w14:textId="77777777" w:rsidR="00145D4E" w:rsidRDefault="00145D4E" w:rsidP="00EE122C">
            <w:pPr>
              <w:rPr>
                <w:lang w:val="en-GB"/>
              </w:rPr>
            </w:pPr>
          </w:p>
          <w:p w14:paraId="0DE3A4FC" w14:textId="419CD50C" w:rsidR="00F43BFF" w:rsidRPr="001E1CB0" w:rsidRDefault="00F43BFF" w:rsidP="00EE122C">
            <w:pPr>
              <w:rPr>
                <w:lang w:val="en-GB"/>
              </w:rPr>
            </w:pPr>
            <w:r>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64A7825E" w14:textId="77777777" w:rsidR="00145D4E" w:rsidRDefault="00145D4E" w:rsidP="00EE122C">
            <w:pPr>
              <w:rPr>
                <w:lang w:val="en-GB"/>
              </w:rPr>
            </w:pPr>
          </w:p>
          <w:p w14:paraId="713D149C" w14:textId="0941403F" w:rsidR="00BF0962" w:rsidRPr="001E1CB0" w:rsidRDefault="00BF0962" w:rsidP="00EE122C">
            <w:pPr>
              <w:rPr>
                <w:lang w:val="en-GB"/>
              </w:rPr>
            </w:pPr>
            <w:r>
              <w:rPr>
                <w:lang w:val="en-GB"/>
              </w:rPr>
              <w:t>On-going</w:t>
            </w:r>
          </w:p>
        </w:tc>
      </w:tr>
      <w:tr w:rsidR="0070113B" w:rsidRPr="001264B1" w14:paraId="3CA6A276"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4A9494BD" w14:textId="77777777" w:rsidR="0070113B" w:rsidRPr="001E1CB0" w:rsidRDefault="0070113B" w:rsidP="00EE122C">
            <w:pPr>
              <w:jc w:val="center"/>
              <w:rPr>
                <w:b/>
                <w:bCs/>
              </w:rPr>
            </w:pPr>
            <w:r w:rsidRPr="001E1CB0">
              <w:rPr>
                <w:b/>
                <w:bCs/>
              </w:rPr>
              <w:lastRenderedPageBreak/>
              <w:t>Sugg. 6</w:t>
            </w:r>
          </w:p>
          <w:p w14:paraId="411AFC6A" w14:textId="77777777" w:rsidR="0070113B" w:rsidRPr="001E1CB0" w:rsidRDefault="0070113B"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43523B9C" w14:textId="77777777" w:rsidR="0070113B" w:rsidRPr="001E1CB0" w:rsidRDefault="0070113B" w:rsidP="00EE122C">
            <w:pPr>
              <w:rPr>
                <w:b/>
                <w:bCs/>
                <w:lang w:val="en-GB"/>
              </w:rPr>
            </w:pPr>
            <w:r w:rsidRPr="001E1CB0">
              <w:rPr>
                <w:bCs/>
                <w:lang w:val="en-GB"/>
              </w:rPr>
              <w:t xml:space="preserve"> </w:t>
            </w:r>
            <w:r w:rsidR="00BD5FC1" w:rsidRPr="001E1CB0">
              <w:rPr>
                <w:b/>
                <w:bCs/>
                <w:lang w:val="en-GB"/>
              </w:rPr>
              <w:t>Barters should be better disclosed.</w:t>
            </w:r>
          </w:p>
          <w:p w14:paraId="44C5A5FD" w14:textId="77777777" w:rsidR="00BD5FC1" w:rsidRPr="001E1CB0" w:rsidRDefault="00BD5FC1" w:rsidP="002B72EA">
            <w:pPr>
              <w:rPr>
                <w:bCs/>
                <w:lang w:val="en-GB"/>
              </w:rPr>
            </w:pPr>
            <w:r w:rsidRPr="001E1CB0">
              <w:rPr>
                <w:bCs/>
                <w:lang w:val="en-GB"/>
              </w:rPr>
              <w:t>We have to suggest again (as last year, Rec. 5/2012) to increase the level of</w:t>
            </w:r>
            <w:r w:rsidR="002B72EA">
              <w:rPr>
                <w:bCs/>
                <w:lang w:val="en-GB"/>
              </w:rPr>
              <w:t xml:space="preserve"> </w:t>
            </w:r>
            <w:r w:rsidRPr="001E1CB0">
              <w:rPr>
                <w:bCs/>
                <w:lang w:val="en-GB"/>
              </w:rPr>
              <w:t>disclosure of these services and facilities provided by ITU Telecom and to monitor the value</w:t>
            </w:r>
            <w:r w:rsidR="002B72EA">
              <w:rPr>
                <w:bCs/>
                <w:lang w:val="en-GB"/>
              </w:rPr>
              <w:t xml:space="preserve"> </w:t>
            </w:r>
            <w:r w:rsidRPr="001E1CB0">
              <w:rPr>
                <w:bCs/>
                <w:lang w:val="en-GB"/>
              </w:rPr>
              <w:t xml:space="preserve">of each barter. </w:t>
            </w:r>
          </w:p>
        </w:tc>
        <w:tc>
          <w:tcPr>
            <w:tcW w:w="1206" w:type="pct"/>
            <w:tcBorders>
              <w:top w:val="single" w:sz="4" w:space="0" w:color="auto"/>
              <w:left w:val="single" w:sz="4" w:space="0" w:color="auto"/>
              <w:bottom w:val="single" w:sz="4" w:space="0" w:color="auto"/>
              <w:right w:val="single" w:sz="4" w:space="0" w:color="auto"/>
            </w:tcBorders>
          </w:tcPr>
          <w:p w14:paraId="6D7DBE56" w14:textId="77777777" w:rsidR="00BD5FC1" w:rsidRPr="001E1CB0" w:rsidRDefault="0070113B" w:rsidP="00EE122C">
            <w:pPr>
              <w:rPr>
                <w:lang w:val="en-GB"/>
              </w:rPr>
            </w:pPr>
            <w:r w:rsidRPr="001E1CB0">
              <w:rPr>
                <w:lang w:val="en-GB"/>
              </w:rPr>
              <w:t xml:space="preserve"> </w:t>
            </w:r>
          </w:p>
          <w:p w14:paraId="0BFBEADF" w14:textId="77777777" w:rsidR="0070113B" w:rsidRPr="001E1CB0" w:rsidRDefault="00BD5FC1" w:rsidP="00EE122C">
            <w:pPr>
              <w:rPr>
                <w:lang w:val="en-GB"/>
              </w:rPr>
            </w:pPr>
            <w:r w:rsidRPr="001E1CB0">
              <w:t>Barter agreements are important to attract companies/investors and cost-effectively acquire critical services/products. All barters opportunities are rigorously evaluated and information on benefits to ITU as well as services provided by ITU is readily available.</w:t>
            </w:r>
          </w:p>
        </w:tc>
        <w:tc>
          <w:tcPr>
            <w:tcW w:w="1158" w:type="pct"/>
            <w:tcBorders>
              <w:top w:val="single" w:sz="4" w:space="0" w:color="auto"/>
              <w:left w:val="single" w:sz="4" w:space="0" w:color="auto"/>
              <w:bottom w:val="single" w:sz="4" w:space="0" w:color="auto"/>
              <w:right w:val="single" w:sz="4" w:space="0" w:color="auto"/>
            </w:tcBorders>
          </w:tcPr>
          <w:p w14:paraId="342B3D28" w14:textId="77777777" w:rsidR="0070113B" w:rsidRDefault="0070113B" w:rsidP="00EE122C">
            <w:pPr>
              <w:rPr>
                <w:lang w:val="en-GB"/>
              </w:rPr>
            </w:pPr>
          </w:p>
          <w:p w14:paraId="5A6E29C7" w14:textId="0887442C" w:rsidR="00F43BFF" w:rsidRPr="001E1CB0" w:rsidRDefault="004B5DD5" w:rsidP="004B5DD5">
            <w:pPr>
              <w:rPr>
                <w:lang w:val="en-GB"/>
              </w:rPr>
            </w:pPr>
            <w:r>
              <w:rPr>
                <w:lang w:val="en-GB"/>
              </w:rPr>
              <w:t>Action completed as in 2012 Suggestion 5.  Closed.</w:t>
            </w:r>
          </w:p>
        </w:tc>
        <w:tc>
          <w:tcPr>
            <w:tcW w:w="1120" w:type="pct"/>
            <w:tcBorders>
              <w:top w:val="single" w:sz="4" w:space="0" w:color="auto"/>
              <w:left w:val="single" w:sz="4" w:space="0" w:color="auto"/>
              <w:bottom w:val="single" w:sz="4" w:space="0" w:color="auto"/>
              <w:right w:val="single" w:sz="4" w:space="0" w:color="auto"/>
            </w:tcBorders>
          </w:tcPr>
          <w:p w14:paraId="71F92653" w14:textId="77777777" w:rsidR="0070113B" w:rsidRDefault="0070113B" w:rsidP="00EE122C">
            <w:pPr>
              <w:rPr>
                <w:lang w:val="en-GB"/>
              </w:rPr>
            </w:pPr>
          </w:p>
          <w:p w14:paraId="4F459D0C" w14:textId="7E403728" w:rsidR="00202F1F" w:rsidRPr="001E1CB0" w:rsidRDefault="00202F1F" w:rsidP="00EE122C">
            <w:pPr>
              <w:rPr>
                <w:lang w:val="en-GB"/>
              </w:rPr>
            </w:pPr>
            <w:r>
              <w:rPr>
                <w:lang w:val="en-GB"/>
              </w:rPr>
              <w:t>Closed</w:t>
            </w:r>
          </w:p>
        </w:tc>
      </w:tr>
      <w:tr w:rsidR="0070113B" w:rsidRPr="001264B1" w14:paraId="4CCFE592"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5FB35F2F" w14:textId="77777777" w:rsidR="0070113B" w:rsidRPr="001E1CB0" w:rsidRDefault="0070113B" w:rsidP="00EE122C">
            <w:pPr>
              <w:jc w:val="center"/>
              <w:rPr>
                <w:b/>
                <w:bCs/>
              </w:rPr>
            </w:pPr>
            <w:r w:rsidRPr="001E1CB0">
              <w:rPr>
                <w:b/>
                <w:bCs/>
              </w:rPr>
              <w:lastRenderedPageBreak/>
              <w:t>Sugg. 7</w:t>
            </w:r>
          </w:p>
          <w:p w14:paraId="7F577180" w14:textId="77777777" w:rsidR="0070113B" w:rsidRPr="001E1CB0" w:rsidRDefault="0070113B"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58AA3D20" w14:textId="77777777" w:rsidR="00D1047A" w:rsidRPr="001E1CB0" w:rsidRDefault="0070113B" w:rsidP="00D1047A">
            <w:pPr>
              <w:rPr>
                <w:b/>
                <w:bCs/>
                <w:lang w:val="en-GB"/>
              </w:rPr>
            </w:pPr>
            <w:r w:rsidRPr="001E1CB0">
              <w:rPr>
                <w:bCs/>
                <w:lang w:val="en-GB"/>
              </w:rPr>
              <w:t xml:space="preserve"> </w:t>
            </w:r>
            <w:r w:rsidR="00D1047A" w:rsidRPr="001E1CB0">
              <w:rPr>
                <w:b/>
                <w:bCs/>
                <w:lang w:val="en-GB"/>
              </w:rPr>
              <w:t>Make Event affordable for more aspiring Host Countries</w:t>
            </w:r>
          </w:p>
          <w:p w14:paraId="15F7D7C2" w14:textId="77777777" w:rsidR="0070113B" w:rsidRPr="001E1CB0" w:rsidRDefault="00D1047A" w:rsidP="00D1047A">
            <w:pPr>
              <w:rPr>
                <w:bCs/>
                <w:lang w:val="en-GB"/>
              </w:rPr>
            </w:pPr>
            <w:r w:rsidRPr="001E1CB0">
              <w:t>We suggest to study scenarios for aspiring Host Countries to get fully leverage from investment they could make for hosting ITU Telecom World event, for a better compliance with Resolution 11 (Guadalajara 2010).</w:t>
            </w:r>
          </w:p>
        </w:tc>
        <w:tc>
          <w:tcPr>
            <w:tcW w:w="1206" w:type="pct"/>
            <w:tcBorders>
              <w:top w:val="single" w:sz="4" w:space="0" w:color="auto"/>
              <w:left w:val="single" w:sz="4" w:space="0" w:color="auto"/>
              <w:bottom w:val="single" w:sz="4" w:space="0" w:color="auto"/>
              <w:right w:val="single" w:sz="4" w:space="0" w:color="auto"/>
            </w:tcBorders>
          </w:tcPr>
          <w:p w14:paraId="601CECDD" w14:textId="77777777" w:rsidR="00D1047A" w:rsidRPr="001E1CB0" w:rsidRDefault="00D1047A" w:rsidP="00EE122C">
            <w:pPr>
              <w:rPr>
                <w:lang w:val="en-GB"/>
              </w:rPr>
            </w:pPr>
          </w:p>
          <w:p w14:paraId="3DB76C99" w14:textId="77777777" w:rsidR="00F43BFF" w:rsidRDefault="00F43BFF" w:rsidP="00EE122C"/>
          <w:p w14:paraId="50B7CDC0" w14:textId="77777777" w:rsidR="0070113B" w:rsidRPr="001E1CB0" w:rsidRDefault="00D1047A" w:rsidP="00EE122C">
            <w:pPr>
              <w:rPr>
                <w:lang w:val="en-GB"/>
              </w:rPr>
            </w:pPr>
            <w:r w:rsidRPr="001E1CB0">
              <w:t>Host countries have systematically expressed satisfaction for hosting ITU Telecom events. Efforts will be continued in increasing the positive impact of hosting ITU Telecom events.</w:t>
            </w:r>
            <w:r w:rsidR="0070113B" w:rsidRPr="001E1CB0">
              <w:rPr>
                <w:lang w:val="en-GB"/>
              </w:rPr>
              <w:t xml:space="preserve"> . </w:t>
            </w:r>
          </w:p>
        </w:tc>
        <w:tc>
          <w:tcPr>
            <w:tcW w:w="1158" w:type="pct"/>
            <w:tcBorders>
              <w:top w:val="single" w:sz="4" w:space="0" w:color="auto"/>
              <w:left w:val="single" w:sz="4" w:space="0" w:color="auto"/>
              <w:bottom w:val="single" w:sz="4" w:space="0" w:color="auto"/>
              <w:right w:val="single" w:sz="4" w:space="0" w:color="auto"/>
            </w:tcBorders>
          </w:tcPr>
          <w:p w14:paraId="40CDF675" w14:textId="77777777" w:rsidR="0070113B" w:rsidRDefault="0070113B" w:rsidP="00EE122C">
            <w:pPr>
              <w:rPr>
                <w:lang w:val="en-GB"/>
              </w:rPr>
            </w:pPr>
          </w:p>
          <w:p w14:paraId="3874CE48" w14:textId="77777777" w:rsidR="00F43BFF" w:rsidRDefault="00F43BFF" w:rsidP="00EE122C">
            <w:pPr>
              <w:rPr>
                <w:lang w:val="en-GB"/>
              </w:rPr>
            </w:pPr>
          </w:p>
          <w:p w14:paraId="365D1511" w14:textId="62179D15" w:rsidR="00F43BFF" w:rsidRPr="001E1CB0" w:rsidRDefault="007E3BA0" w:rsidP="00EE122C">
            <w:pPr>
              <w:rPr>
                <w:lang w:val="en-GB"/>
              </w:rPr>
            </w:pPr>
            <w:r>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274A5A2D" w14:textId="77777777" w:rsidR="0070113B" w:rsidRDefault="0070113B" w:rsidP="00EE122C">
            <w:pPr>
              <w:rPr>
                <w:lang w:val="en-GB"/>
              </w:rPr>
            </w:pPr>
          </w:p>
          <w:p w14:paraId="2BFE109B" w14:textId="6A72270B" w:rsidR="00BF0962" w:rsidRPr="001E1CB0" w:rsidRDefault="00BF0962" w:rsidP="00EE122C">
            <w:pPr>
              <w:rPr>
                <w:lang w:val="en-GB"/>
              </w:rPr>
            </w:pPr>
            <w:r>
              <w:rPr>
                <w:lang w:val="en-GB"/>
              </w:rPr>
              <w:t>On-going</w:t>
            </w:r>
          </w:p>
        </w:tc>
      </w:tr>
      <w:tr w:rsidR="0070113B" w:rsidRPr="001264B1" w14:paraId="28897844"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5EA6F505" w14:textId="77777777" w:rsidR="0070113B" w:rsidRPr="001E1CB0" w:rsidRDefault="0070113B" w:rsidP="00EE122C">
            <w:pPr>
              <w:jc w:val="center"/>
              <w:rPr>
                <w:b/>
                <w:bCs/>
              </w:rPr>
            </w:pPr>
            <w:r w:rsidRPr="001E1CB0">
              <w:rPr>
                <w:b/>
                <w:bCs/>
              </w:rPr>
              <w:lastRenderedPageBreak/>
              <w:t>Sugg. 8</w:t>
            </w:r>
          </w:p>
          <w:p w14:paraId="461298A2" w14:textId="77777777" w:rsidR="0070113B" w:rsidRPr="001E1CB0" w:rsidRDefault="0070113B"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52765432" w14:textId="77777777" w:rsidR="00BF029D" w:rsidRPr="001E1CB0" w:rsidRDefault="0070113B" w:rsidP="00EE122C">
            <w:pPr>
              <w:rPr>
                <w:b/>
                <w:bCs/>
                <w:lang w:val="en-GB"/>
              </w:rPr>
            </w:pPr>
            <w:r w:rsidRPr="001E1CB0">
              <w:rPr>
                <w:bCs/>
                <w:lang w:val="en-GB"/>
              </w:rPr>
              <w:t xml:space="preserve"> </w:t>
            </w:r>
            <w:r w:rsidR="00BF029D" w:rsidRPr="001E1CB0">
              <w:rPr>
                <w:b/>
                <w:bCs/>
              </w:rPr>
              <w:t>Participation of developing countries to the events</w:t>
            </w:r>
          </w:p>
          <w:p w14:paraId="2088D7BC" w14:textId="77777777" w:rsidR="0070113B" w:rsidRPr="001E1CB0" w:rsidRDefault="00BF029D" w:rsidP="00EE122C">
            <w:pPr>
              <w:rPr>
                <w:bCs/>
                <w:lang w:val="en-GB"/>
              </w:rPr>
            </w:pPr>
            <w:r w:rsidRPr="001E1CB0">
              <w:t>We acknowledge the effort of the Management in facilitating the participation of developing Countries, also as follow-up of our recommendations and suggestions in last year’s report (see Sugg. 7/2012), and we suggest to continue implementing measures to assist the developing Countries, possibly increasing the number of initiatives dedicated to them.</w:t>
            </w:r>
          </w:p>
        </w:tc>
        <w:tc>
          <w:tcPr>
            <w:tcW w:w="1206" w:type="pct"/>
            <w:tcBorders>
              <w:top w:val="single" w:sz="4" w:space="0" w:color="auto"/>
              <w:left w:val="single" w:sz="4" w:space="0" w:color="auto"/>
              <w:bottom w:val="single" w:sz="4" w:space="0" w:color="auto"/>
              <w:right w:val="single" w:sz="4" w:space="0" w:color="auto"/>
            </w:tcBorders>
          </w:tcPr>
          <w:p w14:paraId="3CC90B68" w14:textId="77777777" w:rsidR="00BF029D" w:rsidRPr="001E1CB0" w:rsidRDefault="0070113B" w:rsidP="00EE122C">
            <w:pPr>
              <w:rPr>
                <w:lang w:val="en-GB"/>
              </w:rPr>
            </w:pPr>
            <w:r w:rsidRPr="001E1CB0">
              <w:rPr>
                <w:lang w:val="en-GB"/>
              </w:rPr>
              <w:t xml:space="preserve"> </w:t>
            </w:r>
          </w:p>
          <w:p w14:paraId="07C772E5" w14:textId="77777777" w:rsidR="0070113B" w:rsidRPr="001E1CB0" w:rsidRDefault="00BF029D" w:rsidP="00EE122C">
            <w:pPr>
              <w:rPr>
                <w:lang w:val="en-GB"/>
              </w:rPr>
            </w:pPr>
            <w:r w:rsidRPr="001E1CB0">
              <w:t>Efforts will be continued in facilitating the participation of developing countries as well as in implementing measures to assist these countries, while considering the possibility of increasing the number of initiatives and financial resources for such purpose within the fin</w:t>
            </w:r>
            <w:r w:rsidR="005A7877">
              <w:t>ancial limitations of the Union</w:t>
            </w:r>
            <w:r w:rsidR="0070113B" w:rsidRPr="001E1CB0">
              <w:rPr>
                <w:lang w:val="en-GB"/>
              </w:rPr>
              <w:t>.</w:t>
            </w:r>
          </w:p>
        </w:tc>
        <w:tc>
          <w:tcPr>
            <w:tcW w:w="1158" w:type="pct"/>
            <w:tcBorders>
              <w:top w:val="single" w:sz="4" w:space="0" w:color="auto"/>
              <w:left w:val="single" w:sz="4" w:space="0" w:color="auto"/>
              <w:bottom w:val="single" w:sz="4" w:space="0" w:color="auto"/>
              <w:right w:val="single" w:sz="4" w:space="0" w:color="auto"/>
            </w:tcBorders>
          </w:tcPr>
          <w:p w14:paraId="11445821" w14:textId="77777777" w:rsidR="0070113B" w:rsidRDefault="0070113B" w:rsidP="00EE122C">
            <w:pPr>
              <w:rPr>
                <w:lang w:val="en-GB"/>
              </w:rPr>
            </w:pPr>
          </w:p>
          <w:p w14:paraId="098F7411" w14:textId="3EF20B9E" w:rsidR="00F43BFF" w:rsidRPr="001E1CB0" w:rsidRDefault="00F43BFF" w:rsidP="00EE122C">
            <w:pPr>
              <w:rPr>
                <w:lang w:val="en-GB"/>
              </w:rPr>
            </w:pPr>
            <w:r>
              <w:rPr>
                <w:lang w:val="en-GB"/>
              </w:rPr>
              <w:t>On-going</w:t>
            </w:r>
          </w:p>
        </w:tc>
        <w:tc>
          <w:tcPr>
            <w:tcW w:w="1120" w:type="pct"/>
            <w:tcBorders>
              <w:top w:val="single" w:sz="4" w:space="0" w:color="auto"/>
              <w:left w:val="single" w:sz="4" w:space="0" w:color="auto"/>
              <w:bottom w:val="single" w:sz="4" w:space="0" w:color="auto"/>
              <w:right w:val="single" w:sz="4" w:space="0" w:color="auto"/>
            </w:tcBorders>
          </w:tcPr>
          <w:p w14:paraId="3850C1C4" w14:textId="77777777" w:rsidR="0070113B" w:rsidRDefault="0070113B" w:rsidP="00EE122C">
            <w:pPr>
              <w:rPr>
                <w:lang w:val="en-GB"/>
              </w:rPr>
            </w:pPr>
          </w:p>
          <w:p w14:paraId="5F645E7B" w14:textId="0D263DD8" w:rsidR="00BF0962" w:rsidRPr="001E1CB0" w:rsidRDefault="00BF0962" w:rsidP="00EE122C">
            <w:pPr>
              <w:rPr>
                <w:lang w:val="en-GB"/>
              </w:rPr>
            </w:pPr>
            <w:r>
              <w:rPr>
                <w:lang w:val="en-GB"/>
              </w:rPr>
              <w:t>On-going</w:t>
            </w:r>
          </w:p>
        </w:tc>
      </w:tr>
      <w:tr w:rsidR="0070113B" w:rsidRPr="001264B1" w14:paraId="42BE71BA"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3CD78B8A" w14:textId="77777777" w:rsidR="0070113B" w:rsidRPr="001E1CB0" w:rsidRDefault="0070113B" w:rsidP="00EE122C">
            <w:pPr>
              <w:jc w:val="center"/>
              <w:rPr>
                <w:b/>
                <w:bCs/>
              </w:rPr>
            </w:pPr>
            <w:r w:rsidRPr="001E1CB0">
              <w:rPr>
                <w:b/>
                <w:bCs/>
              </w:rPr>
              <w:lastRenderedPageBreak/>
              <w:t>Sugg. 9</w:t>
            </w:r>
          </w:p>
          <w:p w14:paraId="341107DF" w14:textId="77777777" w:rsidR="0070113B" w:rsidRPr="001E1CB0" w:rsidRDefault="0070113B"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0C67CE95" w14:textId="77777777" w:rsidR="00152621" w:rsidRPr="001E1CB0" w:rsidRDefault="00152621" w:rsidP="00EE122C">
            <w:pPr>
              <w:rPr>
                <w:b/>
                <w:bCs/>
                <w:lang w:val="en-GB"/>
              </w:rPr>
            </w:pPr>
            <w:r w:rsidRPr="001E1CB0">
              <w:rPr>
                <w:b/>
                <w:bCs/>
                <w:lang w:val="en-GB"/>
              </w:rPr>
              <w:t>Gender distribution</w:t>
            </w:r>
            <w:r w:rsidR="0070113B" w:rsidRPr="001E1CB0">
              <w:rPr>
                <w:b/>
                <w:bCs/>
                <w:lang w:val="en-GB"/>
              </w:rPr>
              <w:t xml:space="preserve"> </w:t>
            </w:r>
          </w:p>
          <w:p w14:paraId="056CD212" w14:textId="77777777" w:rsidR="0070113B" w:rsidRPr="001E1CB0" w:rsidRDefault="00363DCF" w:rsidP="00EE122C">
            <w:pPr>
              <w:rPr>
                <w:bCs/>
                <w:lang w:val="en-GB"/>
              </w:rPr>
            </w:pPr>
            <w:r w:rsidRPr="001E1CB0">
              <w:t>Although participation to the Forum cannot be conditioned on a gender basis, we suggest to tackle the issue and study a way to correct this unbalance</w:t>
            </w:r>
          </w:p>
        </w:tc>
        <w:tc>
          <w:tcPr>
            <w:tcW w:w="1206" w:type="pct"/>
            <w:tcBorders>
              <w:top w:val="single" w:sz="4" w:space="0" w:color="auto"/>
              <w:left w:val="single" w:sz="4" w:space="0" w:color="auto"/>
              <w:bottom w:val="single" w:sz="4" w:space="0" w:color="auto"/>
              <w:right w:val="single" w:sz="4" w:space="0" w:color="auto"/>
            </w:tcBorders>
          </w:tcPr>
          <w:p w14:paraId="3AC3A8E6" w14:textId="77777777" w:rsidR="0070113B" w:rsidRPr="001E1CB0" w:rsidRDefault="0070113B" w:rsidP="00EE122C">
            <w:pPr>
              <w:rPr>
                <w:lang w:val="en-GB"/>
              </w:rPr>
            </w:pPr>
            <w:r w:rsidRPr="001E1CB0">
              <w:rPr>
                <w:lang w:val="en-GB"/>
              </w:rPr>
              <w:t xml:space="preserve"> </w:t>
            </w:r>
          </w:p>
          <w:p w14:paraId="7F334768" w14:textId="77777777" w:rsidR="00152621" w:rsidRPr="001E1CB0" w:rsidRDefault="00152621" w:rsidP="00EE122C">
            <w:pPr>
              <w:rPr>
                <w:lang w:val="en-GB"/>
              </w:rPr>
            </w:pPr>
            <w:r w:rsidRPr="001E1CB0">
              <w:t>Efforts will be continued in improving the gender balance amongst participants.</w:t>
            </w:r>
          </w:p>
        </w:tc>
        <w:tc>
          <w:tcPr>
            <w:tcW w:w="1158" w:type="pct"/>
            <w:tcBorders>
              <w:top w:val="single" w:sz="4" w:space="0" w:color="auto"/>
              <w:left w:val="single" w:sz="4" w:space="0" w:color="auto"/>
              <w:bottom w:val="single" w:sz="4" w:space="0" w:color="auto"/>
              <w:right w:val="single" w:sz="4" w:space="0" w:color="auto"/>
            </w:tcBorders>
          </w:tcPr>
          <w:p w14:paraId="71C8609F" w14:textId="77777777" w:rsidR="0070113B" w:rsidRDefault="0070113B" w:rsidP="00EE122C">
            <w:pPr>
              <w:rPr>
                <w:lang w:val="en-GB"/>
              </w:rPr>
            </w:pPr>
          </w:p>
          <w:p w14:paraId="6D476866" w14:textId="3690721B" w:rsidR="00F43BFF" w:rsidRPr="001E1CB0" w:rsidRDefault="00F1078A" w:rsidP="00202F1F">
            <w:pPr>
              <w:rPr>
                <w:lang w:val="en-GB"/>
              </w:rPr>
            </w:pPr>
            <w:r>
              <w:rPr>
                <w:lang w:val="en-GB"/>
              </w:rPr>
              <w:t xml:space="preserve">Improvement has been made but ITU </w:t>
            </w:r>
            <w:r w:rsidR="00202F1F">
              <w:rPr>
                <w:lang w:val="en-GB"/>
              </w:rPr>
              <w:t>shall</w:t>
            </w:r>
            <w:r>
              <w:rPr>
                <w:lang w:val="en-GB"/>
              </w:rPr>
              <w:t xml:space="preserve"> continue </w:t>
            </w:r>
            <w:r w:rsidR="007C3215">
              <w:rPr>
                <w:lang w:val="en-GB"/>
              </w:rPr>
              <w:t>its</w:t>
            </w:r>
            <w:r>
              <w:rPr>
                <w:lang w:val="en-GB"/>
              </w:rPr>
              <w:t xml:space="preserve"> efforts to </w:t>
            </w:r>
            <w:r w:rsidR="007C3215">
              <w:rPr>
                <w:lang w:val="en-GB"/>
              </w:rPr>
              <w:t xml:space="preserve">further </w:t>
            </w:r>
            <w:r>
              <w:rPr>
                <w:lang w:val="en-GB"/>
              </w:rPr>
              <w:t>improve gender balance among participants.</w:t>
            </w:r>
          </w:p>
        </w:tc>
        <w:tc>
          <w:tcPr>
            <w:tcW w:w="1120" w:type="pct"/>
            <w:tcBorders>
              <w:top w:val="single" w:sz="4" w:space="0" w:color="auto"/>
              <w:left w:val="single" w:sz="4" w:space="0" w:color="auto"/>
              <w:bottom w:val="single" w:sz="4" w:space="0" w:color="auto"/>
              <w:right w:val="single" w:sz="4" w:space="0" w:color="auto"/>
            </w:tcBorders>
          </w:tcPr>
          <w:p w14:paraId="0F1F3F72" w14:textId="77777777" w:rsidR="0070113B" w:rsidRDefault="0070113B" w:rsidP="00EE122C">
            <w:pPr>
              <w:rPr>
                <w:lang w:val="en-GB"/>
              </w:rPr>
            </w:pPr>
          </w:p>
          <w:p w14:paraId="677D0890" w14:textId="3CD19FD4" w:rsidR="00BF0962" w:rsidRPr="001E1CB0" w:rsidRDefault="00BF0962" w:rsidP="00EE122C">
            <w:pPr>
              <w:rPr>
                <w:lang w:val="en-GB"/>
              </w:rPr>
            </w:pPr>
            <w:r>
              <w:rPr>
                <w:lang w:val="en-GB"/>
              </w:rPr>
              <w:t>On-going</w:t>
            </w:r>
          </w:p>
        </w:tc>
      </w:tr>
      <w:tr w:rsidR="0070113B" w:rsidRPr="001264B1" w14:paraId="19727B68" w14:textId="77777777" w:rsidTr="002B72EA">
        <w:trPr>
          <w:cantSplit/>
          <w:trHeight w:val="6258"/>
        </w:trPr>
        <w:tc>
          <w:tcPr>
            <w:tcW w:w="357" w:type="pct"/>
            <w:tcBorders>
              <w:top w:val="single" w:sz="4" w:space="0" w:color="auto"/>
              <w:left w:val="single" w:sz="4" w:space="0" w:color="auto"/>
              <w:bottom w:val="single" w:sz="4" w:space="0" w:color="auto"/>
              <w:right w:val="single" w:sz="4" w:space="0" w:color="auto"/>
            </w:tcBorders>
          </w:tcPr>
          <w:p w14:paraId="1F1DB840" w14:textId="77777777" w:rsidR="0070113B" w:rsidRPr="001E1CB0" w:rsidRDefault="0070113B" w:rsidP="00EE122C">
            <w:pPr>
              <w:jc w:val="center"/>
              <w:rPr>
                <w:b/>
                <w:bCs/>
              </w:rPr>
            </w:pPr>
            <w:r w:rsidRPr="001E1CB0">
              <w:rPr>
                <w:b/>
                <w:bCs/>
              </w:rPr>
              <w:lastRenderedPageBreak/>
              <w:t>Sugg. 10</w:t>
            </w:r>
          </w:p>
          <w:p w14:paraId="52323442" w14:textId="77777777" w:rsidR="0070113B" w:rsidRPr="001E1CB0" w:rsidRDefault="0070113B" w:rsidP="00EE122C">
            <w:pPr>
              <w:jc w:val="center"/>
              <w:rPr>
                <w:b/>
                <w:bCs/>
              </w:rPr>
            </w:pPr>
            <w:r w:rsidRPr="001E1CB0">
              <w:rPr>
                <w:b/>
                <w:bCs/>
              </w:rPr>
              <w:t>2013</w:t>
            </w:r>
          </w:p>
        </w:tc>
        <w:tc>
          <w:tcPr>
            <w:tcW w:w="1159" w:type="pct"/>
            <w:tcBorders>
              <w:top w:val="single" w:sz="4" w:space="0" w:color="auto"/>
              <w:left w:val="single" w:sz="4" w:space="0" w:color="auto"/>
              <w:bottom w:val="single" w:sz="4" w:space="0" w:color="auto"/>
              <w:right w:val="single" w:sz="4" w:space="0" w:color="auto"/>
            </w:tcBorders>
          </w:tcPr>
          <w:p w14:paraId="6B0BACFA" w14:textId="77777777" w:rsidR="0070113B" w:rsidRPr="001E1CB0" w:rsidRDefault="0070113B" w:rsidP="0070113B">
            <w:pPr>
              <w:rPr>
                <w:b/>
                <w:bCs/>
                <w:lang w:val="en-GB"/>
              </w:rPr>
            </w:pPr>
            <w:r w:rsidRPr="001E1CB0">
              <w:rPr>
                <w:b/>
                <w:bCs/>
                <w:lang w:val="en-GB"/>
              </w:rPr>
              <w:t xml:space="preserve"> Possible weakening of identity of ITU TW events</w:t>
            </w:r>
          </w:p>
          <w:p w14:paraId="39F7ED54" w14:textId="77777777" w:rsidR="0070113B" w:rsidRPr="001E1CB0" w:rsidRDefault="0070113B" w:rsidP="0070113B">
            <w:pPr>
              <w:rPr>
                <w:bCs/>
                <w:lang w:val="en-GB"/>
              </w:rPr>
            </w:pPr>
            <w:r w:rsidRPr="001E1CB0">
              <w:rPr>
                <w:bCs/>
                <w:lang w:val="en-GB"/>
              </w:rPr>
              <w:t>We believe that Management has to be ready for a critical rethinking of the event and of the proportion of its components, to preserve or to change the identity itself of the Event.</w:t>
            </w:r>
          </w:p>
          <w:p w14:paraId="775888C1" w14:textId="77777777" w:rsidR="0070113B" w:rsidRPr="001E1CB0" w:rsidRDefault="0070113B" w:rsidP="0070113B">
            <w:pPr>
              <w:rPr>
                <w:bCs/>
                <w:lang w:val="en-GB"/>
              </w:rPr>
            </w:pPr>
            <w:r w:rsidRPr="001E1CB0">
              <w:rPr>
                <w:bCs/>
                <w:lang w:val="en-GB"/>
              </w:rPr>
              <w:t>Since such decisions are in the scope and at the attention of the Plenipotentiary Conference, we suggest that the Management presents a study on that matter to assist the Plenipotentiary Conference in arriving at good decisions</w:t>
            </w:r>
          </w:p>
        </w:tc>
        <w:tc>
          <w:tcPr>
            <w:tcW w:w="1206" w:type="pct"/>
            <w:tcBorders>
              <w:top w:val="single" w:sz="4" w:space="0" w:color="auto"/>
              <w:left w:val="single" w:sz="4" w:space="0" w:color="auto"/>
              <w:bottom w:val="single" w:sz="4" w:space="0" w:color="auto"/>
              <w:right w:val="single" w:sz="4" w:space="0" w:color="auto"/>
            </w:tcBorders>
          </w:tcPr>
          <w:p w14:paraId="1A833AC5" w14:textId="77777777" w:rsidR="00CD106D" w:rsidRPr="001E1CB0" w:rsidRDefault="0070113B" w:rsidP="00EE122C">
            <w:pPr>
              <w:rPr>
                <w:lang w:val="en-GB"/>
              </w:rPr>
            </w:pPr>
            <w:r w:rsidRPr="001E1CB0">
              <w:rPr>
                <w:lang w:val="en-GB"/>
              </w:rPr>
              <w:t xml:space="preserve"> </w:t>
            </w:r>
          </w:p>
          <w:p w14:paraId="37724559" w14:textId="77777777" w:rsidR="0070113B" w:rsidRPr="001E1CB0" w:rsidRDefault="00CD106D" w:rsidP="00EE122C">
            <w:pPr>
              <w:rPr>
                <w:lang w:val="en-GB"/>
              </w:rPr>
            </w:pPr>
            <w:r w:rsidRPr="001E1CB0">
              <w:t>The transformation of ITU Telecom initiated following the PP-10 has proven successful as confirmed by financial results and various surveys. Efforts will be continued in refining the value proposition to regain preeminence.</w:t>
            </w:r>
          </w:p>
        </w:tc>
        <w:tc>
          <w:tcPr>
            <w:tcW w:w="1158" w:type="pct"/>
            <w:tcBorders>
              <w:top w:val="single" w:sz="4" w:space="0" w:color="auto"/>
              <w:left w:val="single" w:sz="4" w:space="0" w:color="auto"/>
              <w:bottom w:val="single" w:sz="4" w:space="0" w:color="auto"/>
              <w:right w:val="single" w:sz="4" w:space="0" w:color="auto"/>
            </w:tcBorders>
          </w:tcPr>
          <w:p w14:paraId="522692ED" w14:textId="77777777" w:rsidR="0070113B" w:rsidRDefault="0070113B" w:rsidP="00EE122C">
            <w:pPr>
              <w:rPr>
                <w:lang w:val="en-GB"/>
              </w:rPr>
            </w:pPr>
          </w:p>
          <w:p w14:paraId="35DB407F" w14:textId="7ACF2801" w:rsidR="00F43BFF" w:rsidRPr="001E1CB0" w:rsidRDefault="00BD3BF6" w:rsidP="00E3537B">
            <w:pPr>
              <w:pStyle w:val="comments"/>
            </w:pPr>
            <w:r>
              <w:t xml:space="preserve"> As of 2015, ITU Telecom will enter a transitional period to present itself as an international platform with a focus on ICT entrepreneurship and SME support initiatives.  With such re-positioning, there will be an opportunity to establish a new identity and relevance.</w:t>
            </w:r>
          </w:p>
        </w:tc>
        <w:tc>
          <w:tcPr>
            <w:tcW w:w="1120" w:type="pct"/>
            <w:tcBorders>
              <w:top w:val="single" w:sz="4" w:space="0" w:color="auto"/>
              <w:left w:val="single" w:sz="4" w:space="0" w:color="auto"/>
              <w:bottom w:val="single" w:sz="4" w:space="0" w:color="auto"/>
              <w:right w:val="single" w:sz="4" w:space="0" w:color="auto"/>
            </w:tcBorders>
          </w:tcPr>
          <w:p w14:paraId="50ED5052" w14:textId="77777777" w:rsidR="0070113B" w:rsidRDefault="0070113B" w:rsidP="00EE122C">
            <w:pPr>
              <w:rPr>
                <w:lang w:val="en-GB"/>
              </w:rPr>
            </w:pPr>
          </w:p>
          <w:p w14:paraId="374627D2" w14:textId="3B2F3E7E" w:rsidR="00BF0962" w:rsidRPr="001E1CB0" w:rsidRDefault="00BF0962" w:rsidP="00EE122C">
            <w:pPr>
              <w:rPr>
                <w:lang w:val="en-GB"/>
              </w:rPr>
            </w:pPr>
            <w:r>
              <w:rPr>
                <w:lang w:val="en-GB"/>
              </w:rPr>
              <w:t>On-going</w:t>
            </w:r>
          </w:p>
        </w:tc>
      </w:tr>
    </w:tbl>
    <w:p w14:paraId="3DE29FF5" w14:textId="26804D90" w:rsidR="00CD1105" w:rsidRPr="00FB0248" w:rsidRDefault="006948DA" w:rsidP="006948DA">
      <w:pPr>
        <w:jc w:val="center"/>
        <w:rPr>
          <w:lang w:eastAsia="it-IT"/>
        </w:rPr>
      </w:pPr>
      <w:r>
        <w:rPr>
          <w:lang w:eastAsia="it-IT"/>
        </w:rPr>
        <w:t>________________</w:t>
      </w:r>
    </w:p>
    <w:sectPr w:rsidR="00CD1105" w:rsidRPr="00FB0248" w:rsidSect="00B7076B">
      <w:headerReference w:type="even" r:id="rId2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C04D" w14:textId="77777777" w:rsidR="00FE246D" w:rsidRDefault="00FE246D" w:rsidP="008723D0">
      <w:pPr>
        <w:spacing w:line="240" w:lineRule="auto"/>
      </w:pPr>
      <w:r>
        <w:separator/>
      </w:r>
    </w:p>
  </w:endnote>
  <w:endnote w:type="continuationSeparator" w:id="0">
    <w:p w14:paraId="244839ED" w14:textId="77777777" w:rsidR="00FE246D" w:rsidRDefault="00FE246D" w:rsidP="0087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1FE5" w14:textId="77777777" w:rsidR="00F0532B" w:rsidRDefault="00F0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40AC" w14:textId="121DA207" w:rsidR="003C79B1" w:rsidRDefault="003C79B1" w:rsidP="00B77F2D">
    <w:pPr>
      <w:pStyle w:val="Footer"/>
      <w:jc w:val="center"/>
    </w:pPr>
  </w:p>
  <w:p w14:paraId="6F5CB701" w14:textId="77777777" w:rsidR="003C79B1" w:rsidRDefault="003C7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897B" w14:textId="77777777" w:rsidR="003C79B1" w:rsidRDefault="003C79B1" w:rsidP="003C79B1">
    <w:pPr>
      <w:spacing w:after="120"/>
      <w:jc w:val="center"/>
    </w:pPr>
    <w:r>
      <w:t xml:space="preserve">• </w:t>
    </w:r>
    <w:hyperlink r:id="rId1" w:history="1">
      <w:r w:rsidRPr="009A4A74">
        <w:rPr>
          <w:rStyle w:val="Hyperlink"/>
          <w:rFonts w:asciiTheme="minorHAnsi" w:hAnsiTheme="minorHAnsi"/>
        </w:rPr>
        <w:t>http://www.itu.int/council</w:t>
      </w:r>
    </w:hyperlink>
    <w:r>
      <w:t xml:space="preserve"> •</w:t>
    </w:r>
  </w:p>
  <w:p w14:paraId="4BD913FC" w14:textId="77777777" w:rsidR="003C79B1" w:rsidRDefault="003C7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D72D6" w14:textId="77777777" w:rsidR="00FE246D" w:rsidRDefault="00FE246D" w:rsidP="008723D0">
      <w:pPr>
        <w:spacing w:line="240" w:lineRule="auto"/>
      </w:pPr>
      <w:r>
        <w:separator/>
      </w:r>
    </w:p>
  </w:footnote>
  <w:footnote w:type="continuationSeparator" w:id="0">
    <w:p w14:paraId="47133233" w14:textId="77777777" w:rsidR="00FE246D" w:rsidRDefault="00FE246D" w:rsidP="008723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8343" w14:textId="77777777" w:rsidR="00F0532B" w:rsidRDefault="00F05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5EF8F" w14:textId="56502545" w:rsidR="003C79B1" w:rsidRPr="00F25B80" w:rsidRDefault="003C79B1" w:rsidP="00B77F2D">
    <w:pPr>
      <w:pStyle w:val="Header"/>
      <w:jc w:val="center"/>
      <w:rPr>
        <w:rFonts w:ascii="Calibri" w:hAnsi="Calibri"/>
        <w:noProof/>
        <w:sz w:val="20"/>
        <w:szCs w:val="20"/>
      </w:rPr>
    </w:pPr>
    <w:r w:rsidRPr="00F25B80">
      <w:rPr>
        <w:rFonts w:ascii="Calibri" w:hAnsi="Calibri"/>
        <w:sz w:val="20"/>
        <w:szCs w:val="20"/>
      </w:rPr>
      <w:fldChar w:fldCharType="begin"/>
    </w:r>
    <w:r w:rsidRPr="00F25B80">
      <w:rPr>
        <w:rFonts w:ascii="Calibri" w:hAnsi="Calibri"/>
        <w:sz w:val="20"/>
        <w:szCs w:val="20"/>
      </w:rPr>
      <w:instrText xml:space="preserve"> PAGE   \* MERGEFORMAT </w:instrText>
    </w:r>
    <w:r w:rsidRPr="00F25B80">
      <w:rPr>
        <w:rFonts w:ascii="Calibri" w:hAnsi="Calibri"/>
        <w:sz w:val="20"/>
        <w:szCs w:val="20"/>
      </w:rPr>
      <w:fldChar w:fldCharType="separate"/>
    </w:r>
    <w:r w:rsidR="00324428">
      <w:rPr>
        <w:rFonts w:ascii="Calibri" w:hAnsi="Calibri"/>
        <w:noProof/>
        <w:sz w:val="20"/>
        <w:szCs w:val="20"/>
      </w:rPr>
      <w:t>7</w:t>
    </w:r>
    <w:r w:rsidRPr="00F25B80">
      <w:rPr>
        <w:rFonts w:ascii="Calibri" w:hAnsi="Calibri"/>
        <w:noProof/>
        <w:sz w:val="20"/>
        <w:szCs w:val="20"/>
      </w:rPr>
      <w:fldChar w:fldCharType="end"/>
    </w:r>
    <w:r w:rsidRPr="00F25B80">
      <w:rPr>
        <w:rFonts w:ascii="Calibri" w:hAnsi="Calibri"/>
        <w:noProof/>
        <w:sz w:val="20"/>
        <w:szCs w:val="20"/>
      </w:rPr>
      <w:br/>
      <w:t>C15/66-E</w:t>
    </w:r>
  </w:p>
  <w:p w14:paraId="031A3F12" w14:textId="77777777" w:rsidR="003C79B1" w:rsidRDefault="003C7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59EF" w14:textId="77777777" w:rsidR="00F0532B" w:rsidRDefault="00F053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AA5F" w14:textId="77777777" w:rsidR="003C79B1" w:rsidRPr="00D31FF8" w:rsidRDefault="003C79B1" w:rsidP="00ED0162">
    <w:pPr>
      <w:framePr w:wrap="around" w:vAnchor="text" w:hAnchor="margin" w:xAlign="outside" w:y="1"/>
      <w:rPr>
        <w:sz w:val="20"/>
        <w:szCs w:val="20"/>
      </w:rPr>
    </w:pPr>
    <w:r w:rsidRPr="00D31FF8">
      <w:rPr>
        <w:sz w:val="20"/>
        <w:szCs w:val="20"/>
      </w:rPr>
      <w:fldChar w:fldCharType="begin"/>
    </w:r>
    <w:r w:rsidRPr="00D31FF8">
      <w:rPr>
        <w:sz w:val="20"/>
        <w:szCs w:val="20"/>
      </w:rPr>
      <w:instrText xml:space="preserve">PAGE  </w:instrText>
    </w:r>
    <w:r w:rsidRPr="00D31FF8">
      <w:rPr>
        <w:sz w:val="20"/>
        <w:szCs w:val="20"/>
      </w:rPr>
      <w:fldChar w:fldCharType="separate"/>
    </w:r>
    <w:r>
      <w:rPr>
        <w:noProof/>
        <w:sz w:val="20"/>
        <w:szCs w:val="20"/>
      </w:rPr>
      <w:t>10</w:t>
    </w:r>
    <w:r w:rsidRPr="00D31FF8">
      <w:rPr>
        <w:sz w:val="20"/>
        <w:szCs w:val="20"/>
      </w:rPr>
      <w:fldChar w:fldCharType="end"/>
    </w:r>
  </w:p>
  <w:p w14:paraId="1BEDDD86" w14:textId="77777777" w:rsidR="003C79B1" w:rsidRPr="00D31FF8" w:rsidRDefault="003C79B1" w:rsidP="00ED0162">
    <w:pPr>
      <w:tabs>
        <w:tab w:val="right" w:pos="14034"/>
      </w:tabs>
      <w:ind w:right="360" w:firstLine="360"/>
      <w:rPr>
        <w:sz w:val="20"/>
        <w:szCs w:val="20"/>
      </w:rPr>
    </w:pPr>
    <w:r>
      <w:rPr>
        <w:sz w:val="20"/>
        <w:szCs w:val="20"/>
      </w:rPr>
      <w:tab/>
    </w:r>
  </w:p>
  <w:p w14:paraId="0F581D72" w14:textId="77777777" w:rsidR="003C79B1" w:rsidRPr="00791787" w:rsidRDefault="003C79B1" w:rsidP="00ED0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48B7612"/>
    <w:multiLevelType w:val="hybridMultilevel"/>
    <w:tmpl w:val="9A82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9">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674634EA"/>
    <w:multiLevelType w:val="hybridMultilevel"/>
    <w:tmpl w:val="6136F190"/>
    <w:lvl w:ilvl="0" w:tplc="CFA8E530">
      <w:start w:val="1"/>
      <w:numFmt w:val="bullet"/>
      <w:pStyle w:val="elencopuntato1"/>
      <w:lvlText w:val=""/>
      <w:lvlJc w:val="left"/>
      <w:pPr>
        <w:ind w:left="1352"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2"/>
  </w:num>
  <w:num w:numId="2">
    <w:abstractNumId w:val="9"/>
  </w:num>
  <w:num w:numId="3">
    <w:abstractNumId w:val="11"/>
  </w:num>
  <w:num w:numId="4">
    <w:abstractNumId w:val="12"/>
  </w:num>
  <w:num w:numId="5">
    <w:abstractNumId w:val="4"/>
  </w:num>
  <w:num w:numId="6">
    <w:abstractNumId w:val="6"/>
  </w:num>
  <w:num w:numId="7">
    <w:abstractNumId w:val="3"/>
  </w:num>
  <w:num w:numId="8">
    <w:abstractNumId w:val="7"/>
  </w:num>
  <w:num w:numId="9">
    <w:abstractNumId w:val="8"/>
  </w:num>
  <w:num w:numId="10">
    <w:abstractNumId w:val="10"/>
  </w:num>
  <w:num w:numId="11">
    <w:abstractNumId w:val="0"/>
  </w:num>
  <w:num w:numId="12">
    <w:abstractNumId w:val="0"/>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E"/>
    <w:rsid w:val="00000EBF"/>
    <w:rsid w:val="000033A5"/>
    <w:rsid w:val="00010ED0"/>
    <w:rsid w:val="00011C39"/>
    <w:rsid w:val="00011D63"/>
    <w:rsid w:val="00011F50"/>
    <w:rsid w:val="00012AE4"/>
    <w:rsid w:val="000139D2"/>
    <w:rsid w:val="00016D7C"/>
    <w:rsid w:val="00016FF4"/>
    <w:rsid w:val="000173F4"/>
    <w:rsid w:val="00021DC3"/>
    <w:rsid w:val="000231F3"/>
    <w:rsid w:val="0002440A"/>
    <w:rsid w:val="000244C2"/>
    <w:rsid w:val="000255C4"/>
    <w:rsid w:val="00025B7D"/>
    <w:rsid w:val="00026B2B"/>
    <w:rsid w:val="00031E6B"/>
    <w:rsid w:val="000369D7"/>
    <w:rsid w:val="00036CFA"/>
    <w:rsid w:val="000411EE"/>
    <w:rsid w:val="000412D2"/>
    <w:rsid w:val="00041AFC"/>
    <w:rsid w:val="000434AE"/>
    <w:rsid w:val="00044E4E"/>
    <w:rsid w:val="00051D75"/>
    <w:rsid w:val="0005371B"/>
    <w:rsid w:val="000537D1"/>
    <w:rsid w:val="0005456F"/>
    <w:rsid w:val="0006074D"/>
    <w:rsid w:val="000628E1"/>
    <w:rsid w:val="00065498"/>
    <w:rsid w:val="00070F40"/>
    <w:rsid w:val="00077C35"/>
    <w:rsid w:val="00077EE2"/>
    <w:rsid w:val="00081DF4"/>
    <w:rsid w:val="00085092"/>
    <w:rsid w:val="000852B0"/>
    <w:rsid w:val="0009010B"/>
    <w:rsid w:val="00090E78"/>
    <w:rsid w:val="00091519"/>
    <w:rsid w:val="00093F70"/>
    <w:rsid w:val="000A17DE"/>
    <w:rsid w:val="000A2808"/>
    <w:rsid w:val="000A4224"/>
    <w:rsid w:val="000A4368"/>
    <w:rsid w:val="000B00E7"/>
    <w:rsid w:val="000B5ED4"/>
    <w:rsid w:val="000B695E"/>
    <w:rsid w:val="000B7FD8"/>
    <w:rsid w:val="000C084E"/>
    <w:rsid w:val="000C15CD"/>
    <w:rsid w:val="000C4242"/>
    <w:rsid w:val="000C6CDE"/>
    <w:rsid w:val="000C727C"/>
    <w:rsid w:val="000C7B4B"/>
    <w:rsid w:val="000D17E5"/>
    <w:rsid w:val="000D2A81"/>
    <w:rsid w:val="000D380C"/>
    <w:rsid w:val="000D3E93"/>
    <w:rsid w:val="000E202B"/>
    <w:rsid w:val="000E3504"/>
    <w:rsid w:val="000E3D54"/>
    <w:rsid w:val="000F0A5F"/>
    <w:rsid w:val="000F4A33"/>
    <w:rsid w:val="000F76B3"/>
    <w:rsid w:val="001022EC"/>
    <w:rsid w:val="00107961"/>
    <w:rsid w:val="0011398E"/>
    <w:rsid w:val="001152FC"/>
    <w:rsid w:val="00116F09"/>
    <w:rsid w:val="0011713D"/>
    <w:rsid w:val="0011743F"/>
    <w:rsid w:val="001254D4"/>
    <w:rsid w:val="0012643E"/>
    <w:rsid w:val="001264B1"/>
    <w:rsid w:val="0013268A"/>
    <w:rsid w:val="00137432"/>
    <w:rsid w:val="00141AF2"/>
    <w:rsid w:val="00145D4E"/>
    <w:rsid w:val="00146850"/>
    <w:rsid w:val="001472FF"/>
    <w:rsid w:val="00152621"/>
    <w:rsid w:val="00154F1E"/>
    <w:rsid w:val="00170C1C"/>
    <w:rsid w:val="0017193D"/>
    <w:rsid w:val="001754CE"/>
    <w:rsid w:val="00180026"/>
    <w:rsid w:val="00180F1A"/>
    <w:rsid w:val="00182558"/>
    <w:rsid w:val="00186B35"/>
    <w:rsid w:val="001909A1"/>
    <w:rsid w:val="00190B3D"/>
    <w:rsid w:val="0019387A"/>
    <w:rsid w:val="00197C25"/>
    <w:rsid w:val="001A42BD"/>
    <w:rsid w:val="001A435B"/>
    <w:rsid w:val="001B2E82"/>
    <w:rsid w:val="001B4342"/>
    <w:rsid w:val="001B45DC"/>
    <w:rsid w:val="001B70A0"/>
    <w:rsid w:val="001B72F5"/>
    <w:rsid w:val="001B735D"/>
    <w:rsid w:val="001C02D7"/>
    <w:rsid w:val="001C6166"/>
    <w:rsid w:val="001D02F8"/>
    <w:rsid w:val="001D2262"/>
    <w:rsid w:val="001D34EF"/>
    <w:rsid w:val="001D43C4"/>
    <w:rsid w:val="001E1CB0"/>
    <w:rsid w:val="001E1E4C"/>
    <w:rsid w:val="001E3F61"/>
    <w:rsid w:val="001F0AC0"/>
    <w:rsid w:val="001F62B3"/>
    <w:rsid w:val="001F766E"/>
    <w:rsid w:val="001F7F95"/>
    <w:rsid w:val="00200D0C"/>
    <w:rsid w:val="00201DE1"/>
    <w:rsid w:val="00202F1F"/>
    <w:rsid w:val="0020628D"/>
    <w:rsid w:val="00206CBE"/>
    <w:rsid w:val="0020744F"/>
    <w:rsid w:val="00207CAE"/>
    <w:rsid w:val="0021062D"/>
    <w:rsid w:val="00210789"/>
    <w:rsid w:val="002125AF"/>
    <w:rsid w:val="00215594"/>
    <w:rsid w:val="00223483"/>
    <w:rsid w:val="002261EC"/>
    <w:rsid w:val="00226DE4"/>
    <w:rsid w:val="002313C2"/>
    <w:rsid w:val="0024031A"/>
    <w:rsid w:val="00240391"/>
    <w:rsid w:val="00241C4D"/>
    <w:rsid w:val="00243BE2"/>
    <w:rsid w:val="00245C47"/>
    <w:rsid w:val="0025411E"/>
    <w:rsid w:val="002557DC"/>
    <w:rsid w:val="0025693C"/>
    <w:rsid w:val="0026382A"/>
    <w:rsid w:val="00263BE0"/>
    <w:rsid w:val="00266C1B"/>
    <w:rsid w:val="00266E3D"/>
    <w:rsid w:val="00267FB2"/>
    <w:rsid w:val="00272F2D"/>
    <w:rsid w:val="002747DD"/>
    <w:rsid w:val="00276185"/>
    <w:rsid w:val="00276518"/>
    <w:rsid w:val="00277016"/>
    <w:rsid w:val="00284554"/>
    <w:rsid w:val="00287394"/>
    <w:rsid w:val="00290CAD"/>
    <w:rsid w:val="00290DC6"/>
    <w:rsid w:val="002956FD"/>
    <w:rsid w:val="002A0901"/>
    <w:rsid w:val="002A1714"/>
    <w:rsid w:val="002A3C39"/>
    <w:rsid w:val="002A4D56"/>
    <w:rsid w:val="002A551D"/>
    <w:rsid w:val="002A56B1"/>
    <w:rsid w:val="002A7E16"/>
    <w:rsid w:val="002B156A"/>
    <w:rsid w:val="002B712A"/>
    <w:rsid w:val="002B7242"/>
    <w:rsid w:val="002B72EA"/>
    <w:rsid w:val="002C2DBC"/>
    <w:rsid w:val="002C4A11"/>
    <w:rsid w:val="002D1903"/>
    <w:rsid w:val="002D476F"/>
    <w:rsid w:val="002D6249"/>
    <w:rsid w:val="002D72D3"/>
    <w:rsid w:val="002E01BB"/>
    <w:rsid w:val="002E2D6B"/>
    <w:rsid w:val="002E67FD"/>
    <w:rsid w:val="002E7C9D"/>
    <w:rsid w:val="002F5900"/>
    <w:rsid w:val="002F7559"/>
    <w:rsid w:val="00300FF7"/>
    <w:rsid w:val="0030340E"/>
    <w:rsid w:val="003042E5"/>
    <w:rsid w:val="00304755"/>
    <w:rsid w:val="0030559E"/>
    <w:rsid w:val="00310162"/>
    <w:rsid w:val="00311968"/>
    <w:rsid w:val="003144BC"/>
    <w:rsid w:val="00314A71"/>
    <w:rsid w:val="00314B5E"/>
    <w:rsid w:val="00324333"/>
    <w:rsid w:val="00324428"/>
    <w:rsid w:val="003321CE"/>
    <w:rsid w:val="003419E8"/>
    <w:rsid w:val="00342049"/>
    <w:rsid w:val="003433CB"/>
    <w:rsid w:val="003440C4"/>
    <w:rsid w:val="003468E1"/>
    <w:rsid w:val="003527CA"/>
    <w:rsid w:val="00355003"/>
    <w:rsid w:val="00357C65"/>
    <w:rsid w:val="003608C2"/>
    <w:rsid w:val="0036166C"/>
    <w:rsid w:val="00363068"/>
    <w:rsid w:val="00363A65"/>
    <w:rsid w:val="00363DCF"/>
    <w:rsid w:val="003719C5"/>
    <w:rsid w:val="0038059B"/>
    <w:rsid w:val="003924F6"/>
    <w:rsid w:val="003938F7"/>
    <w:rsid w:val="003970DB"/>
    <w:rsid w:val="003A24B8"/>
    <w:rsid w:val="003A52FE"/>
    <w:rsid w:val="003B1A45"/>
    <w:rsid w:val="003B6BF8"/>
    <w:rsid w:val="003C0203"/>
    <w:rsid w:val="003C381C"/>
    <w:rsid w:val="003C6052"/>
    <w:rsid w:val="003C79B1"/>
    <w:rsid w:val="003D25E0"/>
    <w:rsid w:val="003D3974"/>
    <w:rsid w:val="003D770A"/>
    <w:rsid w:val="003E05B4"/>
    <w:rsid w:val="003E4B65"/>
    <w:rsid w:val="003E5760"/>
    <w:rsid w:val="003F3803"/>
    <w:rsid w:val="003F7A43"/>
    <w:rsid w:val="003F7D61"/>
    <w:rsid w:val="00411A87"/>
    <w:rsid w:val="00413AC4"/>
    <w:rsid w:val="0042295B"/>
    <w:rsid w:val="0042565C"/>
    <w:rsid w:val="00425DAF"/>
    <w:rsid w:val="00437340"/>
    <w:rsid w:val="00437F70"/>
    <w:rsid w:val="0044027A"/>
    <w:rsid w:val="00443CA9"/>
    <w:rsid w:val="0044585D"/>
    <w:rsid w:val="00457357"/>
    <w:rsid w:val="00461103"/>
    <w:rsid w:val="00461526"/>
    <w:rsid w:val="00462C52"/>
    <w:rsid w:val="004652ED"/>
    <w:rsid w:val="004701F3"/>
    <w:rsid w:val="00473535"/>
    <w:rsid w:val="0047545A"/>
    <w:rsid w:val="00481DC4"/>
    <w:rsid w:val="004821DF"/>
    <w:rsid w:val="004836A5"/>
    <w:rsid w:val="00485A0D"/>
    <w:rsid w:val="00486908"/>
    <w:rsid w:val="0048744D"/>
    <w:rsid w:val="00490D35"/>
    <w:rsid w:val="00491D88"/>
    <w:rsid w:val="0049627A"/>
    <w:rsid w:val="004A0382"/>
    <w:rsid w:val="004A0BB9"/>
    <w:rsid w:val="004A6717"/>
    <w:rsid w:val="004A70E7"/>
    <w:rsid w:val="004B066F"/>
    <w:rsid w:val="004B5DD5"/>
    <w:rsid w:val="004B62C2"/>
    <w:rsid w:val="004B6F43"/>
    <w:rsid w:val="004C224C"/>
    <w:rsid w:val="004C3A29"/>
    <w:rsid w:val="004D14F4"/>
    <w:rsid w:val="004E06D4"/>
    <w:rsid w:val="004E0CCA"/>
    <w:rsid w:val="004E32CF"/>
    <w:rsid w:val="004E589B"/>
    <w:rsid w:val="004E6157"/>
    <w:rsid w:val="004E689D"/>
    <w:rsid w:val="004F3C7C"/>
    <w:rsid w:val="00501F78"/>
    <w:rsid w:val="00510637"/>
    <w:rsid w:val="005119B5"/>
    <w:rsid w:val="0051546A"/>
    <w:rsid w:val="005259D9"/>
    <w:rsid w:val="005268FA"/>
    <w:rsid w:val="005357C6"/>
    <w:rsid w:val="00544F94"/>
    <w:rsid w:val="00545363"/>
    <w:rsid w:val="00556EF1"/>
    <w:rsid w:val="00557567"/>
    <w:rsid w:val="00561EFA"/>
    <w:rsid w:val="0056423E"/>
    <w:rsid w:val="00564DC1"/>
    <w:rsid w:val="0057121A"/>
    <w:rsid w:val="00576E8A"/>
    <w:rsid w:val="00581D99"/>
    <w:rsid w:val="00582BC5"/>
    <w:rsid w:val="00584571"/>
    <w:rsid w:val="00586746"/>
    <w:rsid w:val="00595835"/>
    <w:rsid w:val="00596C04"/>
    <w:rsid w:val="00596E7E"/>
    <w:rsid w:val="005A0EDF"/>
    <w:rsid w:val="005A2204"/>
    <w:rsid w:val="005A6F33"/>
    <w:rsid w:val="005A7877"/>
    <w:rsid w:val="005B1682"/>
    <w:rsid w:val="005C6674"/>
    <w:rsid w:val="005C6E3A"/>
    <w:rsid w:val="005C784F"/>
    <w:rsid w:val="005D2D9D"/>
    <w:rsid w:val="005E3A9C"/>
    <w:rsid w:val="005E55DC"/>
    <w:rsid w:val="005F1261"/>
    <w:rsid w:val="005F5BE2"/>
    <w:rsid w:val="00600DFD"/>
    <w:rsid w:val="00604AB5"/>
    <w:rsid w:val="00607FE3"/>
    <w:rsid w:val="00611DAA"/>
    <w:rsid w:val="006126B3"/>
    <w:rsid w:val="00625132"/>
    <w:rsid w:val="00627183"/>
    <w:rsid w:val="00633F96"/>
    <w:rsid w:val="00641581"/>
    <w:rsid w:val="006425D6"/>
    <w:rsid w:val="00645821"/>
    <w:rsid w:val="006504A9"/>
    <w:rsid w:val="0066011D"/>
    <w:rsid w:val="006731EF"/>
    <w:rsid w:val="00673C2F"/>
    <w:rsid w:val="00675BD8"/>
    <w:rsid w:val="00677F9B"/>
    <w:rsid w:val="0068230A"/>
    <w:rsid w:val="00683282"/>
    <w:rsid w:val="00693AAA"/>
    <w:rsid w:val="006948DA"/>
    <w:rsid w:val="00697B57"/>
    <w:rsid w:val="006A3D90"/>
    <w:rsid w:val="006A4C89"/>
    <w:rsid w:val="006B045A"/>
    <w:rsid w:val="006B38E1"/>
    <w:rsid w:val="006B5A54"/>
    <w:rsid w:val="006C00C0"/>
    <w:rsid w:val="006C6601"/>
    <w:rsid w:val="006C740B"/>
    <w:rsid w:val="006D1F1E"/>
    <w:rsid w:val="006D3EA0"/>
    <w:rsid w:val="006D470C"/>
    <w:rsid w:val="006D6364"/>
    <w:rsid w:val="006D6E00"/>
    <w:rsid w:val="006E03A1"/>
    <w:rsid w:val="006F0889"/>
    <w:rsid w:val="006F1470"/>
    <w:rsid w:val="006F2F32"/>
    <w:rsid w:val="006F31AB"/>
    <w:rsid w:val="006F37B6"/>
    <w:rsid w:val="006F5F45"/>
    <w:rsid w:val="006F5F6F"/>
    <w:rsid w:val="0070113B"/>
    <w:rsid w:val="00701400"/>
    <w:rsid w:val="00702FC4"/>
    <w:rsid w:val="007033FE"/>
    <w:rsid w:val="007042E8"/>
    <w:rsid w:val="007102F7"/>
    <w:rsid w:val="007132D9"/>
    <w:rsid w:val="00716A75"/>
    <w:rsid w:val="00716FDB"/>
    <w:rsid w:val="00721BC2"/>
    <w:rsid w:val="00722A8C"/>
    <w:rsid w:val="00731704"/>
    <w:rsid w:val="00733BB8"/>
    <w:rsid w:val="0073799B"/>
    <w:rsid w:val="007428B8"/>
    <w:rsid w:val="0074333D"/>
    <w:rsid w:val="00743557"/>
    <w:rsid w:val="00744328"/>
    <w:rsid w:val="007448B4"/>
    <w:rsid w:val="00744902"/>
    <w:rsid w:val="00745A5E"/>
    <w:rsid w:val="00746084"/>
    <w:rsid w:val="00750D26"/>
    <w:rsid w:val="007538B1"/>
    <w:rsid w:val="007549D2"/>
    <w:rsid w:val="007551EF"/>
    <w:rsid w:val="007557CB"/>
    <w:rsid w:val="00757D28"/>
    <w:rsid w:val="007638FD"/>
    <w:rsid w:val="0076529F"/>
    <w:rsid w:val="0077229E"/>
    <w:rsid w:val="0077369E"/>
    <w:rsid w:val="00774840"/>
    <w:rsid w:val="0077496F"/>
    <w:rsid w:val="0078008A"/>
    <w:rsid w:val="00780D1E"/>
    <w:rsid w:val="00781708"/>
    <w:rsid w:val="007926E6"/>
    <w:rsid w:val="0079631A"/>
    <w:rsid w:val="007A3C99"/>
    <w:rsid w:val="007A77D3"/>
    <w:rsid w:val="007B6605"/>
    <w:rsid w:val="007C14C9"/>
    <w:rsid w:val="007C3215"/>
    <w:rsid w:val="007C483D"/>
    <w:rsid w:val="007C4F4F"/>
    <w:rsid w:val="007C6058"/>
    <w:rsid w:val="007D4007"/>
    <w:rsid w:val="007E0048"/>
    <w:rsid w:val="007E3BA0"/>
    <w:rsid w:val="007F5B03"/>
    <w:rsid w:val="007F7C06"/>
    <w:rsid w:val="0080013C"/>
    <w:rsid w:val="00800F23"/>
    <w:rsid w:val="0080298D"/>
    <w:rsid w:val="00815903"/>
    <w:rsid w:val="008171A2"/>
    <w:rsid w:val="008212B6"/>
    <w:rsid w:val="0082167A"/>
    <w:rsid w:val="00821763"/>
    <w:rsid w:val="00823D06"/>
    <w:rsid w:val="00823DF2"/>
    <w:rsid w:val="00824B27"/>
    <w:rsid w:val="00824D1E"/>
    <w:rsid w:val="00824E35"/>
    <w:rsid w:val="008303EE"/>
    <w:rsid w:val="00832A18"/>
    <w:rsid w:val="008339EE"/>
    <w:rsid w:val="00835A3C"/>
    <w:rsid w:val="0084023A"/>
    <w:rsid w:val="0084093E"/>
    <w:rsid w:val="00843B96"/>
    <w:rsid w:val="00846672"/>
    <w:rsid w:val="00846BED"/>
    <w:rsid w:val="00850424"/>
    <w:rsid w:val="00850CC6"/>
    <w:rsid w:val="00853957"/>
    <w:rsid w:val="00853F43"/>
    <w:rsid w:val="008542FA"/>
    <w:rsid w:val="00856390"/>
    <w:rsid w:val="0086273D"/>
    <w:rsid w:val="0086513F"/>
    <w:rsid w:val="00867DE5"/>
    <w:rsid w:val="00870842"/>
    <w:rsid w:val="008723D0"/>
    <w:rsid w:val="00872A6C"/>
    <w:rsid w:val="008734F9"/>
    <w:rsid w:val="0087530C"/>
    <w:rsid w:val="008833B4"/>
    <w:rsid w:val="00883B94"/>
    <w:rsid w:val="0088435A"/>
    <w:rsid w:val="00887C60"/>
    <w:rsid w:val="00891629"/>
    <w:rsid w:val="008924AE"/>
    <w:rsid w:val="008942AA"/>
    <w:rsid w:val="00896685"/>
    <w:rsid w:val="008A111A"/>
    <w:rsid w:val="008A36F2"/>
    <w:rsid w:val="008A4AF7"/>
    <w:rsid w:val="008A66E5"/>
    <w:rsid w:val="008B1590"/>
    <w:rsid w:val="008B2DA3"/>
    <w:rsid w:val="008B5580"/>
    <w:rsid w:val="008B6F7B"/>
    <w:rsid w:val="008C02E3"/>
    <w:rsid w:val="008C0E92"/>
    <w:rsid w:val="008C7969"/>
    <w:rsid w:val="008D0151"/>
    <w:rsid w:val="008D02A0"/>
    <w:rsid w:val="008D28AD"/>
    <w:rsid w:val="008D70F2"/>
    <w:rsid w:val="008D769B"/>
    <w:rsid w:val="008D7983"/>
    <w:rsid w:val="008E3E4D"/>
    <w:rsid w:val="008E42BC"/>
    <w:rsid w:val="008E5B09"/>
    <w:rsid w:val="008F29DE"/>
    <w:rsid w:val="008F2BFC"/>
    <w:rsid w:val="008F5B32"/>
    <w:rsid w:val="009000B5"/>
    <w:rsid w:val="00903AD1"/>
    <w:rsid w:val="0091030B"/>
    <w:rsid w:val="00910964"/>
    <w:rsid w:val="009118B8"/>
    <w:rsid w:val="00911B98"/>
    <w:rsid w:val="00912950"/>
    <w:rsid w:val="00916947"/>
    <w:rsid w:val="0091729A"/>
    <w:rsid w:val="00926704"/>
    <w:rsid w:val="00926D53"/>
    <w:rsid w:val="0093755B"/>
    <w:rsid w:val="00943814"/>
    <w:rsid w:val="00945873"/>
    <w:rsid w:val="009479CF"/>
    <w:rsid w:val="009562F9"/>
    <w:rsid w:val="0095701E"/>
    <w:rsid w:val="009605E1"/>
    <w:rsid w:val="009631F1"/>
    <w:rsid w:val="009654C4"/>
    <w:rsid w:val="0096599A"/>
    <w:rsid w:val="00965F4F"/>
    <w:rsid w:val="00972B23"/>
    <w:rsid w:val="00974B1D"/>
    <w:rsid w:val="00975272"/>
    <w:rsid w:val="00977C2D"/>
    <w:rsid w:val="00980FAA"/>
    <w:rsid w:val="0098449E"/>
    <w:rsid w:val="00993739"/>
    <w:rsid w:val="00996078"/>
    <w:rsid w:val="00996EF0"/>
    <w:rsid w:val="009978FF"/>
    <w:rsid w:val="009A4721"/>
    <w:rsid w:val="009B0F38"/>
    <w:rsid w:val="009B28F3"/>
    <w:rsid w:val="009B3078"/>
    <w:rsid w:val="009B3153"/>
    <w:rsid w:val="009B62A1"/>
    <w:rsid w:val="009C34D9"/>
    <w:rsid w:val="009C5DCE"/>
    <w:rsid w:val="009C66BF"/>
    <w:rsid w:val="009D0992"/>
    <w:rsid w:val="009D451B"/>
    <w:rsid w:val="009D54CA"/>
    <w:rsid w:val="009D56A4"/>
    <w:rsid w:val="009D7D60"/>
    <w:rsid w:val="009D7FB9"/>
    <w:rsid w:val="009E2EFF"/>
    <w:rsid w:val="009F0A41"/>
    <w:rsid w:val="009F1841"/>
    <w:rsid w:val="009F2A07"/>
    <w:rsid w:val="009F3D4C"/>
    <w:rsid w:val="009F4F7E"/>
    <w:rsid w:val="00A02946"/>
    <w:rsid w:val="00A075B8"/>
    <w:rsid w:val="00A11271"/>
    <w:rsid w:val="00A236A9"/>
    <w:rsid w:val="00A26EFC"/>
    <w:rsid w:val="00A310FF"/>
    <w:rsid w:val="00A31FC7"/>
    <w:rsid w:val="00A32E17"/>
    <w:rsid w:val="00A34BC4"/>
    <w:rsid w:val="00A41172"/>
    <w:rsid w:val="00A41329"/>
    <w:rsid w:val="00A46D48"/>
    <w:rsid w:val="00A51D2E"/>
    <w:rsid w:val="00A57211"/>
    <w:rsid w:val="00A618AC"/>
    <w:rsid w:val="00A6394C"/>
    <w:rsid w:val="00A64700"/>
    <w:rsid w:val="00A6520C"/>
    <w:rsid w:val="00A65C4F"/>
    <w:rsid w:val="00A66FA5"/>
    <w:rsid w:val="00A679D9"/>
    <w:rsid w:val="00A70B34"/>
    <w:rsid w:val="00A7106F"/>
    <w:rsid w:val="00A856A5"/>
    <w:rsid w:val="00A86AA8"/>
    <w:rsid w:val="00A91D65"/>
    <w:rsid w:val="00AA1079"/>
    <w:rsid w:val="00AA2275"/>
    <w:rsid w:val="00AB14D1"/>
    <w:rsid w:val="00AB19DF"/>
    <w:rsid w:val="00AB33DD"/>
    <w:rsid w:val="00AB6180"/>
    <w:rsid w:val="00AB763D"/>
    <w:rsid w:val="00AC26A6"/>
    <w:rsid w:val="00AC4251"/>
    <w:rsid w:val="00AC59AB"/>
    <w:rsid w:val="00AD168E"/>
    <w:rsid w:val="00AD3344"/>
    <w:rsid w:val="00AD4C1A"/>
    <w:rsid w:val="00AD6125"/>
    <w:rsid w:val="00AE1382"/>
    <w:rsid w:val="00AE151E"/>
    <w:rsid w:val="00AE15B1"/>
    <w:rsid w:val="00AE2D34"/>
    <w:rsid w:val="00AE5C51"/>
    <w:rsid w:val="00AE7031"/>
    <w:rsid w:val="00AE7CB1"/>
    <w:rsid w:val="00AF5CDE"/>
    <w:rsid w:val="00AF7533"/>
    <w:rsid w:val="00AF7A72"/>
    <w:rsid w:val="00B00B61"/>
    <w:rsid w:val="00B0180D"/>
    <w:rsid w:val="00B03D0B"/>
    <w:rsid w:val="00B05207"/>
    <w:rsid w:val="00B05FA5"/>
    <w:rsid w:val="00B06158"/>
    <w:rsid w:val="00B0749A"/>
    <w:rsid w:val="00B11D59"/>
    <w:rsid w:val="00B16F53"/>
    <w:rsid w:val="00B21C1A"/>
    <w:rsid w:val="00B228D0"/>
    <w:rsid w:val="00B276F5"/>
    <w:rsid w:val="00B353DC"/>
    <w:rsid w:val="00B36E26"/>
    <w:rsid w:val="00B40F3B"/>
    <w:rsid w:val="00B41271"/>
    <w:rsid w:val="00B441A9"/>
    <w:rsid w:val="00B45960"/>
    <w:rsid w:val="00B511DD"/>
    <w:rsid w:val="00B51359"/>
    <w:rsid w:val="00B52B12"/>
    <w:rsid w:val="00B540AE"/>
    <w:rsid w:val="00B562E6"/>
    <w:rsid w:val="00B64784"/>
    <w:rsid w:val="00B64893"/>
    <w:rsid w:val="00B648DC"/>
    <w:rsid w:val="00B7076B"/>
    <w:rsid w:val="00B70A48"/>
    <w:rsid w:val="00B72EEB"/>
    <w:rsid w:val="00B7324F"/>
    <w:rsid w:val="00B73DBF"/>
    <w:rsid w:val="00B77F2D"/>
    <w:rsid w:val="00B80ADC"/>
    <w:rsid w:val="00B8265F"/>
    <w:rsid w:val="00B82CB1"/>
    <w:rsid w:val="00B82E85"/>
    <w:rsid w:val="00B83313"/>
    <w:rsid w:val="00B97646"/>
    <w:rsid w:val="00BB0471"/>
    <w:rsid w:val="00BB3B47"/>
    <w:rsid w:val="00BB5E93"/>
    <w:rsid w:val="00BC3E19"/>
    <w:rsid w:val="00BC3FDA"/>
    <w:rsid w:val="00BC5239"/>
    <w:rsid w:val="00BC6643"/>
    <w:rsid w:val="00BD0B80"/>
    <w:rsid w:val="00BD1DA4"/>
    <w:rsid w:val="00BD3BF6"/>
    <w:rsid w:val="00BD4C48"/>
    <w:rsid w:val="00BD5FC1"/>
    <w:rsid w:val="00BD6739"/>
    <w:rsid w:val="00BE09A3"/>
    <w:rsid w:val="00BE0EE2"/>
    <w:rsid w:val="00BE2194"/>
    <w:rsid w:val="00BE4911"/>
    <w:rsid w:val="00BF029D"/>
    <w:rsid w:val="00BF0962"/>
    <w:rsid w:val="00BF320B"/>
    <w:rsid w:val="00C05DF6"/>
    <w:rsid w:val="00C11057"/>
    <w:rsid w:val="00C11579"/>
    <w:rsid w:val="00C11945"/>
    <w:rsid w:val="00C240E4"/>
    <w:rsid w:val="00C33043"/>
    <w:rsid w:val="00C3485D"/>
    <w:rsid w:val="00C366C7"/>
    <w:rsid w:val="00C37976"/>
    <w:rsid w:val="00C42E7B"/>
    <w:rsid w:val="00C4399A"/>
    <w:rsid w:val="00C51836"/>
    <w:rsid w:val="00C53F50"/>
    <w:rsid w:val="00C62F4E"/>
    <w:rsid w:val="00C62F94"/>
    <w:rsid w:val="00C6601A"/>
    <w:rsid w:val="00C67981"/>
    <w:rsid w:val="00C7781C"/>
    <w:rsid w:val="00C80E8A"/>
    <w:rsid w:val="00C8125B"/>
    <w:rsid w:val="00C84E94"/>
    <w:rsid w:val="00C8510C"/>
    <w:rsid w:val="00C85383"/>
    <w:rsid w:val="00C87762"/>
    <w:rsid w:val="00C940C7"/>
    <w:rsid w:val="00CA39BF"/>
    <w:rsid w:val="00CA7A1D"/>
    <w:rsid w:val="00CA7C25"/>
    <w:rsid w:val="00CB258F"/>
    <w:rsid w:val="00CB49B8"/>
    <w:rsid w:val="00CC3710"/>
    <w:rsid w:val="00CD106D"/>
    <w:rsid w:val="00CD1105"/>
    <w:rsid w:val="00CD1345"/>
    <w:rsid w:val="00CD246F"/>
    <w:rsid w:val="00CF06DF"/>
    <w:rsid w:val="00CF1726"/>
    <w:rsid w:val="00CF481C"/>
    <w:rsid w:val="00CF5C36"/>
    <w:rsid w:val="00CF6DBC"/>
    <w:rsid w:val="00CF6E4A"/>
    <w:rsid w:val="00D028FD"/>
    <w:rsid w:val="00D035D2"/>
    <w:rsid w:val="00D06FD5"/>
    <w:rsid w:val="00D1047A"/>
    <w:rsid w:val="00D12059"/>
    <w:rsid w:val="00D20BF7"/>
    <w:rsid w:val="00D27C2A"/>
    <w:rsid w:val="00D30218"/>
    <w:rsid w:val="00D32304"/>
    <w:rsid w:val="00D35513"/>
    <w:rsid w:val="00D3747F"/>
    <w:rsid w:val="00D37F6D"/>
    <w:rsid w:val="00D41E55"/>
    <w:rsid w:val="00D475B6"/>
    <w:rsid w:val="00D53C17"/>
    <w:rsid w:val="00D55163"/>
    <w:rsid w:val="00D614C5"/>
    <w:rsid w:val="00D6253C"/>
    <w:rsid w:val="00D64D1F"/>
    <w:rsid w:val="00D7174A"/>
    <w:rsid w:val="00D7510D"/>
    <w:rsid w:val="00D7587D"/>
    <w:rsid w:val="00D76403"/>
    <w:rsid w:val="00D775CD"/>
    <w:rsid w:val="00D8188F"/>
    <w:rsid w:val="00D83B21"/>
    <w:rsid w:val="00D83F13"/>
    <w:rsid w:val="00D85FA2"/>
    <w:rsid w:val="00D91A8C"/>
    <w:rsid w:val="00D92369"/>
    <w:rsid w:val="00DA3073"/>
    <w:rsid w:val="00DA3799"/>
    <w:rsid w:val="00DA433C"/>
    <w:rsid w:val="00DA4B7E"/>
    <w:rsid w:val="00DA53D0"/>
    <w:rsid w:val="00DB2F5B"/>
    <w:rsid w:val="00DB3716"/>
    <w:rsid w:val="00DB39F6"/>
    <w:rsid w:val="00DB6D61"/>
    <w:rsid w:val="00DB6DC0"/>
    <w:rsid w:val="00DC2F91"/>
    <w:rsid w:val="00DC46F6"/>
    <w:rsid w:val="00DC5C67"/>
    <w:rsid w:val="00DC7235"/>
    <w:rsid w:val="00DC7F6A"/>
    <w:rsid w:val="00DE2D42"/>
    <w:rsid w:val="00DE640D"/>
    <w:rsid w:val="00DE729D"/>
    <w:rsid w:val="00DE7A03"/>
    <w:rsid w:val="00DF3611"/>
    <w:rsid w:val="00DF66DA"/>
    <w:rsid w:val="00E02FC0"/>
    <w:rsid w:val="00E07268"/>
    <w:rsid w:val="00E11A14"/>
    <w:rsid w:val="00E2720E"/>
    <w:rsid w:val="00E3111A"/>
    <w:rsid w:val="00E3537B"/>
    <w:rsid w:val="00E421FB"/>
    <w:rsid w:val="00E4286C"/>
    <w:rsid w:val="00E440C1"/>
    <w:rsid w:val="00E47822"/>
    <w:rsid w:val="00E502F8"/>
    <w:rsid w:val="00E535BD"/>
    <w:rsid w:val="00E542D2"/>
    <w:rsid w:val="00E63017"/>
    <w:rsid w:val="00E6332C"/>
    <w:rsid w:val="00E64113"/>
    <w:rsid w:val="00E85C2E"/>
    <w:rsid w:val="00E85CA1"/>
    <w:rsid w:val="00E87F83"/>
    <w:rsid w:val="00E92FA8"/>
    <w:rsid w:val="00E93E4E"/>
    <w:rsid w:val="00E94F48"/>
    <w:rsid w:val="00E953A0"/>
    <w:rsid w:val="00E979FF"/>
    <w:rsid w:val="00EA2C6C"/>
    <w:rsid w:val="00EA5973"/>
    <w:rsid w:val="00EA59DB"/>
    <w:rsid w:val="00EA742D"/>
    <w:rsid w:val="00EB260B"/>
    <w:rsid w:val="00EB474D"/>
    <w:rsid w:val="00EC176F"/>
    <w:rsid w:val="00EC7DE1"/>
    <w:rsid w:val="00ED0162"/>
    <w:rsid w:val="00ED04DF"/>
    <w:rsid w:val="00ED0EA4"/>
    <w:rsid w:val="00ED0F45"/>
    <w:rsid w:val="00ED36E1"/>
    <w:rsid w:val="00ED39D3"/>
    <w:rsid w:val="00ED3A2F"/>
    <w:rsid w:val="00EE096A"/>
    <w:rsid w:val="00EE122C"/>
    <w:rsid w:val="00EE187E"/>
    <w:rsid w:val="00EE194A"/>
    <w:rsid w:val="00EE2FEE"/>
    <w:rsid w:val="00EF1117"/>
    <w:rsid w:val="00EF2523"/>
    <w:rsid w:val="00EF3AB4"/>
    <w:rsid w:val="00F00041"/>
    <w:rsid w:val="00F04900"/>
    <w:rsid w:val="00F0532B"/>
    <w:rsid w:val="00F1078A"/>
    <w:rsid w:val="00F25B80"/>
    <w:rsid w:val="00F316CF"/>
    <w:rsid w:val="00F31CF5"/>
    <w:rsid w:val="00F32A18"/>
    <w:rsid w:val="00F35BDC"/>
    <w:rsid w:val="00F41A1C"/>
    <w:rsid w:val="00F43BFF"/>
    <w:rsid w:val="00F47DCF"/>
    <w:rsid w:val="00F510FB"/>
    <w:rsid w:val="00F631A4"/>
    <w:rsid w:val="00F63911"/>
    <w:rsid w:val="00F63B5A"/>
    <w:rsid w:val="00F665D9"/>
    <w:rsid w:val="00F7012D"/>
    <w:rsid w:val="00F860CE"/>
    <w:rsid w:val="00F9159C"/>
    <w:rsid w:val="00F9230A"/>
    <w:rsid w:val="00F93712"/>
    <w:rsid w:val="00F948C8"/>
    <w:rsid w:val="00FA584E"/>
    <w:rsid w:val="00FA693F"/>
    <w:rsid w:val="00FA75E1"/>
    <w:rsid w:val="00FB0248"/>
    <w:rsid w:val="00FB0D46"/>
    <w:rsid w:val="00FC2B26"/>
    <w:rsid w:val="00FC2BF4"/>
    <w:rsid w:val="00FC403F"/>
    <w:rsid w:val="00FC4075"/>
    <w:rsid w:val="00FC4650"/>
    <w:rsid w:val="00FC5DC6"/>
    <w:rsid w:val="00FC7FC1"/>
    <w:rsid w:val="00FD5E13"/>
    <w:rsid w:val="00FD7413"/>
    <w:rsid w:val="00FE246D"/>
    <w:rsid w:val="00FE3445"/>
    <w:rsid w:val="00FE46B1"/>
    <w:rsid w:val="00FE6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90C32"/>
  <w15:docId w15:val="{0A41C338-3374-43D2-89BB-C66F5C54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B1"/>
    <w:pPr>
      <w:adjustRightInd w:val="0"/>
      <w:spacing w:before="120" w:after="0" w:line="319" w:lineRule="auto"/>
      <w:jc w:val="both"/>
    </w:pPr>
    <w:rPr>
      <w:rFonts w:asciiTheme="majorBidi" w:eastAsiaTheme="minorHAnsi" w:hAnsiTheme="majorBidi" w:cstheme="majorBidi"/>
      <w:sz w:val="24"/>
      <w:szCs w:val="24"/>
      <w:lang w:eastAsia="en-US"/>
    </w:rPr>
  </w:style>
  <w:style w:type="paragraph" w:styleId="Heading1">
    <w:name w:val="heading 1"/>
    <w:basedOn w:val="Style1"/>
    <w:next w:val="Normal"/>
    <w:link w:val="Heading1Char"/>
    <w:uiPriority w:val="9"/>
    <w:qFormat/>
    <w:rsid w:val="001264B1"/>
    <w:pPr>
      <w:keepNext/>
      <w:spacing w:before="240" w:after="120"/>
      <w:outlineLvl w:val="0"/>
    </w:pPr>
  </w:style>
  <w:style w:type="paragraph" w:styleId="Heading2">
    <w:name w:val="heading 2"/>
    <w:basedOn w:val="Normal"/>
    <w:next w:val="Normal"/>
    <w:link w:val="Heading2Char"/>
    <w:uiPriority w:val="9"/>
    <w:unhideWhenUsed/>
    <w:qFormat/>
    <w:rsid w:val="001264B1"/>
    <w:pPr>
      <w:keepNext/>
      <w:spacing w:before="240" w:after="120"/>
      <w:outlineLvl w:val="1"/>
    </w:pPr>
    <w:rPr>
      <w:b/>
    </w:rPr>
  </w:style>
  <w:style w:type="paragraph" w:styleId="Heading3">
    <w:name w:val="heading 3"/>
    <w:basedOn w:val="Normal"/>
    <w:next w:val="Normal"/>
    <w:link w:val="Heading3Char"/>
    <w:uiPriority w:val="9"/>
    <w:unhideWhenUsed/>
    <w:qFormat/>
    <w:rsid w:val="001264B1"/>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4B1"/>
  </w:style>
  <w:style w:type="paragraph" w:styleId="BalloonText">
    <w:name w:val="Balloon Text"/>
    <w:basedOn w:val="Normal"/>
    <w:link w:val="BalloonTextChar"/>
    <w:uiPriority w:val="99"/>
    <w:semiHidden/>
    <w:unhideWhenUsed/>
    <w:rsid w:val="001264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4B1"/>
    <w:rPr>
      <w:rFonts w:ascii="Tahoma" w:eastAsiaTheme="minorHAnsi" w:hAnsi="Tahoma" w:cs="Tahoma"/>
      <w:sz w:val="16"/>
      <w:szCs w:val="16"/>
      <w:lang w:eastAsia="en-US"/>
    </w:rPr>
  </w:style>
  <w:style w:type="character" w:customStyle="1" w:styleId="CharacterStyle17">
    <w:name w:val="Character Style 17"/>
    <w:uiPriority w:val="99"/>
    <w:rsid w:val="001264B1"/>
    <w:rPr>
      <w:sz w:val="20"/>
    </w:rPr>
  </w:style>
  <w:style w:type="paragraph" w:customStyle="1" w:styleId="comments">
    <w:name w:val="comments"/>
    <w:basedOn w:val="Normal"/>
    <w:next w:val="Normal"/>
    <w:qFormat/>
    <w:rsid w:val="001264B1"/>
    <w:pPr>
      <w:keepLines/>
      <w:pBdr>
        <w:top w:val="single" w:sz="4" w:space="1" w:color="auto"/>
        <w:left w:val="single" w:sz="4" w:space="4" w:color="auto"/>
        <w:bottom w:val="single" w:sz="4" w:space="1" w:color="auto"/>
        <w:right w:val="single" w:sz="4" w:space="4" w:color="auto"/>
      </w:pBdr>
    </w:pPr>
    <w:rPr>
      <w:lang w:val="en-GB"/>
    </w:rPr>
  </w:style>
  <w:style w:type="paragraph" w:customStyle="1" w:styleId="Default">
    <w:name w:val="Default"/>
    <w:rsid w:val="001264B1"/>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paragraph" w:customStyle="1" w:styleId="elencoconlettere1">
    <w:name w:val="elenco con lettere 1"/>
    <w:basedOn w:val="Normal"/>
    <w:qFormat/>
    <w:rsid w:val="001264B1"/>
    <w:pPr>
      <w:numPr>
        <w:ilvl w:val="1"/>
        <w:numId w:val="9"/>
      </w:numPr>
    </w:pPr>
    <w:rPr>
      <w:lang w:val="en-GB"/>
    </w:rPr>
  </w:style>
  <w:style w:type="paragraph" w:styleId="ListParagraph">
    <w:name w:val="List Paragraph"/>
    <w:basedOn w:val="Normal"/>
    <w:link w:val="ListParagraphChar"/>
    <w:uiPriority w:val="34"/>
    <w:qFormat/>
    <w:rsid w:val="001264B1"/>
    <w:pPr>
      <w:spacing w:line="240" w:lineRule="auto"/>
    </w:pPr>
    <w:rPr>
      <w:rFonts w:ascii="Times New Roman" w:hAnsi="Times New Roman" w:cs="Times New Roman"/>
      <w:lang w:eastAsia="it-IT"/>
    </w:rPr>
  </w:style>
  <w:style w:type="character" w:customStyle="1" w:styleId="ListParagraphChar">
    <w:name w:val="List Paragraph Char"/>
    <w:basedOn w:val="DefaultParagraphFont"/>
    <w:link w:val="ListParagraph"/>
    <w:uiPriority w:val="34"/>
    <w:rsid w:val="001264B1"/>
    <w:rPr>
      <w:rFonts w:ascii="Times New Roman" w:eastAsiaTheme="minorHAnsi" w:hAnsi="Times New Roman" w:cs="Times New Roman"/>
      <w:sz w:val="24"/>
      <w:szCs w:val="24"/>
      <w:lang w:eastAsia="it-IT"/>
    </w:rPr>
  </w:style>
  <w:style w:type="paragraph" w:customStyle="1" w:styleId="elencopuntato1">
    <w:name w:val="elenco puntato 1"/>
    <w:basedOn w:val="ListParagraph"/>
    <w:link w:val="elencopuntato1Carattere"/>
    <w:qFormat/>
    <w:rsid w:val="001264B1"/>
    <w:pPr>
      <w:numPr>
        <w:numId w:val="10"/>
      </w:numPr>
      <w:spacing w:line="319" w:lineRule="auto"/>
    </w:pPr>
    <w:rPr>
      <w:lang w:val="en-GB"/>
    </w:rPr>
  </w:style>
  <w:style w:type="character" w:customStyle="1" w:styleId="elencopuntato1Carattere">
    <w:name w:val="elenco puntato 1 Carattere"/>
    <w:basedOn w:val="ListParagraphChar"/>
    <w:link w:val="elencopuntato1"/>
    <w:rsid w:val="001264B1"/>
    <w:rPr>
      <w:rFonts w:ascii="Times New Roman" w:eastAsiaTheme="minorHAnsi" w:hAnsi="Times New Roman" w:cs="Times New Roman"/>
      <w:sz w:val="24"/>
      <w:szCs w:val="24"/>
      <w:lang w:val="en-GB" w:eastAsia="it-IT"/>
    </w:rPr>
  </w:style>
  <w:style w:type="paragraph" w:styleId="Footer">
    <w:name w:val="footer"/>
    <w:basedOn w:val="Normal"/>
    <w:link w:val="FooterChar"/>
    <w:uiPriority w:val="99"/>
    <w:unhideWhenUsed/>
    <w:rsid w:val="001264B1"/>
    <w:pPr>
      <w:tabs>
        <w:tab w:val="center" w:pos="4819"/>
        <w:tab w:val="right" w:pos="9638"/>
      </w:tabs>
      <w:spacing w:line="240" w:lineRule="auto"/>
    </w:pPr>
  </w:style>
  <w:style w:type="character" w:customStyle="1" w:styleId="FooterChar">
    <w:name w:val="Footer Char"/>
    <w:basedOn w:val="DefaultParagraphFont"/>
    <w:link w:val="Footer"/>
    <w:uiPriority w:val="99"/>
    <w:rsid w:val="001264B1"/>
    <w:rPr>
      <w:rFonts w:asciiTheme="majorBidi" w:eastAsiaTheme="minorHAnsi" w:hAnsiTheme="majorBidi" w:cstheme="majorBidi"/>
      <w:sz w:val="24"/>
      <w:szCs w:val="24"/>
      <w:lang w:eastAsia="en-US"/>
    </w:rPr>
  </w:style>
  <w:style w:type="character" w:customStyle="1" w:styleId="Heading3Char">
    <w:name w:val="Heading 3 Char"/>
    <w:basedOn w:val="DefaultParagraphFont"/>
    <w:link w:val="Heading3"/>
    <w:uiPriority w:val="9"/>
    <w:rsid w:val="001264B1"/>
    <w:rPr>
      <w:rFonts w:asciiTheme="majorBidi" w:eastAsiaTheme="minorHAnsi" w:hAnsiTheme="majorBidi" w:cstheme="majorBidi"/>
      <w:b/>
      <w:i/>
      <w:sz w:val="24"/>
      <w:szCs w:val="24"/>
      <w:lang w:eastAsia="en-US"/>
    </w:rPr>
  </w:style>
  <w:style w:type="character" w:customStyle="1" w:styleId="Heading1Char">
    <w:name w:val="Heading 1 Char"/>
    <w:basedOn w:val="DefaultParagraphFont"/>
    <w:link w:val="Heading1"/>
    <w:uiPriority w:val="9"/>
    <w:rsid w:val="001264B1"/>
    <w:rPr>
      <w:rFonts w:asciiTheme="majorBidi" w:eastAsiaTheme="minorHAnsi" w:hAnsiTheme="majorBidi" w:cstheme="majorBidi"/>
      <w:b/>
      <w:bCs/>
      <w:sz w:val="24"/>
      <w:szCs w:val="24"/>
      <w:lang w:eastAsia="en-US"/>
    </w:rPr>
  </w:style>
  <w:style w:type="paragraph" w:styleId="Header">
    <w:name w:val="header"/>
    <w:basedOn w:val="Normal"/>
    <w:link w:val="HeaderChar"/>
    <w:uiPriority w:val="99"/>
    <w:rsid w:val="001264B1"/>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1264B1"/>
    <w:rPr>
      <w:rFonts w:ascii="Times New Roman" w:eastAsia="Times New Roman" w:hAnsi="Times New Roman" w:cs="Times New Roman"/>
      <w:sz w:val="24"/>
      <w:szCs w:val="24"/>
      <w:lang w:eastAsia="it-IT"/>
    </w:rPr>
  </w:style>
  <w:style w:type="paragraph" w:customStyle="1" w:styleId="Style1">
    <w:name w:val="Style1"/>
    <w:basedOn w:val="Normal"/>
    <w:link w:val="Style1Char"/>
    <w:qFormat/>
    <w:rsid w:val="001264B1"/>
    <w:pPr>
      <w:contextualSpacing/>
    </w:pPr>
    <w:rPr>
      <w:b/>
      <w:bCs/>
    </w:rPr>
  </w:style>
  <w:style w:type="character" w:customStyle="1" w:styleId="Style1Char">
    <w:name w:val="Style1 Char"/>
    <w:basedOn w:val="DefaultParagraphFont"/>
    <w:link w:val="Style1"/>
    <w:rsid w:val="001264B1"/>
    <w:rPr>
      <w:rFonts w:asciiTheme="majorBidi" w:eastAsiaTheme="minorHAnsi" w:hAnsiTheme="majorBidi" w:cstheme="majorBidi"/>
      <w:b/>
      <w:bCs/>
      <w:sz w:val="24"/>
      <w:szCs w:val="24"/>
      <w:lang w:eastAsia="en-US"/>
    </w:rPr>
  </w:style>
  <w:style w:type="character" w:customStyle="1" w:styleId="hps">
    <w:name w:val="hps"/>
    <w:basedOn w:val="DefaultParagraphFont"/>
    <w:rsid w:val="001264B1"/>
  </w:style>
  <w:style w:type="character" w:styleId="Hyperlink">
    <w:name w:val="Hyperlink"/>
    <w:basedOn w:val="DefaultParagraphFont"/>
    <w:uiPriority w:val="99"/>
    <w:unhideWhenUsed/>
    <w:rsid w:val="001264B1"/>
    <w:rPr>
      <w:color w:val="0000FF" w:themeColor="hyperlink"/>
      <w:u w:val="single"/>
    </w:rPr>
  </w:style>
  <w:style w:type="paragraph" w:styleId="NormalWeb">
    <w:name w:val="Normal (Web)"/>
    <w:basedOn w:val="Normal"/>
    <w:uiPriority w:val="99"/>
    <w:unhideWhenUsed/>
    <w:rsid w:val="001264B1"/>
    <w:pPr>
      <w:spacing w:before="100" w:beforeAutospacing="1" w:after="100" w:afterAutospacing="1" w:line="240" w:lineRule="auto"/>
    </w:pPr>
    <w:rPr>
      <w:rFonts w:ascii="Times New Roman" w:eastAsiaTheme="minorEastAsia" w:hAnsi="Times New Roman" w:cs="Times New Roman"/>
      <w:lang w:val="en-GB" w:eastAsia="en-GB"/>
    </w:rPr>
  </w:style>
  <w:style w:type="character" w:styleId="PageNumber">
    <w:name w:val="page number"/>
    <w:basedOn w:val="DefaultParagraphFont"/>
    <w:uiPriority w:val="99"/>
    <w:rsid w:val="001264B1"/>
    <w:rPr>
      <w:rFonts w:cs="Times New Roman"/>
    </w:rPr>
  </w:style>
  <w:style w:type="character" w:customStyle="1" w:styleId="Heading2Char">
    <w:name w:val="Heading 2 Char"/>
    <w:basedOn w:val="DefaultParagraphFont"/>
    <w:link w:val="Heading2"/>
    <w:uiPriority w:val="9"/>
    <w:rsid w:val="001264B1"/>
    <w:rPr>
      <w:rFonts w:asciiTheme="majorBidi" w:eastAsiaTheme="minorHAnsi" w:hAnsiTheme="majorBidi" w:cstheme="majorBidi"/>
      <w:b/>
      <w:sz w:val="24"/>
      <w:szCs w:val="24"/>
      <w:lang w:eastAsia="en-US"/>
    </w:rPr>
  </w:style>
  <w:style w:type="paragraph" w:customStyle="1" w:styleId="testobase">
    <w:name w:val="testo base"/>
    <w:basedOn w:val="ListParagraph"/>
    <w:link w:val="testobaseCarattere"/>
    <w:qFormat/>
    <w:rsid w:val="002A1714"/>
    <w:pPr>
      <w:numPr>
        <w:numId w:val="12"/>
      </w:numPr>
      <w:spacing w:line="319" w:lineRule="auto"/>
      <w:ind w:left="425" w:hanging="425"/>
    </w:pPr>
    <w:rPr>
      <w:lang w:val="en-GB"/>
    </w:rPr>
  </w:style>
  <w:style w:type="character" w:customStyle="1" w:styleId="testobaseCarattere">
    <w:name w:val="testo base Carattere"/>
    <w:basedOn w:val="ListParagraphChar"/>
    <w:link w:val="testobase"/>
    <w:rsid w:val="002A1714"/>
    <w:rPr>
      <w:rFonts w:ascii="Times New Roman" w:eastAsiaTheme="minorHAnsi" w:hAnsi="Times New Roman" w:cs="Times New Roman"/>
      <w:sz w:val="24"/>
      <w:szCs w:val="24"/>
      <w:lang w:val="en-GB" w:eastAsia="it-IT"/>
    </w:rPr>
  </w:style>
  <w:style w:type="paragraph" w:customStyle="1" w:styleId="recesugg">
    <w:name w:val="rec e sugg"/>
    <w:basedOn w:val="testobase"/>
    <w:qFormat/>
    <w:rsid w:val="002956FD"/>
    <w:pPr>
      <w:pBdr>
        <w:top w:val="single" w:sz="4" w:space="1" w:color="auto"/>
        <w:left w:val="single" w:sz="4" w:space="4" w:color="auto"/>
        <w:bottom w:val="single" w:sz="4" w:space="1" w:color="auto"/>
        <w:right w:val="single" w:sz="4" w:space="4" w:color="auto"/>
      </w:pBdr>
    </w:pPr>
  </w:style>
  <w:style w:type="character" w:customStyle="1" w:styleId="shorttext">
    <w:name w:val="short_text"/>
    <w:basedOn w:val="DefaultParagraphFont"/>
    <w:rsid w:val="001264B1"/>
  </w:style>
  <w:style w:type="character" w:styleId="Strong">
    <w:name w:val="Strong"/>
    <w:basedOn w:val="DefaultParagraphFont"/>
    <w:uiPriority w:val="22"/>
    <w:qFormat/>
    <w:rsid w:val="001264B1"/>
    <w:rPr>
      <w:b/>
      <w:bCs/>
    </w:rPr>
  </w:style>
  <w:style w:type="paragraph" w:customStyle="1" w:styleId="Style16">
    <w:name w:val="Style 16"/>
    <w:basedOn w:val="Normal"/>
    <w:uiPriority w:val="99"/>
    <w:rsid w:val="001264B1"/>
    <w:pPr>
      <w:widowControl w:val="0"/>
      <w:autoSpaceDE w:val="0"/>
      <w:autoSpaceDN w:val="0"/>
      <w:spacing w:line="240" w:lineRule="auto"/>
    </w:pPr>
    <w:rPr>
      <w:rFonts w:ascii="Times New Roman" w:eastAsia="Times New Roman" w:hAnsi="Times New Roman" w:cs="Times New Roman"/>
      <w:sz w:val="20"/>
      <w:szCs w:val="20"/>
      <w:lang w:eastAsia="it-IT"/>
    </w:rPr>
  </w:style>
  <w:style w:type="paragraph" w:customStyle="1" w:styleId="Sujet">
    <w:name w:val="Sujet"/>
    <w:basedOn w:val="Normal"/>
    <w:uiPriority w:val="99"/>
    <w:rsid w:val="001264B1"/>
    <w:pPr>
      <w:framePr w:w="8616" w:h="4258" w:hRule="exact" w:hSpace="181" w:wrap="around" w:vAnchor="page" w:hAnchor="page" w:x="1883" w:y="8943"/>
      <w:spacing w:line="240" w:lineRule="auto"/>
    </w:pPr>
    <w:rPr>
      <w:rFonts w:ascii="Arial" w:eastAsia="Times New Roman" w:hAnsi="Arial" w:cs="Arial"/>
      <w:kern w:val="40"/>
      <w:sz w:val="52"/>
      <w:szCs w:val="52"/>
      <w:lang w:val="fr-CH"/>
    </w:rPr>
  </w:style>
  <w:style w:type="table" w:styleId="TableGrid">
    <w:name w:val="Table Grid"/>
    <w:basedOn w:val="TableNormal"/>
    <w:uiPriority w:val="59"/>
    <w:rsid w:val="001264B1"/>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64B1"/>
    <w:pPr>
      <w:spacing w:after="0" w:line="240" w:lineRule="auto"/>
    </w:pPr>
    <w:rPr>
      <w:rFonts w:ascii="Arial" w:eastAsia="SimSu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ordato">
    <w:name w:val="testo bordato"/>
    <w:basedOn w:val="Normal"/>
    <w:qFormat/>
    <w:rsid w:val="001264B1"/>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1264B1"/>
    <w:pPr>
      <w:numPr>
        <w:numId w:val="0"/>
      </w:numPr>
      <w:ind w:left="425"/>
    </w:pPr>
    <w:rPr>
      <w:iCs/>
    </w:rPr>
  </w:style>
  <w:style w:type="paragraph" w:customStyle="1" w:styleId="titolorecesug">
    <w:name w:val="titolo rec e sug"/>
    <w:basedOn w:val="Normal"/>
    <w:qFormat/>
    <w:rsid w:val="001264B1"/>
    <w:pPr>
      <w:keepNext/>
      <w:keepLines/>
      <w:pBdr>
        <w:top w:val="single" w:sz="4" w:space="1" w:color="auto"/>
        <w:left w:val="single" w:sz="4" w:space="4" w:color="auto"/>
        <w:bottom w:val="single" w:sz="4" w:space="1" w:color="auto"/>
        <w:right w:val="single" w:sz="4" w:space="4" w:color="auto"/>
      </w:pBdr>
    </w:pPr>
    <w:rPr>
      <w:b/>
      <w:bCs/>
      <w:lang w:val="en-GB"/>
    </w:rPr>
  </w:style>
  <w:style w:type="paragraph" w:customStyle="1" w:styleId="titcomments">
    <w:name w:val="tit comments"/>
    <w:basedOn w:val="titolorecesug"/>
    <w:qFormat/>
    <w:rsid w:val="001264B1"/>
    <w:rPr>
      <w:u w:val="single"/>
    </w:rPr>
  </w:style>
  <w:style w:type="paragraph" w:styleId="TOC1">
    <w:name w:val="toc 1"/>
    <w:basedOn w:val="Normal"/>
    <w:next w:val="Normal"/>
    <w:autoRedefine/>
    <w:uiPriority w:val="39"/>
    <w:unhideWhenUsed/>
    <w:qFormat/>
    <w:rsid w:val="001264B1"/>
    <w:pPr>
      <w:tabs>
        <w:tab w:val="right" w:leader="dot" w:pos="9639"/>
      </w:tabs>
    </w:pPr>
    <w:rPr>
      <w:rFonts w:eastAsiaTheme="minorEastAsia"/>
      <w:b/>
      <w:noProof/>
      <w:lang w:eastAsia="ja-JP"/>
    </w:rPr>
  </w:style>
  <w:style w:type="paragraph" w:styleId="TOC2">
    <w:name w:val="toc 2"/>
    <w:basedOn w:val="Normal"/>
    <w:next w:val="Normal"/>
    <w:autoRedefine/>
    <w:uiPriority w:val="39"/>
    <w:unhideWhenUsed/>
    <w:qFormat/>
    <w:rsid w:val="008A36F2"/>
    <w:pPr>
      <w:tabs>
        <w:tab w:val="right" w:leader="dot" w:pos="9639"/>
      </w:tabs>
      <w:ind w:left="284"/>
    </w:pPr>
    <w:rPr>
      <w:rFonts w:eastAsiaTheme="minorEastAsia"/>
      <w:i/>
      <w:iCs/>
      <w:noProof/>
      <w:lang w:eastAsia="ja-JP"/>
    </w:rPr>
  </w:style>
  <w:style w:type="paragraph" w:styleId="TOC3">
    <w:name w:val="toc 3"/>
    <w:basedOn w:val="Normal"/>
    <w:next w:val="Normal"/>
    <w:autoRedefine/>
    <w:uiPriority w:val="39"/>
    <w:unhideWhenUsed/>
    <w:qFormat/>
    <w:rsid w:val="001264B1"/>
    <w:pPr>
      <w:tabs>
        <w:tab w:val="right" w:leader="dot" w:pos="9639"/>
      </w:tabs>
      <w:ind w:left="284"/>
    </w:pPr>
    <w:rPr>
      <w:rFonts w:eastAsiaTheme="minorEastAsia"/>
      <w:i/>
      <w:noProof/>
      <w:lang w:val="en-GB" w:eastAsia="it-IT"/>
    </w:rPr>
  </w:style>
  <w:style w:type="paragraph" w:styleId="TOCHeading">
    <w:name w:val="TOC Heading"/>
    <w:basedOn w:val="Heading1"/>
    <w:next w:val="Normal"/>
    <w:uiPriority w:val="39"/>
    <w:unhideWhenUsed/>
    <w:qFormat/>
    <w:rsid w:val="001264B1"/>
    <w:pPr>
      <w:outlineLvl w:val="9"/>
    </w:pPr>
    <w:rPr>
      <w:lang w:eastAsia="ja-JP"/>
    </w:rPr>
  </w:style>
  <w:style w:type="character" w:styleId="CommentReference">
    <w:name w:val="annotation reference"/>
    <w:basedOn w:val="DefaultParagraphFont"/>
    <w:uiPriority w:val="99"/>
    <w:semiHidden/>
    <w:unhideWhenUsed/>
    <w:rsid w:val="00D775CD"/>
    <w:rPr>
      <w:sz w:val="16"/>
      <w:szCs w:val="16"/>
    </w:rPr>
  </w:style>
  <w:style w:type="paragraph" w:styleId="CommentText">
    <w:name w:val="annotation text"/>
    <w:basedOn w:val="Normal"/>
    <w:link w:val="CommentTextChar"/>
    <w:uiPriority w:val="99"/>
    <w:semiHidden/>
    <w:unhideWhenUsed/>
    <w:rsid w:val="00D775CD"/>
    <w:pPr>
      <w:spacing w:line="240" w:lineRule="auto"/>
    </w:pPr>
    <w:rPr>
      <w:sz w:val="20"/>
      <w:szCs w:val="20"/>
    </w:rPr>
  </w:style>
  <w:style w:type="character" w:customStyle="1" w:styleId="CommentTextChar">
    <w:name w:val="Comment Text Char"/>
    <w:basedOn w:val="DefaultParagraphFont"/>
    <w:link w:val="CommentText"/>
    <w:uiPriority w:val="99"/>
    <w:semiHidden/>
    <w:rsid w:val="00D775CD"/>
    <w:rPr>
      <w:rFonts w:asciiTheme="majorBidi" w:eastAsiaTheme="minorHAnsi" w:hAnsiTheme="majorBidi" w:cstheme="majorBidi"/>
      <w:sz w:val="20"/>
      <w:szCs w:val="20"/>
      <w:lang w:eastAsia="en-US"/>
    </w:rPr>
  </w:style>
  <w:style w:type="paragraph" w:styleId="CommentSubject">
    <w:name w:val="annotation subject"/>
    <w:basedOn w:val="CommentText"/>
    <w:next w:val="CommentText"/>
    <w:link w:val="CommentSubjectChar"/>
    <w:uiPriority w:val="99"/>
    <w:semiHidden/>
    <w:unhideWhenUsed/>
    <w:rsid w:val="00D775CD"/>
    <w:rPr>
      <w:b/>
      <w:bCs/>
    </w:rPr>
  </w:style>
  <w:style w:type="character" w:customStyle="1" w:styleId="CommentSubjectChar">
    <w:name w:val="Comment Subject Char"/>
    <w:basedOn w:val="CommentTextChar"/>
    <w:link w:val="CommentSubject"/>
    <w:uiPriority w:val="99"/>
    <w:semiHidden/>
    <w:rsid w:val="00D775CD"/>
    <w:rPr>
      <w:rFonts w:asciiTheme="majorBidi" w:eastAsiaTheme="minorHAnsi" w:hAnsiTheme="majorBidi" w:cstheme="maj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8002">
      <w:bodyDiv w:val="1"/>
      <w:marLeft w:val="0"/>
      <w:marRight w:val="0"/>
      <w:marTop w:val="0"/>
      <w:marBottom w:val="0"/>
      <w:divBdr>
        <w:top w:val="none" w:sz="0" w:space="0" w:color="auto"/>
        <w:left w:val="none" w:sz="0" w:space="0" w:color="auto"/>
        <w:bottom w:val="none" w:sz="0" w:space="0" w:color="auto"/>
        <w:right w:val="none" w:sz="0" w:space="0" w:color="auto"/>
      </w:divBdr>
    </w:div>
    <w:div w:id="187528296">
      <w:bodyDiv w:val="1"/>
      <w:marLeft w:val="0"/>
      <w:marRight w:val="0"/>
      <w:marTop w:val="0"/>
      <w:marBottom w:val="0"/>
      <w:divBdr>
        <w:top w:val="none" w:sz="0" w:space="0" w:color="auto"/>
        <w:left w:val="none" w:sz="0" w:space="0" w:color="auto"/>
        <w:bottom w:val="none" w:sz="0" w:space="0" w:color="auto"/>
        <w:right w:val="none" w:sz="0" w:space="0" w:color="auto"/>
      </w:divBdr>
    </w:div>
    <w:div w:id="335038012">
      <w:bodyDiv w:val="1"/>
      <w:marLeft w:val="0"/>
      <w:marRight w:val="0"/>
      <w:marTop w:val="0"/>
      <w:marBottom w:val="0"/>
      <w:divBdr>
        <w:top w:val="none" w:sz="0" w:space="0" w:color="auto"/>
        <w:left w:val="none" w:sz="0" w:space="0" w:color="auto"/>
        <w:bottom w:val="none" w:sz="0" w:space="0" w:color="auto"/>
        <w:right w:val="none" w:sz="0" w:space="0" w:color="auto"/>
      </w:divBdr>
    </w:div>
    <w:div w:id="769590039">
      <w:bodyDiv w:val="1"/>
      <w:marLeft w:val="0"/>
      <w:marRight w:val="0"/>
      <w:marTop w:val="0"/>
      <w:marBottom w:val="0"/>
      <w:divBdr>
        <w:top w:val="none" w:sz="0" w:space="0" w:color="auto"/>
        <w:left w:val="none" w:sz="0" w:space="0" w:color="auto"/>
        <w:bottom w:val="none" w:sz="0" w:space="0" w:color="auto"/>
        <w:right w:val="none" w:sz="0" w:space="0" w:color="auto"/>
      </w:divBdr>
      <w:divsChild>
        <w:div w:id="426267061">
          <w:marLeft w:val="0"/>
          <w:marRight w:val="0"/>
          <w:marTop w:val="0"/>
          <w:marBottom w:val="0"/>
          <w:divBdr>
            <w:top w:val="none" w:sz="0" w:space="0" w:color="auto"/>
            <w:left w:val="none" w:sz="0" w:space="0" w:color="auto"/>
            <w:bottom w:val="none" w:sz="0" w:space="0" w:color="auto"/>
            <w:right w:val="none" w:sz="0" w:space="0" w:color="auto"/>
          </w:divBdr>
        </w:div>
      </w:divsChild>
    </w:div>
    <w:div w:id="1076437396">
      <w:bodyDiv w:val="1"/>
      <w:marLeft w:val="0"/>
      <w:marRight w:val="0"/>
      <w:marTop w:val="0"/>
      <w:marBottom w:val="0"/>
      <w:divBdr>
        <w:top w:val="none" w:sz="0" w:space="0" w:color="auto"/>
        <w:left w:val="none" w:sz="0" w:space="0" w:color="auto"/>
        <w:bottom w:val="none" w:sz="0" w:space="0" w:color="auto"/>
        <w:right w:val="none" w:sz="0" w:space="0" w:color="auto"/>
      </w:divBdr>
    </w:div>
    <w:div w:id="16088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39E7-2C80-45F7-97BB-49DF3BA2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7343</Words>
  <Characters>41859</Characters>
  <Application>Microsoft Office Word</Application>
  <DocSecurity>0</DocSecurity>
  <Lines>348</Lines>
  <Paragraphs>98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ITU</Company>
  <LinksUpToDate>false</LinksUpToDate>
  <CharactersWithSpaces>49104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Dammicco, Giacinto</dc:creator>
  <cp:lastModifiedBy>Pittet, Dominique</cp:lastModifiedBy>
  <cp:revision>5</cp:revision>
  <cp:lastPrinted>2015-05-08T18:26:00Z</cp:lastPrinted>
  <dcterms:created xsi:type="dcterms:W3CDTF">2015-05-08T17:35:00Z</dcterms:created>
  <dcterms:modified xsi:type="dcterms:W3CDTF">2015-05-12T08:23:00Z</dcterms:modified>
</cp:coreProperties>
</file>