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65E12" w:rsidRPr="0087022F">
        <w:trPr>
          <w:cantSplit/>
        </w:trPr>
        <w:tc>
          <w:tcPr>
            <w:tcW w:w="6911" w:type="dxa"/>
          </w:tcPr>
          <w:p w:rsidR="00A65E12" w:rsidRPr="0087022F" w:rsidRDefault="00364848" w:rsidP="0096383C">
            <w:pPr>
              <w:spacing w:before="360" w:after="48" w:line="240" w:lineRule="atLeast"/>
              <w:rPr>
                <w:position w:val="6"/>
                <w:lang w:val="ru-RU"/>
              </w:rPr>
            </w:pPr>
            <w:r w:rsidRPr="0087022F">
              <w:rPr>
                <w:b/>
                <w:bCs/>
                <w:position w:val="6"/>
                <w:sz w:val="28"/>
                <w:szCs w:val="28"/>
                <w:lang w:val="ru-RU"/>
              </w:rPr>
              <w:t xml:space="preserve">СОВЕТ </w:t>
            </w:r>
            <w:r w:rsidR="00A65E12" w:rsidRPr="0087022F">
              <w:rPr>
                <w:b/>
                <w:bCs/>
                <w:position w:val="6"/>
                <w:sz w:val="28"/>
                <w:szCs w:val="28"/>
                <w:lang w:val="ru-RU"/>
              </w:rPr>
              <w:t>2015</w:t>
            </w:r>
            <w:r w:rsidR="00A65E12" w:rsidRPr="0087022F">
              <w:rPr>
                <w:rFonts w:cs="Times"/>
                <w:b/>
                <w:position w:val="6"/>
                <w:sz w:val="24"/>
                <w:szCs w:val="24"/>
                <w:lang w:val="ru-RU"/>
              </w:rPr>
              <w:br/>
            </w:r>
            <w:r w:rsidR="00E82A5B" w:rsidRPr="0087022F">
              <w:rPr>
                <w:b/>
                <w:bCs/>
                <w:position w:val="6"/>
                <w:szCs w:val="24"/>
                <w:lang w:val="ru-RU"/>
              </w:rPr>
              <w:t>Женева</w:t>
            </w:r>
            <w:r w:rsidR="00A65E12" w:rsidRPr="0087022F">
              <w:rPr>
                <w:b/>
                <w:bCs/>
                <w:position w:val="6"/>
                <w:szCs w:val="24"/>
                <w:lang w:val="ru-RU"/>
              </w:rPr>
              <w:t>, 12</w:t>
            </w:r>
            <w:r w:rsidR="0096383C" w:rsidRPr="0087022F">
              <w:rPr>
                <w:b/>
                <w:bCs/>
                <w:position w:val="6"/>
                <w:szCs w:val="24"/>
                <w:lang w:val="ru-RU"/>
              </w:rPr>
              <w:t>−</w:t>
            </w:r>
            <w:r w:rsidR="00A65E12" w:rsidRPr="0087022F">
              <w:rPr>
                <w:b/>
                <w:bCs/>
                <w:position w:val="6"/>
                <w:szCs w:val="24"/>
                <w:lang w:val="ru-RU"/>
              </w:rPr>
              <w:t xml:space="preserve">22 </w:t>
            </w:r>
            <w:r w:rsidR="00E82A5B" w:rsidRPr="0087022F">
              <w:rPr>
                <w:b/>
                <w:bCs/>
                <w:position w:val="6"/>
                <w:szCs w:val="24"/>
                <w:lang w:val="ru-RU"/>
              </w:rPr>
              <w:t>мая</w:t>
            </w:r>
            <w:r w:rsidR="00A65E12" w:rsidRPr="0087022F">
              <w:rPr>
                <w:b/>
                <w:bCs/>
                <w:position w:val="6"/>
                <w:szCs w:val="24"/>
                <w:lang w:val="ru-RU"/>
              </w:rPr>
              <w:t xml:space="preserve"> 2015</w:t>
            </w:r>
            <w:r w:rsidR="00E82A5B" w:rsidRPr="0087022F">
              <w:rPr>
                <w:b/>
                <w:bCs/>
                <w:position w:val="6"/>
                <w:szCs w:val="24"/>
                <w:lang w:val="ru-RU"/>
              </w:rPr>
              <w:t xml:space="preserve"> г</w:t>
            </w:r>
            <w:r w:rsidR="0096383C" w:rsidRPr="0087022F">
              <w:rPr>
                <w:b/>
                <w:bCs/>
                <w:position w:val="6"/>
                <w:szCs w:val="24"/>
                <w:lang w:val="ru-RU"/>
              </w:rPr>
              <w:t>ода</w:t>
            </w:r>
          </w:p>
        </w:tc>
        <w:tc>
          <w:tcPr>
            <w:tcW w:w="3120" w:type="dxa"/>
          </w:tcPr>
          <w:p w:rsidR="00A65E12" w:rsidRPr="0087022F" w:rsidRDefault="00A65E12" w:rsidP="00A65E12">
            <w:pPr>
              <w:spacing w:before="0" w:line="240" w:lineRule="atLeast"/>
              <w:jc w:val="right"/>
              <w:rPr>
                <w:lang w:val="ru-RU"/>
              </w:rPr>
            </w:pPr>
            <w:bookmarkStart w:id="0" w:name="ditulogo"/>
            <w:bookmarkStart w:id="1" w:name="dlogo"/>
            <w:bookmarkEnd w:id="0"/>
            <w:r w:rsidRPr="0087022F">
              <w:rPr>
                <w:noProof/>
                <w:lang w:val="en-US" w:eastAsia="zh-CN"/>
              </w:rPr>
              <w:drawing>
                <wp:inline distT="0" distB="0" distL="0" distR="0" wp14:anchorId="2224C748" wp14:editId="77FDCF26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A65E12" w:rsidRPr="0087022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65E12" w:rsidRPr="0087022F" w:rsidRDefault="00364848" w:rsidP="00E82A5B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  <w:r w:rsidRPr="0087022F">
              <w:rPr>
                <w:rFonts w:eastAsia="SimSun"/>
                <w:b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65E12" w:rsidRPr="0087022F" w:rsidRDefault="00A65E12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A65E12" w:rsidRPr="0087022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65E12" w:rsidRPr="0087022F" w:rsidRDefault="00A65E12" w:rsidP="001708A0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65E12" w:rsidRPr="0087022F" w:rsidRDefault="00A65E12" w:rsidP="001708A0">
            <w:pPr>
              <w:spacing w:before="0"/>
              <w:rPr>
                <w:szCs w:val="24"/>
                <w:lang w:val="ru-RU"/>
              </w:rPr>
            </w:pPr>
          </w:p>
        </w:tc>
      </w:tr>
      <w:tr w:rsidR="00A65E12" w:rsidRPr="0087022F">
        <w:trPr>
          <w:cantSplit/>
          <w:trHeight w:val="23"/>
        </w:trPr>
        <w:tc>
          <w:tcPr>
            <w:tcW w:w="6911" w:type="dxa"/>
            <w:vMerge w:val="restart"/>
          </w:tcPr>
          <w:p w:rsidR="00A65E12" w:rsidRPr="0087022F" w:rsidRDefault="00E6733A" w:rsidP="006D5B51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2" w:name="dmeeting" w:colFirst="0" w:colLast="0"/>
            <w:bookmarkStart w:id="3" w:name="dnum" w:colFirst="1" w:colLast="1"/>
            <w:r w:rsidRPr="0087022F">
              <w:rPr>
                <w:b/>
                <w:lang w:val="ru-RU"/>
              </w:rPr>
              <w:t>Пункт повестки дня</w:t>
            </w:r>
            <w:r w:rsidR="00A65E12" w:rsidRPr="0087022F">
              <w:rPr>
                <w:b/>
                <w:lang w:val="ru-RU"/>
              </w:rPr>
              <w:t xml:space="preserve">: </w:t>
            </w:r>
            <w:r w:rsidR="006D5B51" w:rsidRPr="0087022F">
              <w:rPr>
                <w:b/>
                <w:lang w:val="ru-RU"/>
              </w:rPr>
              <w:t>ADM 10</w:t>
            </w:r>
          </w:p>
        </w:tc>
        <w:tc>
          <w:tcPr>
            <w:tcW w:w="3120" w:type="dxa"/>
          </w:tcPr>
          <w:p w:rsidR="00A65E12" w:rsidRPr="0087022F" w:rsidRDefault="00E6733A" w:rsidP="00DB4196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87022F">
              <w:rPr>
                <w:b/>
                <w:lang w:val="ru-RU"/>
              </w:rPr>
              <w:t>Документ</w:t>
            </w:r>
            <w:r w:rsidR="00A65E12" w:rsidRPr="0087022F">
              <w:rPr>
                <w:b/>
                <w:lang w:val="ru-RU"/>
              </w:rPr>
              <w:t xml:space="preserve"> C15/</w:t>
            </w:r>
            <w:r w:rsidR="00DB4196" w:rsidRPr="0087022F">
              <w:rPr>
                <w:b/>
                <w:lang w:val="ru-RU"/>
              </w:rPr>
              <w:t>66</w:t>
            </w:r>
            <w:r w:rsidR="00A65E12" w:rsidRPr="0087022F">
              <w:rPr>
                <w:b/>
                <w:lang w:val="ru-RU"/>
              </w:rPr>
              <w:t>-</w:t>
            </w:r>
            <w:r w:rsidRPr="0087022F">
              <w:rPr>
                <w:b/>
                <w:lang w:val="ru-RU"/>
              </w:rPr>
              <w:t>R</w:t>
            </w:r>
          </w:p>
        </w:tc>
      </w:tr>
      <w:tr w:rsidR="00A65E12" w:rsidRPr="0087022F">
        <w:trPr>
          <w:cantSplit/>
          <w:trHeight w:val="23"/>
        </w:trPr>
        <w:tc>
          <w:tcPr>
            <w:tcW w:w="6911" w:type="dxa"/>
            <w:vMerge/>
          </w:tcPr>
          <w:p w:rsidR="00A65E12" w:rsidRPr="0087022F" w:rsidRDefault="00A65E12" w:rsidP="001708A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A65E12" w:rsidRPr="0087022F" w:rsidRDefault="00DB4196" w:rsidP="001708A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87022F">
              <w:rPr>
                <w:b/>
                <w:lang w:val="ru-RU"/>
              </w:rPr>
              <w:t>8 мая</w:t>
            </w:r>
            <w:r w:rsidR="00976E48" w:rsidRPr="0087022F">
              <w:rPr>
                <w:b/>
                <w:lang w:val="ru-RU"/>
              </w:rPr>
              <w:t xml:space="preserve"> </w:t>
            </w:r>
            <w:r w:rsidR="00A65E12" w:rsidRPr="0087022F">
              <w:rPr>
                <w:b/>
                <w:lang w:val="ru-RU"/>
              </w:rPr>
              <w:t>2015</w:t>
            </w:r>
            <w:r w:rsidR="00E6733A" w:rsidRPr="0087022F">
              <w:rPr>
                <w:b/>
                <w:lang w:val="ru-RU"/>
              </w:rPr>
              <w:t xml:space="preserve"> г</w:t>
            </w:r>
            <w:r w:rsidR="00B369AD" w:rsidRPr="0087022F">
              <w:rPr>
                <w:b/>
                <w:lang w:val="ru-RU"/>
              </w:rPr>
              <w:t>ода</w:t>
            </w:r>
          </w:p>
        </w:tc>
      </w:tr>
      <w:tr w:rsidR="00A65E12" w:rsidRPr="0087022F">
        <w:trPr>
          <w:cantSplit/>
          <w:trHeight w:val="23"/>
        </w:trPr>
        <w:tc>
          <w:tcPr>
            <w:tcW w:w="6911" w:type="dxa"/>
            <w:vMerge/>
          </w:tcPr>
          <w:p w:rsidR="00A65E12" w:rsidRPr="0087022F" w:rsidRDefault="00A65E12" w:rsidP="001708A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A65E12" w:rsidRPr="0087022F" w:rsidRDefault="00E6733A" w:rsidP="00FC65B6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87022F">
              <w:rPr>
                <w:b/>
                <w:lang w:val="ru-RU"/>
              </w:rPr>
              <w:t>Оригинал</w:t>
            </w:r>
            <w:r w:rsidR="00A65E12" w:rsidRPr="0087022F">
              <w:rPr>
                <w:b/>
                <w:lang w:val="ru-RU"/>
              </w:rPr>
              <w:t xml:space="preserve">: </w:t>
            </w:r>
            <w:r w:rsidR="00FC65B6" w:rsidRPr="0087022F">
              <w:rPr>
                <w:b/>
                <w:lang w:val="ru-RU"/>
              </w:rPr>
              <w:t>испанский</w:t>
            </w:r>
          </w:p>
        </w:tc>
      </w:tr>
      <w:tr w:rsidR="00DB4196" w:rsidRPr="0087022F">
        <w:trPr>
          <w:cantSplit/>
        </w:trPr>
        <w:tc>
          <w:tcPr>
            <w:tcW w:w="10031" w:type="dxa"/>
            <w:gridSpan w:val="2"/>
          </w:tcPr>
          <w:p w:rsidR="00DB4196" w:rsidRPr="0087022F" w:rsidRDefault="00DB4196" w:rsidP="00DB4196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6" w:name="dsource" w:colFirst="0" w:colLast="0"/>
            <w:bookmarkEnd w:id="5"/>
            <w:r w:rsidRPr="0087022F">
              <w:rPr>
                <w:lang w:val="ru-RU"/>
              </w:rPr>
              <w:t>Отчет Генерального секретаря</w:t>
            </w:r>
          </w:p>
        </w:tc>
      </w:tr>
      <w:tr w:rsidR="00DB4196" w:rsidRPr="004249CF">
        <w:trPr>
          <w:cantSplit/>
        </w:trPr>
        <w:tc>
          <w:tcPr>
            <w:tcW w:w="10031" w:type="dxa"/>
            <w:gridSpan w:val="2"/>
          </w:tcPr>
          <w:p w:rsidR="00DB4196" w:rsidRPr="0087022F" w:rsidRDefault="00DB4196" w:rsidP="00DB4196">
            <w:pPr>
              <w:pStyle w:val="Title1"/>
              <w:rPr>
                <w:szCs w:val="22"/>
                <w:lang w:val="ru-RU"/>
              </w:rPr>
            </w:pPr>
            <w:bookmarkStart w:id="7" w:name="dtitle1" w:colFirst="0" w:colLast="0"/>
            <w:bookmarkEnd w:id="6"/>
            <w:r w:rsidRPr="0087022F">
              <w:rPr>
                <w:lang w:val="ru-RU"/>
              </w:rPr>
              <w:t xml:space="preserve">внешняя АУДИТОРСКАЯ проверка счетов СОЮЗА, относящихся </w:t>
            </w:r>
            <w:r w:rsidRPr="0087022F">
              <w:rPr>
                <w:lang w:val="ru-RU"/>
              </w:rPr>
              <w:br/>
              <w:t>к Всемирному мероприятию ITU Telecom-2014</w:t>
            </w:r>
          </w:p>
        </w:tc>
      </w:tr>
      <w:bookmarkEnd w:id="7"/>
    </w:tbl>
    <w:p w:rsidR="00DB4196" w:rsidRPr="0087022F" w:rsidRDefault="00DB4196" w:rsidP="00DB4196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B4196" w:rsidRPr="004249CF" w:rsidTr="002F7DB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196" w:rsidRPr="0087022F" w:rsidRDefault="00DB4196" w:rsidP="002F7DB3">
            <w:pPr>
              <w:pStyle w:val="Headingb"/>
              <w:rPr>
                <w:lang w:val="ru-RU"/>
              </w:rPr>
            </w:pPr>
            <w:bookmarkStart w:id="8" w:name="_Toc358196984"/>
            <w:bookmarkStart w:id="9" w:name="_Toc358197245"/>
            <w:bookmarkStart w:id="10" w:name="_Toc399768422"/>
            <w:bookmarkStart w:id="11" w:name="_Toc399768566"/>
            <w:r w:rsidRPr="0087022F">
              <w:rPr>
                <w:lang w:val="ru-RU"/>
              </w:rPr>
              <w:t>Резюме</w:t>
            </w:r>
            <w:bookmarkEnd w:id="8"/>
            <w:bookmarkEnd w:id="9"/>
            <w:bookmarkEnd w:id="10"/>
            <w:bookmarkEnd w:id="11"/>
          </w:p>
          <w:p w:rsidR="00DB4196" w:rsidRPr="0087022F" w:rsidRDefault="00DB4196" w:rsidP="00DB4196">
            <w:pPr>
              <w:rPr>
                <w:lang w:val="ru-RU"/>
              </w:rPr>
            </w:pPr>
            <w:r w:rsidRPr="0087022F">
              <w:rPr>
                <w:lang w:val="ru-RU"/>
              </w:rPr>
              <w:t>Отчет Внешнего аудитора охватывает счета выставки Всемирного мероприятия ITU Telecom-2014.</w:t>
            </w:r>
          </w:p>
          <w:p w:rsidR="00DB4196" w:rsidRPr="0087022F" w:rsidRDefault="00DB4196" w:rsidP="002F7DB3">
            <w:pPr>
              <w:pStyle w:val="Headingb"/>
              <w:rPr>
                <w:lang w:val="ru-RU"/>
              </w:rPr>
            </w:pPr>
            <w:bookmarkStart w:id="12" w:name="_Toc358196985"/>
            <w:bookmarkStart w:id="13" w:name="_Toc358197246"/>
            <w:bookmarkStart w:id="14" w:name="_Toc399768423"/>
            <w:bookmarkStart w:id="15" w:name="_Toc399768567"/>
            <w:r w:rsidRPr="0087022F">
              <w:rPr>
                <w:lang w:val="ru-RU"/>
              </w:rPr>
              <w:t>Необходимые действия</w:t>
            </w:r>
            <w:bookmarkEnd w:id="12"/>
            <w:bookmarkEnd w:id="13"/>
            <w:bookmarkEnd w:id="14"/>
            <w:bookmarkEnd w:id="15"/>
          </w:p>
          <w:p w:rsidR="00DB4196" w:rsidRPr="0087022F" w:rsidRDefault="00DB4196" w:rsidP="00DB4196">
            <w:pPr>
              <w:rPr>
                <w:lang w:val="ru-RU"/>
              </w:rPr>
            </w:pPr>
            <w:r w:rsidRPr="0087022F">
              <w:rPr>
                <w:lang w:val="ru-RU"/>
              </w:rPr>
              <w:t>Совету предлагается рассмотреть отчет Внешнего аудитора счетов за 2014 год и </w:t>
            </w:r>
            <w:r w:rsidRPr="0087022F">
              <w:rPr>
                <w:b/>
                <w:bCs/>
                <w:lang w:val="ru-RU"/>
              </w:rPr>
              <w:t>утвердить</w:t>
            </w:r>
            <w:r w:rsidRPr="0087022F">
              <w:rPr>
                <w:lang w:val="ru-RU"/>
              </w:rPr>
              <w:t xml:space="preserve"> счета в том виде, в каком они были проверены.</w:t>
            </w:r>
          </w:p>
          <w:p w:rsidR="00DB4196" w:rsidRPr="0087022F" w:rsidRDefault="00DB4196" w:rsidP="002F7DB3">
            <w:pPr>
              <w:spacing w:before="240"/>
              <w:jc w:val="center"/>
              <w:rPr>
                <w:caps/>
                <w:szCs w:val="22"/>
                <w:lang w:val="ru-RU"/>
              </w:rPr>
            </w:pPr>
            <w:r w:rsidRPr="0087022F">
              <w:rPr>
                <w:caps/>
                <w:szCs w:val="22"/>
                <w:lang w:val="ru-RU"/>
              </w:rPr>
              <w:t>____________</w:t>
            </w:r>
          </w:p>
          <w:p w:rsidR="00DB4196" w:rsidRPr="0087022F" w:rsidRDefault="00DB4196" w:rsidP="002F7DB3">
            <w:pPr>
              <w:pStyle w:val="Headingb"/>
              <w:rPr>
                <w:lang w:val="ru-RU"/>
              </w:rPr>
            </w:pPr>
            <w:bookmarkStart w:id="16" w:name="_Toc358196986"/>
            <w:bookmarkStart w:id="17" w:name="_Toc358197247"/>
            <w:bookmarkStart w:id="18" w:name="_Toc399768424"/>
            <w:bookmarkStart w:id="19" w:name="_Toc399768568"/>
            <w:r w:rsidRPr="0087022F">
              <w:rPr>
                <w:lang w:val="ru-RU"/>
              </w:rPr>
              <w:t>Справочные материалы</w:t>
            </w:r>
            <w:bookmarkEnd w:id="16"/>
            <w:bookmarkEnd w:id="17"/>
            <w:bookmarkEnd w:id="18"/>
            <w:bookmarkEnd w:id="19"/>
          </w:p>
          <w:p w:rsidR="00DB4196" w:rsidRPr="0087022F" w:rsidRDefault="004249CF" w:rsidP="002F7DB3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4249C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249C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4249CF">
              <w:rPr>
                <w:lang w:val="ru-RU"/>
              </w:rPr>
              <w:instrText>://</w:instrText>
            </w:r>
            <w:r>
              <w:instrText>www</w:instrText>
            </w:r>
            <w:r w:rsidRPr="004249CF">
              <w:rPr>
                <w:lang w:val="ru-RU"/>
              </w:rPr>
              <w:instrText>.</w:instrText>
            </w:r>
            <w:r>
              <w:instrText>itu</w:instrText>
            </w:r>
            <w:r w:rsidRPr="004249CF">
              <w:rPr>
                <w:lang w:val="ru-RU"/>
              </w:rPr>
              <w:instrText>.</w:instrText>
            </w:r>
            <w:r>
              <w:instrText>int</w:instrText>
            </w:r>
            <w:r w:rsidRPr="004249CF">
              <w:rPr>
                <w:lang w:val="ru-RU"/>
              </w:rPr>
              <w:instrText>/</w:instrText>
            </w:r>
            <w:r>
              <w:instrText>council</w:instrText>
            </w:r>
            <w:r w:rsidRPr="004249CF">
              <w:rPr>
                <w:lang w:val="ru-RU"/>
              </w:rPr>
              <w:instrText>/</w:instrText>
            </w:r>
            <w:r>
              <w:instrText>finregs</w:instrText>
            </w:r>
            <w:r w:rsidRPr="004249CF">
              <w:rPr>
                <w:lang w:val="ru-RU"/>
              </w:rPr>
              <w:instrText>/</w:instrText>
            </w:r>
            <w:r>
              <w:instrText>Regl</w:instrText>
            </w:r>
            <w:r w:rsidRPr="004249CF">
              <w:rPr>
                <w:lang w:val="ru-RU"/>
              </w:rPr>
              <w:instrText>_</w:instrText>
            </w:r>
            <w:r>
              <w:instrText>Fin</w:instrText>
            </w:r>
            <w:r w:rsidRPr="004249CF">
              <w:rPr>
                <w:lang w:val="ru-RU"/>
              </w:rPr>
              <w:instrText>_10</w:instrText>
            </w:r>
            <w:r>
              <w:instrText>r</w:instrText>
            </w:r>
            <w:r w:rsidRPr="004249CF">
              <w:rPr>
                <w:lang w:val="ru-RU"/>
              </w:rPr>
              <w:instrText>.</w:instrText>
            </w:r>
            <w:r>
              <w:instrText>pdf</w:instrText>
            </w:r>
            <w:r w:rsidRPr="004249CF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B4196" w:rsidRPr="0087022F">
              <w:rPr>
                <w:rStyle w:val="Hyperlink"/>
                <w:i/>
                <w:iCs/>
                <w:lang w:val="ru-RU"/>
              </w:rPr>
              <w:t>Финансовый регламент (издание 2010 г.)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DB4196" w:rsidRPr="0087022F">
              <w:rPr>
                <w:i/>
                <w:iCs/>
                <w:lang w:val="ru-RU"/>
              </w:rPr>
              <w:t>: Статья 28 и Дополнительные полномочия</w:t>
            </w:r>
          </w:p>
        </w:tc>
      </w:tr>
    </w:tbl>
    <w:p w:rsidR="00CB7F68" w:rsidRPr="0087022F" w:rsidRDefault="00CB7F68" w:rsidP="00CB7F68">
      <w:pPr>
        <w:rPr>
          <w:lang w:val="ru-RU"/>
        </w:rPr>
      </w:pPr>
    </w:p>
    <w:p w:rsidR="00CB7F68" w:rsidRPr="0087022F" w:rsidRDefault="00CB7F68" w:rsidP="00CB7F68">
      <w:pPr>
        <w:pStyle w:val="Title1"/>
        <w:keepNext/>
        <w:keepLines/>
        <w:pageBreakBefore/>
        <w:spacing w:before="0"/>
        <w:rPr>
          <w:lang w:val="ru-RU"/>
        </w:rPr>
      </w:pPr>
      <w:r w:rsidRPr="0087022F">
        <w:rPr>
          <w:lang w:val="ru-RU"/>
        </w:rPr>
        <w:lastRenderedPageBreak/>
        <w:t>ОТЧЕТ ВНЕШНЕГО АУДИТОРА</w:t>
      </w:r>
    </w:p>
    <w:p w:rsidR="00CB7F68" w:rsidRPr="0087022F" w:rsidRDefault="00CB7F68" w:rsidP="00CB7F68">
      <w:pPr>
        <w:spacing w:before="4000"/>
        <w:ind w:left="4253" w:right="108"/>
        <w:rPr>
          <w:lang w:val="ru-RU"/>
        </w:rPr>
      </w:pPr>
      <w:bookmarkStart w:id="20" w:name="_Toc358129144"/>
      <w:r w:rsidRPr="0087022F">
        <w:rPr>
          <w:noProof/>
          <w:lang w:val="en-US" w:eastAsia="zh-CN"/>
        </w:rPr>
        <w:drawing>
          <wp:inline distT="0" distB="0" distL="0" distR="0" wp14:anchorId="7243996F" wp14:editId="2662228C">
            <wp:extent cx="796060" cy="895082"/>
            <wp:effectExtent l="0" t="0" r="4445" b="635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repubbl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62" cy="89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68" w:rsidRPr="0087022F" w:rsidRDefault="00CB7F68" w:rsidP="00CB7F68">
      <w:pPr>
        <w:ind w:right="107"/>
        <w:jc w:val="center"/>
        <w:rPr>
          <w:rFonts w:asciiTheme="minorHAnsi" w:hAnsiTheme="minorHAnsi"/>
          <w:sz w:val="72"/>
          <w:szCs w:val="72"/>
          <w:lang w:val="ru-RU"/>
        </w:rPr>
      </w:pPr>
      <w:proofErr w:type="spellStart"/>
      <w:r w:rsidRPr="0087022F">
        <w:rPr>
          <w:rFonts w:ascii="Kunstler Script" w:hAnsi="Kunstler Script"/>
          <w:sz w:val="72"/>
          <w:szCs w:val="72"/>
          <w:lang w:val="ru-RU"/>
        </w:rPr>
        <w:t>Corte</w:t>
      </w:r>
      <w:proofErr w:type="spellEnd"/>
      <w:r w:rsidRPr="0087022F">
        <w:rPr>
          <w:rFonts w:ascii="Kunstler Script" w:hAnsi="Kunstler Script"/>
          <w:sz w:val="72"/>
          <w:szCs w:val="72"/>
          <w:lang w:val="ru-RU"/>
        </w:rPr>
        <w:t xml:space="preserve"> </w:t>
      </w:r>
      <w:proofErr w:type="spellStart"/>
      <w:r w:rsidRPr="0087022F">
        <w:rPr>
          <w:rFonts w:ascii="Kunstler Script" w:hAnsi="Kunstler Script"/>
          <w:sz w:val="72"/>
          <w:szCs w:val="72"/>
          <w:lang w:val="ru-RU"/>
        </w:rPr>
        <w:t>dei</w:t>
      </w:r>
      <w:proofErr w:type="spellEnd"/>
      <w:r w:rsidRPr="0087022F">
        <w:rPr>
          <w:rFonts w:ascii="Kunstler Script" w:hAnsi="Kunstler Script"/>
          <w:sz w:val="72"/>
          <w:szCs w:val="72"/>
          <w:lang w:val="ru-RU"/>
        </w:rPr>
        <w:t xml:space="preserve"> </w:t>
      </w:r>
      <w:proofErr w:type="spellStart"/>
      <w:r w:rsidRPr="0087022F">
        <w:rPr>
          <w:rFonts w:ascii="Kunstler Script" w:hAnsi="Kunstler Script"/>
          <w:sz w:val="72"/>
          <w:szCs w:val="72"/>
          <w:lang w:val="ru-RU"/>
        </w:rPr>
        <w:t>conti</w:t>
      </w:r>
      <w:proofErr w:type="spellEnd"/>
    </w:p>
    <w:p w:rsidR="005D2C60" w:rsidRPr="0087022F" w:rsidRDefault="005D2C60" w:rsidP="00B5650F">
      <w:pPr>
        <w:jc w:val="center"/>
        <w:rPr>
          <w:lang w:val="ru-RU"/>
        </w:rPr>
      </w:pPr>
      <w:r w:rsidRPr="0087022F">
        <w:rPr>
          <w:lang w:val="ru-RU"/>
        </w:rPr>
        <w:t>Государственная счетная палата Италии</w:t>
      </w:r>
    </w:p>
    <w:bookmarkEnd w:id="20"/>
    <w:p w:rsidR="00CB7F68" w:rsidRPr="0087022F" w:rsidRDefault="00CB7F68" w:rsidP="00B5650F">
      <w:pPr>
        <w:spacing w:before="6000"/>
        <w:jc w:val="center"/>
        <w:rPr>
          <w:rFonts w:cs="Calibri"/>
          <w:lang w:val="ru-RU"/>
        </w:rPr>
      </w:pPr>
      <w:r w:rsidRPr="0087022F">
        <w:rPr>
          <w:lang w:val="ru-RU"/>
        </w:rPr>
        <w:t xml:space="preserve">Аудиторская проверка </w:t>
      </w:r>
      <w:r w:rsidRPr="0087022F">
        <w:rPr>
          <w:lang w:val="ru-RU"/>
        </w:rPr>
        <w:br/>
        <w:t>ВСЕМИРНОГО МЕРОПРИЯТИЯ ITU TELECOM-2014</w:t>
      </w:r>
      <w:r w:rsidRPr="0087022F">
        <w:rPr>
          <w:lang w:val="ru-RU"/>
        </w:rPr>
        <w:br/>
        <w:t>27.04</w:t>
      </w:r>
      <w:r w:rsidRPr="0087022F">
        <w:rPr>
          <w:rFonts w:cs="Calibri"/>
          <w:lang w:val="ru-RU"/>
        </w:rPr>
        <w:t>.2015 г.</w:t>
      </w:r>
    </w:p>
    <w:p w:rsidR="00CB7F68" w:rsidRPr="0087022F" w:rsidRDefault="00CB7F68" w:rsidP="005D2C60">
      <w:pPr>
        <w:keepNext/>
        <w:keepLines/>
        <w:pageBreakBefore/>
        <w:spacing w:before="360"/>
        <w:jc w:val="center"/>
        <w:rPr>
          <w:szCs w:val="22"/>
          <w:lang w:val="ru-RU"/>
        </w:rPr>
      </w:pPr>
      <w:r w:rsidRPr="0087022F">
        <w:rPr>
          <w:szCs w:val="22"/>
          <w:lang w:val="ru-RU"/>
        </w:rPr>
        <w:lastRenderedPageBreak/>
        <w:t>СОДЕРЖАНИЕ</w:t>
      </w:r>
    </w:p>
    <w:p w:rsidR="00CB7F68" w:rsidRPr="0087022F" w:rsidRDefault="00CB7F68" w:rsidP="00CB7F68">
      <w:pPr>
        <w:jc w:val="right"/>
        <w:rPr>
          <w:lang w:val="ru-RU"/>
        </w:rPr>
      </w:pPr>
      <w:r w:rsidRPr="0087022F">
        <w:rPr>
          <w:b/>
          <w:bCs/>
          <w:lang w:val="ru-RU"/>
        </w:rPr>
        <w:t>Стр</w:t>
      </w:r>
      <w:r w:rsidRPr="0087022F">
        <w:rPr>
          <w:lang w:val="ru-RU"/>
        </w:rPr>
        <w:t>.</w:t>
      </w:r>
    </w:p>
    <w:p w:rsidR="0085345D" w:rsidRPr="0087022F" w:rsidRDefault="0085345D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r w:rsidRPr="0087022F">
        <w:rPr>
          <w:lang w:val="ru-RU"/>
        </w:rPr>
        <w:fldChar w:fldCharType="begin"/>
      </w:r>
      <w:r w:rsidRPr="0087022F">
        <w:rPr>
          <w:lang w:val="ru-RU"/>
        </w:rPr>
        <w:instrText xml:space="preserve"> TOC \o "1-3" \h \z \t "Annex_title,1" </w:instrText>
      </w:r>
      <w:r w:rsidRPr="0087022F">
        <w:rPr>
          <w:lang w:val="ru-RU"/>
        </w:rPr>
        <w:fldChar w:fldCharType="separate"/>
      </w:r>
      <w:hyperlink w:anchor="_Toc419393847" w:history="1">
        <w:r w:rsidRPr="0087022F">
          <w:rPr>
            <w:rStyle w:val="Hyperlink"/>
            <w:b/>
            <w:bCs/>
            <w:lang w:val="ru-RU"/>
          </w:rPr>
          <w:t>РЕЗЮМЕ ОТЧЕТА ОБ АУДИТОРСКОЙ ПРОВЕРКЕ</w:t>
        </w:r>
        <w:r w:rsidRPr="0087022F">
          <w:rPr>
            <w:webHidden/>
            <w:lang w:val="ru-RU"/>
          </w:rPr>
          <w:tab/>
        </w:r>
        <w:r w:rsidR="006A690E" w:rsidRPr="0087022F">
          <w:rPr>
            <w:b/>
            <w:bCs/>
            <w:webHidden/>
            <w:lang w:val="ru-RU"/>
          </w:rPr>
          <w:tab/>
        </w:r>
        <w:r w:rsidRPr="0087022F">
          <w:rPr>
            <w:b/>
            <w:bCs/>
            <w:webHidden/>
            <w:lang w:val="ru-RU"/>
          </w:rPr>
          <w:fldChar w:fldCharType="begin"/>
        </w:r>
        <w:r w:rsidRPr="0087022F">
          <w:rPr>
            <w:b/>
            <w:bCs/>
            <w:webHidden/>
            <w:lang w:val="ru-RU"/>
          </w:rPr>
          <w:instrText xml:space="preserve"> PAGEREF _Toc419393847 \h </w:instrText>
        </w:r>
        <w:r w:rsidRPr="0087022F">
          <w:rPr>
            <w:b/>
            <w:bCs/>
            <w:webHidden/>
            <w:lang w:val="ru-RU"/>
          </w:rPr>
        </w:r>
        <w:r w:rsidRPr="0087022F">
          <w:rPr>
            <w:b/>
            <w:bCs/>
            <w:webHidden/>
            <w:lang w:val="ru-RU"/>
          </w:rPr>
          <w:fldChar w:fldCharType="separate"/>
        </w:r>
        <w:r w:rsidRPr="0087022F">
          <w:rPr>
            <w:b/>
            <w:bCs/>
            <w:webHidden/>
            <w:lang w:val="ru-RU"/>
          </w:rPr>
          <w:t>5</w:t>
        </w:r>
        <w:r w:rsidRPr="0087022F">
          <w:rPr>
            <w:b/>
            <w:b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48" w:history="1">
        <w:r w:rsidR="0085345D" w:rsidRPr="0087022F">
          <w:rPr>
            <w:rStyle w:val="Hyperlink"/>
            <w:i/>
            <w:iCs/>
            <w:lang w:val="ru-RU"/>
          </w:rPr>
          <w:t>Правовая основа и сфера охвата аудиторской проверки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_Toc419393848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5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49" w:history="1">
        <w:r w:rsidR="0085345D" w:rsidRPr="0087022F">
          <w:rPr>
            <w:rStyle w:val="Hyperlink"/>
            <w:i/>
            <w:iCs/>
            <w:lang w:val="ru-RU"/>
          </w:rPr>
          <w:t>Деятельность по проведению проверки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_Toc419393849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6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50" w:history="1">
        <w:r w:rsidR="0085345D" w:rsidRPr="0087022F">
          <w:rPr>
            <w:rStyle w:val="Hyperlink"/>
            <w:i/>
            <w:iCs/>
            <w:lang w:val="ru-RU"/>
          </w:rPr>
          <w:t>Выражения признательности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_Toc419393850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6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19393851" w:history="1">
        <w:r w:rsidR="0085345D" w:rsidRPr="0087022F">
          <w:rPr>
            <w:rStyle w:val="Hyperlink"/>
            <w:b/>
            <w:bCs/>
            <w:lang w:val="ru-RU"/>
          </w:rPr>
          <w:t>ПЕРЕХОД НА IPSAS</w:t>
        </w:r>
        <w:r w:rsidR="0085345D" w:rsidRPr="0087022F">
          <w:rPr>
            <w:webHidden/>
            <w:lang w:val="ru-RU"/>
          </w:rPr>
          <w:tab/>
        </w:r>
        <w:r w:rsidR="006A690E" w:rsidRPr="0087022F">
          <w:rPr>
            <w:b/>
            <w:bCs/>
            <w:webHidden/>
            <w:lang w:val="ru-RU"/>
          </w:rPr>
          <w:tab/>
        </w:r>
        <w:r w:rsidR="0085345D" w:rsidRPr="0087022F">
          <w:rPr>
            <w:b/>
            <w:bCs/>
            <w:webHidden/>
            <w:lang w:val="ru-RU"/>
          </w:rPr>
          <w:fldChar w:fldCharType="begin"/>
        </w:r>
        <w:r w:rsidR="0085345D" w:rsidRPr="0087022F">
          <w:rPr>
            <w:b/>
            <w:bCs/>
            <w:webHidden/>
            <w:lang w:val="ru-RU"/>
          </w:rPr>
          <w:instrText xml:space="preserve"> PAGEREF _Toc419393851 \h </w:instrText>
        </w:r>
        <w:r w:rsidR="0085345D" w:rsidRPr="0087022F">
          <w:rPr>
            <w:b/>
            <w:bCs/>
            <w:webHidden/>
            <w:lang w:val="ru-RU"/>
          </w:rPr>
        </w:r>
        <w:r w:rsidR="0085345D" w:rsidRPr="0087022F">
          <w:rPr>
            <w:b/>
            <w:bCs/>
            <w:webHidden/>
            <w:lang w:val="ru-RU"/>
          </w:rPr>
          <w:fldChar w:fldCharType="separate"/>
        </w:r>
        <w:r w:rsidR="0085345D" w:rsidRPr="0087022F">
          <w:rPr>
            <w:b/>
            <w:bCs/>
            <w:webHidden/>
            <w:lang w:val="ru-RU"/>
          </w:rPr>
          <w:t>6</w:t>
        </w:r>
        <w:r w:rsidR="0085345D" w:rsidRPr="0087022F">
          <w:rPr>
            <w:b/>
            <w:b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19393852" w:history="1">
        <w:r w:rsidR="0085345D" w:rsidRPr="0087022F">
          <w:rPr>
            <w:rStyle w:val="Hyperlink"/>
            <w:b/>
            <w:bCs/>
            <w:lang w:val="ru-RU"/>
          </w:rPr>
          <w:t>ОСНОВНЫЕ ПОКАЗАТЕЛИ</w:t>
        </w:r>
        <w:r w:rsidR="0085345D" w:rsidRPr="0087022F">
          <w:rPr>
            <w:webHidden/>
            <w:lang w:val="ru-RU"/>
          </w:rPr>
          <w:tab/>
        </w:r>
        <w:r w:rsidR="006A690E" w:rsidRPr="0087022F">
          <w:rPr>
            <w:b/>
            <w:bCs/>
            <w:webHidden/>
            <w:lang w:val="ru-RU"/>
          </w:rPr>
          <w:tab/>
        </w:r>
        <w:r w:rsidR="0085345D" w:rsidRPr="0087022F">
          <w:rPr>
            <w:b/>
            <w:bCs/>
            <w:webHidden/>
            <w:lang w:val="ru-RU"/>
          </w:rPr>
          <w:fldChar w:fldCharType="begin"/>
        </w:r>
        <w:r w:rsidR="0085345D" w:rsidRPr="0087022F">
          <w:rPr>
            <w:b/>
            <w:bCs/>
            <w:webHidden/>
            <w:lang w:val="ru-RU"/>
          </w:rPr>
          <w:instrText xml:space="preserve"> PAGEREF _Toc419393852 \h </w:instrText>
        </w:r>
        <w:r w:rsidR="0085345D" w:rsidRPr="0087022F">
          <w:rPr>
            <w:b/>
            <w:bCs/>
            <w:webHidden/>
            <w:lang w:val="ru-RU"/>
          </w:rPr>
        </w:r>
        <w:r w:rsidR="0085345D" w:rsidRPr="0087022F">
          <w:rPr>
            <w:b/>
            <w:bCs/>
            <w:webHidden/>
            <w:lang w:val="ru-RU"/>
          </w:rPr>
          <w:fldChar w:fldCharType="separate"/>
        </w:r>
        <w:r w:rsidR="0085345D" w:rsidRPr="0087022F">
          <w:rPr>
            <w:b/>
            <w:bCs/>
            <w:webHidden/>
            <w:lang w:val="ru-RU"/>
          </w:rPr>
          <w:t>6</w:t>
        </w:r>
        <w:r w:rsidR="0085345D" w:rsidRPr="0087022F">
          <w:rPr>
            <w:b/>
            <w:b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53" w:history="1">
        <w:r w:rsidR="0085345D" w:rsidRPr="0087022F">
          <w:rPr>
            <w:rStyle w:val="Hyperlink"/>
            <w:i/>
            <w:iCs/>
            <w:lang w:val="ru-RU"/>
          </w:rPr>
          <w:t>Оборотный выставочный фонд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_Toc419393853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7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54" w:history="1">
        <w:r w:rsidR="0085345D" w:rsidRPr="0087022F">
          <w:rPr>
            <w:rStyle w:val="Hyperlink"/>
            <w:i/>
            <w:iCs/>
            <w:lang w:val="ru-RU"/>
          </w:rPr>
          <w:t>Соответствующие изменения, пересмотр бюджета и фактические результаты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_Toc419393854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7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55" w:history="1">
        <w:r w:rsidR="0085345D" w:rsidRPr="0087022F">
          <w:rPr>
            <w:rStyle w:val="Hyperlink"/>
            <w:i/>
            <w:iCs/>
            <w:lang w:val="ru-RU"/>
          </w:rPr>
          <w:t>Фактические показатели в пересмотренном бюджете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_Toc419393855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8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3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56" w:history="1">
        <w:r w:rsidR="0085345D" w:rsidRPr="0087022F">
          <w:rPr>
            <w:rStyle w:val="Hyperlink"/>
            <w:i/>
            <w:iCs/>
            <w:lang w:val="ru-RU"/>
          </w:rPr>
          <w:t>Выставление счетов до подписания соглашения о спонсорской поддержке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_Toc419393856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8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3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57" w:history="1">
        <w:r w:rsidR="0085345D" w:rsidRPr="0087022F">
          <w:rPr>
            <w:rStyle w:val="Hyperlink"/>
            <w:i/>
            <w:iCs/>
            <w:lang w:val="ru-RU"/>
          </w:rPr>
          <w:t>В отчетности о мероприятии увязывать результаты, общие цели Резолюции 11 с KPI</w:t>
        </w:r>
        <w:r w:rsidR="0085345D" w:rsidRPr="0087022F">
          <w:rPr>
            <w:i/>
            <w:iCs/>
            <w:webHidden/>
            <w:lang w:val="ru-RU"/>
          </w:rPr>
          <w:tab/>
        </w:r>
        <w:r w:rsidR="009643A7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_Toc419393857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9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3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58" w:history="1">
        <w:r w:rsidR="0085345D" w:rsidRPr="0087022F">
          <w:rPr>
            <w:rStyle w:val="Hyperlink"/>
            <w:i/>
            <w:iCs/>
            <w:lang w:val="ru-RU"/>
          </w:rPr>
          <w:t>Необходимо своевременное подписание соглашения с принимающей страной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_Toc419393858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9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59" w:history="1">
        <w:r w:rsidR="0085345D" w:rsidRPr="0087022F">
          <w:rPr>
            <w:rStyle w:val="Hyperlink"/>
            <w:i/>
            <w:iCs/>
            <w:lang w:val="ru-RU"/>
          </w:rPr>
          <w:t>Процесс проведения конкурсов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_Toc419393859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9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3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60" w:history="1">
        <w:r w:rsidR="0085345D" w:rsidRPr="0087022F">
          <w:rPr>
            <w:rStyle w:val="Hyperlink"/>
            <w:i/>
            <w:iCs/>
            <w:lang w:val="ru-RU"/>
          </w:rPr>
          <w:t>Стороны соглашения с принимающей страной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_Toc419393860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10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19393861" w:history="1">
        <w:r w:rsidR="0085345D" w:rsidRPr="0087022F">
          <w:rPr>
            <w:rStyle w:val="Hyperlink"/>
            <w:b/>
            <w:bCs/>
            <w:lang w:val="ru-RU"/>
          </w:rPr>
          <w:t>ДОХОДЫ</w:t>
        </w:r>
        <w:r w:rsidR="0085345D" w:rsidRPr="0087022F">
          <w:rPr>
            <w:webHidden/>
            <w:lang w:val="ru-RU"/>
          </w:rPr>
          <w:tab/>
        </w:r>
        <w:r w:rsidR="006A690E" w:rsidRPr="0087022F">
          <w:rPr>
            <w:b/>
            <w:bCs/>
            <w:webHidden/>
            <w:lang w:val="ru-RU"/>
          </w:rPr>
          <w:tab/>
        </w:r>
        <w:r w:rsidR="0085345D" w:rsidRPr="0087022F">
          <w:rPr>
            <w:b/>
            <w:bCs/>
            <w:webHidden/>
            <w:lang w:val="ru-RU"/>
          </w:rPr>
          <w:fldChar w:fldCharType="begin"/>
        </w:r>
        <w:r w:rsidR="0085345D" w:rsidRPr="0087022F">
          <w:rPr>
            <w:b/>
            <w:bCs/>
            <w:webHidden/>
            <w:lang w:val="ru-RU"/>
          </w:rPr>
          <w:instrText xml:space="preserve"> PAGEREF _Toc419393861 \h </w:instrText>
        </w:r>
        <w:r w:rsidR="0085345D" w:rsidRPr="0087022F">
          <w:rPr>
            <w:b/>
            <w:bCs/>
            <w:webHidden/>
            <w:lang w:val="ru-RU"/>
          </w:rPr>
        </w:r>
        <w:r w:rsidR="0085345D" w:rsidRPr="0087022F">
          <w:rPr>
            <w:b/>
            <w:bCs/>
            <w:webHidden/>
            <w:lang w:val="ru-RU"/>
          </w:rPr>
          <w:fldChar w:fldCharType="separate"/>
        </w:r>
        <w:r w:rsidR="0085345D" w:rsidRPr="0087022F">
          <w:rPr>
            <w:b/>
            <w:bCs/>
            <w:webHidden/>
            <w:lang w:val="ru-RU"/>
          </w:rPr>
          <w:t>11</w:t>
        </w:r>
        <w:r w:rsidR="0085345D" w:rsidRPr="0087022F">
          <w:rPr>
            <w:b/>
            <w:b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62" w:history="1">
        <w:r w:rsidR="0085345D" w:rsidRPr="0087022F">
          <w:rPr>
            <w:rStyle w:val="Hyperlink"/>
            <w:i/>
            <w:iCs/>
            <w:lang w:val="ru-RU"/>
          </w:rPr>
          <w:t>Стоимость бартерных услуг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_Toc419393862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11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63" w:history="1">
        <w:r w:rsidR="0085345D" w:rsidRPr="0087022F">
          <w:rPr>
            <w:rStyle w:val="Hyperlink"/>
            <w:i/>
            <w:iCs/>
            <w:lang w:val="ru-RU"/>
          </w:rPr>
          <w:t>Пропуска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_Toc419393863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11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64" w:history="1">
        <w:r w:rsidR="0085345D" w:rsidRPr="0087022F">
          <w:rPr>
            <w:rStyle w:val="Hyperlink"/>
            <w:i/>
            <w:iCs/>
            <w:lang w:val="ru-RU"/>
          </w:rPr>
          <w:t>Выставка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_Toc419393864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12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19393865" w:history="1">
        <w:r w:rsidR="0085345D" w:rsidRPr="0087022F">
          <w:rPr>
            <w:rStyle w:val="Hyperlink"/>
            <w:b/>
            <w:bCs/>
            <w:lang w:val="ru-RU"/>
          </w:rPr>
          <w:t>РАСХОДЫ</w:t>
        </w:r>
        <w:r w:rsidR="0085345D" w:rsidRPr="0087022F">
          <w:rPr>
            <w:webHidden/>
            <w:lang w:val="ru-RU"/>
          </w:rPr>
          <w:tab/>
        </w:r>
        <w:r w:rsidR="006A690E" w:rsidRPr="0087022F">
          <w:rPr>
            <w:b/>
            <w:bCs/>
            <w:webHidden/>
            <w:lang w:val="ru-RU"/>
          </w:rPr>
          <w:tab/>
        </w:r>
        <w:r w:rsidR="0085345D" w:rsidRPr="0087022F">
          <w:rPr>
            <w:b/>
            <w:bCs/>
            <w:webHidden/>
            <w:lang w:val="ru-RU"/>
          </w:rPr>
          <w:fldChar w:fldCharType="begin"/>
        </w:r>
        <w:r w:rsidR="0085345D" w:rsidRPr="0087022F">
          <w:rPr>
            <w:b/>
            <w:bCs/>
            <w:webHidden/>
            <w:lang w:val="ru-RU"/>
          </w:rPr>
          <w:instrText xml:space="preserve"> PAGEREF _Toc419393865 \h </w:instrText>
        </w:r>
        <w:r w:rsidR="0085345D" w:rsidRPr="0087022F">
          <w:rPr>
            <w:b/>
            <w:bCs/>
            <w:webHidden/>
            <w:lang w:val="ru-RU"/>
          </w:rPr>
        </w:r>
        <w:r w:rsidR="0085345D" w:rsidRPr="0087022F">
          <w:rPr>
            <w:b/>
            <w:bCs/>
            <w:webHidden/>
            <w:lang w:val="ru-RU"/>
          </w:rPr>
          <w:fldChar w:fldCharType="separate"/>
        </w:r>
        <w:r w:rsidR="0085345D" w:rsidRPr="0087022F">
          <w:rPr>
            <w:b/>
            <w:bCs/>
            <w:webHidden/>
            <w:lang w:val="ru-RU"/>
          </w:rPr>
          <w:t>12</w:t>
        </w:r>
        <w:r w:rsidR="0085345D" w:rsidRPr="0087022F">
          <w:rPr>
            <w:b/>
            <w:b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66" w:history="1">
        <w:r w:rsidR="0085345D" w:rsidRPr="0087022F">
          <w:rPr>
            <w:rStyle w:val="Hyperlink"/>
            <w:i/>
            <w:iCs/>
            <w:lang w:val="ru-RU"/>
          </w:rPr>
          <w:t>Возмещение затрат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_Toc419393866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12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67" w:history="1">
        <w:r w:rsidR="0085345D" w:rsidRPr="0087022F">
          <w:rPr>
            <w:rStyle w:val="Hyperlink"/>
            <w:i/>
            <w:iCs/>
            <w:lang w:val="ru-RU"/>
          </w:rPr>
          <w:t>Затраты по персоналу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_Toc419393867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13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19393868" w:history="1">
        <w:r w:rsidR="0085345D" w:rsidRPr="0087022F">
          <w:rPr>
            <w:rStyle w:val="Hyperlink"/>
            <w:b/>
            <w:bCs/>
            <w:lang w:val="ru-RU"/>
          </w:rPr>
          <w:t>Соответствие бюджета и результатов</w:t>
        </w:r>
        <w:r w:rsidR="0085345D" w:rsidRPr="0087022F">
          <w:rPr>
            <w:webHidden/>
            <w:lang w:val="ru-RU"/>
          </w:rPr>
          <w:tab/>
        </w:r>
        <w:r w:rsidR="006A690E" w:rsidRPr="0087022F">
          <w:rPr>
            <w:b/>
            <w:bCs/>
            <w:webHidden/>
            <w:lang w:val="ru-RU"/>
          </w:rPr>
          <w:tab/>
        </w:r>
        <w:r w:rsidR="0085345D" w:rsidRPr="0087022F">
          <w:rPr>
            <w:b/>
            <w:bCs/>
            <w:webHidden/>
            <w:lang w:val="ru-RU"/>
          </w:rPr>
          <w:fldChar w:fldCharType="begin"/>
        </w:r>
        <w:r w:rsidR="0085345D" w:rsidRPr="0087022F">
          <w:rPr>
            <w:b/>
            <w:bCs/>
            <w:webHidden/>
            <w:lang w:val="ru-RU"/>
          </w:rPr>
          <w:instrText xml:space="preserve"> PAGEREF _Toc419393868 \h </w:instrText>
        </w:r>
        <w:r w:rsidR="0085345D" w:rsidRPr="0087022F">
          <w:rPr>
            <w:b/>
            <w:bCs/>
            <w:webHidden/>
            <w:lang w:val="ru-RU"/>
          </w:rPr>
        </w:r>
        <w:r w:rsidR="0085345D" w:rsidRPr="0087022F">
          <w:rPr>
            <w:b/>
            <w:bCs/>
            <w:webHidden/>
            <w:lang w:val="ru-RU"/>
          </w:rPr>
          <w:fldChar w:fldCharType="separate"/>
        </w:r>
        <w:r w:rsidR="0085345D" w:rsidRPr="0087022F">
          <w:rPr>
            <w:b/>
            <w:bCs/>
            <w:webHidden/>
            <w:lang w:val="ru-RU"/>
          </w:rPr>
          <w:t>13</w:t>
        </w:r>
        <w:r w:rsidR="0085345D" w:rsidRPr="0087022F">
          <w:rPr>
            <w:b/>
            <w:b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19393869" w:history="1">
        <w:r w:rsidR="0085345D" w:rsidRPr="0087022F">
          <w:rPr>
            <w:rStyle w:val="Hyperlink"/>
            <w:b/>
            <w:bCs/>
            <w:lang w:val="ru-RU"/>
          </w:rPr>
          <w:t>Служба регистрации</w:t>
        </w:r>
        <w:r w:rsidR="0085345D" w:rsidRPr="0087022F">
          <w:rPr>
            <w:webHidden/>
            <w:lang w:val="ru-RU"/>
          </w:rPr>
          <w:tab/>
        </w:r>
        <w:r w:rsidR="006A690E" w:rsidRPr="0087022F">
          <w:rPr>
            <w:b/>
            <w:bCs/>
            <w:webHidden/>
            <w:lang w:val="ru-RU"/>
          </w:rPr>
          <w:tab/>
        </w:r>
        <w:r w:rsidR="0085345D" w:rsidRPr="0087022F">
          <w:rPr>
            <w:b/>
            <w:bCs/>
            <w:webHidden/>
            <w:lang w:val="ru-RU"/>
          </w:rPr>
          <w:fldChar w:fldCharType="begin"/>
        </w:r>
        <w:r w:rsidR="0085345D" w:rsidRPr="0087022F">
          <w:rPr>
            <w:b/>
            <w:bCs/>
            <w:webHidden/>
            <w:lang w:val="ru-RU"/>
          </w:rPr>
          <w:instrText xml:space="preserve"> PAGEREF _Toc419393869 \h </w:instrText>
        </w:r>
        <w:r w:rsidR="0085345D" w:rsidRPr="0087022F">
          <w:rPr>
            <w:b/>
            <w:bCs/>
            <w:webHidden/>
            <w:lang w:val="ru-RU"/>
          </w:rPr>
        </w:r>
        <w:r w:rsidR="0085345D" w:rsidRPr="0087022F">
          <w:rPr>
            <w:b/>
            <w:bCs/>
            <w:webHidden/>
            <w:lang w:val="ru-RU"/>
          </w:rPr>
          <w:fldChar w:fldCharType="separate"/>
        </w:r>
        <w:r w:rsidR="0085345D" w:rsidRPr="0087022F">
          <w:rPr>
            <w:b/>
            <w:bCs/>
            <w:webHidden/>
            <w:lang w:val="ru-RU"/>
          </w:rPr>
          <w:t>13</w:t>
        </w:r>
        <w:r w:rsidR="0085345D" w:rsidRPr="0087022F">
          <w:rPr>
            <w:b/>
            <w:b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70" w:history="1">
        <w:r w:rsidR="0085345D" w:rsidRPr="0087022F">
          <w:rPr>
            <w:rStyle w:val="Hyperlink"/>
            <w:i/>
            <w:iCs/>
            <w:lang w:val="ru-RU"/>
          </w:rPr>
          <w:t>Политика в отношении расходов стратегического характера</w:t>
        </w:r>
        <w:r w:rsidR="006A690E" w:rsidRPr="0087022F">
          <w:rPr>
            <w:rStyle w:val="Hyperlink"/>
            <w:i/>
            <w:iCs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_Toc419393870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13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71" w:history="1">
        <w:r w:rsidR="0085345D" w:rsidRPr="0087022F">
          <w:rPr>
            <w:rStyle w:val="Hyperlink"/>
            <w:i/>
            <w:iCs/>
            <w:lang w:val="ru-RU"/>
          </w:rPr>
          <w:t>Ключевые показатели деятельности и опрос после мероприятия</w:t>
        </w:r>
        <w:r w:rsidR="006A690E" w:rsidRPr="0087022F">
          <w:rPr>
            <w:rStyle w:val="Hyperlink"/>
            <w:i/>
            <w:iCs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_Toc419393871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14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72" w:history="1">
        <w:r w:rsidR="0085345D" w:rsidRPr="0087022F">
          <w:rPr>
            <w:rStyle w:val="Hyperlink"/>
            <w:i/>
            <w:iCs/>
            <w:lang w:val="ru-RU"/>
          </w:rPr>
          <w:t>Розыгрыш призов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_Toc419393872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14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73" w:history="1">
        <w:r w:rsidR="0085345D" w:rsidRPr="0087022F">
          <w:rPr>
            <w:rStyle w:val="Hyperlink"/>
            <w:i/>
            <w:iCs/>
            <w:lang w:val="ru-RU"/>
          </w:rPr>
          <w:t>Гендерное распределение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_Toc419393873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15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9643A7" w:rsidRPr="0087022F" w:rsidRDefault="009643A7" w:rsidP="009643A7">
      <w:pPr>
        <w:pageBreakBefore/>
        <w:jc w:val="right"/>
        <w:rPr>
          <w:lang w:val="ru-RU"/>
        </w:rPr>
      </w:pPr>
      <w:r w:rsidRPr="0087022F">
        <w:rPr>
          <w:b/>
          <w:bCs/>
          <w:lang w:val="ru-RU"/>
        </w:rPr>
        <w:lastRenderedPageBreak/>
        <w:t>Стр</w:t>
      </w:r>
      <w:r w:rsidRPr="0087022F">
        <w:rPr>
          <w:lang w:val="ru-RU"/>
        </w:rPr>
        <w:t>.</w:t>
      </w:r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74" w:history="1">
        <w:r w:rsidR="0085345D" w:rsidRPr="0087022F">
          <w:rPr>
            <w:rStyle w:val="Hyperlink"/>
            <w:i/>
            <w:iCs/>
            <w:lang w:val="ru-RU"/>
          </w:rPr>
          <w:t>Снижение числа экспонентов и участников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_Toc419393874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15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75" w:history="1">
        <w:r w:rsidR="0085345D" w:rsidRPr="0087022F">
          <w:rPr>
            <w:rStyle w:val="Hyperlink"/>
            <w:i/>
            <w:iCs/>
            <w:lang w:val="ru-RU"/>
          </w:rPr>
          <w:t>Трудности с получением визы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_Toc419393875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16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76" w:history="1">
        <w:r w:rsidR="0085345D" w:rsidRPr="0087022F">
          <w:rPr>
            <w:rStyle w:val="Hyperlink"/>
            <w:i/>
            <w:iCs/>
            <w:lang w:val="ru-RU"/>
          </w:rPr>
          <w:t>Сессии Форума и присутствие СМИ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_Toc419393876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16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2"/>
        <w:tabs>
          <w:tab w:val="clear" w:pos="7938"/>
          <w:tab w:val="clear" w:pos="8789"/>
          <w:tab w:val="left" w:leader="dot" w:pos="9072"/>
          <w:tab w:val="center" w:pos="9639"/>
        </w:tabs>
        <w:ind w:firstLine="0"/>
        <w:rPr>
          <w:rFonts w:asciiTheme="minorHAnsi" w:eastAsiaTheme="minorEastAsia" w:hAnsiTheme="minorHAnsi" w:cstheme="minorBidi"/>
          <w:i/>
          <w:iCs/>
          <w:szCs w:val="22"/>
          <w:lang w:val="ru-RU" w:eastAsia="zh-CN"/>
        </w:rPr>
      </w:pPr>
      <w:hyperlink w:anchor="_Toc419393877" w:history="1">
        <w:r w:rsidR="0085345D" w:rsidRPr="0087022F">
          <w:rPr>
            <w:rStyle w:val="Hyperlink"/>
            <w:i/>
            <w:iCs/>
            <w:lang w:val="ru-RU"/>
          </w:rPr>
          <w:t>Глобальный масштаб</w:t>
        </w:r>
        <w:r w:rsidR="0085345D" w:rsidRPr="0087022F">
          <w:rPr>
            <w:i/>
            <w:iCs/>
            <w:webHidden/>
            <w:lang w:val="ru-RU"/>
          </w:rPr>
          <w:tab/>
        </w:r>
        <w:r w:rsidR="006A690E" w:rsidRPr="0087022F">
          <w:rPr>
            <w:i/>
            <w:iCs/>
            <w:webHidden/>
            <w:lang w:val="ru-RU"/>
          </w:rPr>
          <w:tab/>
        </w:r>
        <w:r w:rsidR="0085345D" w:rsidRPr="0087022F">
          <w:rPr>
            <w:i/>
            <w:iCs/>
            <w:webHidden/>
            <w:lang w:val="ru-RU"/>
          </w:rPr>
          <w:fldChar w:fldCharType="begin"/>
        </w:r>
        <w:r w:rsidR="0085345D" w:rsidRPr="0087022F">
          <w:rPr>
            <w:i/>
            <w:iCs/>
            <w:webHidden/>
            <w:lang w:val="ru-RU"/>
          </w:rPr>
          <w:instrText xml:space="preserve"> PAGEREF _Toc419393877 \h </w:instrText>
        </w:r>
        <w:r w:rsidR="0085345D" w:rsidRPr="0087022F">
          <w:rPr>
            <w:i/>
            <w:iCs/>
            <w:webHidden/>
            <w:lang w:val="ru-RU"/>
          </w:rPr>
        </w:r>
        <w:r w:rsidR="0085345D" w:rsidRPr="0087022F">
          <w:rPr>
            <w:i/>
            <w:iCs/>
            <w:webHidden/>
            <w:lang w:val="ru-RU"/>
          </w:rPr>
          <w:fldChar w:fldCharType="separate"/>
        </w:r>
        <w:r w:rsidR="0085345D" w:rsidRPr="0087022F">
          <w:rPr>
            <w:i/>
            <w:iCs/>
            <w:webHidden/>
            <w:lang w:val="ru-RU"/>
          </w:rPr>
          <w:t>17</w:t>
        </w:r>
        <w:r w:rsidR="0085345D" w:rsidRPr="0087022F">
          <w:rPr>
            <w:i/>
            <w:i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19393878" w:history="1">
        <w:r w:rsidR="0085345D" w:rsidRPr="0087022F">
          <w:rPr>
            <w:rStyle w:val="Hyperlink"/>
            <w:b/>
            <w:bCs/>
            <w:lang w:val="ru-RU"/>
          </w:rPr>
          <w:t>ПОСЛЕДУЮЩАЯ ДЕЯТЕЛЬНОСТЬ</w:t>
        </w:r>
        <w:r w:rsidR="0085345D" w:rsidRPr="0087022F">
          <w:rPr>
            <w:webHidden/>
            <w:lang w:val="ru-RU"/>
          </w:rPr>
          <w:tab/>
        </w:r>
        <w:r w:rsidR="006A690E" w:rsidRPr="0087022F">
          <w:rPr>
            <w:b/>
            <w:bCs/>
            <w:webHidden/>
            <w:lang w:val="ru-RU"/>
          </w:rPr>
          <w:tab/>
        </w:r>
        <w:r w:rsidR="0085345D" w:rsidRPr="0087022F">
          <w:rPr>
            <w:b/>
            <w:bCs/>
            <w:webHidden/>
            <w:lang w:val="ru-RU"/>
          </w:rPr>
          <w:fldChar w:fldCharType="begin"/>
        </w:r>
        <w:r w:rsidR="0085345D" w:rsidRPr="0087022F">
          <w:rPr>
            <w:b/>
            <w:bCs/>
            <w:webHidden/>
            <w:lang w:val="ru-RU"/>
          </w:rPr>
          <w:instrText xml:space="preserve"> PAGEREF _Toc419393878 \h </w:instrText>
        </w:r>
        <w:r w:rsidR="0085345D" w:rsidRPr="0087022F">
          <w:rPr>
            <w:b/>
            <w:bCs/>
            <w:webHidden/>
            <w:lang w:val="ru-RU"/>
          </w:rPr>
        </w:r>
        <w:r w:rsidR="0085345D" w:rsidRPr="0087022F">
          <w:rPr>
            <w:b/>
            <w:bCs/>
            <w:webHidden/>
            <w:lang w:val="ru-RU"/>
          </w:rPr>
          <w:fldChar w:fldCharType="separate"/>
        </w:r>
        <w:r w:rsidR="0085345D" w:rsidRPr="0087022F">
          <w:rPr>
            <w:b/>
            <w:bCs/>
            <w:webHidden/>
            <w:lang w:val="ru-RU"/>
          </w:rPr>
          <w:t>17</w:t>
        </w:r>
        <w:r w:rsidR="0085345D" w:rsidRPr="0087022F">
          <w:rPr>
            <w:b/>
            <w:bCs/>
            <w:webHidden/>
            <w:lang w:val="ru-RU"/>
          </w:rPr>
          <w:fldChar w:fldCharType="end"/>
        </w:r>
      </w:hyperlink>
    </w:p>
    <w:p w:rsidR="0085345D" w:rsidRPr="0087022F" w:rsidRDefault="004249CF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ind w:left="1701" w:hanging="1701"/>
        <w:rPr>
          <w:rFonts w:asciiTheme="minorHAnsi" w:eastAsiaTheme="minorEastAsia" w:hAnsiTheme="minorHAnsi" w:cstheme="minorBidi"/>
          <w:b/>
          <w:bCs/>
          <w:szCs w:val="22"/>
          <w:lang w:val="ru-RU" w:eastAsia="zh-CN"/>
        </w:rPr>
      </w:pPr>
      <w:hyperlink w:anchor="_Toc419393879" w:history="1">
        <w:r w:rsidR="0085345D" w:rsidRPr="0087022F">
          <w:rPr>
            <w:rStyle w:val="Hyperlink"/>
            <w:b/>
            <w:bCs/>
            <w:lang w:val="ru-RU"/>
          </w:rPr>
          <w:t xml:space="preserve">ПРИЛОЖЕНИЕ I </w:t>
        </w:r>
        <w:r w:rsidR="006A690E" w:rsidRPr="0087022F">
          <w:rPr>
            <w:rStyle w:val="Hyperlink"/>
            <w:b/>
            <w:bCs/>
            <w:lang w:val="ru-RU"/>
          </w:rPr>
          <w:t xml:space="preserve">– </w:t>
        </w:r>
        <w:r w:rsidR="0085345D" w:rsidRPr="0087022F">
          <w:rPr>
            <w:rStyle w:val="Hyperlink"/>
            <w:b/>
            <w:bCs/>
            <w:lang w:val="ru-RU"/>
          </w:rPr>
          <w:t xml:space="preserve">Последующие меры в связи с замечаниями, представленными </w:t>
        </w:r>
        <w:r w:rsidR="006A690E" w:rsidRPr="0087022F">
          <w:rPr>
            <w:rStyle w:val="Hyperlink"/>
            <w:b/>
            <w:bCs/>
            <w:lang w:val="ru-RU"/>
          </w:rPr>
          <w:br/>
        </w:r>
        <w:r w:rsidR="0085345D" w:rsidRPr="0087022F">
          <w:rPr>
            <w:rStyle w:val="Hyperlink"/>
            <w:b/>
            <w:bCs/>
            <w:lang w:val="ru-RU"/>
          </w:rPr>
          <w:t>в предыдущих отчетах</w:t>
        </w:r>
        <w:r w:rsidR="006A690E" w:rsidRPr="0087022F">
          <w:rPr>
            <w:rStyle w:val="Hyperlink"/>
            <w:lang w:val="ru-RU"/>
          </w:rPr>
          <w:tab/>
        </w:r>
        <w:r w:rsidR="0085345D" w:rsidRPr="0087022F">
          <w:rPr>
            <w:b/>
            <w:bCs/>
            <w:webHidden/>
            <w:lang w:val="ru-RU"/>
          </w:rPr>
          <w:tab/>
        </w:r>
        <w:r w:rsidR="0085345D" w:rsidRPr="0087022F">
          <w:rPr>
            <w:b/>
            <w:bCs/>
            <w:webHidden/>
            <w:lang w:val="ru-RU"/>
          </w:rPr>
          <w:fldChar w:fldCharType="begin"/>
        </w:r>
        <w:r w:rsidR="0085345D" w:rsidRPr="0087022F">
          <w:rPr>
            <w:b/>
            <w:bCs/>
            <w:webHidden/>
            <w:lang w:val="ru-RU"/>
          </w:rPr>
          <w:instrText xml:space="preserve"> PAGEREF _Toc419393879 \h </w:instrText>
        </w:r>
        <w:r w:rsidR="0085345D" w:rsidRPr="0087022F">
          <w:rPr>
            <w:b/>
            <w:bCs/>
            <w:webHidden/>
            <w:lang w:val="ru-RU"/>
          </w:rPr>
        </w:r>
        <w:r w:rsidR="0085345D" w:rsidRPr="0087022F">
          <w:rPr>
            <w:b/>
            <w:bCs/>
            <w:webHidden/>
            <w:lang w:val="ru-RU"/>
          </w:rPr>
          <w:fldChar w:fldCharType="separate"/>
        </w:r>
        <w:r w:rsidR="0085345D" w:rsidRPr="0087022F">
          <w:rPr>
            <w:b/>
            <w:bCs/>
            <w:webHidden/>
            <w:lang w:val="ru-RU"/>
          </w:rPr>
          <w:t>18</w:t>
        </w:r>
        <w:r w:rsidR="0085345D" w:rsidRPr="0087022F">
          <w:rPr>
            <w:b/>
            <w:bCs/>
            <w:webHidden/>
            <w:lang w:val="ru-RU"/>
          </w:rPr>
          <w:fldChar w:fldCharType="end"/>
        </w:r>
      </w:hyperlink>
    </w:p>
    <w:p w:rsidR="00CB7F68" w:rsidRPr="0087022F" w:rsidRDefault="0085345D" w:rsidP="009643A7">
      <w:pPr>
        <w:pStyle w:val="TOC1"/>
        <w:tabs>
          <w:tab w:val="clear" w:pos="7938"/>
          <w:tab w:val="clear" w:pos="8789"/>
          <w:tab w:val="left" w:leader="dot" w:pos="9072"/>
          <w:tab w:val="center" w:pos="9639"/>
        </w:tabs>
        <w:ind w:right="851"/>
        <w:rPr>
          <w:lang w:val="ru-RU"/>
        </w:rPr>
      </w:pPr>
      <w:r w:rsidRPr="0087022F">
        <w:rPr>
          <w:lang w:val="ru-RU"/>
        </w:rPr>
        <w:fldChar w:fldCharType="end"/>
      </w:r>
      <w:r w:rsidR="00CB7F68" w:rsidRPr="0087022F">
        <w:rPr>
          <w:lang w:val="ru-RU"/>
        </w:rPr>
        <w:br w:type="page"/>
      </w:r>
    </w:p>
    <w:p w:rsidR="00CB7F68" w:rsidRPr="0087022F" w:rsidRDefault="00725B8E" w:rsidP="00413D78">
      <w:pPr>
        <w:pStyle w:val="Heading1"/>
        <w:rPr>
          <w:bCs/>
          <w:lang w:val="ru-RU"/>
        </w:rPr>
      </w:pPr>
      <w:bookmarkStart w:id="21" w:name="_Toc355894291"/>
      <w:bookmarkStart w:id="22" w:name="_Toc358196987"/>
      <w:bookmarkStart w:id="23" w:name="_Toc358197248"/>
      <w:bookmarkStart w:id="24" w:name="_Toc399768425"/>
      <w:bookmarkStart w:id="25" w:name="_Toc419393847"/>
      <w:r w:rsidRPr="0087022F">
        <w:rPr>
          <w:lang w:val="ru-RU"/>
        </w:rPr>
        <w:lastRenderedPageBreak/>
        <w:t>РЕЗЮМЕ ОТЧЕТА ОБ АУДИТОРСКОЙ ПРОВЕРКЕ</w:t>
      </w:r>
      <w:bookmarkEnd w:id="21"/>
      <w:bookmarkEnd w:id="22"/>
      <w:bookmarkEnd w:id="23"/>
      <w:bookmarkEnd w:id="24"/>
      <w:bookmarkEnd w:id="25"/>
    </w:p>
    <w:p w:rsidR="00CB7F68" w:rsidRPr="0087022F" w:rsidRDefault="00CB7F68" w:rsidP="00725B8E">
      <w:pPr>
        <w:rPr>
          <w:lang w:val="ru-RU"/>
        </w:rPr>
      </w:pPr>
      <w:r w:rsidRPr="0087022F">
        <w:rPr>
          <w:lang w:val="ru-RU"/>
        </w:rPr>
        <w:t>1</w:t>
      </w:r>
      <w:r w:rsidRPr="0087022F">
        <w:rPr>
          <w:lang w:val="ru-RU"/>
        </w:rPr>
        <w:tab/>
        <w:t xml:space="preserve">В соответствии с пунктом 6 раздела </w:t>
      </w:r>
      <w:r w:rsidRPr="0087022F">
        <w:rPr>
          <w:i/>
          <w:iCs/>
          <w:lang w:val="ru-RU"/>
        </w:rPr>
        <w:t xml:space="preserve">решает </w:t>
      </w:r>
      <w:r w:rsidRPr="0087022F">
        <w:rPr>
          <w:lang w:val="ru-RU"/>
        </w:rPr>
        <w:t>Резолюции 11 (</w:t>
      </w:r>
      <w:proofErr w:type="spellStart"/>
      <w:r w:rsidR="0099690A" w:rsidRPr="0087022F">
        <w:rPr>
          <w:lang w:val="ru-RU"/>
        </w:rPr>
        <w:t>Пересм</w:t>
      </w:r>
      <w:proofErr w:type="spellEnd"/>
      <w:r w:rsidR="0099690A" w:rsidRPr="0087022F">
        <w:rPr>
          <w:lang w:val="ru-RU"/>
        </w:rPr>
        <w:t xml:space="preserve">. </w:t>
      </w:r>
      <w:proofErr w:type="spellStart"/>
      <w:r w:rsidR="00725B8E" w:rsidRPr="0087022F">
        <w:rPr>
          <w:lang w:val="ru-RU"/>
        </w:rPr>
        <w:t>Пусан</w:t>
      </w:r>
      <w:proofErr w:type="spellEnd"/>
      <w:r w:rsidRPr="0087022F">
        <w:rPr>
          <w:lang w:val="ru-RU"/>
        </w:rPr>
        <w:t>, 201</w:t>
      </w:r>
      <w:r w:rsidR="00725B8E" w:rsidRPr="0087022F">
        <w:rPr>
          <w:lang w:val="ru-RU"/>
        </w:rPr>
        <w:t>4</w:t>
      </w:r>
      <w:r w:rsidRPr="0087022F">
        <w:rPr>
          <w:lang w:val="ru-RU"/>
        </w:rPr>
        <w:t> г.) Полномочной конференции "</w:t>
      </w:r>
      <w:r w:rsidR="00725B8E" w:rsidRPr="0087022F">
        <w:rPr>
          <w:lang w:val="ru-RU"/>
        </w:rPr>
        <w:t xml:space="preserve">аудиторская проверка счетов ITU </w:t>
      </w:r>
      <w:proofErr w:type="spellStart"/>
      <w:r w:rsidR="00725B8E" w:rsidRPr="0087022F">
        <w:rPr>
          <w:lang w:val="ru-RU"/>
        </w:rPr>
        <w:t>Telecom</w:t>
      </w:r>
      <w:proofErr w:type="spellEnd"/>
      <w:r w:rsidR="00725B8E" w:rsidRPr="0087022F">
        <w:rPr>
          <w:lang w:val="ru-RU"/>
        </w:rPr>
        <w:t xml:space="preserve"> должна проводиться внешним аудитором Союза</w:t>
      </w:r>
      <w:r w:rsidRPr="0087022F">
        <w:rPr>
          <w:lang w:val="ru-RU"/>
        </w:rPr>
        <w:t>".</w:t>
      </w:r>
    </w:p>
    <w:p w:rsidR="00CB7F68" w:rsidRPr="0087022F" w:rsidRDefault="00CB7F68" w:rsidP="00725B8E">
      <w:pPr>
        <w:rPr>
          <w:lang w:val="ru-RU"/>
        </w:rPr>
      </w:pPr>
      <w:r w:rsidRPr="0087022F">
        <w:rPr>
          <w:lang w:val="ru-RU"/>
        </w:rPr>
        <w:t>2</w:t>
      </w:r>
      <w:r w:rsidRPr="0087022F">
        <w:rPr>
          <w:lang w:val="ru-RU"/>
        </w:rPr>
        <w:tab/>
        <w:t>Настоящий отчет включает результаты выполненной нами аудиторской проверки счета прибылей и убытков Всемирного мероприятия ITU Telecom-201</w:t>
      </w:r>
      <w:r w:rsidR="00725B8E" w:rsidRPr="0087022F">
        <w:rPr>
          <w:lang w:val="ru-RU"/>
        </w:rPr>
        <w:t>4</w:t>
      </w:r>
      <w:r w:rsidRPr="0087022F">
        <w:rPr>
          <w:lang w:val="ru-RU"/>
        </w:rPr>
        <w:t>. Эту проверку не следует рассматривать как аудит финансовой отчетности, составленной в соответствии со стандартами IPSAS, в отношении которой мы выдаем аудиторское заключение. Настоящий отчет предназначен исключительно для информирования Совета МСЭ о том, что операции, связанные с этим мероприятием, были должным образом учтены.</w:t>
      </w:r>
    </w:p>
    <w:p w:rsidR="00CB7F68" w:rsidRPr="0087022F" w:rsidRDefault="00CB7F68" w:rsidP="00413D78">
      <w:pPr>
        <w:rPr>
          <w:lang w:val="ru-RU"/>
        </w:rPr>
      </w:pPr>
      <w:r w:rsidRPr="0087022F">
        <w:rPr>
          <w:lang w:val="ru-RU"/>
        </w:rPr>
        <w:t>3</w:t>
      </w:r>
      <w:r w:rsidRPr="0087022F">
        <w:rPr>
          <w:lang w:val="ru-RU"/>
        </w:rPr>
        <w:tab/>
        <w:t>Аудиторская проверка представленных нам счетов Всемирного мероприятия ITU Telecom</w:t>
      </w:r>
      <w:r w:rsidRPr="0087022F">
        <w:rPr>
          <w:lang w:val="ru-RU"/>
        </w:rPr>
        <w:noBreakHyphen/>
        <w:t>201</w:t>
      </w:r>
      <w:r w:rsidR="00725B8E" w:rsidRPr="0087022F">
        <w:rPr>
          <w:lang w:val="ru-RU"/>
        </w:rPr>
        <w:t>4</w:t>
      </w:r>
      <w:r w:rsidRPr="0087022F">
        <w:rPr>
          <w:lang w:val="ru-RU"/>
        </w:rPr>
        <w:t xml:space="preserve"> (</w:t>
      </w:r>
      <w:r w:rsidR="00725B8E" w:rsidRPr="0087022F">
        <w:rPr>
          <w:lang w:val="ru-RU"/>
        </w:rPr>
        <w:t xml:space="preserve">Приложение А к </w:t>
      </w:r>
      <w:r w:rsidRPr="0087022F">
        <w:rPr>
          <w:lang w:val="ru-RU"/>
        </w:rPr>
        <w:t>Документ</w:t>
      </w:r>
      <w:r w:rsidR="00725B8E" w:rsidRPr="0087022F">
        <w:rPr>
          <w:lang w:val="ru-RU"/>
        </w:rPr>
        <w:t>у</w:t>
      </w:r>
      <w:r w:rsidRPr="0087022F">
        <w:rPr>
          <w:lang w:val="ru-RU"/>
        </w:rPr>
        <w:t> C1</w:t>
      </w:r>
      <w:r w:rsidR="00725B8E" w:rsidRPr="0087022F">
        <w:rPr>
          <w:lang w:val="ru-RU"/>
        </w:rPr>
        <w:t>5</w:t>
      </w:r>
      <w:r w:rsidRPr="0087022F">
        <w:rPr>
          <w:lang w:val="ru-RU"/>
        </w:rPr>
        <w:t>/</w:t>
      </w:r>
      <w:r w:rsidR="00725B8E" w:rsidRPr="0087022F">
        <w:rPr>
          <w:lang w:val="ru-RU"/>
        </w:rPr>
        <w:t>40</w:t>
      </w:r>
      <w:r w:rsidRPr="0087022F">
        <w:rPr>
          <w:lang w:val="ru-RU"/>
        </w:rPr>
        <w:t xml:space="preserve">) показала, что </w:t>
      </w:r>
      <w:r w:rsidRPr="0087022F">
        <w:rPr>
          <w:color w:val="000000"/>
          <w:lang w:val="ru-RU"/>
        </w:rPr>
        <w:t>счета являются точными, и</w:t>
      </w:r>
      <w:r w:rsidR="00413D78" w:rsidRPr="0087022F">
        <w:rPr>
          <w:color w:val="000000"/>
          <w:lang w:val="ru-RU"/>
        </w:rPr>
        <w:t> </w:t>
      </w:r>
      <w:r w:rsidRPr="0087022F">
        <w:rPr>
          <w:color w:val="000000"/>
          <w:lang w:val="ru-RU"/>
        </w:rPr>
        <w:t>проводки, относящиеся к этому мероприятию, были выполнены правильно</w:t>
      </w:r>
      <w:r w:rsidRPr="0087022F">
        <w:rPr>
          <w:lang w:val="ru-RU"/>
        </w:rPr>
        <w:t xml:space="preserve">. </w:t>
      </w:r>
    </w:p>
    <w:p w:rsidR="00CB7F68" w:rsidRPr="0087022F" w:rsidRDefault="00CB7F68" w:rsidP="008C07C3">
      <w:pPr>
        <w:rPr>
          <w:lang w:val="ru-RU"/>
        </w:rPr>
      </w:pPr>
      <w:r w:rsidRPr="0087022F">
        <w:rPr>
          <w:bCs/>
          <w:lang w:val="ru-RU"/>
        </w:rPr>
        <w:t>4</w:t>
      </w:r>
      <w:r w:rsidRPr="0087022F">
        <w:rPr>
          <w:bCs/>
          <w:lang w:val="ru-RU"/>
        </w:rPr>
        <w:tab/>
      </w:r>
      <w:r w:rsidR="00F235CC" w:rsidRPr="0087022F">
        <w:rPr>
          <w:bCs/>
          <w:lang w:val="ru-RU"/>
        </w:rPr>
        <w:t>Организация и управление этим мероприятием осуществлялись согласно Резолюции</w:t>
      </w:r>
      <w:r w:rsidR="00F235CC" w:rsidRPr="0087022F">
        <w:rPr>
          <w:lang w:val="ru-RU"/>
        </w:rPr>
        <w:t> </w:t>
      </w:r>
      <w:r w:rsidR="003031EE" w:rsidRPr="0087022F">
        <w:rPr>
          <w:lang w:val="ru-RU"/>
        </w:rPr>
        <w:t>11 (</w:t>
      </w:r>
      <w:proofErr w:type="spellStart"/>
      <w:r w:rsidR="0099690A" w:rsidRPr="0087022F">
        <w:rPr>
          <w:lang w:val="ru-RU"/>
        </w:rPr>
        <w:t>Пересм</w:t>
      </w:r>
      <w:proofErr w:type="spellEnd"/>
      <w:r w:rsidR="0099690A" w:rsidRPr="0087022F">
        <w:rPr>
          <w:lang w:val="ru-RU"/>
        </w:rPr>
        <w:t xml:space="preserve">. </w:t>
      </w:r>
      <w:r w:rsidR="00F235CC" w:rsidRPr="0087022F">
        <w:rPr>
          <w:lang w:val="ru-RU"/>
        </w:rPr>
        <w:t>Гвадалахара,</w:t>
      </w:r>
      <w:r w:rsidR="003031EE" w:rsidRPr="0087022F">
        <w:rPr>
          <w:lang w:val="ru-RU"/>
        </w:rPr>
        <w:t xml:space="preserve"> 2010</w:t>
      </w:r>
      <w:r w:rsidR="00F235CC" w:rsidRPr="0087022F">
        <w:rPr>
          <w:lang w:val="ru-RU"/>
        </w:rPr>
        <w:t> г.)</w:t>
      </w:r>
      <w:r w:rsidR="003031EE" w:rsidRPr="0087022F">
        <w:rPr>
          <w:lang w:val="ru-RU"/>
        </w:rPr>
        <w:t xml:space="preserve">. </w:t>
      </w:r>
      <w:r w:rsidR="00F235CC" w:rsidRPr="0087022F">
        <w:rPr>
          <w:lang w:val="ru-RU"/>
        </w:rPr>
        <w:t xml:space="preserve">На Полномочной конференции в </w:t>
      </w:r>
      <w:proofErr w:type="spellStart"/>
      <w:r w:rsidR="00F235CC" w:rsidRPr="0087022F">
        <w:rPr>
          <w:lang w:val="ru-RU"/>
        </w:rPr>
        <w:t>Пусане</w:t>
      </w:r>
      <w:proofErr w:type="spellEnd"/>
      <w:r w:rsidR="00F235CC" w:rsidRPr="0087022F">
        <w:rPr>
          <w:lang w:val="ru-RU"/>
        </w:rPr>
        <w:t xml:space="preserve"> (октябрь 2014 г.) был</w:t>
      </w:r>
      <w:r w:rsidR="008C07C3" w:rsidRPr="0087022F">
        <w:rPr>
          <w:lang w:val="ru-RU"/>
        </w:rPr>
        <w:t>а</w:t>
      </w:r>
      <w:r w:rsidR="00F235CC" w:rsidRPr="0087022F">
        <w:rPr>
          <w:lang w:val="ru-RU"/>
        </w:rPr>
        <w:t xml:space="preserve"> принят</w:t>
      </w:r>
      <w:r w:rsidR="008C07C3" w:rsidRPr="0087022F">
        <w:rPr>
          <w:lang w:val="ru-RU"/>
        </w:rPr>
        <w:t>а</w:t>
      </w:r>
      <w:r w:rsidR="00F235CC" w:rsidRPr="0087022F">
        <w:rPr>
          <w:lang w:val="ru-RU"/>
        </w:rPr>
        <w:t xml:space="preserve"> нов</w:t>
      </w:r>
      <w:r w:rsidR="008C07C3" w:rsidRPr="0087022F">
        <w:rPr>
          <w:lang w:val="ru-RU"/>
        </w:rPr>
        <w:t>ая версия</w:t>
      </w:r>
      <w:r w:rsidR="00F235CC" w:rsidRPr="0087022F">
        <w:rPr>
          <w:lang w:val="ru-RU"/>
        </w:rPr>
        <w:t xml:space="preserve"> этой Резолюции, когда мероприятие было практически определено. В любом случае в об</w:t>
      </w:r>
      <w:r w:rsidR="008C07C3" w:rsidRPr="0087022F">
        <w:rPr>
          <w:lang w:val="ru-RU"/>
        </w:rPr>
        <w:t>е</w:t>
      </w:r>
      <w:r w:rsidR="00F235CC" w:rsidRPr="0087022F">
        <w:rPr>
          <w:lang w:val="ru-RU"/>
        </w:rPr>
        <w:t xml:space="preserve">их </w:t>
      </w:r>
      <w:r w:rsidR="008C07C3" w:rsidRPr="0087022F">
        <w:rPr>
          <w:lang w:val="ru-RU"/>
        </w:rPr>
        <w:t>версиях</w:t>
      </w:r>
      <w:r w:rsidR="00F235CC" w:rsidRPr="0087022F">
        <w:rPr>
          <w:lang w:val="ru-RU"/>
        </w:rPr>
        <w:t xml:space="preserve"> Резолюции 11 в </w:t>
      </w:r>
      <w:r w:rsidRPr="0087022F">
        <w:rPr>
          <w:bCs/>
          <w:lang w:val="ru-RU"/>
        </w:rPr>
        <w:t xml:space="preserve">пункте 4 раздела </w:t>
      </w:r>
      <w:r w:rsidRPr="0087022F">
        <w:rPr>
          <w:bCs/>
          <w:i/>
          <w:iCs/>
          <w:lang w:val="ru-RU"/>
        </w:rPr>
        <w:t xml:space="preserve">решает </w:t>
      </w:r>
      <w:r w:rsidR="00F235CC" w:rsidRPr="0087022F">
        <w:rPr>
          <w:bCs/>
          <w:lang w:val="ru-RU"/>
        </w:rPr>
        <w:t>указано</w:t>
      </w:r>
      <w:r w:rsidR="008C07C3" w:rsidRPr="0087022F">
        <w:rPr>
          <w:bCs/>
          <w:lang w:val="ru-RU"/>
        </w:rPr>
        <w:t>, что</w:t>
      </w:r>
      <w:r w:rsidRPr="0087022F">
        <w:rPr>
          <w:bCs/>
          <w:lang w:val="ru-RU"/>
        </w:rPr>
        <w:t xml:space="preserve"> </w:t>
      </w:r>
      <w:r w:rsidRPr="0087022F">
        <w:rPr>
          <w:bCs/>
          <w:i/>
          <w:iCs/>
          <w:lang w:val="ru-RU"/>
        </w:rPr>
        <w:t>"</w:t>
      </w:r>
      <w:r w:rsidRPr="0087022F">
        <w:rPr>
          <w:i/>
          <w:iCs/>
          <w:lang w:val="ru-RU"/>
        </w:rPr>
        <w:t xml:space="preserve">каждое мероприятие ITU </w:t>
      </w:r>
      <w:proofErr w:type="spellStart"/>
      <w:r w:rsidRPr="0087022F">
        <w:rPr>
          <w:rFonts w:eastAsia="SimSun"/>
          <w:i/>
          <w:iCs/>
          <w:lang w:val="ru-RU"/>
        </w:rPr>
        <w:t>Telecom</w:t>
      </w:r>
      <w:proofErr w:type="spellEnd"/>
      <w:r w:rsidRPr="0087022F">
        <w:rPr>
          <w:i/>
          <w:iCs/>
          <w:lang w:val="ru-RU"/>
        </w:rPr>
        <w:t xml:space="preserve"> должно быть рентабельным и не должно иметь никаких отрицательных последствий для бюджета МСЭ на основе действующей системы распределения затрат, как это определено Советом"</w:t>
      </w:r>
      <w:r w:rsidRPr="0087022F">
        <w:rPr>
          <w:bCs/>
          <w:lang w:val="ru-RU"/>
        </w:rPr>
        <w:t xml:space="preserve">. </w:t>
      </w:r>
    </w:p>
    <w:p w:rsidR="00CB7F68" w:rsidRPr="0087022F" w:rsidRDefault="00CB7F68" w:rsidP="006C3234">
      <w:pPr>
        <w:rPr>
          <w:lang w:val="ru-RU"/>
        </w:rPr>
      </w:pPr>
      <w:r w:rsidRPr="0087022F">
        <w:rPr>
          <w:lang w:val="ru-RU"/>
        </w:rPr>
        <w:t>5</w:t>
      </w:r>
      <w:r w:rsidRPr="0087022F">
        <w:rPr>
          <w:lang w:val="ru-RU"/>
        </w:rPr>
        <w:tab/>
        <w:t xml:space="preserve">Что касается Всемирного мероприятия ITU </w:t>
      </w:r>
      <w:proofErr w:type="spellStart"/>
      <w:r w:rsidRPr="0087022F">
        <w:rPr>
          <w:lang w:val="ru-RU"/>
        </w:rPr>
        <w:t>Telecom</w:t>
      </w:r>
      <w:proofErr w:type="spellEnd"/>
      <w:r w:rsidRPr="0087022F">
        <w:rPr>
          <w:lang w:val="ru-RU"/>
        </w:rPr>
        <w:t>, проведенного в 201</w:t>
      </w:r>
      <w:r w:rsidR="006C0CAF" w:rsidRPr="0087022F">
        <w:rPr>
          <w:lang w:val="ru-RU"/>
        </w:rPr>
        <w:t>4</w:t>
      </w:r>
      <w:r w:rsidRPr="0087022F">
        <w:rPr>
          <w:lang w:val="ru-RU"/>
        </w:rPr>
        <w:t xml:space="preserve"> году в </w:t>
      </w:r>
      <w:r w:rsidR="006C0CAF" w:rsidRPr="0087022F">
        <w:rPr>
          <w:lang w:val="ru-RU"/>
        </w:rPr>
        <w:t>Дохе</w:t>
      </w:r>
      <w:r w:rsidRPr="0087022F">
        <w:rPr>
          <w:lang w:val="ru-RU"/>
        </w:rPr>
        <w:t>, результат на 31 декабря 201</w:t>
      </w:r>
      <w:r w:rsidR="006C0CAF" w:rsidRPr="0087022F">
        <w:rPr>
          <w:lang w:val="ru-RU"/>
        </w:rPr>
        <w:t>4</w:t>
      </w:r>
      <w:r w:rsidRPr="0087022F">
        <w:rPr>
          <w:lang w:val="ru-RU"/>
        </w:rPr>
        <w:t xml:space="preserve"> года положительный, эквивалентный </w:t>
      </w:r>
      <w:r w:rsidR="006C0CAF" w:rsidRPr="0087022F">
        <w:rPr>
          <w:lang w:val="ru-RU"/>
        </w:rPr>
        <w:t>784 505,76 </w:t>
      </w:r>
      <w:r w:rsidRPr="0087022F">
        <w:rPr>
          <w:lang w:val="ru-RU"/>
        </w:rPr>
        <w:t>швейцарск</w:t>
      </w:r>
      <w:r w:rsidR="006C0CAF" w:rsidRPr="0087022F">
        <w:rPr>
          <w:lang w:val="ru-RU"/>
        </w:rPr>
        <w:t>ого</w:t>
      </w:r>
      <w:r w:rsidRPr="0087022F">
        <w:rPr>
          <w:lang w:val="ru-RU"/>
        </w:rPr>
        <w:t xml:space="preserve"> франк</w:t>
      </w:r>
      <w:r w:rsidR="006C0CAF" w:rsidRPr="0087022F">
        <w:rPr>
          <w:lang w:val="ru-RU"/>
        </w:rPr>
        <w:t>а</w:t>
      </w:r>
      <w:r w:rsidRPr="0087022F">
        <w:rPr>
          <w:lang w:val="ru-RU"/>
        </w:rPr>
        <w:t>, как показано в пункте</w:t>
      </w:r>
      <w:r w:rsidR="006C0CAF" w:rsidRPr="0087022F">
        <w:rPr>
          <w:lang w:val="ru-RU"/>
        </w:rPr>
        <w:t> 19</w:t>
      </w:r>
      <w:r w:rsidRPr="0087022F">
        <w:rPr>
          <w:lang w:val="ru-RU"/>
        </w:rPr>
        <w:t>, в то время как положительный результат мероприятия, проведенного в</w:t>
      </w:r>
      <w:r w:rsidR="00413D78" w:rsidRPr="0087022F">
        <w:rPr>
          <w:lang w:val="ru-RU"/>
        </w:rPr>
        <w:t> </w:t>
      </w:r>
      <w:r w:rsidRPr="0087022F">
        <w:rPr>
          <w:lang w:val="ru-RU"/>
        </w:rPr>
        <w:t>201</w:t>
      </w:r>
      <w:r w:rsidR="0099690A" w:rsidRPr="0087022F">
        <w:rPr>
          <w:lang w:val="ru-RU"/>
        </w:rPr>
        <w:t>3</w:t>
      </w:r>
      <w:r w:rsidR="006C0CAF" w:rsidRPr="0087022F">
        <w:rPr>
          <w:lang w:val="ru-RU"/>
        </w:rPr>
        <w:t> </w:t>
      </w:r>
      <w:r w:rsidRPr="0087022F">
        <w:rPr>
          <w:lang w:val="ru-RU"/>
        </w:rPr>
        <w:t xml:space="preserve">году в </w:t>
      </w:r>
      <w:r w:rsidR="006C0CAF" w:rsidRPr="0087022F">
        <w:rPr>
          <w:lang w:val="ru-RU"/>
        </w:rPr>
        <w:t>Бангкоке</w:t>
      </w:r>
      <w:r w:rsidRPr="0087022F">
        <w:rPr>
          <w:lang w:val="ru-RU"/>
        </w:rPr>
        <w:t>, составил</w:t>
      </w:r>
      <w:r w:rsidR="006C0CAF" w:rsidRPr="0087022F">
        <w:rPr>
          <w:lang w:val="ru-RU"/>
        </w:rPr>
        <w:t xml:space="preserve"> 1 8</w:t>
      </w:r>
      <w:r w:rsidR="006C3234" w:rsidRPr="0087022F">
        <w:rPr>
          <w:lang w:val="ru-RU"/>
        </w:rPr>
        <w:t>54 884 швейцарских франка</w:t>
      </w:r>
      <w:r w:rsidR="006C0CAF" w:rsidRPr="0087022F">
        <w:rPr>
          <w:lang w:val="ru-RU"/>
        </w:rPr>
        <w:t>, а проведенного в Дубае –</w:t>
      </w:r>
      <w:r w:rsidRPr="0087022F">
        <w:rPr>
          <w:lang w:val="ru-RU"/>
        </w:rPr>
        <w:t xml:space="preserve"> 637 946,26 швейцарского франка. </w:t>
      </w:r>
    </w:p>
    <w:p w:rsidR="00CB7F68" w:rsidRPr="0087022F" w:rsidRDefault="00CB7F68" w:rsidP="00413D78">
      <w:pPr>
        <w:pStyle w:val="Heading2"/>
        <w:rPr>
          <w:lang w:val="ru-RU"/>
        </w:rPr>
      </w:pPr>
      <w:bookmarkStart w:id="26" w:name="_Toc355894292"/>
      <w:bookmarkStart w:id="27" w:name="_Toc358196988"/>
      <w:bookmarkStart w:id="28" w:name="_Toc358197249"/>
      <w:bookmarkStart w:id="29" w:name="_Toc399768426"/>
      <w:bookmarkStart w:id="30" w:name="_Toc419393848"/>
      <w:r w:rsidRPr="0087022F">
        <w:rPr>
          <w:lang w:val="ru-RU"/>
        </w:rPr>
        <w:t>Правовая основа и сфера охвата аудиторской проверки</w:t>
      </w:r>
      <w:bookmarkEnd w:id="26"/>
      <w:bookmarkEnd w:id="27"/>
      <w:bookmarkEnd w:id="28"/>
      <w:bookmarkEnd w:id="29"/>
      <w:bookmarkEnd w:id="30"/>
    </w:p>
    <w:p w:rsidR="00CB7F68" w:rsidRPr="0087022F" w:rsidRDefault="00CB7F68" w:rsidP="00413D78">
      <w:pPr>
        <w:rPr>
          <w:lang w:val="ru-RU"/>
        </w:rPr>
      </w:pPr>
      <w:r w:rsidRPr="0087022F">
        <w:rPr>
          <w:lang w:val="ru-RU"/>
        </w:rPr>
        <w:t>6</w:t>
      </w:r>
      <w:r w:rsidRPr="0087022F">
        <w:rPr>
          <w:lang w:val="ru-RU"/>
        </w:rPr>
        <w:tab/>
        <w:t>Правила, применимые к всемирным и региональным выставкам и форумам электросвязи и</w:t>
      </w:r>
      <w:r w:rsidR="00413D78" w:rsidRPr="0087022F">
        <w:rPr>
          <w:lang w:val="ru-RU"/>
        </w:rPr>
        <w:t> </w:t>
      </w:r>
      <w:r w:rsidRPr="0087022F">
        <w:rPr>
          <w:lang w:val="ru-RU"/>
        </w:rPr>
        <w:t>аналогичным мероприятиям, проводимым Союзом, изложены в Статье 19 Финансового регламента и Финансовых правил МСЭ. Конкретные характеристики также определяются в Резолюции 11 (</w:t>
      </w:r>
      <w:r w:rsidR="00DF65B9" w:rsidRPr="0087022F">
        <w:rPr>
          <w:bCs/>
          <w:lang w:val="ru-RU"/>
        </w:rPr>
        <w:t>см</w:t>
      </w:r>
      <w:r w:rsidRPr="0087022F">
        <w:rPr>
          <w:bCs/>
          <w:lang w:val="ru-RU"/>
        </w:rPr>
        <w:t>.</w:t>
      </w:r>
      <w:r w:rsidR="00DF65B9" w:rsidRPr="0087022F">
        <w:rPr>
          <w:bCs/>
          <w:lang w:val="ru-RU"/>
        </w:rPr>
        <w:t> п</w:t>
      </w:r>
      <w:r w:rsidR="00211E82" w:rsidRPr="0087022F">
        <w:rPr>
          <w:bCs/>
          <w:lang w:val="ru-RU"/>
        </w:rPr>
        <w:t>ункт</w:t>
      </w:r>
      <w:r w:rsidR="00DF65B9" w:rsidRPr="0087022F">
        <w:rPr>
          <w:bCs/>
          <w:lang w:val="ru-RU"/>
        </w:rPr>
        <w:t> 4</w:t>
      </w:r>
      <w:r w:rsidR="006C3234" w:rsidRPr="0087022F">
        <w:rPr>
          <w:bCs/>
          <w:lang w:val="ru-RU"/>
        </w:rPr>
        <w:t>,</w:t>
      </w:r>
      <w:r w:rsidR="00DF65B9" w:rsidRPr="0087022F">
        <w:rPr>
          <w:bCs/>
          <w:lang w:val="ru-RU"/>
        </w:rPr>
        <w:t xml:space="preserve"> выше</w:t>
      </w:r>
      <w:r w:rsidRPr="0087022F">
        <w:rPr>
          <w:lang w:val="ru-RU"/>
        </w:rPr>
        <w:t xml:space="preserve">) и в Руководстве по финансовым правилам и процедурам </w:t>
      </w:r>
      <w:proofErr w:type="spellStart"/>
      <w:r w:rsidRPr="0087022F">
        <w:rPr>
          <w:szCs w:val="22"/>
          <w:lang w:val="ru-RU"/>
        </w:rPr>
        <w:t>Telecom</w:t>
      </w:r>
      <w:proofErr w:type="spellEnd"/>
      <w:r w:rsidRPr="0087022F">
        <w:rPr>
          <w:lang w:val="ru-RU"/>
        </w:rPr>
        <w:t>, вступившем в</w:t>
      </w:r>
      <w:r w:rsidR="00413D78" w:rsidRPr="0087022F">
        <w:rPr>
          <w:lang w:val="ru-RU"/>
        </w:rPr>
        <w:t> </w:t>
      </w:r>
      <w:r w:rsidRPr="0087022F">
        <w:rPr>
          <w:lang w:val="ru-RU"/>
        </w:rPr>
        <w:t xml:space="preserve">силу 13 марта 1998 года, и его обновленной версии. </w:t>
      </w:r>
    </w:p>
    <w:p w:rsidR="00CB7F68" w:rsidRPr="0087022F" w:rsidRDefault="00CB7F68" w:rsidP="00413D78">
      <w:pPr>
        <w:rPr>
          <w:lang w:val="ru-RU"/>
        </w:rPr>
      </w:pPr>
      <w:r w:rsidRPr="0087022F">
        <w:rPr>
          <w:lang w:val="ru-RU"/>
        </w:rPr>
        <w:t>7</w:t>
      </w:r>
      <w:r w:rsidRPr="0087022F">
        <w:rPr>
          <w:lang w:val="ru-RU"/>
        </w:rPr>
        <w:tab/>
        <w:t xml:space="preserve">Полномочная конференция, прошедшая в </w:t>
      </w:r>
      <w:proofErr w:type="spellStart"/>
      <w:r w:rsidR="008C07C3" w:rsidRPr="0087022F">
        <w:rPr>
          <w:lang w:val="ru-RU"/>
        </w:rPr>
        <w:t>Пусане</w:t>
      </w:r>
      <w:proofErr w:type="spellEnd"/>
      <w:r w:rsidRPr="0087022F">
        <w:rPr>
          <w:lang w:val="ru-RU"/>
        </w:rPr>
        <w:t xml:space="preserve"> в 201</w:t>
      </w:r>
      <w:r w:rsidR="008C07C3" w:rsidRPr="0087022F">
        <w:rPr>
          <w:lang w:val="ru-RU"/>
        </w:rPr>
        <w:t>4</w:t>
      </w:r>
      <w:r w:rsidRPr="0087022F">
        <w:rPr>
          <w:lang w:val="ru-RU"/>
        </w:rPr>
        <w:t xml:space="preserve"> году, </w:t>
      </w:r>
      <w:r w:rsidR="008C07C3" w:rsidRPr="0087022F">
        <w:rPr>
          <w:lang w:val="ru-RU"/>
        </w:rPr>
        <w:t>подтвердила практически полностью текст</w:t>
      </w:r>
      <w:r w:rsidRPr="0087022F">
        <w:rPr>
          <w:lang w:val="ru-RU"/>
        </w:rPr>
        <w:t xml:space="preserve"> Резолюци</w:t>
      </w:r>
      <w:r w:rsidR="008C07C3" w:rsidRPr="0087022F">
        <w:rPr>
          <w:lang w:val="ru-RU"/>
        </w:rPr>
        <w:t>и</w:t>
      </w:r>
      <w:r w:rsidRPr="0087022F">
        <w:rPr>
          <w:lang w:val="ru-RU"/>
        </w:rPr>
        <w:t xml:space="preserve"> 11 о мероприятиях ITU </w:t>
      </w:r>
      <w:proofErr w:type="spellStart"/>
      <w:r w:rsidRPr="0087022F">
        <w:rPr>
          <w:lang w:val="ru-RU"/>
        </w:rPr>
        <w:t>Telecom</w:t>
      </w:r>
      <w:proofErr w:type="spellEnd"/>
      <w:r w:rsidRPr="0087022F">
        <w:rPr>
          <w:lang w:val="ru-RU"/>
        </w:rPr>
        <w:t>,</w:t>
      </w:r>
      <w:r w:rsidR="008C07C3" w:rsidRPr="0087022F">
        <w:rPr>
          <w:lang w:val="ru-RU"/>
        </w:rPr>
        <w:t xml:space="preserve"> которая была принята в Гвадалахаре в</w:t>
      </w:r>
      <w:r w:rsidR="00413D78" w:rsidRPr="0087022F">
        <w:rPr>
          <w:lang w:val="ru-RU"/>
        </w:rPr>
        <w:t> </w:t>
      </w:r>
      <w:r w:rsidR="008C07C3" w:rsidRPr="0087022F">
        <w:rPr>
          <w:lang w:val="ru-RU"/>
        </w:rPr>
        <w:t>2010 году. При том что р</w:t>
      </w:r>
      <w:r w:rsidRPr="0087022F">
        <w:rPr>
          <w:lang w:val="ru-RU"/>
        </w:rPr>
        <w:t xml:space="preserve">яд </w:t>
      </w:r>
      <w:r w:rsidR="008C07C3" w:rsidRPr="0087022F">
        <w:rPr>
          <w:lang w:val="ru-RU"/>
        </w:rPr>
        <w:t>положений</w:t>
      </w:r>
      <w:r w:rsidRPr="0087022F">
        <w:rPr>
          <w:lang w:val="ru-RU"/>
        </w:rPr>
        <w:t xml:space="preserve"> </w:t>
      </w:r>
      <w:r w:rsidR="00446E72" w:rsidRPr="0087022F">
        <w:rPr>
          <w:lang w:val="ru-RU"/>
        </w:rPr>
        <w:t>принятой в Гвадалахаре</w:t>
      </w:r>
      <w:r w:rsidR="008C07C3" w:rsidRPr="0087022F">
        <w:rPr>
          <w:lang w:val="ru-RU"/>
        </w:rPr>
        <w:t xml:space="preserve"> версии</w:t>
      </w:r>
      <w:r w:rsidRPr="0087022F">
        <w:rPr>
          <w:lang w:val="ru-RU"/>
        </w:rPr>
        <w:t xml:space="preserve"> Резолюции был </w:t>
      </w:r>
      <w:r w:rsidR="00FF3582" w:rsidRPr="0087022F">
        <w:rPr>
          <w:lang w:val="ru-RU"/>
        </w:rPr>
        <w:t>тщательно учтен</w:t>
      </w:r>
      <w:r w:rsidRPr="0087022F">
        <w:rPr>
          <w:lang w:val="ru-RU"/>
        </w:rPr>
        <w:t xml:space="preserve"> в ходе настоящей аудиторской проверки, и, </w:t>
      </w:r>
      <w:r w:rsidR="00446E72" w:rsidRPr="0087022F">
        <w:rPr>
          <w:lang w:val="ru-RU"/>
        </w:rPr>
        <w:t>надлежащим образом</w:t>
      </w:r>
      <w:r w:rsidRPr="0087022F">
        <w:rPr>
          <w:lang w:val="ru-RU"/>
        </w:rPr>
        <w:t xml:space="preserve">, </w:t>
      </w:r>
      <w:r w:rsidR="00446E72" w:rsidRPr="0087022F">
        <w:rPr>
          <w:lang w:val="ru-RU"/>
        </w:rPr>
        <w:t xml:space="preserve">отражен в </w:t>
      </w:r>
      <w:r w:rsidRPr="0087022F">
        <w:rPr>
          <w:lang w:val="ru-RU"/>
        </w:rPr>
        <w:t>результат</w:t>
      </w:r>
      <w:r w:rsidR="00446E72" w:rsidRPr="0087022F">
        <w:rPr>
          <w:lang w:val="ru-RU"/>
        </w:rPr>
        <w:t>ах</w:t>
      </w:r>
      <w:r w:rsidRPr="0087022F">
        <w:rPr>
          <w:lang w:val="ru-RU"/>
        </w:rPr>
        <w:t xml:space="preserve"> нашего анализа, </w:t>
      </w:r>
      <w:r w:rsidR="00446E72" w:rsidRPr="0087022F">
        <w:rPr>
          <w:lang w:val="ru-RU"/>
        </w:rPr>
        <w:t xml:space="preserve">наших </w:t>
      </w:r>
      <w:r w:rsidRPr="0087022F">
        <w:rPr>
          <w:lang w:val="ru-RU"/>
        </w:rPr>
        <w:t>замечания</w:t>
      </w:r>
      <w:r w:rsidR="00446E72" w:rsidRPr="0087022F">
        <w:rPr>
          <w:lang w:val="ru-RU"/>
        </w:rPr>
        <w:t>х</w:t>
      </w:r>
      <w:r w:rsidRPr="0087022F">
        <w:rPr>
          <w:lang w:val="ru-RU"/>
        </w:rPr>
        <w:t xml:space="preserve"> и рекомендаци</w:t>
      </w:r>
      <w:r w:rsidR="00446E72" w:rsidRPr="0087022F">
        <w:rPr>
          <w:lang w:val="ru-RU"/>
        </w:rPr>
        <w:t>ях</w:t>
      </w:r>
      <w:r w:rsidR="00FF3582" w:rsidRPr="0087022F">
        <w:rPr>
          <w:lang w:val="ru-RU"/>
        </w:rPr>
        <w:t xml:space="preserve">, мы также учитывали и определенные последствия пересмотра Резолюции 11, осуществленного в </w:t>
      </w:r>
      <w:proofErr w:type="spellStart"/>
      <w:r w:rsidR="00FF3582" w:rsidRPr="0087022F">
        <w:rPr>
          <w:lang w:val="ru-RU"/>
        </w:rPr>
        <w:t>Пусане</w:t>
      </w:r>
      <w:proofErr w:type="spellEnd"/>
      <w:r w:rsidR="00FF3582" w:rsidRPr="0087022F">
        <w:rPr>
          <w:lang w:val="ru-RU"/>
        </w:rPr>
        <w:t xml:space="preserve"> в 2014 году.</w:t>
      </w:r>
      <w:r w:rsidRPr="0087022F">
        <w:rPr>
          <w:lang w:val="ru-RU"/>
        </w:rPr>
        <w:t xml:space="preserve"> </w:t>
      </w:r>
    </w:p>
    <w:p w:rsidR="00CB7F68" w:rsidRPr="0087022F" w:rsidRDefault="00CB7F68" w:rsidP="00413D78">
      <w:pPr>
        <w:rPr>
          <w:lang w:val="ru-RU"/>
        </w:rPr>
      </w:pPr>
      <w:r w:rsidRPr="0087022F">
        <w:rPr>
          <w:lang w:val="ru-RU"/>
        </w:rPr>
        <w:t>8</w:t>
      </w:r>
      <w:r w:rsidRPr="0087022F">
        <w:rPr>
          <w:lang w:val="ru-RU"/>
        </w:rPr>
        <w:tab/>
        <w:t xml:space="preserve">Аудиторская проверка, которой </w:t>
      </w:r>
      <w:r w:rsidR="00446E72" w:rsidRPr="0087022F">
        <w:rPr>
          <w:lang w:val="ru-RU"/>
        </w:rPr>
        <w:t>посвящен</w:t>
      </w:r>
      <w:r w:rsidRPr="0087022F">
        <w:rPr>
          <w:lang w:val="ru-RU"/>
        </w:rPr>
        <w:t xml:space="preserve"> настоящ</w:t>
      </w:r>
      <w:r w:rsidR="00446E72" w:rsidRPr="0087022F">
        <w:rPr>
          <w:lang w:val="ru-RU"/>
        </w:rPr>
        <w:t>ий отчет</w:t>
      </w:r>
      <w:r w:rsidRPr="0087022F">
        <w:rPr>
          <w:lang w:val="ru-RU"/>
        </w:rPr>
        <w:t>, относится к счетам Всемирного мероприятия ITU Telecom-201</w:t>
      </w:r>
      <w:r w:rsidR="009746FB" w:rsidRPr="0087022F">
        <w:rPr>
          <w:lang w:val="ru-RU"/>
        </w:rPr>
        <w:t>4</w:t>
      </w:r>
      <w:r w:rsidRPr="0087022F">
        <w:rPr>
          <w:lang w:val="ru-RU"/>
        </w:rPr>
        <w:t xml:space="preserve"> за период с 1 января 201</w:t>
      </w:r>
      <w:r w:rsidR="009746FB" w:rsidRPr="0087022F">
        <w:rPr>
          <w:lang w:val="ru-RU"/>
        </w:rPr>
        <w:t>4</w:t>
      </w:r>
      <w:r w:rsidRPr="0087022F">
        <w:rPr>
          <w:lang w:val="ru-RU"/>
        </w:rPr>
        <w:t> года по 31 декабря 201</w:t>
      </w:r>
      <w:r w:rsidR="009746FB" w:rsidRPr="0087022F">
        <w:rPr>
          <w:lang w:val="ru-RU"/>
        </w:rPr>
        <w:t>4</w:t>
      </w:r>
      <w:r w:rsidRPr="0087022F">
        <w:rPr>
          <w:lang w:val="ru-RU"/>
        </w:rPr>
        <w:t xml:space="preserve"> года. Эти счета отражают доходы и расходы в связи с </w:t>
      </w:r>
      <w:r w:rsidR="009746FB" w:rsidRPr="0087022F">
        <w:rPr>
          <w:lang w:val="ru-RU"/>
        </w:rPr>
        <w:t>данным</w:t>
      </w:r>
      <w:r w:rsidRPr="0087022F">
        <w:rPr>
          <w:lang w:val="ru-RU"/>
        </w:rPr>
        <w:t xml:space="preserve"> мероприятием и представляют другую дополнительную информацию для Совета МСЭ. Тем не менее, эти счета не должны рассматриваться в качестве финансовой отчетности, составленной в соответствии со стандартами IPSAS, </w:t>
      </w:r>
      <w:r w:rsidR="009746FB" w:rsidRPr="0087022F">
        <w:rPr>
          <w:lang w:val="ru-RU"/>
        </w:rPr>
        <w:t>несмотря на то</w:t>
      </w:r>
      <w:r w:rsidRPr="0087022F">
        <w:rPr>
          <w:lang w:val="ru-RU"/>
        </w:rPr>
        <w:t xml:space="preserve"> </w:t>
      </w:r>
      <w:r w:rsidR="009746FB" w:rsidRPr="0087022F">
        <w:rPr>
          <w:lang w:val="ru-RU"/>
        </w:rPr>
        <w:t xml:space="preserve">что </w:t>
      </w:r>
      <w:r w:rsidRPr="0087022F">
        <w:rPr>
          <w:lang w:val="ru-RU"/>
        </w:rPr>
        <w:t>МСЭ применяет эти стандарты с 1 января 2010 года. Только консолидированная финансовая отчетность МСЭ, не являющаяся предметом настоящей аудиторской проверки, составляется в</w:t>
      </w:r>
      <w:r w:rsidR="00413D78" w:rsidRPr="0087022F">
        <w:rPr>
          <w:lang w:val="ru-RU"/>
        </w:rPr>
        <w:t> </w:t>
      </w:r>
      <w:r w:rsidRPr="0087022F">
        <w:rPr>
          <w:lang w:val="ru-RU"/>
        </w:rPr>
        <w:t>соответствии с IPSAS.</w:t>
      </w:r>
    </w:p>
    <w:p w:rsidR="00CB7F68" w:rsidRPr="0087022F" w:rsidRDefault="00CB7F68" w:rsidP="00413D78">
      <w:pPr>
        <w:rPr>
          <w:lang w:val="ru-RU"/>
        </w:rPr>
      </w:pPr>
      <w:r w:rsidRPr="0087022F">
        <w:rPr>
          <w:lang w:val="ru-RU"/>
        </w:rPr>
        <w:lastRenderedPageBreak/>
        <w:t>9</w:t>
      </w:r>
      <w:r w:rsidRPr="0087022F">
        <w:rPr>
          <w:lang w:val="ru-RU"/>
        </w:rPr>
        <w:tab/>
        <w:t>Проверенные счета опубликованы в Приложени</w:t>
      </w:r>
      <w:r w:rsidR="009746FB" w:rsidRPr="0087022F">
        <w:rPr>
          <w:lang w:val="ru-RU"/>
        </w:rPr>
        <w:t>и</w:t>
      </w:r>
      <w:r w:rsidRPr="0087022F">
        <w:rPr>
          <w:lang w:val="ru-RU"/>
        </w:rPr>
        <w:t> А к </w:t>
      </w:r>
      <w:r w:rsidR="009746FB" w:rsidRPr="0087022F">
        <w:rPr>
          <w:lang w:val="ru-RU"/>
        </w:rPr>
        <w:t>Д</w:t>
      </w:r>
      <w:r w:rsidRPr="0087022F">
        <w:rPr>
          <w:lang w:val="ru-RU"/>
        </w:rPr>
        <w:t>окументу</w:t>
      </w:r>
      <w:r w:rsidR="009746FB" w:rsidRPr="0087022F">
        <w:rPr>
          <w:lang w:val="ru-RU"/>
        </w:rPr>
        <w:t> С15/40 Совета 2015 года</w:t>
      </w:r>
      <w:r w:rsidRPr="0087022F">
        <w:rPr>
          <w:lang w:val="ru-RU"/>
        </w:rPr>
        <w:t xml:space="preserve"> на</w:t>
      </w:r>
      <w:r w:rsidR="00413D78" w:rsidRPr="0087022F">
        <w:rPr>
          <w:lang w:val="ru-RU"/>
        </w:rPr>
        <w:t> </w:t>
      </w:r>
      <w:r w:rsidRPr="0087022F">
        <w:rPr>
          <w:lang w:val="ru-RU"/>
        </w:rPr>
        <w:t>английском языке. Другие приложения к этому документу (Приложения </w:t>
      </w:r>
      <w:r w:rsidR="009746FB" w:rsidRPr="0087022F">
        <w:rPr>
          <w:lang w:val="ru-RU"/>
        </w:rPr>
        <w:t xml:space="preserve">В, </w:t>
      </w:r>
      <w:r w:rsidRPr="0087022F">
        <w:rPr>
          <w:lang w:val="ru-RU"/>
        </w:rPr>
        <w:t>C, D</w:t>
      </w:r>
      <w:r w:rsidR="009746FB" w:rsidRPr="0087022F">
        <w:rPr>
          <w:lang w:val="ru-RU"/>
        </w:rPr>
        <w:t xml:space="preserve"> и</w:t>
      </w:r>
      <w:r w:rsidRPr="0087022F">
        <w:rPr>
          <w:lang w:val="ru-RU"/>
        </w:rPr>
        <w:t xml:space="preserve"> E) нами</w:t>
      </w:r>
      <w:r w:rsidR="009746FB" w:rsidRPr="0087022F">
        <w:rPr>
          <w:lang w:val="ru-RU"/>
        </w:rPr>
        <w:t xml:space="preserve"> получены</w:t>
      </w:r>
      <w:r w:rsidRPr="0087022F">
        <w:rPr>
          <w:lang w:val="ru-RU"/>
        </w:rPr>
        <w:t xml:space="preserve"> не </w:t>
      </w:r>
      <w:r w:rsidR="009746FB" w:rsidRPr="0087022F">
        <w:rPr>
          <w:lang w:val="ru-RU"/>
        </w:rPr>
        <w:t>были</w:t>
      </w:r>
      <w:r w:rsidRPr="0087022F">
        <w:rPr>
          <w:lang w:val="ru-RU"/>
        </w:rPr>
        <w:t xml:space="preserve">. Как </w:t>
      </w:r>
      <w:r w:rsidR="009746FB" w:rsidRPr="0087022F">
        <w:rPr>
          <w:lang w:val="ru-RU"/>
        </w:rPr>
        <w:t>отмечено также</w:t>
      </w:r>
      <w:r w:rsidRPr="0087022F">
        <w:rPr>
          <w:lang w:val="ru-RU"/>
        </w:rPr>
        <w:t xml:space="preserve"> в пункте 2, выше, данная аудиторская проверка не сопровождается аудиторским заключением. Предметом такого заключения является только консолидированная финансовая отчетность Союза.</w:t>
      </w:r>
    </w:p>
    <w:p w:rsidR="00CB7F68" w:rsidRPr="0087022F" w:rsidRDefault="00CB7F68" w:rsidP="00413D78">
      <w:pPr>
        <w:pStyle w:val="Heading2"/>
        <w:rPr>
          <w:lang w:val="ru-RU"/>
        </w:rPr>
      </w:pPr>
      <w:bookmarkStart w:id="31" w:name="_Toc399768427"/>
      <w:bookmarkStart w:id="32" w:name="_Toc419393849"/>
      <w:r w:rsidRPr="0087022F">
        <w:rPr>
          <w:lang w:val="ru-RU"/>
        </w:rPr>
        <w:t>Деятельность по проведению проверки</w:t>
      </w:r>
      <w:bookmarkEnd w:id="31"/>
      <w:bookmarkEnd w:id="32"/>
    </w:p>
    <w:p w:rsidR="00CB7F68" w:rsidRPr="0087022F" w:rsidRDefault="00CB7F68" w:rsidP="00413D78">
      <w:pPr>
        <w:rPr>
          <w:lang w:val="ru-RU"/>
        </w:rPr>
      </w:pPr>
      <w:r w:rsidRPr="0087022F">
        <w:rPr>
          <w:lang w:val="ru-RU"/>
        </w:rPr>
        <w:t>10</w:t>
      </w:r>
      <w:r w:rsidRPr="0087022F">
        <w:rPr>
          <w:lang w:val="ru-RU"/>
        </w:rPr>
        <w:tab/>
        <w:t xml:space="preserve">Наша аудиторская проверка проводилась в соответствии с основополагающими принципами аудита </w:t>
      </w:r>
      <w:r w:rsidR="00E46841" w:rsidRPr="0087022F">
        <w:rPr>
          <w:color w:val="000000"/>
          <w:lang w:val="ru-RU"/>
        </w:rPr>
        <w:t>Международных стандартов для высших ревизионных учреждений (МСВРУ)</w:t>
      </w:r>
      <w:r w:rsidR="00E46841" w:rsidRPr="0087022F">
        <w:rPr>
          <w:lang w:val="ru-RU"/>
        </w:rPr>
        <w:t>,</w:t>
      </w:r>
      <w:r w:rsidR="00E46841" w:rsidRPr="0087022F">
        <w:rPr>
          <w:color w:val="000000"/>
          <w:lang w:val="ru-RU"/>
        </w:rPr>
        <w:t xml:space="preserve"> опубликованными Международной организацией высших ревизионных учреждений (МОВРУ), </w:t>
      </w:r>
      <w:r w:rsidRPr="0087022F">
        <w:rPr>
          <w:lang w:val="ru-RU"/>
        </w:rPr>
        <w:t>и</w:t>
      </w:r>
      <w:r w:rsidR="00413D78" w:rsidRPr="0087022F">
        <w:rPr>
          <w:lang w:val="ru-RU"/>
        </w:rPr>
        <w:t> </w:t>
      </w:r>
      <w:r w:rsidRPr="0087022F">
        <w:rPr>
          <w:lang w:val="ru-RU"/>
        </w:rPr>
        <w:t>дополнительными полномочиями, являющимися составной частью Финансового регламента Союза.</w:t>
      </w:r>
    </w:p>
    <w:p w:rsidR="00CB7F68" w:rsidRPr="0087022F" w:rsidRDefault="00CB7F68" w:rsidP="00926940">
      <w:pPr>
        <w:rPr>
          <w:lang w:val="ru-RU"/>
        </w:rPr>
      </w:pPr>
      <w:r w:rsidRPr="0087022F">
        <w:rPr>
          <w:lang w:val="ru-RU"/>
        </w:rPr>
        <w:t>11</w:t>
      </w:r>
      <w:r w:rsidRPr="0087022F">
        <w:rPr>
          <w:lang w:val="ru-RU"/>
        </w:rPr>
        <w:tab/>
        <w:t xml:space="preserve">Мы планировали деятельность в соответствии с нашей стратегией проведения </w:t>
      </w:r>
      <w:r w:rsidR="00E46841" w:rsidRPr="0087022F">
        <w:rPr>
          <w:lang w:val="ru-RU"/>
        </w:rPr>
        <w:t xml:space="preserve">аудиторских </w:t>
      </w:r>
      <w:r w:rsidRPr="0087022F">
        <w:rPr>
          <w:lang w:val="ru-RU"/>
        </w:rPr>
        <w:t>провер</w:t>
      </w:r>
      <w:r w:rsidR="00E46841" w:rsidRPr="0087022F">
        <w:rPr>
          <w:lang w:val="ru-RU"/>
        </w:rPr>
        <w:t>ок</w:t>
      </w:r>
      <w:r w:rsidRPr="0087022F">
        <w:rPr>
          <w:lang w:val="ru-RU"/>
        </w:rPr>
        <w:t xml:space="preserve">, с тем чтобы </w:t>
      </w:r>
      <w:r w:rsidR="00926940" w:rsidRPr="0087022F">
        <w:rPr>
          <w:lang w:val="ru-RU"/>
        </w:rPr>
        <w:t xml:space="preserve">добиться разумной уверенности в </w:t>
      </w:r>
      <w:r w:rsidRPr="0087022F">
        <w:rPr>
          <w:color w:val="000000"/>
          <w:lang w:val="ru-RU"/>
        </w:rPr>
        <w:t>отсутстви</w:t>
      </w:r>
      <w:r w:rsidR="00926940" w:rsidRPr="0087022F">
        <w:rPr>
          <w:color w:val="000000"/>
          <w:lang w:val="ru-RU"/>
        </w:rPr>
        <w:t>и</w:t>
      </w:r>
      <w:r w:rsidRPr="0087022F">
        <w:rPr>
          <w:color w:val="000000"/>
          <w:lang w:val="ru-RU"/>
        </w:rPr>
        <w:t xml:space="preserve"> существенн</w:t>
      </w:r>
      <w:r w:rsidR="00926940" w:rsidRPr="0087022F">
        <w:rPr>
          <w:color w:val="000000"/>
          <w:lang w:val="ru-RU"/>
        </w:rPr>
        <w:t>ых</w:t>
      </w:r>
      <w:r w:rsidRPr="0087022F">
        <w:rPr>
          <w:color w:val="000000"/>
          <w:lang w:val="ru-RU"/>
        </w:rPr>
        <w:t xml:space="preserve"> искажени</w:t>
      </w:r>
      <w:r w:rsidR="00926940" w:rsidRPr="0087022F">
        <w:rPr>
          <w:color w:val="000000"/>
          <w:lang w:val="ru-RU"/>
        </w:rPr>
        <w:t>й</w:t>
      </w:r>
      <w:r w:rsidRPr="0087022F">
        <w:rPr>
          <w:lang w:val="ru-RU"/>
        </w:rPr>
        <w:t>.</w:t>
      </w:r>
    </w:p>
    <w:p w:rsidR="00926940" w:rsidRPr="0087022F" w:rsidRDefault="00CB7F68" w:rsidP="00CB7F68">
      <w:pPr>
        <w:rPr>
          <w:lang w:val="ru-RU"/>
        </w:rPr>
      </w:pPr>
      <w:r w:rsidRPr="0087022F">
        <w:rPr>
          <w:lang w:val="ru-RU"/>
        </w:rPr>
        <w:t>12</w:t>
      </w:r>
      <w:r w:rsidRPr="0087022F">
        <w:rPr>
          <w:lang w:val="ru-RU"/>
        </w:rPr>
        <w:tab/>
      </w:r>
      <w:r w:rsidRPr="0087022F">
        <w:rPr>
          <w:cs/>
          <w:lang w:val="ru-RU"/>
        </w:rPr>
        <w:t>‎</w:t>
      </w:r>
      <w:r w:rsidR="00926940" w:rsidRPr="0087022F">
        <w:rPr>
          <w:lang w:val="ru-RU"/>
        </w:rPr>
        <w:t>Мы убедились, что ведомость прибылей и убытков по Всемирному мероприятию ITU Telecom-2014 по состоянию на 31 декабря 2014 года соответствует представленным нам счетам, проверив на выборочной основе, что записи, относящиеся к мероприятию, отнесены верно. Аудиторская проверка охватывала бухгалтерский учет, доходы и расходы и признание результата.</w:t>
      </w:r>
    </w:p>
    <w:p w:rsidR="00926940" w:rsidRPr="0087022F" w:rsidRDefault="00926940" w:rsidP="00413D78">
      <w:pPr>
        <w:rPr>
          <w:lang w:val="ru-RU"/>
        </w:rPr>
      </w:pPr>
      <w:r w:rsidRPr="0087022F">
        <w:rPr>
          <w:lang w:val="ru-RU"/>
        </w:rPr>
        <w:t>13</w:t>
      </w:r>
      <w:r w:rsidRPr="0087022F">
        <w:rPr>
          <w:lang w:val="ru-RU"/>
        </w:rPr>
        <w:tab/>
        <w:t>Мы обсудили и уточнили все вопросы с ответственными должностными лицами в ходе проверки; мы проверили на выборочной основе ряд операций и соответствующую документацию и</w:t>
      </w:r>
      <w:r w:rsidR="00413D78" w:rsidRPr="0087022F">
        <w:rPr>
          <w:lang w:val="ru-RU"/>
        </w:rPr>
        <w:t> </w:t>
      </w:r>
      <w:r w:rsidRPr="0087022F">
        <w:rPr>
          <w:lang w:val="ru-RU"/>
        </w:rPr>
        <w:t>получили достаточные и надежные подтверждения счетов Всемирного мероприятия ITU Telecom</w:t>
      </w:r>
      <w:r w:rsidRPr="0087022F">
        <w:rPr>
          <w:lang w:val="ru-RU"/>
        </w:rPr>
        <w:noBreakHyphen/>
        <w:t>2014.</w:t>
      </w:r>
    </w:p>
    <w:p w:rsidR="007C6FE3" w:rsidRPr="0087022F" w:rsidRDefault="007C6FE3" w:rsidP="00413D78">
      <w:pPr>
        <w:rPr>
          <w:lang w:val="ru-RU"/>
        </w:rPr>
      </w:pPr>
      <w:r w:rsidRPr="0087022F">
        <w:rPr>
          <w:lang w:val="ru-RU"/>
        </w:rPr>
        <w:t>14</w:t>
      </w:r>
      <w:r w:rsidRPr="0087022F">
        <w:rPr>
          <w:lang w:val="ru-RU"/>
        </w:rPr>
        <w:tab/>
      </w:r>
      <w:r w:rsidR="006478FD" w:rsidRPr="0087022F">
        <w:rPr>
          <w:lang w:val="ru-RU"/>
        </w:rPr>
        <w:t xml:space="preserve">Мы представили свой проект отчета об аудиторской проверке в Департамент </w:t>
      </w:r>
      <w:r w:rsidR="006478FD" w:rsidRPr="0087022F">
        <w:rPr>
          <w:cs/>
          <w:lang w:val="ru-RU"/>
        </w:rPr>
        <w:t>‎</w:t>
      </w:r>
      <w:r w:rsidR="006478FD" w:rsidRPr="0087022F">
        <w:rPr>
          <w:lang w:val="ru-RU"/>
        </w:rPr>
        <w:t xml:space="preserve">управления финансовыми ресурсами и Секретариат ITU </w:t>
      </w:r>
      <w:proofErr w:type="spellStart"/>
      <w:r w:rsidR="006478FD" w:rsidRPr="0087022F">
        <w:rPr>
          <w:lang w:val="ru-RU"/>
        </w:rPr>
        <w:t>Telecom</w:t>
      </w:r>
      <w:proofErr w:type="spellEnd"/>
      <w:r w:rsidR="006478FD" w:rsidRPr="0087022F">
        <w:rPr>
          <w:lang w:val="ru-RU"/>
        </w:rPr>
        <w:t xml:space="preserve"> </w:t>
      </w:r>
      <w:r w:rsidRPr="0087022F">
        <w:rPr>
          <w:lang w:val="ru-RU"/>
        </w:rPr>
        <w:t>30 марта 2015 года. В соответствии со</w:t>
      </w:r>
      <w:r w:rsidR="00413D78" w:rsidRPr="0087022F">
        <w:rPr>
          <w:lang w:val="ru-RU"/>
        </w:rPr>
        <w:t> </w:t>
      </w:r>
      <w:r w:rsidRPr="0087022F">
        <w:rPr>
          <w:lang w:val="ru-RU"/>
        </w:rPr>
        <w:t>Статьей</w:t>
      </w:r>
      <w:r w:rsidR="006478FD" w:rsidRPr="0087022F">
        <w:rPr>
          <w:lang w:val="ru-RU"/>
        </w:rPr>
        <w:t> </w:t>
      </w:r>
      <w:r w:rsidRPr="0087022F">
        <w:rPr>
          <w:lang w:val="ru-RU"/>
        </w:rPr>
        <w:t xml:space="preserve">19 </w:t>
      </w:r>
      <w:r w:rsidRPr="0087022F">
        <w:rPr>
          <w:cs/>
          <w:lang w:val="ru-RU"/>
        </w:rPr>
        <w:t>‎</w:t>
      </w:r>
      <w:r w:rsidRPr="0087022F">
        <w:rPr>
          <w:lang w:val="ru-RU"/>
        </w:rPr>
        <w:t>Финансового регламента и Финансовых правил МСЭ этот отчет включает области, требующие улучшения, а также рекомендации и предложения, которые должны быть доведены до</w:t>
      </w:r>
      <w:r w:rsidR="00413D78" w:rsidRPr="0087022F">
        <w:rPr>
          <w:lang w:val="ru-RU"/>
        </w:rPr>
        <w:t> </w:t>
      </w:r>
      <w:r w:rsidRPr="0087022F">
        <w:rPr>
          <w:lang w:val="ru-RU"/>
        </w:rPr>
        <w:t>сведения Совета.</w:t>
      </w:r>
      <w:r w:rsidR="006478FD" w:rsidRPr="0087022F">
        <w:rPr>
          <w:lang w:val="ru-RU"/>
        </w:rPr>
        <w:t xml:space="preserve"> Комментарии Генерального секретаря мы получили 28 апреля 2015 года.</w:t>
      </w:r>
    </w:p>
    <w:p w:rsidR="006478FD" w:rsidRPr="0087022F" w:rsidRDefault="006478FD" w:rsidP="006478FD">
      <w:pPr>
        <w:rPr>
          <w:lang w:val="ru-RU"/>
        </w:rPr>
      </w:pPr>
      <w:r w:rsidRPr="0087022F">
        <w:rPr>
          <w:lang w:val="ru-RU"/>
        </w:rPr>
        <w:t>15</w:t>
      </w:r>
      <w:r w:rsidRPr="0087022F">
        <w:rPr>
          <w:lang w:val="ru-RU"/>
        </w:rPr>
        <w:tab/>
        <w:t>Нам было сообщено, что никаких официальных обращений в суд или судебных разбирательств в отношении Союза в рамках Всемирного мероприятия ITU Telecom-2014 не было, как не было нам сообщено и о случаях мошенничества или предполагаемого мошенничества.</w:t>
      </w:r>
    </w:p>
    <w:p w:rsidR="00CB7F68" w:rsidRPr="0087022F" w:rsidRDefault="00CB7F68" w:rsidP="00413D78">
      <w:pPr>
        <w:pStyle w:val="Heading2"/>
        <w:rPr>
          <w:lang w:val="ru-RU"/>
        </w:rPr>
      </w:pPr>
      <w:bookmarkStart w:id="33" w:name="_Toc355894293"/>
      <w:bookmarkStart w:id="34" w:name="_Toc358196989"/>
      <w:bookmarkStart w:id="35" w:name="_Toc358197250"/>
      <w:bookmarkStart w:id="36" w:name="_Toc399768428"/>
      <w:bookmarkStart w:id="37" w:name="_Toc419393850"/>
      <w:r w:rsidRPr="0087022F">
        <w:rPr>
          <w:lang w:val="ru-RU"/>
        </w:rPr>
        <w:t>Выражения признательности</w:t>
      </w:r>
      <w:bookmarkEnd w:id="33"/>
      <w:bookmarkEnd w:id="34"/>
      <w:bookmarkEnd w:id="35"/>
      <w:bookmarkEnd w:id="36"/>
      <w:bookmarkEnd w:id="37"/>
    </w:p>
    <w:p w:rsidR="00CB7F68" w:rsidRPr="0087022F" w:rsidRDefault="006478FD" w:rsidP="00C76FE2">
      <w:pPr>
        <w:rPr>
          <w:lang w:val="ru-RU"/>
        </w:rPr>
      </w:pPr>
      <w:r w:rsidRPr="0087022F">
        <w:rPr>
          <w:lang w:val="ru-RU"/>
        </w:rPr>
        <w:t>16</w:t>
      </w:r>
      <w:r w:rsidR="00CB7F68" w:rsidRPr="0087022F">
        <w:rPr>
          <w:lang w:val="ru-RU"/>
        </w:rPr>
        <w:tab/>
      </w:r>
      <w:r w:rsidRPr="0087022F">
        <w:rPr>
          <w:lang w:val="ru-RU"/>
        </w:rPr>
        <w:t>Мы х</w:t>
      </w:r>
      <w:r w:rsidR="00CB7F68" w:rsidRPr="0087022F">
        <w:rPr>
          <w:lang w:val="ru-RU"/>
        </w:rPr>
        <w:t xml:space="preserve">отели бы выразить свою благодарность всем сотрудникам МСЭ, которые открыто </w:t>
      </w:r>
      <w:r w:rsidRPr="0087022F">
        <w:rPr>
          <w:lang w:val="ru-RU"/>
        </w:rPr>
        <w:t xml:space="preserve">сотрудничали </w:t>
      </w:r>
      <w:r w:rsidR="00CB7F68" w:rsidRPr="0087022F">
        <w:rPr>
          <w:lang w:val="ru-RU"/>
        </w:rPr>
        <w:t>с нами и которы</w:t>
      </w:r>
      <w:r w:rsidRPr="0087022F">
        <w:rPr>
          <w:lang w:val="ru-RU"/>
        </w:rPr>
        <w:t>х мы просили</w:t>
      </w:r>
      <w:r w:rsidR="00CB7F68" w:rsidRPr="0087022F">
        <w:rPr>
          <w:lang w:val="ru-RU"/>
        </w:rPr>
        <w:t xml:space="preserve"> предостави</w:t>
      </w:r>
      <w:r w:rsidR="00C76FE2" w:rsidRPr="0087022F">
        <w:rPr>
          <w:lang w:val="ru-RU"/>
        </w:rPr>
        <w:t>ть</w:t>
      </w:r>
      <w:r w:rsidR="00CB7F68" w:rsidRPr="0087022F">
        <w:rPr>
          <w:lang w:val="ru-RU"/>
        </w:rPr>
        <w:t xml:space="preserve"> информацию и документы.</w:t>
      </w:r>
    </w:p>
    <w:p w:rsidR="00CB7F68" w:rsidRPr="0087022F" w:rsidRDefault="00AC4FCF" w:rsidP="00413D78">
      <w:pPr>
        <w:pStyle w:val="Heading1"/>
        <w:rPr>
          <w:lang w:val="ru-RU"/>
        </w:rPr>
      </w:pPr>
      <w:bookmarkStart w:id="38" w:name="_Toc355894294"/>
      <w:bookmarkStart w:id="39" w:name="_Toc358196990"/>
      <w:bookmarkStart w:id="40" w:name="_Toc358197251"/>
      <w:bookmarkStart w:id="41" w:name="_Toc399768429"/>
      <w:bookmarkStart w:id="42" w:name="_Toc419393851"/>
      <w:r w:rsidRPr="0087022F">
        <w:rPr>
          <w:lang w:val="ru-RU"/>
        </w:rPr>
        <w:t>ПЕРЕХОД НА IPSAS</w:t>
      </w:r>
      <w:bookmarkEnd w:id="38"/>
      <w:bookmarkEnd w:id="39"/>
      <w:bookmarkEnd w:id="40"/>
      <w:bookmarkEnd w:id="41"/>
      <w:bookmarkEnd w:id="42"/>
    </w:p>
    <w:p w:rsidR="00CB7F68" w:rsidRPr="0087022F" w:rsidRDefault="00AC4FCF" w:rsidP="00AC4FCF">
      <w:pPr>
        <w:rPr>
          <w:lang w:val="ru-RU"/>
        </w:rPr>
      </w:pPr>
      <w:r w:rsidRPr="0087022F">
        <w:rPr>
          <w:lang w:val="ru-RU"/>
        </w:rPr>
        <w:t>17</w:t>
      </w:r>
      <w:r w:rsidR="00CB7F68" w:rsidRPr="0087022F">
        <w:rPr>
          <w:lang w:val="ru-RU"/>
        </w:rPr>
        <w:tab/>
        <w:t xml:space="preserve">Вследствие перехода на IPSAS счета Всемирных мероприятий ITU </w:t>
      </w:r>
      <w:proofErr w:type="spellStart"/>
      <w:r w:rsidR="00CB7F68" w:rsidRPr="0087022F">
        <w:rPr>
          <w:lang w:val="ru-RU"/>
        </w:rPr>
        <w:t>Telecom</w:t>
      </w:r>
      <w:proofErr w:type="spellEnd"/>
      <w:r w:rsidR="00CB7F68" w:rsidRPr="0087022F">
        <w:rPr>
          <w:lang w:val="ru-RU"/>
        </w:rPr>
        <w:t xml:space="preserve"> закрываются не позднее завершения финансового года, в течение которого проводилось мероприятие, с тем чтобы соблюсти принцип начисления. Так, счета Всемирного мероприятия ITU Telecom-201</w:t>
      </w:r>
      <w:r w:rsidRPr="0087022F">
        <w:rPr>
          <w:lang w:val="ru-RU"/>
        </w:rPr>
        <w:t>4</w:t>
      </w:r>
      <w:r w:rsidR="00CB7F68" w:rsidRPr="0087022F">
        <w:rPr>
          <w:lang w:val="ru-RU"/>
        </w:rPr>
        <w:t xml:space="preserve"> были закрыты 31 декабря 201</w:t>
      </w:r>
      <w:r w:rsidRPr="0087022F">
        <w:rPr>
          <w:lang w:val="ru-RU"/>
        </w:rPr>
        <w:t>4</w:t>
      </w:r>
      <w:r w:rsidR="00CB7F68" w:rsidRPr="0087022F">
        <w:rPr>
          <w:lang w:val="ru-RU"/>
        </w:rPr>
        <w:t xml:space="preserve"> года. </w:t>
      </w:r>
    </w:p>
    <w:p w:rsidR="00CB7F68" w:rsidRPr="0087022F" w:rsidRDefault="00737C9C" w:rsidP="00413D78">
      <w:pPr>
        <w:pStyle w:val="Heading1"/>
        <w:rPr>
          <w:lang w:val="ru-RU"/>
        </w:rPr>
      </w:pPr>
      <w:bookmarkStart w:id="43" w:name="_Toc358196991"/>
      <w:bookmarkStart w:id="44" w:name="_Toc358197252"/>
      <w:bookmarkStart w:id="45" w:name="_Toc399768430"/>
      <w:bookmarkStart w:id="46" w:name="_Toc419393852"/>
      <w:r w:rsidRPr="0087022F">
        <w:rPr>
          <w:lang w:val="ru-RU"/>
        </w:rPr>
        <w:t>ОСНОВНЫЕ ПОКАЗАТЕЛИ</w:t>
      </w:r>
      <w:bookmarkEnd w:id="43"/>
      <w:bookmarkEnd w:id="44"/>
      <w:bookmarkEnd w:id="45"/>
      <w:bookmarkEnd w:id="46"/>
      <w:r w:rsidRPr="0087022F">
        <w:rPr>
          <w:lang w:val="ru-RU"/>
        </w:rPr>
        <w:t xml:space="preserve"> </w:t>
      </w:r>
    </w:p>
    <w:p w:rsidR="006C3234" w:rsidRPr="0087022F" w:rsidRDefault="00CB7F68" w:rsidP="006C3234">
      <w:pPr>
        <w:rPr>
          <w:lang w:val="ru-RU"/>
        </w:rPr>
      </w:pPr>
      <w:r w:rsidRPr="0087022F">
        <w:rPr>
          <w:lang w:val="ru-RU"/>
        </w:rPr>
        <w:t>23</w:t>
      </w:r>
      <w:r w:rsidRPr="0087022F">
        <w:rPr>
          <w:lang w:val="ru-RU"/>
        </w:rPr>
        <w:tab/>
        <w:t xml:space="preserve">Ниже в таблице приводятся </w:t>
      </w:r>
      <w:r w:rsidR="00227160" w:rsidRPr="0087022F">
        <w:rPr>
          <w:lang w:val="ru-RU"/>
        </w:rPr>
        <w:t>предусмотренны</w:t>
      </w:r>
      <w:r w:rsidR="00737C9C" w:rsidRPr="0087022F">
        <w:rPr>
          <w:lang w:val="ru-RU"/>
        </w:rPr>
        <w:t>е</w:t>
      </w:r>
      <w:r w:rsidR="00227160" w:rsidRPr="0087022F">
        <w:rPr>
          <w:lang w:val="ru-RU"/>
        </w:rPr>
        <w:t xml:space="preserve"> в бюджете и фактические </w:t>
      </w:r>
      <w:r w:rsidRPr="0087022F">
        <w:rPr>
          <w:lang w:val="ru-RU"/>
        </w:rPr>
        <w:t>общие расход</w:t>
      </w:r>
      <w:r w:rsidR="00227160" w:rsidRPr="0087022F">
        <w:rPr>
          <w:lang w:val="ru-RU"/>
        </w:rPr>
        <w:t>ы</w:t>
      </w:r>
      <w:r w:rsidRPr="0087022F">
        <w:rPr>
          <w:lang w:val="ru-RU"/>
        </w:rPr>
        <w:t xml:space="preserve"> </w:t>
      </w:r>
    </w:p>
    <w:tbl>
      <w:tblPr>
        <w:tblW w:w="966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1276"/>
        <w:gridCol w:w="1559"/>
        <w:gridCol w:w="1276"/>
        <w:gridCol w:w="1843"/>
        <w:gridCol w:w="1842"/>
      </w:tblGrid>
      <w:tr w:rsidR="006C3234" w:rsidRPr="004249CF" w:rsidTr="00B82F9B">
        <w:trPr>
          <w:trHeight w:val="1119"/>
        </w:trPr>
        <w:tc>
          <w:tcPr>
            <w:tcW w:w="1873" w:type="dxa"/>
            <w:shd w:val="solid" w:color="C0C0C0" w:fill="auto"/>
            <w:vAlign w:val="center"/>
          </w:tcPr>
          <w:p w:rsidR="006C3234" w:rsidRPr="0087022F" w:rsidRDefault="006C3234" w:rsidP="006C3234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lastRenderedPageBreak/>
              <w:t xml:space="preserve">Всемирное мероприятие </w:t>
            </w:r>
            <w:r w:rsidRPr="0087022F">
              <w:rPr>
                <w:sz w:val="18"/>
                <w:szCs w:val="18"/>
                <w:lang w:val="ru-RU" w:eastAsia="zh-CN"/>
              </w:rPr>
              <w:br/>
              <w:t xml:space="preserve">ITU </w:t>
            </w:r>
            <w:proofErr w:type="spellStart"/>
            <w:r w:rsidRPr="0087022F">
              <w:rPr>
                <w:sz w:val="18"/>
                <w:szCs w:val="18"/>
                <w:lang w:val="ru-RU" w:eastAsia="zh-CN"/>
              </w:rPr>
              <w:t>Telecom</w:t>
            </w:r>
            <w:proofErr w:type="spellEnd"/>
            <w:r w:rsidRPr="0087022F">
              <w:rPr>
                <w:sz w:val="18"/>
                <w:szCs w:val="18"/>
                <w:lang w:val="ru-RU" w:eastAsia="zh-CN"/>
              </w:rPr>
              <w:t xml:space="preserve"> 2014</w:t>
            </w:r>
          </w:p>
        </w:tc>
        <w:tc>
          <w:tcPr>
            <w:tcW w:w="1276" w:type="dxa"/>
            <w:shd w:val="solid" w:color="C0C0C0" w:fill="auto"/>
            <w:vAlign w:val="center"/>
          </w:tcPr>
          <w:p w:rsidR="006C3234" w:rsidRPr="0087022F" w:rsidRDefault="006C3234" w:rsidP="006C3234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 xml:space="preserve">Бюджет </w:t>
            </w:r>
            <w:r w:rsidRPr="0087022F">
              <w:rPr>
                <w:sz w:val="18"/>
                <w:szCs w:val="18"/>
                <w:lang w:val="ru-RU" w:eastAsia="zh-CN"/>
              </w:rPr>
              <w:br/>
              <w:t>(09.06.2014 г.)</w:t>
            </w:r>
            <w:r w:rsidRPr="0087022F">
              <w:rPr>
                <w:sz w:val="18"/>
                <w:szCs w:val="18"/>
                <w:lang w:val="ru-RU" w:eastAsia="zh-CN"/>
              </w:rPr>
              <w:br/>
            </w:r>
            <w:proofErr w:type="spellStart"/>
            <w:r w:rsidRPr="0087022F">
              <w:rPr>
                <w:sz w:val="18"/>
                <w:szCs w:val="18"/>
                <w:lang w:val="ru-RU" w:eastAsia="zh-CN"/>
              </w:rPr>
              <w:t>шв</w:t>
            </w:r>
            <w:proofErr w:type="spellEnd"/>
            <w:r w:rsidRPr="0087022F">
              <w:rPr>
                <w:sz w:val="18"/>
                <w:szCs w:val="18"/>
                <w:lang w:val="ru-RU" w:eastAsia="zh-CN"/>
              </w:rPr>
              <w:t>. фр.</w:t>
            </w:r>
          </w:p>
        </w:tc>
        <w:tc>
          <w:tcPr>
            <w:tcW w:w="1559" w:type="dxa"/>
            <w:shd w:val="solid" w:color="C0C0C0" w:fill="auto"/>
            <w:vAlign w:val="center"/>
          </w:tcPr>
          <w:p w:rsidR="006C3234" w:rsidRPr="0087022F" w:rsidRDefault="006C3234" w:rsidP="006C3234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 xml:space="preserve">Пересмотренный бюджет </w:t>
            </w:r>
            <w:r w:rsidRPr="0087022F">
              <w:rPr>
                <w:sz w:val="18"/>
                <w:szCs w:val="18"/>
                <w:lang w:val="ru-RU" w:eastAsia="zh-CN"/>
              </w:rPr>
              <w:br/>
              <w:t xml:space="preserve">(31.10.2014 г.) </w:t>
            </w:r>
            <w:r w:rsidRPr="0087022F">
              <w:rPr>
                <w:sz w:val="18"/>
                <w:szCs w:val="18"/>
                <w:lang w:val="ru-RU" w:eastAsia="zh-CN"/>
              </w:rPr>
              <w:br/>
            </w:r>
            <w:proofErr w:type="spellStart"/>
            <w:r w:rsidRPr="0087022F">
              <w:rPr>
                <w:sz w:val="18"/>
                <w:szCs w:val="18"/>
                <w:lang w:val="ru-RU" w:eastAsia="zh-CN"/>
              </w:rPr>
              <w:t>шв</w:t>
            </w:r>
            <w:proofErr w:type="spellEnd"/>
            <w:r w:rsidRPr="0087022F">
              <w:rPr>
                <w:sz w:val="18"/>
                <w:szCs w:val="18"/>
                <w:lang w:val="ru-RU" w:eastAsia="zh-CN"/>
              </w:rPr>
              <w:t>. фр.</w:t>
            </w:r>
          </w:p>
        </w:tc>
        <w:tc>
          <w:tcPr>
            <w:tcW w:w="1276" w:type="dxa"/>
            <w:shd w:val="solid" w:color="C0C0C0" w:fill="auto"/>
            <w:vAlign w:val="center"/>
          </w:tcPr>
          <w:p w:rsidR="006C3234" w:rsidRPr="0087022F" w:rsidRDefault="006C3234" w:rsidP="006C3234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Фактический результат</w:t>
            </w:r>
            <w:r w:rsidRPr="0087022F">
              <w:rPr>
                <w:sz w:val="18"/>
                <w:szCs w:val="18"/>
                <w:lang w:val="ru-RU" w:eastAsia="zh-CN"/>
              </w:rPr>
              <w:br/>
            </w:r>
            <w:proofErr w:type="spellStart"/>
            <w:r w:rsidRPr="0087022F">
              <w:rPr>
                <w:sz w:val="18"/>
                <w:szCs w:val="18"/>
                <w:lang w:val="ru-RU" w:eastAsia="zh-CN"/>
              </w:rPr>
              <w:t>шв</w:t>
            </w:r>
            <w:proofErr w:type="spellEnd"/>
            <w:r w:rsidRPr="0087022F">
              <w:rPr>
                <w:sz w:val="18"/>
                <w:szCs w:val="18"/>
                <w:lang w:val="ru-RU" w:eastAsia="zh-CN"/>
              </w:rPr>
              <w:t>. фр.</w:t>
            </w:r>
          </w:p>
        </w:tc>
        <w:tc>
          <w:tcPr>
            <w:tcW w:w="1843" w:type="dxa"/>
            <w:shd w:val="solid" w:color="C0C0C0" w:fill="auto"/>
            <w:vAlign w:val="center"/>
          </w:tcPr>
          <w:p w:rsidR="006C3234" w:rsidRPr="0087022F" w:rsidRDefault="006C3234" w:rsidP="006C3234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Расхождение между фактическим и первоначальным бюджетом</w:t>
            </w:r>
            <w:r w:rsidRPr="0087022F">
              <w:rPr>
                <w:sz w:val="18"/>
                <w:szCs w:val="18"/>
                <w:lang w:val="ru-RU" w:eastAsia="zh-CN"/>
              </w:rPr>
              <w:br/>
              <w:t>%</w:t>
            </w:r>
          </w:p>
        </w:tc>
        <w:tc>
          <w:tcPr>
            <w:tcW w:w="1842" w:type="dxa"/>
            <w:shd w:val="solid" w:color="C0C0C0" w:fill="auto"/>
            <w:vAlign w:val="center"/>
          </w:tcPr>
          <w:p w:rsidR="006C3234" w:rsidRPr="0087022F" w:rsidRDefault="006C3234" w:rsidP="006C3234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Расхождение между фактическим и пересмотренным бюджетом</w:t>
            </w:r>
            <w:r w:rsidRPr="0087022F">
              <w:rPr>
                <w:sz w:val="18"/>
                <w:szCs w:val="18"/>
                <w:lang w:val="ru-RU" w:eastAsia="zh-CN"/>
              </w:rPr>
              <w:br/>
              <w:t>%</w:t>
            </w:r>
          </w:p>
        </w:tc>
      </w:tr>
      <w:tr w:rsidR="006C3234" w:rsidRPr="0087022F" w:rsidTr="00B82F9B">
        <w:trPr>
          <w:trHeight w:val="290"/>
        </w:trPr>
        <w:tc>
          <w:tcPr>
            <w:tcW w:w="1873" w:type="dxa"/>
          </w:tcPr>
          <w:p w:rsidR="006C3234" w:rsidRPr="0087022F" w:rsidRDefault="006C3234" w:rsidP="006C3234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Доходы</w:t>
            </w:r>
          </w:p>
        </w:tc>
        <w:tc>
          <w:tcPr>
            <w:tcW w:w="1276" w:type="dxa"/>
          </w:tcPr>
          <w:p w:rsidR="006C3234" w:rsidRPr="0087022F" w:rsidRDefault="006C3234" w:rsidP="006C3234">
            <w:pPr>
              <w:pStyle w:val="Tabletext"/>
              <w:tabs>
                <w:tab w:val="clear" w:pos="1134"/>
                <w:tab w:val="clear" w:pos="1418"/>
              </w:tabs>
              <w:ind w:right="111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12 000 000</w:t>
            </w:r>
          </w:p>
        </w:tc>
        <w:tc>
          <w:tcPr>
            <w:tcW w:w="1559" w:type="dxa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9 462 000</w:t>
            </w:r>
          </w:p>
        </w:tc>
        <w:tc>
          <w:tcPr>
            <w:tcW w:w="1276" w:type="dxa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9 525 070,28</w:t>
            </w:r>
          </w:p>
        </w:tc>
        <w:tc>
          <w:tcPr>
            <w:tcW w:w="1843" w:type="dxa"/>
          </w:tcPr>
          <w:p w:rsidR="006C3234" w:rsidRPr="0087022F" w:rsidRDefault="006C3234" w:rsidP="004249CF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−20</w:t>
            </w:r>
            <w:r w:rsidR="004249CF">
              <w:rPr>
                <w:sz w:val="18"/>
                <w:szCs w:val="18"/>
                <w:lang w:val="ru-RU" w:eastAsia="zh-CN"/>
              </w:rPr>
              <w:t>,</w:t>
            </w:r>
            <w:bookmarkStart w:id="47" w:name="_GoBack"/>
            <w:bookmarkEnd w:id="47"/>
            <w:r w:rsidRPr="0087022F">
              <w:rPr>
                <w:sz w:val="18"/>
                <w:szCs w:val="18"/>
                <w:lang w:val="ru-RU" w:eastAsia="zh-CN"/>
              </w:rPr>
              <w:t>62</w:t>
            </w:r>
          </w:p>
        </w:tc>
        <w:tc>
          <w:tcPr>
            <w:tcW w:w="1842" w:type="dxa"/>
          </w:tcPr>
          <w:p w:rsidR="006C3234" w:rsidRPr="0087022F" w:rsidRDefault="006C3234" w:rsidP="006C3234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0,67</w:t>
            </w:r>
          </w:p>
        </w:tc>
      </w:tr>
      <w:tr w:rsidR="00B82F9B" w:rsidRPr="0087022F" w:rsidTr="00B82F9B">
        <w:trPr>
          <w:trHeight w:val="290"/>
        </w:trPr>
        <w:tc>
          <w:tcPr>
            <w:tcW w:w="1873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Расходы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134"/>
                <w:tab w:val="clear" w:pos="1418"/>
              </w:tabs>
              <w:ind w:right="111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11 483 500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9 431 500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8 740 564,52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−23,89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sz w:val="18"/>
                <w:szCs w:val="18"/>
                <w:lang w:val="ru-RU" w:eastAsia="zh-CN"/>
              </w:rPr>
            </w:pPr>
            <w:r w:rsidRPr="0087022F">
              <w:rPr>
                <w:sz w:val="18"/>
                <w:szCs w:val="18"/>
                <w:lang w:val="ru-RU" w:eastAsia="zh-CN"/>
              </w:rPr>
              <w:t>−7,33</w:t>
            </w:r>
          </w:p>
        </w:tc>
      </w:tr>
      <w:tr w:rsidR="00B82F9B" w:rsidRPr="0087022F" w:rsidTr="00B82F9B">
        <w:trPr>
          <w:trHeight w:val="290"/>
        </w:trPr>
        <w:tc>
          <w:tcPr>
            <w:tcW w:w="1873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Прямые расходы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134"/>
                <w:tab w:val="clear" w:pos="1418"/>
              </w:tabs>
              <w:ind w:right="111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6 635 500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5 031 500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4 481 624,03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−32,46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−10,93</w:t>
            </w:r>
          </w:p>
        </w:tc>
      </w:tr>
      <w:tr w:rsidR="00B82F9B" w:rsidRPr="0087022F" w:rsidTr="00B82F9B">
        <w:trPr>
          <w:trHeight w:val="290"/>
        </w:trPr>
        <w:tc>
          <w:tcPr>
            <w:tcW w:w="1873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Основные доходы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134"/>
                <w:tab w:val="clear" w:pos="1418"/>
              </w:tabs>
              <w:ind w:right="111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4 848 000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4 400 000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4 258 940,46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−12,15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C3234" w:rsidRPr="0087022F" w:rsidRDefault="006C3234" w:rsidP="006C3234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i/>
                <w:iCs/>
                <w:sz w:val="18"/>
                <w:szCs w:val="18"/>
                <w:lang w:val="ru-RU" w:eastAsia="zh-CN"/>
              </w:rPr>
            </w:pPr>
            <w:r w:rsidRPr="0087022F">
              <w:rPr>
                <w:i/>
                <w:iCs/>
                <w:sz w:val="18"/>
                <w:szCs w:val="18"/>
                <w:lang w:val="ru-RU" w:eastAsia="zh-CN"/>
              </w:rPr>
              <w:t>−3,21</w:t>
            </w:r>
          </w:p>
        </w:tc>
      </w:tr>
      <w:tr w:rsidR="006C3234" w:rsidRPr="0087022F" w:rsidTr="00B82F9B">
        <w:trPr>
          <w:trHeight w:val="290"/>
        </w:trPr>
        <w:tc>
          <w:tcPr>
            <w:tcW w:w="1873" w:type="dxa"/>
          </w:tcPr>
          <w:p w:rsidR="006C3234" w:rsidRPr="0087022F" w:rsidRDefault="006C3234" w:rsidP="006C3234">
            <w:pPr>
              <w:pStyle w:val="Tabletex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7022F">
              <w:rPr>
                <w:b/>
                <w:bCs/>
                <w:sz w:val="18"/>
                <w:szCs w:val="18"/>
                <w:lang w:val="ru-RU" w:eastAsia="zh-CN"/>
              </w:rPr>
              <w:t>Чистый результат</w:t>
            </w:r>
          </w:p>
        </w:tc>
        <w:tc>
          <w:tcPr>
            <w:tcW w:w="1276" w:type="dxa"/>
          </w:tcPr>
          <w:p w:rsidR="006C3234" w:rsidRPr="0087022F" w:rsidRDefault="006C3234" w:rsidP="006C3234">
            <w:pPr>
              <w:pStyle w:val="Tabletext"/>
              <w:tabs>
                <w:tab w:val="clear" w:pos="1134"/>
                <w:tab w:val="clear" w:pos="1418"/>
              </w:tabs>
              <w:ind w:right="111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7022F">
              <w:rPr>
                <w:b/>
                <w:bCs/>
                <w:sz w:val="18"/>
                <w:szCs w:val="18"/>
                <w:lang w:val="ru-RU" w:eastAsia="zh-CN"/>
              </w:rPr>
              <w:t>516 500</w:t>
            </w:r>
          </w:p>
        </w:tc>
        <w:tc>
          <w:tcPr>
            <w:tcW w:w="1559" w:type="dxa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7022F">
              <w:rPr>
                <w:b/>
                <w:bCs/>
                <w:sz w:val="18"/>
                <w:szCs w:val="18"/>
                <w:lang w:val="ru-RU" w:eastAsia="zh-CN"/>
              </w:rPr>
              <w:t>30 500</w:t>
            </w:r>
          </w:p>
        </w:tc>
        <w:tc>
          <w:tcPr>
            <w:tcW w:w="1276" w:type="dxa"/>
          </w:tcPr>
          <w:p w:rsidR="006C3234" w:rsidRPr="0087022F" w:rsidRDefault="006C3234" w:rsidP="006C3234">
            <w:pPr>
              <w:pStyle w:val="Tabletext"/>
              <w:tabs>
                <w:tab w:val="clear" w:pos="1418"/>
              </w:tabs>
              <w:ind w:right="112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7022F">
              <w:rPr>
                <w:b/>
                <w:bCs/>
                <w:sz w:val="18"/>
                <w:szCs w:val="18"/>
                <w:lang w:val="ru-RU" w:eastAsia="zh-CN"/>
              </w:rPr>
              <w:t>784 505,76</w:t>
            </w:r>
          </w:p>
        </w:tc>
        <w:tc>
          <w:tcPr>
            <w:tcW w:w="1843" w:type="dxa"/>
          </w:tcPr>
          <w:p w:rsidR="006C3234" w:rsidRPr="0087022F" w:rsidRDefault="006C3234" w:rsidP="006C3234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7022F">
              <w:rPr>
                <w:b/>
                <w:bCs/>
                <w:sz w:val="18"/>
                <w:szCs w:val="18"/>
                <w:lang w:val="ru-RU" w:eastAsia="zh-CN"/>
              </w:rPr>
              <w:t>51,89</w:t>
            </w:r>
          </w:p>
        </w:tc>
        <w:tc>
          <w:tcPr>
            <w:tcW w:w="1842" w:type="dxa"/>
          </w:tcPr>
          <w:p w:rsidR="006C3234" w:rsidRPr="0087022F" w:rsidRDefault="006C3234" w:rsidP="006C3234">
            <w:pPr>
              <w:pStyle w:val="Tabletext"/>
              <w:tabs>
                <w:tab w:val="clear" w:pos="1701"/>
              </w:tabs>
              <w:ind w:right="112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7022F">
              <w:rPr>
                <w:b/>
                <w:bCs/>
                <w:sz w:val="18"/>
                <w:szCs w:val="18"/>
                <w:lang w:val="ru-RU" w:eastAsia="zh-CN"/>
              </w:rPr>
              <w:t>2 472,15</w:t>
            </w:r>
          </w:p>
        </w:tc>
      </w:tr>
    </w:tbl>
    <w:p w:rsidR="00CB7F68" w:rsidRPr="0087022F" w:rsidRDefault="002F7DB3" w:rsidP="00914661">
      <w:pPr>
        <w:spacing w:before="240"/>
        <w:rPr>
          <w:lang w:val="ru-RU"/>
        </w:rPr>
      </w:pPr>
      <w:r w:rsidRPr="0087022F">
        <w:rPr>
          <w:lang w:val="ru-RU"/>
        </w:rPr>
        <w:t>19</w:t>
      </w:r>
      <w:r w:rsidR="00CB7F68" w:rsidRPr="0087022F">
        <w:rPr>
          <w:lang w:val="ru-RU"/>
        </w:rPr>
        <w:tab/>
      </w:r>
      <w:r w:rsidR="0086223C" w:rsidRPr="0087022F">
        <w:rPr>
          <w:lang w:val="ru-RU"/>
        </w:rPr>
        <w:t>Сравнение окончательных результатов по фактическому значению и пересмотренному бюджету показало существенное расхождение, которое в основном обусловлено некоторой экономией прямых расходов. Наши соображения о необходимости более точного составления бюджета см. в п</w:t>
      </w:r>
      <w:r w:rsidR="00914661" w:rsidRPr="0087022F">
        <w:rPr>
          <w:lang w:val="ru-RU"/>
        </w:rPr>
        <w:t>ункте</w:t>
      </w:r>
      <w:r w:rsidR="0086223C" w:rsidRPr="0087022F">
        <w:rPr>
          <w:lang w:val="ru-RU"/>
        </w:rPr>
        <w:t> 29.</w:t>
      </w:r>
    </w:p>
    <w:p w:rsidR="00CB7F68" w:rsidRPr="0087022F" w:rsidRDefault="00CB7F68" w:rsidP="00413D78">
      <w:pPr>
        <w:pStyle w:val="Heading2"/>
        <w:rPr>
          <w:lang w:val="ru-RU"/>
        </w:rPr>
      </w:pPr>
      <w:bookmarkStart w:id="48" w:name="_Toc355894296"/>
      <w:bookmarkStart w:id="49" w:name="_Toc358196992"/>
      <w:bookmarkStart w:id="50" w:name="_Toc358197253"/>
      <w:bookmarkStart w:id="51" w:name="_Toc399768431"/>
      <w:bookmarkStart w:id="52" w:name="_Toc419393853"/>
      <w:r w:rsidRPr="0087022F">
        <w:rPr>
          <w:lang w:val="ru-RU"/>
        </w:rPr>
        <w:t>Оборотный выставочный фонд</w:t>
      </w:r>
      <w:bookmarkEnd w:id="48"/>
      <w:bookmarkEnd w:id="49"/>
      <w:bookmarkEnd w:id="50"/>
      <w:bookmarkEnd w:id="51"/>
      <w:bookmarkEnd w:id="52"/>
    </w:p>
    <w:p w:rsidR="00CB7F68" w:rsidRPr="0087022F" w:rsidRDefault="00CB7F68" w:rsidP="0086223C">
      <w:pPr>
        <w:rPr>
          <w:lang w:val="ru-RU"/>
        </w:rPr>
      </w:pPr>
      <w:r w:rsidRPr="0087022F">
        <w:rPr>
          <w:lang w:val="ru-RU"/>
        </w:rPr>
        <w:t>2</w:t>
      </w:r>
      <w:r w:rsidR="0086223C" w:rsidRPr="0087022F">
        <w:rPr>
          <w:lang w:val="ru-RU"/>
        </w:rPr>
        <w:t>0</w:t>
      </w:r>
      <w:r w:rsidRPr="0087022F">
        <w:rPr>
          <w:lang w:val="ru-RU"/>
        </w:rPr>
        <w:tab/>
        <w:t>Как указано в пункте</w:t>
      </w:r>
      <w:r w:rsidR="0086223C" w:rsidRPr="0087022F">
        <w:rPr>
          <w:lang w:val="ru-RU"/>
        </w:rPr>
        <w:t> </w:t>
      </w:r>
      <w:r w:rsidRPr="0087022F">
        <w:rPr>
          <w:lang w:val="ru-RU"/>
        </w:rPr>
        <w:t>4 Статьи</w:t>
      </w:r>
      <w:r w:rsidR="0086223C" w:rsidRPr="0087022F">
        <w:rPr>
          <w:lang w:val="ru-RU"/>
        </w:rPr>
        <w:t> </w:t>
      </w:r>
      <w:r w:rsidRPr="0087022F">
        <w:rPr>
          <w:lang w:val="ru-RU"/>
        </w:rPr>
        <w:t>19 Финансового регламента МСЭ, любое превышение доходов или расходов по результатам проведения всемирных и региональных выставок должно переводиться в Оборотный выставочный фонд</w:t>
      </w:r>
      <w:r w:rsidR="0086223C" w:rsidRPr="0087022F">
        <w:rPr>
          <w:lang w:val="ru-RU"/>
        </w:rPr>
        <w:t xml:space="preserve"> (ОВФ)</w:t>
      </w:r>
      <w:r w:rsidRPr="0087022F">
        <w:rPr>
          <w:lang w:val="ru-RU"/>
        </w:rPr>
        <w:t>.</w:t>
      </w:r>
    </w:p>
    <w:p w:rsidR="00195B4D" w:rsidRPr="0087022F" w:rsidRDefault="00CB7F68" w:rsidP="00B82F9B">
      <w:pPr>
        <w:spacing w:after="120"/>
        <w:rPr>
          <w:lang w:val="ru-RU"/>
        </w:rPr>
      </w:pPr>
      <w:r w:rsidRPr="0087022F">
        <w:rPr>
          <w:lang w:val="ru-RU"/>
        </w:rPr>
        <w:t>2</w:t>
      </w:r>
      <w:r w:rsidR="00D67148" w:rsidRPr="0087022F">
        <w:rPr>
          <w:lang w:val="ru-RU"/>
        </w:rPr>
        <w:t>1</w:t>
      </w:r>
      <w:r w:rsidRPr="0087022F">
        <w:rPr>
          <w:lang w:val="ru-RU"/>
        </w:rPr>
        <w:tab/>
        <w:t>Положительный результат Всемирного мероприятия ITU Telecom-201</w:t>
      </w:r>
      <w:r w:rsidR="00D67148" w:rsidRPr="0087022F">
        <w:rPr>
          <w:lang w:val="ru-RU"/>
        </w:rPr>
        <w:t>4</w:t>
      </w:r>
      <w:r w:rsidRPr="0087022F">
        <w:rPr>
          <w:lang w:val="ru-RU"/>
        </w:rPr>
        <w:t xml:space="preserve"> привел к улучшению сальдо Оборотного выставочного фонда</w:t>
      </w:r>
      <w:r w:rsidR="00D67148" w:rsidRPr="0087022F">
        <w:rPr>
          <w:lang w:val="ru-RU"/>
        </w:rPr>
        <w:t>. Учитывая также снятие в августе 2014 года 2 млн. долл. США (1</w:t>
      </w:r>
      <w:r w:rsidR="00B82F9B" w:rsidRPr="0087022F">
        <w:rPr>
          <w:lang w:val="ru-RU"/>
        </w:rPr>
        <w:t> </w:t>
      </w:r>
      <w:r w:rsidR="00D67148" w:rsidRPr="0087022F">
        <w:rPr>
          <w:lang w:val="ru-RU"/>
        </w:rPr>
        <w:t>820</w:t>
      </w:r>
      <w:r w:rsidR="00B82F9B" w:rsidRPr="0087022F">
        <w:rPr>
          <w:lang w:val="ru-RU"/>
        </w:rPr>
        <w:t> </w:t>
      </w:r>
      <w:r w:rsidR="00D67148" w:rsidRPr="0087022F">
        <w:rPr>
          <w:lang w:val="ru-RU"/>
        </w:rPr>
        <w:t>018,2</w:t>
      </w:r>
      <w:r w:rsidR="00195B4D" w:rsidRPr="0087022F">
        <w:rPr>
          <w:lang w:val="ru-RU"/>
        </w:rPr>
        <w:t> швейцарского франка</w:t>
      </w:r>
      <w:r w:rsidR="00D67148" w:rsidRPr="0087022F">
        <w:rPr>
          <w:lang w:val="ru-RU"/>
        </w:rPr>
        <w:t>)</w:t>
      </w:r>
      <w:r w:rsidR="00195B4D" w:rsidRPr="0087022F">
        <w:rPr>
          <w:lang w:val="ru-RU"/>
        </w:rPr>
        <w:t xml:space="preserve"> в</w:t>
      </w:r>
      <w:r w:rsidR="00D67148" w:rsidRPr="0087022F">
        <w:rPr>
          <w:lang w:val="ru-RU"/>
        </w:rPr>
        <w:t xml:space="preserve"> Фонд развития ИК</w:t>
      </w:r>
      <w:r w:rsidR="00AA71D6" w:rsidRPr="0087022F">
        <w:rPr>
          <w:lang w:val="ru-RU"/>
        </w:rPr>
        <w:t>Т</w:t>
      </w:r>
      <w:r w:rsidR="00D67148" w:rsidRPr="0087022F">
        <w:rPr>
          <w:lang w:val="ru-RU"/>
        </w:rPr>
        <w:t xml:space="preserve">, </w:t>
      </w:r>
      <w:r w:rsidR="00195B4D" w:rsidRPr="0087022F">
        <w:rPr>
          <w:lang w:val="ru-RU"/>
        </w:rPr>
        <w:t xml:space="preserve">уровень ОВФ по состоянию на 31 декабря 2014 года остался на уровне немного ниже </w:t>
      </w:r>
      <w:r w:rsidR="00D67148" w:rsidRPr="0087022F">
        <w:rPr>
          <w:lang w:val="ru-RU"/>
        </w:rPr>
        <w:t>9</w:t>
      </w:r>
      <w:r w:rsidR="00195B4D" w:rsidRPr="0087022F">
        <w:rPr>
          <w:lang w:val="ru-RU"/>
        </w:rPr>
        <w:t> млн. долл. США.</w:t>
      </w:r>
    </w:p>
    <w:p w:rsidR="00CB7F68" w:rsidRPr="0087022F" w:rsidRDefault="00195B4D" w:rsidP="00195B4D">
      <w:pPr>
        <w:spacing w:after="120"/>
        <w:rPr>
          <w:lang w:val="ru-RU"/>
        </w:rPr>
      </w:pPr>
      <w:r w:rsidRPr="0087022F">
        <w:rPr>
          <w:lang w:val="ru-RU"/>
        </w:rPr>
        <w:t>22</w:t>
      </w:r>
      <w:r w:rsidRPr="0087022F">
        <w:rPr>
          <w:lang w:val="ru-RU"/>
        </w:rPr>
        <w:tab/>
        <w:t>У</w:t>
      </w:r>
      <w:r w:rsidR="00CB7F68" w:rsidRPr="0087022F">
        <w:rPr>
          <w:lang w:val="ru-RU"/>
        </w:rPr>
        <w:t xml:space="preserve">ровни </w:t>
      </w:r>
      <w:r w:rsidRPr="0087022F">
        <w:rPr>
          <w:lang w:val="ru-RU"/>
        </w:rPr>
        <w:t>средств ОВФ на 31 декабря шести прошлых лет показаны на рисунке</w:t>
      </w:r>
      <w:r w:rsidR="00B82F9B" w:rsidRPr="0087022F">
        <w:rPr>
          <w:lang w:val="ru-RU"/>
        </w:rPr>
        <w:t>,</w:t>
      </w:r>
      <w:r w:rsidR="00CB7F68" w:rsidRPr="0087022F">
        <w:rPr>
          <w:lang w:val="ru-RU"/>
        </w:rPr>
        <w:t xml:space="preserve"> ниже.</w:t>
      </w:r>
    </w:p>
    <w:p w:rsidR="00381753" w:rsidRPr="0087022F" w:rsidRDefault="00381753" w:rsidP="00DA5D09">
      <w:pPr>
        <w:pStyle w:val="Figurelegend"/>
        <w:ind w:right="1191"/>
        <w:jc w:val="right"/>
        <w:rPr>
          <w:lang w:val="ru-RU"/>
        </w:rPr>
      </w:pPr>
      <w:r w:rsidRPr="0087022F">
        <w:rPr>
          <w:lang w:val="ru-RU"/>
        </w:rPr>
        <w:t>(в млн. швейцарских франков)</w:t>
      </w:r>
    </w:p>
    <w:p w:rsidR="00413D78" w:rsidRPr="0087022F" w:rsidRDefault="00413D78" w:rsidP="00DA5D09">
      <w:pPr>
        <w:pStyle w:val="Figure"/>
        <w:rPr>
          <w:lang w:val="ru-RU"/>
        </w:rPr>
      </w:pPr>
      <w:r w:rsidRPr="0087022F">
        <w:rPr>
          <w:noProof/>
          <w:lang w:val="en-US" w:eastAsia="zh-CN"/>
        </w:rPr>
        <w:drawing>
          <wp:inline distT="0" distB="0" distL="0" distR="0" wp14:anchorId="38FF7ADA" wp14:editId="3C18D72F">
            <wp:extent cx="4633200" cy="2131200"/>
            <wp:effectExtent l="0" t="0" r="15240" b="25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7F68" w:rsidRPr="0087022F" w:rsidRDefault="00CB7F68" w:rsidP="00816E98">
      <w:pPr>
        <w:pStyle w:val="Heading2"/>
        <w:spacing w:before="480"/>
        <w:rPr>
          <w:lang w:val="ru-RU"/>
        </w:rPr>
      </w:pPr>
      <w:bookmarkStart w:id="53" w:name="_Toc396899717"/>
      <w:bookmarkStart w:id="54" w:name="_Toc399768432"/>
      <w:bookmarkStart w:id="55" w:name="_Toc419393854"/>
      <w:r w:rsidRPr="0087022F">
        <w:rPr>
          <w:lang w:val="ru-RU"/>
        </w:rPr>
        <w:t>Соответствующие изменения, пересмотр бюджета и фактические результат</w:t>
      </w:r>
      <w:bookmarkEnd w:id="53"/>
      <w:r w:rsidRPr="0087022F">
        <w:rPr>
          <w:lang w:val="ru-RU"/>
        </w:rPr>
        <w:t>ы</w:t>
      </w:r>
      <w:bookmarkEnd w:id="54"/>
      <w:bookmarkEnd w:id="55"/>
      <w:r w:rsidRPr="0087022F">
        <w:rPr>
          <w:lang w:val="ru-RU"/>
        </w:rPr>
        <w:t xml:space="preserve"> </w:t>
      </w:r>
    </w:p>
    <w:p w:rsidR="00CB7F68" w:rsidRPr="0087022F" w:rsidRDefault="00CB7F68" w:rsidP="00F234A2">
      <w:pPr>
        <w:rPr>
          <w:lang w:val="ru-RU"/>
        </w:rPr>
      </w:pPr>
      <w:r w:rsidRPr="0087022F">
        <w:rPr>
          <w:lang w:val="ru-RU"/>
        </w:rPr>
        <w:t>2</w:t>
      </w:r>
      <w:r w:rsidR="00381753" w:rsidRPr="0087022F">
        <w:rPr>
          <w:lang w:val="ru-RU"/>
        </w:rPr>
        <w:t>3</w:t>
      </w:r>
      <w:r w:rsidR="001123DF" w:rsidRPr="0087022F">
        <w:rPr>
          <w:lang w:val="ru-RU"/>
        </w:rPr>
        <w:tab/>
        <w:t>В Статье 1 части X</w:t>
      </w:r>
      <w:r w:rsidRPr="0087022F">
        <w:rPr>
          <w:lang w:val="ru-RU"/>
        </w:rPr>
        <w:t xml:space="preserve"> </w:t>
      </w:r>
      <w:r w:rsidRPr="0087022F">
        <w:rPr>
          <w:i/>
          <w:iCs/>
          <w:lang w:val="ru-RU"/>
        </w:rPr>
        <w:t>Руководства по финансовым правилам и процедурам</w:t>
      </w:r>
      <w:r w:rsidRPr="0087022F">
        <w:rPr>
          <w:lang w:val="ru-RU"/>
        </w:rPr>
        <w:t xml:space="preserve"> </w:t>
      </w:r>
      <w:proofErr w:type="spellStart"/>
      <w:r w:rsidRPr="0087022F">
        <w:rPr>
          <w:i/>
          <w:iCs/>
          <w:lang w:val="ru-RU"/>
        </w:rPr>
        <w:t>Telecom</w:t>
      </w:r>
      <w:proofErr w:type="spellEnd"/>
      <w:r w:rsidRPr="0087022F">
        <w:rPr>
          <w:i/>
          <w:iCs/>
          <w:lang w:val="ru-RU"/>
        </w:rPr>
        <w:t xml:space="preserve"> </w:t>
      </w:r>
      <w:r w:rsidRPr="0087022F">
        <w:rPr>
          <w:lang w:val="ru-RU"/>
        </w:rPr>
        <w:t>говорится</w:t>
      </w:r>
      <w:r w:rsidR="00381753" w:rsidRPr="0087022F">
        <w:rPr>
          <w:lang w:val="ru-RU"/>
        </w:rPr>
        <w:t>, что "б</w:t>
      </w:r>
      <w:r w:rsidRPr="0087022F">
        <w:rPr>
          <w:lang w:val="ru-RU"/>
        </w:rPr>
        <w:t xml:space="preserve">юджеты для каждой выставки, форума или иного мероприятия </w:t>
      </w:r>
      <w:proofErr w:type="spellStart"/>
      <w:r w:rsidRPr="0087022F">
        <w:rPr>
          <w:lang w:val="ru-RU"/>
        </w:rPr>
        <w:t>Telecom</w:t>
      </w:r>
      <w:proofErr w:type="spellEnd"/>
      <w:r w:rsidRPr="0087022F">
        <w:rPr>
          <w:lang w:val="ru-RU"/>
        </w:rPr>
        <w:t xml:space="preserve"> готовятся, утверждаются и подписываются Генеральным секретарем не позднее чем за шесть месяцев до даты открытия такого мероприятия". </w:t>
      </w:r>
      <w:r w:rsidR="00F234A2" w:rsidRPr="0087022F">
        <w:rPr>
          <w:lang w:val="ru-RU"/>
        </w:rPr>
        <w:t xml:space="preserve">Бюджет </w:t>
      </w:r>
      <w:r w:rsidRPr="0087022F">
        <w:rPr>
          <w:lang w:val="ru-RU"/>
        </w:rPr>
        <w:t>Всемирно</w:t>
      </w:r>
      <w:r w:rsidR="00F234A2" w:rsidRPr="0087022F">
        <w:rPr>
          <w:lang w:val="ru-RU"/>
        </w:rPr>
        <w:t>го</w:t>
      </w:r>
      <w:r w:rsidRPr="0087022F">
        <w:rPr>
          <w:lang w:val="ru-RU"/>
        </w:rPr>
        <w:t xml:space="preserve"> мероприяти</w:t>
      </w:r>
      <w:r w:rsidR="00F234A2" w:rsidRPr="0087022F">
        <w:rPr>
          <w:lang w:val="ru-RU"/>
        </w:rPr>
        <w:t>я</w:t>
      </w:r>
      <w:r w:rsidRPr="0087022F">
        <w:rPr>
          <w:lang w:val="ru-RU"/>
        </w:rPr>
        <w:t xml:space="preserve"> ITU Telecom-201</w:t>
      </w:r>
      <w:r w:rsidR="00F234A2" w:rsidRPr="0087022F">
        <w:rPr>
          <w:lang w:val="ru-RU"/>
        </w:rPr>
        <w:t>4</w:t>
      </w:r>
      <w:r w:rsidRPr="0087022F">
        <w:rPr>
          <w:lang w:val="ru-RU"/>
        </w:rPr>
        <w:t xml:space="preserve"> был утвержден </w:t>
      </w:r>
      <w:r w:rsidR="00F234A2" w:rsidRPr="0087022F">
        <w:rPr>
          <w:lang w:val="ru-RU"/>
        </w:rPr>
        <w:t>9 июня</w:t>
      </w:r>
      <w:r w:rsidRPr="0087022F">
        <w:rPr>
          <w:lang w:val="ru-RU"/>
        </w:rPr>
        <w:t xml:space="preserve"> 201</w:t>
      </w:r>
      <w:r w:rsidR="00F234A2" w:rsidRPr="0087022F">
        <w:rPr>
          <w:lang w:val="ru-RU"/>
        </w:rPr>
        <w:t>4</w:t>
      </w:r>
      <w:r w:rsidRPr="0087022F">
        <w:rPr>
          <w:lang w:val="ru-RU"/>
        </w:rPr>
        <w:t> года.</w:t>
      </w:r>
    </w:p>
    <w:p w:rsidR="00CB7F68" w:rsidRPr="0087022F" w:rsidRDefault="001123DF" w:rsidP="002606B7">
      <w:pPr>
        <w:rPr>
          <w:lang w:val="ru-RU"/>
        </w:rPr>
      </w:pPr>
      <w:r w:rsidRPr="0087022F">
        <w:rPr>
          <w:lang w:val="ru-RU"/>
        </w:rPr>
        <w:lastRenderedPageBreak/>
        <w:t>24</w:t>
      </w:r>
      <w:r w:rsidR="00CB7F68" w:rsidRPr="0087022F">
        <w:rPr>
          <w:lang w:val="ru-RU"/>
        </w:rPr>
        <w:tab/>
      </w:r>
      <w:r w:rsidRPr="0087022F">
        <w:rPr>
          <w:lang w:val="ru-RU"/>
        </w:rPr>
        <w:t>Согласно Статье 4 части X</w:t>
      </w:r>
      <w:r w:rsidR="00CB7F68" w:rsidRPr="0087022F">
        <w:rPr>
          <w:lang w:val="ru-RU"/>
        </w:rPr>
        <w:t xml:space="preserve"> </w:t>
      </w:r>
      <w:r w:rsidR="00CB7F68" w:rsidRPr="0087022F">
        <w:rPr>
          <w:i/>
          <w:iCs/>
          <w:lang w:val="ru-RU"/>
        </w:rPr>
        <w:t>Руководства по финансовым правилам и процедурам</w:t>
      </w:r>
      <w:r w:rsidR="00CB7F68" w:rsidRPr="0087022F">
        <w:rPr>
          <w:lang w:val="ru-RU"/>
        </w:rPr>
        <w:t xml:space="preserve"> </w:t>
      </w:r>
      <w:proofErr w:type="spellStart"/>
      <w:r w:rsidR="00CB7F68" w:rsidRPr="0087022F">
        <w:rPr>
          <w:i/>
          <w:iCs/>
          <w:lang w:val="ru-RU"/>
        </w:rPr>
        <w:t>Telecom</w:t>
      </w:r>
      <w:proofErr w:type="spellEnd"/>
      <w:r w:rsidR="00CB7F68" w:rsidRPr="0087022F">
        <w:rPr>
          <w:lang w:val="ru-RU"/>
        </w:rPr>
        <w:t xml:space="preserve"> "</w:t>
      </w:r>
      <w:r w:rsidRPr="0087022F">
        <w:rPr>
          <w:lang w:val="ru-RU"/>
        </w:rPr>
        <w:t>б</w:t>
      </w:r>
      <w:r w:rsidR="00CB7F68" w:rsidRPr="0087022F">
        <w:rPr>
          <w:lang w:val="ru-RU"/>
        </w:rPr>
        <w:t>юджеты пересматриваются, если и когда предвидятся существенные изменения, не позднее чем</w:t>
      </w:r>
      <w:r w:rsidR="002606B7" w:rsidRPr="0087022F">
        <w:rPr>
          <w:lang w:val="ru-RU"/>
        </w:rPr>
        <w:t> </w:t>
      </w:r>
      <w:r w:rsidR="00CB7F68" w:rsidRPr="0087022F">
        <w:rPr>
          <w:lang w:val="ru-RU"/>
        </w:rPr>
        <w:t>за</w:t>
      </w:r>
      <w:r w:rsidR="002606B7" w:rsidRPr="0087022F">
        <w:rPr>
          <w:lang w:val="ru-RU"/>
        </w:rPr>
        <w:t> </w:t>
      </w:r>
      <w:r w:rsidR="00CB7F68" w:rsidRPr="0087022F">
        <w:rPr>
          <w:lang w:val="ru-RU"/>
        </w:rPr>
        <w:t>месяц до открытия мероприятия".</w:t>
      </w:r>
    </w:p>
    <w:p w:rsidR="00CB7F68" w:rsidRPr="0087022F" w:rsidRDefault="001123DF" w:rsidP="002606B7">
      <w:pPr>
        <w:rPr>
          <w:lang w:val="ru-RU"/>
        </w:rPr>
      </w:pPr>
      <w:r w:rsidRPr="0087022F">
        <w:rPr>
          <w:lang w:val="ru-RU"/>
        </w:rPr>
        <w:t>25</w:t>
      </w:r>
      <w:r w:rsidR="00CB7F68" w:rsidRPr="0087022F">
        <w:rPr>
          <w:lang w:val="ru-RU"/>
        </w:rPr>
        <w:tab/>
        <w:t xml:space="preserve">Пересмотренный бюджет был утвержден </w:t>
      </w:r>
      <w:r w:rsidRPr="0087022F">
        <w:rPr>
          <w:lang w:val="ru-RU"/>
        </w:rPr>
        <w:t>31 октября</w:t>
      </w:r>
      <w:r w:rsidR="00CB7F68" w:rsidRPr="0087022F">
        <w:rPr>
          <w:lang w:val="ru-RU"/>
        </w:rPr>
        <w:t xml:space="preserve"> 201</w:t>
      </w:r>
      <w:r w:rsidRPr="0087022F">
        <w:rPr>
          <w:lang w:val="ru-RU"/>
        </w:rPr>
        <w:t>4 </w:t>
      </w:r>
      <w:r w:rsidR="00CB7F68" w:rsidRPr="0087022F">
        <w:rPr>
          <w:lang w:val="ru-RU"/>
        </w:rPr>
        <w:t>года вследствие существенных расхождений в сметах доходов и расходов в первоначальном бюджете.</w:t>
      </w:r>
      <w:r w:rsidR="001529FA" w:rsidRPr="0087022F">
        <w:rPr>
          <w:lang w:val="ru-RU"/>
        </w:rPr>
        <w:t xml:space="preserve"> На эту дату Соглашение с</w:t>
      </w:r>
      <w:r w:rsidR="002606B7" w:rsidRPr="0087022F">
        <w:rPr>
          <w:lang w:val="ru-RU"/>
        </w:rPr>
        <w:t> </w:t>
      </w:r>
      <w:r w:rsidR="001529FA" w:rsidRPr="0087022F">
        <w:rPr>
          <w:lang w:val="ru-RU"/>
        </w:rPr>
        <w:t xml:space="preserve">принимающей страной подписано </w:t>
      </w:r>
      <w:r w:rsidR="001F185B" w:rsidRPr="0087022F">
        <w:rPr>
          <w:lang w:val="ru-RU"/>
        </w:rPr>
        <w:t xml:space="preserve">еще </w:t>
      </w:r>
      <w:r w:rsidR="001529FA" w:rsidRPr="0087022F">
        <w:rPr>
          <w:lang w:val="ru-RU"/>
        </w:rPr>
        <w:t>не было.</w:t>
      </w:r>
    </w:p>
    <w:p w:rsidR="00CB7F68" w:rsidRPr="0087022F" w:rsidRDefault="001F185B" w:rsidP="002606B7">
      <w:pPr>
        <w:rPr>
          <w:lang w:val="ru-RU"/>
        </w:rPr>
      </w:pPr>
      <w:r w:rsidRPr="0087022F">
        <w:rPr>
          <w:lang w:val="ru-RU"/>
        </w:rPr>
        <w:t>26</w:t>
      </w:r>
      <w:r w:rsidR="00CB7F68" w:rsidRPr="0087022F">
        <w:rPr>
          <w:lang w:val="ru-RU"/>
        </w:rPr>
        <w:tab/>
      </w:r>
      <w:r w:rsidR="00CC626F" w:rsidRPr="0087022F">
        <w:rPr>
          <w:lang w:val="ru-RU"/>
        </w:rPr>
        <w:t xml:space="preserve">Вследствие пересмотров проекта соглашения появилось большое число изменений. Сравнение бюджетных и фактических расходов является </w:t>
      </w:r>
      <w:r w:rsidR="00CB7F68" w:rsidRPr="0087022F">
        <w:rPr>
          <w:lang w:val="ru-RU"/>
        </w:rPr>
        <w:t xml:space="preserve">основополагающим инструментом ориентации </w:t>
      </w:r>
      <w:r w:rsidR="00CC626F" w:rsidRPr="0087022F">
        <w:rPr>
          <w:lang w:val="ru-RU"/>
        </w:rPr>
        <w:t xml:space="preserve">стратегий </w:t>
      </w:r>
      <w:r w:rsidR="00CB7F68" w:rsidRPr="0087022F">
        <w:rPr>
          <w:lang w:val="ru-RU"/>
        </w:rPr>
        <w:t xml:space="preserve">и четкой подотчетности, </w:t>
      </w:r>
      <w:r w:rsidR="00CC626F" w:rsidRPr="0087022F">
        <w:rPr>
          <w:lang w:val="ru-RU"/>
        </w:rPr>
        <w:t>а также</w:t>
      </w:r>
      <w:r w:rsidR="00CB7F68" w:rsidRPr="0087022F">
        <w:rPr>
          <w:lang w:val="ru-RU"/>
        </w:rPr>
        <w:t xml:space="preserve"> содействия Генеральному секретарю в</w:t>
      </w:r>
      <w:r w:rsidR="002606B7" w:rsidRPr="0087022F">
        <w:rPr>
          <w:lang w:val="ru-RU"/>
        </w:rPr>
        <w:t> </w:t>
      </w:r>
      <w:r w:rsidR="00CB7F68" w:rsidRPr="0087022F">
        <w:rPr>
          <w:lang w:val="ru-RU"/>
        </w:rPr>
        <w:t xml:space="preserve">выполнении его обязанностей, как мы рекомендовали в </w:t>
      </w:r>
      <w:r w:rsidR="00CC626F" w:rsidRPr="0087022F">
        <w:rPr>
          <w:lang w:val="ru-RU"/>
        </w:rPr>
        <w:t xml:space="preserve">своих предыдущих </w:t>
      </w:r>
      <w:r w:rsidR="00CB7F68" w:rsidRPr="0087022F">
        <w:rPr>
          <w:lang w:val="ru-RU"/>
        </w:rPr>
        <w:t>отчет</w:t>
      </w:r>
      <w:r w:rsidR="00CC626F" w:rsidRPr="0087022F">
        <w:rPr>
          <w:lang w:val="ru-RU"/>
        </w:rPr>
        <w:t>ах</w:t>
      </w:r>
      <w:r w:rsidR="00CB7F68" w:rsidRPr="0087022F">
        <w:rPr>
          <w:lang w:val="ru-RU"/>
        </w:rPr>
        <w:t>.</w:t>
      </w:r>
    </w:p>
    <w:p w:rsidR="00CB7F68" w:rsidRPr="0087022F" w:rsidRDefault="0048521A" w:rsidP="002606B7">
      <w:pPr>
        <w:rPr>
          <w:lang w:val="ru-RU"/>
        </w:rPr>
      </w:pPr>
      <w:r w:rsidRPr="0087022F">
        <w:rPr>
          <w:lang w:val="ru-RU"/>
        </w:rPr>
        <w:t>27</w:t>
      </w:r>
      <w:r w:rsidR="00CB7F68" w:rsidRPr="0087022F">
        <w:rPr>
          <w:lang w:val="ru-RU"/>
        </w:rPr>
        <w:tab/>
        <w:t xml:space="preserve">Как показано выше, было зафиксировано расхождение фактических </w:t>
      </w:r>
      <w:r w:rsidRPr="0087022F">
        <w:rPr>
          <w:lang w:val="ru-RU"/>
        </w:rPr>
        <w:t>доходов</w:t>
      </w:r>
      <w:r w:rsidR="00CB7F68" w:rsidRPr="0087022F">
        <w:rPr>
          <w:lang w:val="ru-RU"/>
        </w:rPr>
        <w:t xml:space="preserve"> с </w:t>
      </w:r>
      <w:r w:rsidRPr="0087022F">
        <w:rPr>
          <w:lang w:val="ru-RU"/>
        </w:rPr>
        <w:t>доходами</w:t>
      </w:r>
      <w:r w:rsidR="00CB7F68" w:rsidRPr="0087022F">
        <w:rPr>
          <w:lang w:val="ru-RU"/>
        </w:rPr>
        <w:t xml:space="preserve">, первоначально предусмотренными в бюджете, которое составило </w:t>
      </w:r>
      <w:r w:rsidR="00B82F9B" w:rsidRPr="0087022F">
        <w:rPr>
          <w:lang w:val="ru-RU"/>
        </w:rPr>
        <w:t>−</w:t>
      </w:r>
      <w:r w:rsidRPr="0087022F">
        <w:rPr>
          <w:lang w:val="ru-RU"/>
        </w:rPr>
        <w:t>20,</w:t>
      </w:r>
      <w:r w:rsidR="00CB7F68" w:rsidRPr="0087022F">
        <w:rPr>
          <w:lang w:val="ru-RU"/>
        </w:rPr>
        <w:t>6%</w:t>
      </w:r>
      <w:r w:rsidRPr="0087022F">
        <w:rPr>
          <w:lang w:val="ru-RU"/>
        </w:rPr>
        <w:t>, расхождение с</w:t>
      </w:r>
      <w:r w:rsidR="002606B7" w:rsidRPr="0087022F">
        <w:rPr>
          <w:lang w:val="ru-RU"/>
        </w:rPr>
        <w:t> </w:t>
      </w:r>
      <w:r w:rsidRPr="0087022F">
        <w:rPr>
          <w:lang w:val="ru-RU"/>
        </w:rPr>
        <w:t xml:space="preserve">пересмотренным бюджетом составило лишь 0,7%. </w:t>
      </w:r>
      <w:r w:rsidR="00B82F9B" w:rsidRPr="0087022F">
        <w:rPr>
          <w:lang w:val="ru-RU"/>
        </w:rPr>
        <w:t xml:space="preserve">На предыдущем мероприятии расхождение доходов составило −4% и 9%, соответственно. </w:t>
      </w:r>
      <w:r w:rsidR="00085C4D" w:rsidRPr="0087022F">
        <w:rPr>
          <w:lang w:val="ru-RU"/>
        </w:rPr>
        <w:t>Это важное улучшение, которые мы признаем, и</w:t>
      </w:r>
      <w:r w:rsidR="002606B7" w:rsidRPr="0087022F">
        <w:rPr>
          <w:lang w:val="ru-RU"/>
        </w:rPr>
        <w:t> </w:t>
      </w:r>
      <w:r w:rsidR="00085C4D" w:rsidRPr="0087022F">
        <w:rPr>
          <w:lang w:val="ru-RU"/>
        </w:rPr>
        <w:t xml:space="preserve">эта более высокая точность отвечает частично нашей </w:t>
      </w:r>
      <w:r w:rsidR="00426543" w:rsidRPr="0087022F">
        <w:rPr>
          <w:lang w:val="ru-RU"/>
        </w:rPr>
        <w:t>р</w:t>
      </w:r>
      <w:r w:rsidR="00085C4D" w:rsidRPr="0087022F">
        <w:rPr>
          <w:lang w:val="ru-RU"/>
        </w:rPr>
        <w:t>екомендации 1, которую мы представили в</w:t>
      </w:r>
      <w:r w:rsidR="002606B7" w:rsidRPr="0087022F">
        <w:rPr>
          <w:lang w:val="ru-RU"/>
        </w:rPr>
        <w:t> </w:t>
      </w:r>
      <w:r w:rsidR="00085C4D" w:rsidRPr="0087022F">
        <w:rPr>
          <w:lang w:val="ru-RU"/>
        </w:rPr>
        <w:t>отчете в прошлом году (см. Приложение 1 – Таблица последующих мер)</w:t>
      </w:r>
      <w:r w:rsidR="00CB7F68" w:rsidRPr="0087022F">
        <w:rPr>
          <w:lang w:val="ru-RU"/>
        </w:rPr>
        <w:t>.</w:t>
      </w:r>
    </w:p>
    <w:p w:rsidR="006547B1" w:rsidRPr="0087022F" w:rsidRDefault="006547B1" w:rsidP="00B82F9B">
      <w:pPr>
        <w:pStyle w:val="testobase"/>
        <w:numPr>
          <w:ilvl w:val="0"/>
          <w:numId w:val="0"/>
        </w:numPr>
        <w:overflowPunct w:val="0"/>
        <w:autoSpaceDE w:val="0"/>
        <w:autoSpaceDN w:val="0"/>
        <w:spacing w:line="240" w:lineRule="auto"/>
        <w:jc w:val="left"/>
        <w:textAlignment w:val="baseline"/>
        <w:rPr>
          <w:rFonts w:asciiTheme="minorHAnsi" w:hAnsiTheme="minorHAnsi"/>
          <w:sz w:val="22"/>
          <w:szCs w:val="22"/>
          <w:lang w:val="ru-RU"/>
        </w:rPr>
      </w:pPr>
      <w:r w:rsidRPr="0087022F">
        <w:rPr>
          <w:rFonts w:asciiTheme="minorHAnsi" w:hAnsiTheme="minorHAnsi"/>
          <w:sz w:val="22"/>
          <w:szCs w:val="22"/>
          <w:lang w:val="ru-RU"/>
        </w:rPr>
        <w:t>28</w:t>
      </w:r>
      <w:r w:rsidRPr="0087022F">
        <w:rPr>
          <w:rFonts w:asciiTheme="minorHAnsi" w:hAnsiTheme="minorHAnsi"/>
          <w:sz w:val="22"/>
          <w:szCs w:val="22"/>
          <w:lang w:val="ru-RU"/>
        </w:rPr>
        <w:tab/>
        <w:t xml:space="preserve">Было зафиксировано расхождение фактических расходов с расходами, первоначально предусмотренными в бюджете, которое составило -23,9%, зафиксированное расхождение фактических расходов с расходами, предусмотренными в пересмотренном бюджете, составило </w:t>
      </w:r>
      <w:r w:rsidR="00B82F9B" w:rsidRPr="0087022F">
        <w:rPr>
          <w:rFonts w:asciiTheme="minorHAnsi" w:hAnsiTheme="minorHAnsi"/>
          <w:sz w:val="22"/>
          <w:szCs w:val="22"/>
          <w:lang w:val="ru-RU"/>
        </w:rPr>
        <w:t>−</w:t>
      </w:r>
      <w:r w:rsidRPr="0087022F">
        <w:rPr>
          <w:rFonts w:asciiTheme="minorHAnsi" w:hAnsiTheme="minorHAnsi"/>
          <w:sz w:val="22"/>
          <w:szCs w:val="22"/>
          <w:lang w:val="ru-RU"/>
        </w:rPr>
        <w:t>7,3%. На предыдущем мероприятии расхождение фактических и предусмотренных в</w:t>
      </w:r>
      <w:r w:rsidR="002606B7" w:rsidRPr="0087022F">
        <w:rPr>
          <w:rFonts w:asciiTheme="minorHAnsi" w:hAnsiTheme="minorHAnsi"/>
          <w:sz w:val="22"/>
          <w:szCs w:val="22"/>
          <w:lang w:val="ru-RU"/>
        </w:rPr>
        <w:t> </w:t>
      </w:r>
      <w:r w:rsidRPr="0087022F">
        <w:rPr>
          <w:rFonts w:asciiTheme="minorHAnsi" w:hAnsiTheme="minorHAnsi"/>
          <w:sz w:val="22"/>
          <w:szCs w:val="22"/>
          <w:lang w:val="ru-RU"/>
        </w:rPr>
        <w:t xml:space="preserve">бюджете расходов и фактических и предусмотренных в пересмотренном бюджете расходов составило </w:t>
      </w:r>
      <w:r w:rsidR="00B82F9B" w:rsidRPr="0087022F">
        <w:rPr>
          <w:rFonts w:asciiTheme="minorHAnsi" w:hAnsiTheme="minorHAnsi"/>
          <w:sz w:val="22"/>
          <w:szCs w:val="22"/>
          <w:lang w:val="ru-RU"/>
        </w:rPr>
        <w:t>−</w:t>
      </w:r>
      <w:r w:rsidRPr="0087022F">
        <w:rPr>
          <w:rFonts w:asciiTheme="minorHAnsi" w:hAnsiTheme="minorHAnsi"/>
          <w:sz w:val="22"/>
          <w:szCs w:val="22"/>
          <w:lang w:val="ru-RU"/>
        </w:rPr>
        <w:t xml:space="preserve">16 и </w:t>
      </w:r>
      <w:r w:rsidR="00B82F9B" w:rsidRPr="0087022F">
        <w:rPr>
          <w:rFonts w:asciiTheme="minorHAnsi" w:hAnsiTheme="minorHAnsi"/>
          <w:sz w:val="22"/>
          <w:szCs w:val="22"/>
          <w:lang w:val="ru-RU"/>
        </w:rPr>
        <w:t>−</w:t>
      </w:r>
      <w:r w:rsidRPr="0087022F">
        <w:rPr>
          <w:rFonts w:asciiTheme="minorHAnsi" w:hAnsiTheme="minorHAnsi"/>
          <w:sz w:val="22"/>
          <w:szCs w:val="22"/>
          <w:lang w:val="ru-RU"/>
        </w:rPr>
        <w:t>2%, соответственно. Эти расхождения будут рассмотрены в последующих мерах в</w:t>
      </w:r>
      <w:r w:rsidR="002606B7" w:rsidRPr="0087022F">
        <w:rPr>
          <w:rFonts w:asciiTheme="minorHAnsi" w:hAnsiTheme="minorHAnsi"/>
          <w:sz w:val="22"/>
          <w:szCs w:val="22"/>
          <w:lang w:val="ru-RU"/>
        </w:rPr>
        <w:t> </w:t>
      </w:r>
      <w:r w:rsidRPr="0087022F">
        <w:rPr>
          <w:rFonts w:asciiTheme="minorHAnsi" w:hAnsiTheme="minorHAnsi"/>
          <w:sz w:val="22"/>
          <w:szCs w:val="22"/>
          <w:lang w:val="ru-RU"/>
        </w:rPr>
        <w:t>связи с вы</w:t>
      </w:r>
      <w:r w:rsidR="0017046E" w:rsidRPr="0087022F">
        <w:rPr>
          <w:rFonts w:asciiTheme="minorHAnsi" w:hAnsiTheme="minorHAnsi"/>
          <w:sz w:val="22"/>
          <w:szCs w:val="22"/>
          <w:lang w:val="ru-RU"/>
        </w:rPr>
        <w:t>ш</w:t>
      </w:r>
      <w:r w:rsidRPr="0087022F">
        <w:rPr>
          <w:rFonts w:asciiTheme="minorHAnsi" w:hAnsiTheme="minorHAnsi"/>
          <w:sz w:val="22"/>
          <w:szCs w:val="22"/>
          <w:lang w:val="ru-RU"/>
        </w:rPr>
        <w:t>еупомянутой рекомендацией.</w:t>
      </w:r>
    </w:p>
    <w:p w:rsidR="006547B1" w:rsidRPr="0087022F" w:rsidRDefault="00806B0B" w:rsidP="002606B7">
      <w:pPr>
        <w:pStyle w:val="Heading2"/>
        <w:rPr>
          <w:lang w:val="ru-RU"/>
        </w:rPr>
      </w:pPr>
      <w:bookmarkStart w:id="56" w:name="_Toc419393855"/>
      <w:r w:rsidRPr="0087022F">
        <w:rPr>
          <w:lang w:val="ru-RU"/>
        </w:rPr>
        <w:t>Фактические показатели в пересмотренном бюджете</w:t>
      </w:r>
      <w:bookmarkEnd w:id="56"/>
    </w:p>
    <w:p w:rsidR="006547B1" w:rsidRPr="0087022F" w:rsidRDefault="00806B0B" w:rsidP="002606B7">
      <w:pPr>
        <w:pStyle w:val="testobase"/>
        <w:numPr>
          <w:ilvl w:val="0"/>
          <w:numId w:val="0"/>
        </w:numPr>
        <w:overflowPunct w:val="0"/>
        <w:autoSpaceDE w:val="0"/>
        <w:autoSpaceDN w:val="0"/>
        <w:spacing w:line="240" w:lineRule="auto"/>
        <w:jc w:val="left"/>
        <w:textAlignment w:val="baseline"/>
        <w:rPr>
          <w:rFonts w:asciiTheme="minorHAnsi" w:hAnsiTheme="minorHAnsi"/>
          <w:sz w:val="22"/>
          <w:szCs w:val="22"/>
          <w:lang w:val="ru-RU"/>
        </w:rPr>
      </w:pPr>
      <w:r w:rsidRPr="0087022F">
        <w:rPr>
          <w:rFonts w:asciiTheme="minorHAnsi" w:hAnsiTheme="minorHAnsi"/>
          <w:sz w:val="22"/>
          <w:szCs w:val="22"/>
          <w:lang w:val="ru-RU"/>
        </w:rPr>
        <w:t>29</w:t>
      </w:r>
      <w:r w:rsidRPr="0087022F">
        <w:rPr>
          <w:rFonts w:asciiTheme="minorHAnsi" w:hAnsiTheme="minorHAnsi"/>
          <w:sz w:val="22"/>
          <w:szCs w:val="22"/>
          <w:lang w:val="ru-RU"/>
        </w:rPr>
        <w:tab/>
        <w:t>В экземпляре пересмотренного бюджета, составленного Бюджетно-финансовым аналитическим отделом содержатся</w:t>
      </w:r>
      <w:r w:rsidR="003E5AA6" w:rsidRPr="0087022F">
        <w:rPr>
          <w:rFonts w:asciiTheme="minorHAnsi" w:hAnsiTheme="minorHAnsi"/>
          <w:sz w:val="22"/>
          <w:szCs w:val="22"/>
          <w:lang w:val="ru-RU"/>
        </w:rPr>
        <w:t>,</w:t>
      </w:r>
      <w:r w:rsidRPr="0087022F">
        <w:rPr>
          <w:rFonts w:asciiTheme="minorHAnsi" w:hAnsiTheme="minorHAnsi"/>
          <w:sz w:val="22"/>
          <w:szCs w:val="22"/>
          <w:lang w:val="ru-RU"/>
        </w:rPr>
        <w:t xml:space="preserve"> в форме опирающихся на документацию SAP письменных примечаний, </w:t>
      </w:r>
      <w:r w:rsidR="003E5AA6" w:rsidRPr="0087022F">
        <w:rPr>
          <w:rFonts w:asciiTheme="minorHAnsi" w:hAnsiTheme="minorHAnsi"/>
          <w:sz w:val="22"/>
          <w:szCs w:val="22"/>
          <w:lang w:val="ru-RU"/>
        </w:rPr>
        <w:t>фактические показатели, имевшиеся на дату подготовки документа</w:t>
      </w:r>
      <w:r w:rsidRPr="0087022F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3E5AA6" w:rsidRPr="0087022F">
        <w:rPr>
          <w:rFonts w:asciiTheme="minorHAnsi" w:hAnsiTheme="minorHAnsi"/>
          <w:sz w:val="22"/>
          <w:szCs w:val="22"/>
          <w:lang w:val="ru-RU"/>
        </w:rPr>
        <w:t>вместе с</w:t>
      </w:r>
      <w:r w:rsidR="002606B7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3E5AA6" w:rsidRPr="0087022F">
        <w:rPr>
          <w:rFonts w:asciiTheme="minorHAnsi" w:hAnsiTheme="minorHAnsi"/>
          <w:sz w:val="22"/>
          <w:szCs w:val="22"/>
          <w:lang w:val="ru-RU"/>
        </w:rPr>
        <w:t>бюджетными показателями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ED34A5" w:rsidRPr="0087022F">
        <w:rPr>
          <w:rFonts w:asciiTheme="minorHAnsi" w:hAnsiTheme="minorHAnsi"/>
          <w:sz w:val="22"/>
          <w:szCs w:val="22"/>
          <w:lang w:val="ru-RU"/>
        </w:rPr>
        <w:t>Это хорошая практика, которая отвечает нашему предложению, представленному в отчете в прошлом году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 (</w:t>
      </w:r>
      <w:r w:rsidR="00ED34A5" w:rsidRPr="0087022F">
        <w:rPr>
          <w:rFonts w:asciiTheme="minorHAnsi" w:hAnsiTheme="minorHAnsi"/>
          <w:sz w:val="22"/>
          <w:szCs w:val="22"/>
          <w:lang w:val="ru-RU"/>
        </w:rPr>
        <w:t>предложение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1</w:t>
      </w:r>
      <w:r w:rsidR="00ED34A5" w:rsidRPr="0087022F">
        <w:rPr>
          <w:rFonts w:asciiTheme="minorHAnsi" w:hAnsiTheme="minorHAnsi"/>
          <w:sz w:val="22"/>
          <w:szCs w:val="22"/>
          <w:lang w:val="ru-RU"/>
        </w:rPr>
        <w:t>,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 2013</w:t>
      </w:r>
      <w:r w:rsidR="00ED34A5" w:rsidRPr="0087022F">
        <w:rPr>
          <w:rFonts w:asciiTheme="minorHAnsi" w:hAnsiTheme="minorHAnsi"/>
          <w:sz w:val="22"/>
          <w:szCs w:val="22"/>
          <w:lang w:val="ru-RU"/>
        </w:rPr>
        <w:t> г.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ED34A5" w:rsidRPr="0087022F">
        <w:rPr>
          <w:rFonts w:asciiTheme="minorHAnsi" w:hAnsiTheme="minorHAnsi"/>
          <w:sz w:val="22"/>
          <w:szCs w:val="22"/>
          <w:lang w:val="ru-RU"/>
        </w:rPr>
        <w:t>см. Приложение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1), </w:t>
      </w:r>
      <w:r w:rsidR="00ED34A5" w:rsidRPr="0087022F">
        <w:rPr>
          <w:rFonts w:asciiTheme="minorHAnsi" w:hAnsiTheme="minorHAnsi"/>
          <w:sz w:val="22"/>
          <w:szCs w:val="22"/>
          <w:lang w:val="ru-RU"/>
        </w:rPr>
        <w:t>в котором мы</w:t>
      </w:r>
      <w:r w:rsidR="002606B7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ED34A5" w:rsidRPr="0087022F">
        <w:rPr>
          <w:rFonts w:asciiTheme="minorHAnsi" w:hAnsiTheme="minorHAnsi"/>
          <w:sz w:val="22"/>
          <w:szCs w:val="22"/>
          <w:lang w:val="ru-RU"/>
        </w:rPr>
        <w:t>отметили, что в случае возникновения потребности в пересмотренном бюджете предпочтительно указывать фактические показатели на дату пересмотра бюджета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.</w:t>
      </w:r>
    </w:p>
    <w:p w:rsidR="006547B1" w:rsidRPr="0087022F" w:rsidRDefault="007D0B3B" w:rsidP="002606B7">
      <w:pPr>
        <w:pStyle w:val="testobase"/>
        <w:numPr>
          <w:ilvl w:val="0"/>
          <w:numId w:val="0"/>
        </w:numPr>
        <w:overflowPunct w:val="0"/>
        <w:autoSpaceDE w:val="0"/>
        <w:autoSpaceDN w:val="0"/>
        <w:spacing w:line="240" w:lineRule="auto"/>
        <w:jc w:val="left"/>
        <w:textAlignment w:val="baseline"/>
        <w:rPr>
          <w:rFonts w:asciiTheme="minorHAnsi" w:hAnsiTheme="minorHAnsi"/>
          <w:sz w:val="22"/>
          <w:szCs w:val="22"/>
          <w:lang w:val="ru-RU"/>
        </w:rPr>
      </w:pPr>
      <w:r w:rsidRPr="0087022F">
        <w:rPr>
          <w:rFonts w:asciiTheme="minorHAnsi" w:hAnsiTheme="minorHAnsi"/>
          <w:sz w:val="22"/>
          <w:szCs w:val="22"/>
          <w:lang w:val="ru-RU"/>
        </w:rPr>
        <w:t>30</w:t>
      </w:r>
      <w:r w:rsidRPr="0087022F">
        <w:rPr>
          <w:rFonts w:asciiTheme="minorHAnsi" w:hAnsiTheme="minorHAnsi"/>
          <w:sz w:val="22"/>
          <w:szCs w:val="22"/>
          <w:lang w:val="ru-RU"/>
        </w:rPr>
        <w:tab/>
        <w:t>Мы отметили в отношении определенных доходов, что в пересмотренном бюджете</w:t>
      </w:r>
      <w:r w:rsidR="00500F34" w:rsidRPr="0087022F">
        <w:rPr>
          <w:rFonts w:asciiTheme="minorHAnsi" w:hAnsiTheme="minorHAnsi"/>
          <w:sz w:val="22"/>
          <w:szCs w:val="22"/>
          <w:lang w:val="ru-RU"/>
        </w:rPr>
        <w:t xml:space="preserve"> было указано более высокое значение как "фактическое" на определенную дату, а бюджетная величина была меньше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500F34" w:rsidRPr="0087022F">
        <w:rPr>
          <w:rFonts w:asciiTheme="minorHAnsi" w:hAnsiTheme="minorHAnsi"/>
          <w:sz w:val="22"/>
          <w:szCs w:val="22"/>
          <w:lang w:val="ru-RU"/>
        </w:rPr>
        <w:t>Это объясняется тем, что фактические показатели были получены непосредственно из</w:t>
      </w:r>
      <w:r w:rsidR="002606B7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SAP</w:t>
      </w:r>
      <w:r w:rsidR="00500F34" w:rsidRPr="0087022F">
        <w:rPr>
          <w:rFonts w:asciiTheme="minorHAnsi" w:hAnsiTheme="minorHAnsi"/>
          <w:sz w:val="22"/>
          <w:szCs w:val="22"/>
          <w:lang w:val="ru-RU"/>
        </w:rPr>
        <w:t xml:space="preserve"> на основе счета</w:t>
      </w:r>
      <w:r w:rsidR="00426543" w:rsidRPr="0087022F">
        <w:rPr>
          <w:rFonts w:asciiTheme="minorHAnsi" w:hAnsiTheme="minorHAnsi"/>
          <w:sz w:val="22"/>
          <w:szCs w:val="22"/>
          <w:lang w:val="ru-RU"/>
        </w:rPr>
        <w:t>-фактуры</w:t>
      </w:r>
      <w:r w:rsidR="00500F34" w:rsidRPr="0087022F">
        <w:rPr>
          <w:rFonts w:asciiTheme="minorHAnsi" w:hAnsiTheme="minorHAnsi"/>
          <w:sz w:val="22"/>
          <w:szCs w:val="22"/>
          <w:lang w:val="ru-RU"/>
        </w:rPr>
        <w:t>, который впоследствии был исключен, о чем упоминается в</w:t>
      </w:r>
      <w:r w:rsidR="002606B7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500F34" w:rsidRPr="0087022F">
        <w:rPr>
          <w:rFonts w:asciiTheme="minorHAnsi" w:hAnsiTheme="minorHAnsi"/>
          <w:sz w:val="22"/>
          <w:szCs w:val="22"/>
          <w:lang w:val="ru-RU"/>
        </w:rPr>
        <w:t>п</w:t>
      </w:r>
      <w:r w:rsidR="00914661" w:rsidRPr="0087022F">
        <w:rPr>
          <w:rFonts w:asciiTheme="minorHAnsi" w:hAnsiTheme="minorHAnsi"/>
          <w:sz w:val="22"/>
          <w:szCs w:val="22"/>
          <w:lang w:val="ru-RU"/>
        </w:rPr>
        <w:t>ункте</w:t>
      </w:r>
      <w:r w:rsidR="00500F34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32</w:t>
      </w:r>
      <w:r w:rsidR="00500F34" w:rsidRPr="0087022F">
        <w:rPr>
          <w:rFonts w:asciiTheme="minorHAnsi" w:hAnsiTheme="minorHAnsi"/>
          <w:sz w:val="22"/>
          <w:szCs w:val="22"/>
          <w:lang w:val="ru-RU"/>
        </w:rPr>
        <w:t>, ниже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.</w:t>
      </w:r>
    </w:p>
    <w:p w:rsidR="006547B1" w:rsidRPr="0087022F" w:rsidRDefault="00A77840" w:rsidP="002606B7">
      <w:pPr>
        <w:pStyle w:val="Heading3"/>
        <w:rPr>
          <w:lang w:val="ru-RU"/>
        </w:rPr>
      </w:pPr>
      <w:bookmarkStart w:id="57" w:name="_Toc417373386"/>
      <w:bookmarkStart w:id="58" w:name="_Toc419393856"/>
      <w:r w:rsidRPr="0087022F">
        <w:rPr>
          <w:lang w:val="ru-RU"/>
        </w:rPr>
        <w:t xml:space="preserve">Выставление счетов до подписания </w:t>
      </w:r>
      <w:bookmarkEnd w:id="57"/>
      <w:r w:rsidRPr="0087022F">
        <w:rPr>
          <w:lang w:val="ru-RU"/>
        </w:rPr>
        <w:t>соглашения о спонсорской поддержке</w:t>
      </w:r>
      <w:bookmarkEnd w:id="58"/>
    </w:p>
    <w:p w:rsidR="006547B1" w:rsidRPr="0087022F" w:rsidRDefault="00FC11F3" w:rsidP="002606B7">
      <w:pPr>
        <w:pStyle w:val="testobase"/>
        <w:numPr>
          <w:ilvl w:val="0"/>
          <w:numId w:val="0"/>
        </w:numPr>
        <w:overflowPunct w:val="0"/>
        <w:autoSpaceDE w:val="0"/>
        <w:autoSpaceDN w:val="0"/>
        <w:spacing w:line="240" w:lineRule="auto"/>
        <w:jc w:val="left"/>
        <w:textAlignment w:val="baseline"/>
        <w:rPr>
          <w:rFonts w:asciiTheme="minorHAnsi" w:hAnsiTheme="minorHAnsi"/>
          <w:sz w:val="22"/>
          <w:szCs w:val="22"/>
          <w:lang w:val="ru-RU"/>
        </w:rPr>
      </w:pPr>
      <w:r w:rsidRPr="0087022F">
        <w:rPr>
          <w:rFonts w:asciiTheme="minorHAnsi" w:hAnsiTheme="minorHAnsi"/>
          <w:sz w:val="22"/>
          <w:szCs w:val="22"/>
          <w:lang w:val="ru-RU"/>
        </w:rPr>
        <w:t>31</w:t>
      </w:r>
      <w:r w:rsidRPr="0087022F">
        <w:rPr>
          <w:rFonts w:asciiTheme="minorHAnsi" w:hAnsiTheme="minorHAnsi"/>
          <w:sz w:val="22"/>
          <w:szCs w:val="22"/>
          <w:lang w:val="ru-RU"/>
        </w:rPr>
        <w:tab/>
      </w:r>
      <w:r w:rsidR="004B23C7" w:rsidRPr="0087022F">
        <w:rPr>
          <w:rFonts w:asciiTheme="minorHAnsi" w:hAnsiTheme="minorHAnsi"/>
          <w:sz w:val="22"/>
          <w:szCs w:val="22"/>
          <w:lang w:val="ru-RU"/>
        </w:rPr>
        <w:t>Мы обнаружили счет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-фактуру</w:t>
      </w:r>
      <w:r w:rsidR="004B23C7" w:rsidRPr="0087022F">
        <w:rPr>
          <w:rFonts w:asciiTheme="minorHAnsi" w:hAnsiTheme="minorHAnsi"/>
          <w:sz w:val="22"/>
          <w:szCs w:val="22"/>
          <w:lang w:val="ru-RU"/>
        </w:rPr>
        <w:t xml:space="preserve"> № 6100014670 от 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8</w:t>
      </w:r>
      <w:r w:rsidR="004B23C7" w:rsidRPr="0087022F">
        <w:rPr>
          <w:rFonts w:asciiTheme="minorHAnsi" w:hAnsiTheme="minorHAnsi"/>
          <w:sz w:val="22"/>
          <w:szCs w:val="22"/>
          <w:lang w:val="ru-RU"/>
        </w:rPr>
        <w:t> октября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 2014</w:t>
      </w:r>
      <w:r w:rsidR="004B23C7" w:rsidRPr="0087022F">
        <w:rPr>
          <w:rFonts w:asciiTheme="minorHAnsi" w:hAnsiTheme="minorHAnsi"/>
          <w:sz w:val="22"/>
          <w:szCs w:val="22"/>
          <w:lang w:val="ru-RU"/>
        </w:rPr>
        <w:t xml:space="preserve"> года, выставленный </w:t>
      </w:r>
      <w:r w:rsidR="0051663A" w:rsidRPr="0087022F">
        <w:rPr>
          <w:rFonts w:asciiTheme="minorHAnsi" w:hAnsiTheme="minorHAnsi"/>
          <w:sz w:val="22"/>
          <w:szCs w:val="22"/>
          <w:lang w:val="ru-RU"/>
        </w:rPr>
        <w:t>с целью</w:t>
      </w:r>
      <w:r w:rsidR="004B23C7" w:rsidRPr="0087022F">
        <w:rPr>
          <w:rFonts w:asciiTheme="minorHAnsi" w:hAnsiTheme="minorHAnsi"/>
          <w:sz w:val="22"/>
          <w:szCs w:val="22"/>
          <w:lang w:val="ru-RU"/>
        </w:rPr>
        <w:t xml:space="preserve"> получения 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1</w:t>
      </w:r>
      <w:r w:rsidR="004B23C7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345</w:t>
      </w:r>
      <w:r w:rsidR="004B23C7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000</w:t>
      </w:r>
      <w:r w:rsidR="004B23C7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2D2857" w:rsidRPr="0087022F">
        <w:rPr>
          <w:rFonts w:asciiTheme="minorHAnsi" w:hAnsiTheme="minorHAnsi"/>
          <w:sz w:val="22"/>
          <w:szCs w:val="22"/>
          <w:lang w:val="ru-RU"/>
        </w:rPr>
        <w:t xml:space="preserve">швейцарских франков от агента по организации в качестве спонсорской поддержки, в 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то время как</w:t>
      </w:r>
      <w:r w:rsidR="002D2857" w:rsidRPr="0087022F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 xml:space="preserve">согласно </w:t>
      </w:r>
      <w:r w:rsidR="002D2857" w:rsidRPr="0087022F">
        <w:rPr>
          <w:rFonts w:asciiTheme="minorHAnsi" w:hAnsiTheme="minorHAnsi"/>
          <w:sz w:val="22"/>
          <w:szCs w:val="22"/>
          <w:lang w:val="ru-RU"/>
        </w:rPr>
        <w:t>показател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ям</w:t>
      </w:r>
      <w:r w:rsidR="002D2857" w:rsidRPr="0087022F">
        <w:rPr>
          <w:rFonts w:asciiTheme="minorHAnsi" w:hAnsiTheme="minorHAnsi"/>
          <w:sz w:val="22"/>
          <w:szCs w:val="22"/>
          <w:lang w:val="ru-RU"/>
        </w:rPr>
        <w:t xml:space="preserve"> пересмотренного бюджета и фактически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м</w:t>
      </w:r>
      <w:r w:rsidR="002D2857" w:rsidRPr="0087022F">
        <w:rPr>
          <w:rFonts w:asciiTheme="minorHAnsi" w:hAnsiTheme="minorHAnsi"/>
          <w:sz w:val="22"/>
          <w:szCs w:val="22"/>
          <w:lang w:val="ru-RU"/>
        </w:rPr>
        <w:t xml:space="preserve"> показател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 xml:space="preserve">ям принимающая страна согласовала предоставление меньшей суммы – 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1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171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000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 швейцарских франков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на каковую сумму в конце концов был выставлен счет-фактура от</w:t>
      </w:r>
      <w:r w:rsidR="002606B7" w:rsidRPr="0087022F">
        <w:rPr>
          <w:rFonts w:asciiTheme="minorHAnsi" w:hAnsiTheme="minorHAnsi"/>
          <w:sz w:val="22"/>
          <w:szCs w:val="22"/>
          <w:lang w:val="ru-RU"/>
        </w:rPr>
        <w:t>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9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 xml:space="preserve"> декабря 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2014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 года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 (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счет № 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6100015479, </w:t>
      </w:r>
      <w:r w:rsidR="002E6D8D" w:rsidRPr="0087022F">
        <w:rPr>
          <w:rFonts w:asciiTheme="minorHAnsi" w:hAnsiTheme="minorHAnsi"/>
          <w:sz w:val="22"/>
          <w:szCs w:val="22"/>
          <w:lang w:val="ru-RU"/>
        </w:rPr>
        <w:t>исключивший предыдущий счет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>).</w:t>
      </w:r>
    </w:p>
    <w:p w:rsidR="006547B1" w:rsidRPr="0087022F" w:rsidRDefault="005D353C" w:rsidP="008D2060">
      <w:pPr>
        <w:pStyle w:val="testobase"/>
        <w:numPr>
          <w:ilvl w:val="0"/>
          <w:numId w:val="0"/>
        </w:numPr>
        <w:overflowPunct w:val="0"/>
        <w:autoSpaceDE w:val="0"/>
        <w:autoSpaceDN w:val="0"/>
        <w:spacing w:after="240" w:line="240" w:lineRule="auto"/>
        <w:jc w:val="left"/>
        <w:textAlignment w:val="baseline"/>
        <w:rPr>
          <w:rFonts w:asciiTheme="minorHAnsi" w:hAnsiTheme="minorHAnsi"/>
          <w:sz w:val="22"/>
          <w:szCs w:val="22"/>
          <w:lang w:val="ru-RU"/>
        </w:rPr>
      </w:pPr>
      <w:r w:rsidRPr="0087022F">
        <w:rPr>
          <w:rFonts w:asciiTheme="minorHAnsi" w:hAnsiTheme="minorHAnsi"/>
          <w:sz w:val="22"/>
          <w:szCs w:val="22"/>
          <w:lang w:val="ru-RU"/>
        </w:rPr>
        <w:t>32</w:t>
      </w:r>
      <w:r w:rsidRPr="0087022F">
        <w:rPr>
          <w:rFonts w:asciiTheme="minorHAnsi" w:hAnsiTheme="minorHAnsi"/>
          <w:sz w:val="22"/>
          <w:szCs w:val="22"/>
          <w:lang w:val="ru-RU"/>
        </w:rPr>
        <w:tab/>
      </w:r>
      <w:r w:rsidR="0051663A" w:rsidRPr="0087022F">
        <w:rPr>
          <w:rFonts w:asciiTheme="minorHAnsi" w:hAnsiTheme="minorHAnsi"/>
          <w:sz w:val="22"/>
          <w:szCs w:val="22"/>
          <w:lang w:val="ru-RU"/>
        </w:rPr>
        <w:t xml:space="preserve">Мы заметили, что первый счет-фактура, выставленный агенту по организации, на </w:t>
      </w:r>
      <w:proofErr w:type="spellStart"/>
      <w:r w:rsidR="0051663A" w:rsidRPr="0087022F">
        <w:rPr>
          <w:rFonts w:asciiTheme="minorHAnsi" w:hAnsiTheme="minorHAnsi"/>
          <w:sz w:val="22"/>
          <w:szCs w:val="22"/>
          <w:lang w:val="ru-RU"/>
        </w:rPr>
        <w:t>бóльшую</w:t>
      </w:r>
      <w:proofErr w:type="spellEnd"/>
      <w:r w:rsidR="0051663A" w:rsidRPr="0087022F">
        <w:rPr>
          <w:rFonts w:asciiTheme="minorHAnsi" w:hAnsiTheme="minorHAnsi"/>
          <w:sz w:val="22"/>
          <w:szCs w:val="22"/>
          <w:lang w:val="ru-RU"/>
        </w:rPr>
        <w:t xml:space="preserve"> сумму, был выставлен до подписания соглашения о спонсорской поддержке</w:t>
      </w:r>
      <w:r w:rsidR="006547B1" w:rsidRPr="0087022F">
        <w:rPr>
          <w:rFonts w:asciiTheme="minorHAnsi" w:hAnsiTheme="minorHAnsi"/>
          <w:sz w:val="22"/>
          <w:szCs w:val="22"/>
          <w:lang w:val="ru-RU"/>
        </w:rPr>
        <w:t xml:space="preserve">.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606B7" w:rsidRPr="004249CF" w:rsidTr="00B82F9B">
        <w:tc>
          <w:tcPr>
            <w:tcW w:w="9781" w:type="dxa"/>
          </w:tcPr>
          <w:p w:rsidR="002606B7" w:rsidRPr="0087022F" w:rsidRDefault="002606B7" w:rsidP="00A627A9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lastRenderedPageBreak/>
              <w:t>Предложение 1</w:t>
            </w:r>
          </w:p>
          <w:p w:rsidR="002606B7" w:rsidRPr="0087022F" w:rsidRDefault="002606B7" w:rsidP="00A627A9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33</w:t>
            </w:r>
            <w:r w:rsidRPr="0087022F">
              <w:rPr>
                <w:lang w:val="ru-RU"/>
              </w:rPr>
              <w:tab/>
              <w:t xml:space="preserve">Мы 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 не допускать выставления счетов-фактур на спонсорскую поддержку до подписания соглашения о спонсорской поддержке.</w:t>
            </w:r>
          </w:p>
        </w:tc>
      </w:tr>
    </w:tbl>
    <w:p w:rsidR="002606B7" w:rsidRPr="0087022F" w:rsidRDefault="002606B7" w:rsidP="00A627A9">
      <w:pPr>
        <w:spacing w:before="0"/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7F68" w:rsidRPr="004249CF" w:rsidTr="007F2026">
        <w:tc>
          <w:tcPr>
            <w:tcW w:w="9781" w:type="dxa"/>
          </w:tcPr>
          <w:p w:rsidR="00CB7F68" w:rsidRPr="0087022F" w:rsidRDefault="00CB7F68" w:rsidP="00A627A9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CB7F68" w:rsidRPr="0087022F" w:rsidRDefault="002A5B4E" w:rsidP="00A627A9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 xml:space="preserve">Счета-фактуры </w:t>
            </w:r>
            <w:r w:rsidR="00426543" w:rsidRPr="0087022F">
              <w:rPr>
                <w:lang w:val="ru-RU"/>
              </w:rPr>
              <w:t>для</w:t>
            </w:r>
            <w:r w:rsidRPr="0087022F">
              <w:rPr>
                <w:lang w:val="ru-RU"/>
              </w:rPr>
              <w:t xml:space="preserve"> спонсор</w:t>
            </w:r>
            <w:r w:rsidR="00426543" w:rsidRPr="0087022F">
              <w:rPr>
                <w:lang w:val="ru-RU"/>
              </w:rPr>
              <w:t>ов</w:t>
            </w:r>
            <w:r w:rsidRPr="0087022F">
              <w:rPr>
                <w:lang w:val="ru-RU"/>
              </w:rPr>
              <w:t xml:space="preserve"> выставляются обычно только после подписания соглашения о</w:t>
            </w:r>
            <w:r w:rsidR="00A627A9" w:rsidRPr="0087022F">
              <w:rPr>
                <w:lang w:val="ru-RU"/>
              </w:rPr>
              <w:t> </w:t>
            </w:r>
            <w:r w:rsidRPr="0087022F">
              <w:rPr>
                <w:lang w:val="ru-RU"/>
              </w:rPr>
              <w:t>спонсорской поддержке. В данном конкретном случае счет-фактура был конкретно затребован спонсором (агентом по организации)</w:t>
            </w:r>
            <w:r w:rsidR="00FB0B3C" w:rsidRPr="0087022F">
              <w:rPr>
                <w:lang w:val="ru-RU"/>
              </w:rPr>
              <w:t>, который впоследствии пересмотрел величину спонсорского взноса</w:t>
            </w:r>
            <w:r w:rsidRPr="0087022F">
              <w:rPr>
                <w:lang w:val="ru-RU"/>
              </w:rPr>
              <w:t xml:space="preserve">. </w:t>
            </w:r>
            <w:r w:rsidR="00FB0B3C" w:rsidRPr="0087022F">
              <w:rPr>
                <w:lang w:val="ru-RU"/>
              </w:rPr>
              <w:t>Пересмотренная сумма спонсорской поддержки была уплачена спонсором даже без</w:t>
            </w:r>
            <w:r w:rsidR="00A627A9" w:rsidRPr="0087022F">
              <w:rPr>
                <w:lang w:val="ru-RU"/>
              </w:rPr>
              <w:t> </w:t>
            </w:r>
            <w:r w:rsidR="00FB0B3C" w:rsidRPr="0087022F">
              <w:rPr>
                <w:lang w:val="ru-RU"/>
              </w:rPr>
              <w:t>подписания им соглашения о спонсорской поддержке</w:t>
            </w:r>
            <w:r w:rsidRPr="0087022F">
              <w:rPr>
                <w:lang w:val="ru-RU"/>
              </w:rPr>
              <w:t xml:space="preserve">. </w:t>
            </w:r>
            <w:r w:rsidR="00FB0B3C" w:rsidRPr="0087022F">
              <w:rPr>
                <w:lang w:val="ru-RU"/>
              </w:rPr>
              <w:t>Несмотря на это, будут приняты меры, которые обеспечат направление счетов-фактуры только после подписания соглашений</w:t>
            </w:r>
            <w:r w:rsidRPr="0087022F">
              <w:rPr>
                <w:lang w:val="ru-RU"/>
              </w:rPr>
              <w:t xml:space="preserve"> </w:t>
            </w:r>
            <w:r w:rsidR="00FB0B3C" w:rsidRPr="0087022F">
              <w:rPr>
                <w:lang w:val="ru-RU"/>
              </w:rPr>
              <w:t>о</w:t>
            </w:r>
            <w:r w:rsidR="00A627A9" w:rsidRPr="0087022F">
              <w:rPr>
                <w:lang w:val="ru-RU"/>
              </w:rPr>
              <w:t> </w:t>
            </w:r>
            <w:r w:rsidR="00FB0B3C" w:rsidRPr="0087022F">
              <w:rPr>
                <w:lang w:val="ru-RU"/>
              </w:rPr>
              <w:t>спонсорской поддержке</w:t>
            </w:r>
            <w:r w:rsidRPr="0087022F">
              <w:rPr>
                <w:lang w:val="ru-RU"/>
              </w:rPr>
              <w:t>.</w:t>
            </w:r>
          </w:p>
        </w:tc>
      </w:tr>
    </w:tbl>
    <w:p w:rsidR="00CB7F68" w:rsidRPr="0087022F" w:rsidRDefault="00CB7F68" w:rsidP="002606B7">
      <w:pPr>
        <w:pStyle w:val="Heading3"/>
        <w:rPr>
          <w:lang w:val="ru-RU"/>
        </w:rPr>
      </w:pPr>
      <w:bookmarkStart w:id="59" w:name="_Toc355894299"/>
      <w:bookmarkStart w:id="60" w:name="_Toc358196997"/>
      <w:bookmarkStart w:id="61" w:name="_Toc358197256"/>
      <w:bookmarkStart w:id="62" w:name="_Toc399768436"/>
      <w:bookmarkStart w:id="63" w:name="_Toc419393857"/>
      <w:r w:rsidRPr="0087022F">
        <w:rPr>
          <w:lang w:val="ru-RU"/>
        </w:rPr>
        <w:t xml:space="preserve">В отчетности о мероприятии увязывать результаты, общие </w:t>
      </w:r>
      <w:r w:rsidR="00CC2BAD" w:rsidRPr="0087022F">
        <w:rPr>
          <w:lang w:val="ru-RU"/>
        </w:rPr>
        <w:t>цели</w:t>
      </w:r>
      <w:r w:rsidRPr="0087022F">
        <w:rPr>
          <w:lang w:val="ru-RU"/>
        </w:rPr>
        <w:t xml:space="preserve"> Резолюции 11 с KPI</w:t>
      </w:r>
      <w:bookmarkEnd w:id="59"/>
      <w:bookmarkEnd w:id="60"/>
      <w:bookmarkEnd w:id="61"/>
      <w:bookmarkEnd w:id="62"/>
      <w:bookmarkEnd w:id="63"/>
    </w:p>
    <w:p w:rsidR="00CB7F68" w:rsidRPr="0087022F" w:rsidRDefault="00CC2BAD" w:rsidP="002606B7">
      <w:pPr>
        <w:rPr>
          <w:lang w:val="ru-RU"/>
        </w:rPr>
      </w:pPr>
      <w:r w:rsidRPr="0087022F">
        <w:rPr>
          <w:bCs/>
          <w:lang w:val="ru-RU"/>
        </w:rPr>
        <w:t>34</w:t>
      </w:r>
      <w:r w:rsidR="00CB7F68" w:rsidRPr="0087022F">
        <w:rPr>
          <w:bCs/>
          <w:lang w:val="ru-RU"/>
        </w:rPr>
        <w:tab/>
        <w:t xml:space="preserve">В пункте 2 раздела </w:t>
      </w:r>
      <w:r w:rsidR="00CB7F68" w:rsidRPr="0087022F">
        <w:rPr>
          <w:bCs/>
          <w:i/>
          <w:iCs/>
          <w:lang w:val="ru-RU"/>
        </w:rPr>
        <w:t xml:space="preserve">решает </w:t>
      </w:r>
      <w:r w:rsidR="00CB7F68" w:rsidRPr="0087022F">
        <w:rPr>
          <w:bCs/>
          <w:lang w:val="ru-RU"/>
        </w:rPr>
        <w:t>Резолюции 11 (</w:t>
      </w:r>
      <w:proofErr w:type="spellStart"/>
      <w:r w:rsidR="00CB7F68" w:rsidRPr="0087022F">
        <w:rPr>
          <w:bCs/>
          <w:lang w:val="ru-RU"/>
        </w:rPr>
        <w:t>Пересм</w:t>
      </w:r>
      <w:proofErr w:type="spellEnd"/>
      <w:r w:rsidR="00CB7F68" w:rsidRPr="0087022F">
        <w:rPr>
          <w:bCs/>
          <w:lang w:val="ru-RU"/>
        </w:rPr>
        <w:t xml:space="preserve">. </w:t>
      </w:r>
      <w:proofErr w:type="spellStart"/>
      <w:r w:rsidR="00B11DBB" w:rsidRPr="0087022F">
        <w:rPr>
          <w:bCs/>
          <w:lang w:val="ru-RU"/>
        </w:rPr>
        <w:t>Пусан</w:t>
      </w:r>
      <w:proofErr w:type="spellEnd"/>
      <w:r w:rsidR="00CB7F68" w:rsidRPr="0087022F">
        <w:rPr>
          <w:bCs/>
          <w:lang w:val="ru-RU"/>
        </w:rPr>
        <w:t>, 201</w:t>
      </w:r>
      <w:r w:rsidR="00B11DBB" w:rsidRPr="0087022F">
        <w:rPr>
          <w:bCs/>
          <w:lang w:val="ru-RU"/>
        </w:rPr>
        <w:t>4</w:t>
      </w:r>
      <w:r w:rsidR="00CB7F68" w:rsidRPr="0087022F">
        <w:rPr>
          <w:bCs/>
          <w:lang w:val="ru-RU"/>
        </w:rPr>
        <w:t> г.) предусматривается, что</w:t>
      </w:r>
      <w:r w:rsidR="002606B7" w:rsidRPr="0087022F">
        <w:rPr>
          <w:bCs/>
          <w:lang w:val="ru-RU"/>
        </w:rPr>
        <w:t> </w:t>
      </w:r>
      <w:r w:rsidR="00CB7F68" w:rsidRPr="0087022F">
        <w:rPr>
          <w:bCs/>
          <w:lang w:val="ru-RU"/>
        </w:rPr>
        <w:t>"</w:t>
      </w:r>
      <w:r w:rsidR="00CB7F68" w:rsidRPr="0087022F">
        <w:rPr>
          <w:lang w:val="ru-RU"/>
        </w:rPr>
        <w:t xml:space="preserve">Генеральный секретарь несет полную ответственность за деятельность ITU </w:t>
      </w:r>
      <w:proofErr w:type="spellStart"/>
      <w:r w:rsidR="00CB7F68" w:rsidRPr="0087022F">
        <w:rPr>
          <w:rFonts w:eastAsia="SimSun"/>
          <w:lang w:val="ru-RU"/>
        </w:rPr>
        <w:t>Telecom</w:t>
      </w:r>
      <w:proofErr w:type="spellEnd"/>
      <w:r w:rsidR="00CB7F68" w:rsidRPr="0087022F">
        <w:rPr>
          <w:lang w:val="ru-RU"/>
        </w:rPr>
        <w:t xml:space="preserve"> (включая планирование, организацию и финансы)"</w:t>
      </w:r>
      <w:r w:rsidR="00CB7F68" w:rsidRPr="0087022F">
        <w:rPr>
          <w:bCs/>
          <w:lang w:val="ru-RU"/>
        </w:rPr>
        <w:t>.</w:t>
      </w:r>
    </w:p>
    <w:p w:rsidR="00CB7F68" w:rsidRPr="0087022F" w:rsidRDefault="00CC2BAD" w:rsidP="00A627A9">
      <w:pPr>
        <w:rPr>
          <w:lang w:val="ru-RU"/>
        </w:rPr>
      </w:pPr>
      <w:r w:rsidRPr="0087022F">
        <w:rPr>
          <w:lang w:val="ru-RU"/>
        </w:rPr>
        <w:t>35</w:t>
      </w:r>
      <w:r w:rsidR="00CB7F68" w:rsidRPr="0087022F">
        <w:rPr>
          <w:lang w:val="ru-RU"/>
        </w:rPr>
        <w:tab/>
        <w:t xml:space="preserve">Мы проанализировали различные части процесса и на стадии отчетности оценили соответствующие отчеты, которые обеспечивают Генеральному секретарю обратную связь </w:t>
      </w:r>
      <w:r w:rsidR="00B11DBB" w:rsidRPr="0087022F">
        <w:rPr>
          <w:lang w:val="ru-RU"/>
        </w:rPr>
        <w:t>по</w:t>
      </w:r>
      <w:r w:rsidR="00A627A9" w:rsidRPr="0087022F">
        <w:rPr>
          <w:lang w:val="ru-RU"/>
        </w:rPr>
        <w:t> </w:t>
      </w:r>
      <w:r w:rsidR="00CB7F68" w:rsidRPr="0087022F">
        <w:rPr>
          <w:lang w:val="ru-RU"/>
        </w:rPr>
        <w:t>результат</w:t>
      </w:r>
      <w:r w:rsidR="00B11DBB" w:rsidRPr="0087022F">
        <w:rPr>
          <w:lang w:val="ru-RU"/>
        </w:rPr>
        <w:t>ам</w:t>
      </w:r>
      <w:r w:rsidR="00CB7F68" w:rsidRPr="0087022F">
        <w:rPr>
          <w:lang w:val="ru-RU"/>
        </w:rPr>
        <w:t xml:space="preserve"> </w:t>
      </w:r>
      <w:r w:rsidRPr="0087022F">
        <w:rPr>
          <w:lang w:val="ru-RU"/>
        </w:rPr>
        <w:t xml:space="preserve">с увязкой </w:t>
      </w:r>
      <w:r w:rsidRPr="0087022F">
        <w:rPr>
          <w:color w:val="000000"/>
          <w:lang w:val="ru-RU"/>
        </w:rPr>
        <w:t xml:space="preserve">и сравнением KPI </w:t>
      </w:r>
      <w:r w:rsidR="00B11DBB" w:rsidRPr="0087022F">
        <w:rPr>
          <w:color w:val="000000"/>
          <w:lang w:val="ru-RU"/>
        </w:rPr>
        <w:t>с</w:t>
      </w:r>
      <w:r w:rsidRPr="0087022F">
        <w:rPr>
          <w:color w:val="000000"/>
          <w:lang w:val="ru-RU"/>
        </w:rPr>
        <w:t xml:space="preserve"> результат</w:t>
      </w:r>
      <w:r w:rsidR="00B11DBB" w:rsidRPr="0087022F">
        <w:rPr>
          <w:color w:val="000000"/>
          <w:lang w:val="ru-RU"/>
        </w:rPr>
        <w:t>ами</w:t>
      </w:r>
      <w:r w:rsidRPr="0087022F">
        <w:rPr>
          <w:color w:val="000000"/>
          <w:lang w:val="ru-RU"/>
        </w:rPr>
        <w:t xml:space="preserve"> в рамках общих целей, указанных в</w:t>
      </w:r>
      <w:r w:rsidR="00A627A9" w:rsidRPr="0087022F">
        <w:rPr>
          <w:color w:val="000000"/>
          <w:lang w:val="ru-RU"/>
        </w:rPr>
        <w:t> </w:t>
      </w:r>
      <w:r w:rsidRPr="0087022F">
        <w:rPr>
          <w:color w:val="000000"/>
          <w:lang w:val="ru-RU"/>
        </w:rPr>
        <w:t>Резолюции 11,</w:t>
      </w:r>
      <w:r w:rsidRPr="0087022F">
        <w:rPr>
          <w:lang w:val="ru-RU"/>
        </w:rPr>
        <w:t xml:space="preserve"> </w:t>
      </w:r>
      <w:r w:rsidR="00CB7F68" w:rsidRPr="0087022F">
        <w:rPr>
          <w:lang w:val="ru-RU"/>
        </w:rPr>
        <w:t>и экономической эффективности мероприятия.</w:t>
      </w:r>
    </w:p>
    <w:p w:rsidR="00CB7F68" w:rsidRPr="0087022F" w:rsidRDefault="00CC2BAD" w:rsidP="00CC2BAD">
      <w:pPr>
        <w:rPr>
          <w:lang w:val="ru-RU"/>
        </w:rPr>
      </w:pPr>
      <w:r w:rsidRPr="0087022F">
        <w:rPr>
          <w:lang w:val="ru-RU"/>
        </w:rPr>
        <w:t>36</w:t>
      </w:r>
      <w:r w:rsidR="00CB7F68" w:rsidRPr="0087022F">
        <w:rPr>
          <w:lang w:val="ru-RU"/>
        </w:rPr>
        <w:tab/>
      </w:r>
      <w:r w:rsidRPr="0087022F">
        <w:rPr>
          <w:lang w:val="ru-RU"/>
        </w:rPr>
        <w:t>Мы получили "Анализ мероприятия", который был выполнен с использованием внутренних ресурсов и надлежащим образом представлен нам 10 марта 2015 года и сопровожден пояснениями</w:t>
      </w:r>
      <w:r w:rsidR="00CB7F68" w:rsidRPr="0087022F">
        <w:rPr>
          <w:lang w:val="ru-RU"/>
        </w:rPr>
        <w:t>.</w:t>
      </w:r>
    </w:p>
    <w:p w:rsidR="00CC2BAD" w:rsidRPr="0087022F" w:rsidRDefault="00CC2BAD" w:rsidP="00592B72">
      <w:pPr>
        <w:rPr>
          <w:lang w:val="ru-RU"/>
        </w:rPr>
      </w:pPr>
      <w:r w:rsidRPr="0087022F">
        <w:rPr>
          <w:lang w:val="ru-RU"/>
        </w:rPr>
        <w:t>37</w:t>
      </w:r>
      <w:r w:rsidRPr="0087022F">
        <w:rPr>
          <w:lang w:val="ru-RU"/>
        </w:rPr>
        <w:tab/>
      </w:r>
      <w:r w:rsidR="00592B72" w:rsidRPr="0087022F">
        <w:rPr>
          <w:lang w:val="ru-RU"/>
        </w:rPr>
        <w:t>Мы признаем также, что трудности в получении данных были связаны с разработкой системы регистрации, в которой впервые использовалась система SAP CRM, и что разработка этой системы продолжается для ее использования для следующего мероприятия.</w:t>
      </w:r>
    </w:p>
    <w:p w:rsidR="002A5B4E" w:rsidRPr="0087022F" w:rsidRDefault="00592B72" w:rsidP="002606B7">
      <w:pPr>
        <w:pStyle w:val="Heading3"/>
        <w:rPr>
          <w:lang w:val="ru-RU"/>
        </w:rPr>
      </w:pPr>
      <w:bookmarkStart w:id="64" w:name="_Toc419393858"/>
      <w:bookmarkStart w:id="65" w:name="_Toc399768435"/>
      <w:r w:rsidRPr="0087022F">
        <w:rPr>
          <w:lang w:val="ru-RU"/>
        </w:rPr>
        <w:t>Необходимо с</w:t>
      </w:r>
      <w:r w:rsidR="002A5B4E" w:rsidRPr="0087022F">
        <w:rPr>
          <w:lang w:val="ru-RU"/>
        </w:rPr>
        <w:t>воевременное подписание соглашения с принимающей страной</w:t>
      </w:r>
      <w:bookmarkEnd w:id="64"/>
      <w:r w:rsidR="002A5B4E" w:rsidRPr="0087022F">
        <w:rPr>
          <w:lang w:val="ru-RU"/>
        </w:rPr>
        <w:t xml:space="preserve"> </w:t>
      </w:r>
      <w:bookmarkEnd w:id="65"/>
    </w:p>
    <w:p w:rsidR="002A5B4E" w:rsidRPr="0087022F" w:rsidRDefault="002A5B4E" w:rsidP="00A627A9">
      <w:pPr>
        <w:rPr>
          <w:lang w:val="ru-RU"/>
        </w:rPr>
      </w:pPr>
      <w:r w:rsidRPr="0087022F">
        <w:rPr>
          <w:bCs/>
          <w:lang w:val="ru-RU"/>
        </w:rPr>
        <w:t>38</w:t>
      </w:r>
      <w:r w:rsidRPr="0087022F">
        <w:rPr>
          <w:bCs/>
          <w:lang w:val="ru-RU"/>
        </w:rPr>
        <w:tab/>
      </w:r>
      <w:r w:rsidR="00371C2A" w:rsidRPr="0087022F">
        <w:rPr>
          <w:bCs/>
          <w:lang w:val="ru-RU"/>
        </w:rPr>
        <w:t>Соглашение с принимающей страной – один из основных документов, необходимых для</w:t>
      </w:r>
      <w:r w:rsidR="00A627A9" w:rsidRPr="0087022F">
        <w:rPr>
          <w:bCs/>
          <w:lang w:val="ru-RU"/>
        </w:rPr>
        <w:t> </w:t>
      </w:r>
      <w:r w:rsidR="00371C2A" w:rsidRPr="0087022F">
        <w:rPr>
          <w:bCs/>
          <w:lang w:val="ru-RU"/>
        </w:rPr>
        <w:t>составления точного и реалистичного бюджета</w:t>
      </w:r>
      <w:r w:rsidR="00371C2A" w:rsidRPr="0087022F">
        <w:rPr>
          <w:lang w:val="ru-RU"/>
        </w:rPr>
        <w:t>. Мы уже указывали в своем предложении, что</w:t>
      </w:r>
      <w:r w:rsidR="00A627A9" w:rsidRPr="0087022F">
        <w:rPr>
          <w:lang w:val="ru-RU"/>
        </w:rPr>
        <w:t> </w:t>
      </w:r>
      <w:r w:rsidR="00371C2A" w:rsidRPr="0087022F">
        <w:rPr>
          <w:lang w:val="ru-RU"/>
        </w:rPr>
        <w:t>своевременное подписание соглашения с принимающей страной поможет сократить расхождения (предложение 1/2012). Наши заключения о фактической ситуации в 2014 году по</w:t>
      </w:r>
      <w:r w:rsidR="00A627A9" w:rsidRPr="0087022F">
        <w:rPr>
          <w:lang w:val="ru-RU"/>
        </w:rPr>
        <w:t> </w:t>
      </w:r>
      <w:r w:rsidR="00371C2A" w:rsidRPr="0087022F">
        <w:rPr>
          <w:lang w:val="ru-RU"/>
        </w:rPr>
        <w:t>данному конкретному вопросу изложены в п</w:t>
      </w:r>
      <w:r w:rsidR="00914661" w:rsidRPr="0087022F">
        <w:rPr>
          <w:lang w:val="ru-RU"/>
        </w:rPr>
        <w:t>ункте</w:t>
      </w:r>
      <w:r w:rsidR="00371C2A" w:rsidRPr="0087022F">
        <w:rPr>
          <w:lang w:val="ru-RU"/>
        </w:rPr>
        <w:t> 43</w:t>
      </w:r>
      <w:r w:rsidRPr="0087022F">
        <w:rPr>
          <w:bCs/>
          <w:lang w:val="ru-RU"/>
        </w:rPr>
        <w:t>.</w:t>
      </w:r>
    </w:p>
    <w:p w:rsidR="002A5B4E" w:rsidRPr="0087022F" w:rsidRDefault="002A5B4E" w:rsidP="00A627A9">
      <w:pPr>
        <w:pStyle w:val="Heading2"/>
        <w:spacing w:before="240"/>
        <w:rPr>
          <w:lang w:val="ru-RU"/>
        </w:rPr>
      </w:pPr>
      <w:bookmarkStart w:id="66" w:name="_Toc355894308"/>
      <w:bookmarkStart w:id="67" w:name="_Toc358197013"/>
      <w:bookmarkStart w:id="68" w:name="_Toc358197265"/>
      <w:bookmarkStart w:id="69" w:name="_Toc399768446"/>
      <w:bookmarkStart w:id="70" w:name="_Toc419393859"/>
      <w:r w:rsidRPr="0087022F">
        <w:rPr>
          <w:lang w:val="ru-RU"/>
        </w:rPr>
        <w:t>Процесс проведения конкурсов</w:t>
      </w:r>
      <w:bookmarkEnd w:id="66"/>
      <w:bookmarkEnd w:id="67"/>
      <w:bookmarkEnd w:id="68"/>
      <w:bookmarkEnd w:id="69"/>
      <w:bookmarkEnd w:id="70"/>
    </w:p>
    <w:p w:rsidR="002A5B4E" w:rsidRPr="0087022F" w:rsidRDefault="00914661" w:rsidP="00A627A9">
      <w:pPr>
        <w:rPr>
          <w:lang w:val="ru-RU"/>
        </w:rPr>
      </w:pPr>
      <w:r w:rsidRPr="0087022F">
        <w:rPr>
          <w:lang w:val="ru-RU"/>
        </w:rPr>
        <w:t>39</w:t>
      </w:r>
      <w:r w:rsidR="002A5B4E" w:rsidRPr="0087022F">
        <w:rPr>
          <w:lang w:val="ru-RU"/>
        </w:rPr>
        <w:tab/>
        <w:t xml:space="preserve">В пункте 5 раздела </w:t>
      </w:r>
      <w:r w:rsidR="002A5B4E" w:rsidRPr="0087022F">
        <w:rPr>
          <w:i/>
          <w:lang w:val="ru-RU"/>
        </w:rPr>
        <w:t xml:space="preserve">решает </w:t>
      </w:r>
      <w:r w:rsidR="002A5B4E" w:rsidRPr="0087022F">
        <w:rPr>
          <w:lang w:val="ru-RU"/>
        </w:rPr>
        <w:t>Резолюции</w:t>
      </w:r>
      <w:r w:rsidRPr="0087022F">
        <w:rPr>
          <w:lang w:val="ru-RU"/>
        </w:rPr>
        <w:t> </w:t>
      </w:r>
      <w:r w:rsidR="002A5B4E" w:rsidRPr="0087022F">
        <w:rPr>
          <w:lang w:val="ru-RU"/>
        </w:rPr>
        <w:t>11 (</w:t>
      </w:r>
      <w:proofErr w:type="spellStart"/>
      <w:r w:rsidR="002A5B4E" w:rsidRPr="0087022F">
        <w:rPr>
          <w:lang w:val="ru-RU"/>
        </w:rPr>
        <w:t>Пересм</w:t>
      </w:r>
      <w:proofErr w:type="spellEnd"/>
      <w:r w:rsidR="002A5B4E" w:rsidRPr="0087022F">
        <w:rPr>
          <w:lang w:val="ru-RU"/>
        </w:rPr>
        <w:t xml:space="preserve">. </w:t>
      </w:r>
      <w:proofErr w:type="spellStart"/>
      <w:r w:rsidR="0084411B" w:rsidRPr="0087022F">
        <w:rPr>
          <w:lang w:val="ru-RU"/>
        </w:rPr>
        <w:t>Пусан</w:t>
      </w:r>
      <w:proofErr w:type="spellEnd"/>
      <w:r w:rsidR="002A5B4E" w:rsidRPr="0087022F">
        <w:rPr>
          <w:lang w:val="ru-RU"/>
        </w:rPr>
        <w:t>, 201</w:t>
      </w:r>
      <w:r w:rsidR="0084411B" w:rsidRPr="0087022F">
        <w:rPr>
          <w:lang w:val="ru-RU"/>
        </w:rPr>
        <w:t>4</w:t>
      </w:r>
      <w:r w:rsidR="002A5B4E" w:rsidRPr="0087022F">
        <w:rPr>
          <w:lang w:val="ru-RU"/>
        </w:rPr>
        <w:t xml:space="preserve"> г.) утверждается, что "Союз при отборе места проведения мероприятий ITU </w:t>
      </w:r>
      <w:proofErr w:type="spellStart"/>
      <w:r w:rsidR="002A5B4E" w:rsidRPr="0087022F">
        <w:rPr>
          <w:rFonts w:eastAsia="SimSun"/>
          <w:lang w:val="ru-RU"/>
        </w:rPr>
        <w:t>Telecom</w:t>
      </w:r>
      <w:proofErr w:type="spellEnd"/>
      <w:r w:rsidR="002A5B4E" w:rsidRPr="0087022F">
        <w:rPr>
          <w:lang w:val="ru-RU"/>
        </w:rPr>
        <w:t xml:space="preserve"> должен обеспечивать: 5.1) открытую и</w:t>
      </w:r>
      <w:r w:rsidR="00A627A9" w:rsidRPr="0087022F">
        <w:rPr>
          <w:lang w:val="ru-RU"/>
        </w:rPr>
        <w:t> </w:t>
      </w:r>
      <w:r w:rsidR="002A5B4E" w:rsidRPr="0087022F">
        <w:rPr>
          <w:lang w:val="ru-RU"/>
        </w:rPr>
        <w:t>прозрачную процедуру проведения конкурса, базирующуюся на типовом соглашении с</w:t>
      </w:r>
      <w:r w:rsidR="00A627A9" w:rsidRPr="0087022F">
        <w:rPr>
          <w:lang w:val="ru-RU"/>
        </w:rPr>
        <w:t> </w:t>
      </w:r>
      <w:r w:rsidR="002A5B4E" w:rsidRPr="0087022F">
        <w:rPr>
          <w:lang w:val="ru-RU"/>
        </w:rPr>
        <w:t>принимающей страной (…) с использованием объективных критериев – включая финансовую рентабельность (…)".</w:t>
      </w:r>
    </w:p>
    <w:p w:rsidR="002A5B4E" w:rsidRPr="0087022F" w:rsidRDefault="00914661" w:rsidP="00A627A9">
      <w:pPr>
        <w:rPr>
          <w:rFonts w:eastAsia="SimSun"/>
          <w:lang w:val="ru-RU"/>
        </w:rPr>
      </w:pPr>
      <w:r w:rsidRPr="0087022F">
        <w:rPr>
          <w:lang w:val="ru-RU"/>
        </w:rPr>
        <w:t>40</w:t>
      </w:r>
      <w:r w:rsidR="002A5B4E" w:rsidRPr="0087022F">
        <w:rPr>
          <w:lang w:val="ru-RU"/>
        </w:rPr>
        <w:tab/>
      </w:r>
      <w:r w:rsidR="002E225C" w:rsidRPr="0087022F">
        <w:rPr>
          <w:rFonts w:eastAsia="SimSun"/>
          <w:lang w:val="ru-RU"/>
        </w:rPr>
        <w:t>Циркулярные письма с предложением каждому Государству – Члену МСЭ стать кандидатом на проведение у себя этого ежегодного мероприятия и представить соответствующие предложения</w:t>
      </w:r>
      <w:r w:rsidR="002E225C" w:rsidRPr="0087022F">
        <w:rPr>
          <w:lang w:val="ru-RU"/>
        </w:rPr>
        <w:t xml:space="preserve"> </w:t>
      </w:r>
      <w:r w:rsidR="002E225C" w:rsidRPr="0087022F">
        <w:rPr>
          <w:rFonts w:eastAsia="SimSun"/>
          <w:lang w:val="ru-RU"/>
        </w:rPr>
        <w:t xml:space="preserve">были </w:t>
      </w:r>
      <w:r w:rsidR="002A5B4E" w:rsidRPr="0087022F">
        <w:rPr>
          <w:rFonts w:eastAsia="SimSun"/>
          <w:lang w:val="ru-RU"/>
        </w:rPr>
        <w:t>направлены</w:t>
      </w:r>
      <w:r w:rsidR="002E225C" w:rsidRPr="0087022F">
        <w:rPr>
          <w:lang w:val="ru-RU"/>
        </w:rPr>
        <w:t xml:space="preserve"> с</w:t>
      </w:r>
      <w:r w:rsidR="002E225C" w:rsidRPr="0087022F">
        <w:rPr>
          <w:rFonts w:eastAsia="SimSun"/>
          <w:lang w:val="ru-RU"/>
        </w:rPr>
        <w:t>воевременно</w:t>
      </w:r>
      <w:r w:rsidR="002A5B4E" w:rsidRPr="0087022F">
        <w:rPr>
          <w:rFonts w:eastAsia="SimSun"/>
          <w:lang w:val="ru-RU"/>
        </w:rPr>
        <w:t xml:space="preserve">, но лишь немногие Государства-Члены заинтересовались проведением у себя этого мероприятия и смогли бы выдержать связанное с этим финансовое бремя; </w:t>
      </w:r>
      <w:r w:rsidR="00A17958" w:rsidRPr="0087022F">
        <w:rPr>
          <w:rFonts w:eastAsia="SimSun"/>
          <w:lang w:val="ru-RU"/>
        </w:rPr>
        <w:t>кроме того,</w:t>
      </w:r>
      <w:r w:rsidR="002A5B4E" w:rsidRPr="0087022F">
        <w:rPr>
          <w:rFonts w:eastAsia="SimSun"/>
          <w:lang w:val="ru-RU"/>
        </w:rPr>
        <w:t xml:space="preserve"> мы признаем, что действует надлежащий, открытый и стандартизированный процесс проведения конкурса</w:t>
      </w:r>
      <w:r w:rsidR="00A17958" w:rsidRPr="0087022F">
        <w:rPr>
          <w:rFonts w:eastAsia="SimSun"/>
          <w:lang w:val="ru-RU"/>
        </w:rPr>
        <w:t>, и причиной</w:t>
      </w:r>
      <w:r w:rsidR="002A5B4E" w:rsidRPr="0087022F">
        <w:rPr>
          <w:rFonts w:eastAsia="SimSun"/>
          <w:lang w:val="ru-RU"/>
        </w:rPr>
        <w:t xml:space="preserve"> немного</w:t>
      </w:r>
      <w:r w:rsidR="00A17958" w:rsidRPr="0087022F">
        <w:rPr>
          <w:rFonts w:eastAsia="SimSun"/>
          <w:lang w:val="ru-RU"/>
        </w:rPr>
        <w:t>численности</w:t>
      </w:r>
      <w:r w:rsidR="002A5B4E" w:rsidRPr="0087022F">
        <w:rPr>
          <w:rFonts w:eastAsia="SimSun"/>
          <w:lang w:val="ru-RU"/>
        </w:rPr>
        <w:t xml:space="preserve"> кандидатов</w:t>
      </w:r>
      <w:r w:rsidR="00A17958" w:rsidRPr="0087022F">
        <w:rPr>
          <w:rFonts w:eastAsia="SimSun"/>
          <w:lang w:val="ru-RU"/>
        </w:rPr>
        <w:t xml:space="preserve"> может быть</w:t>
      </w:r>
      <w:r w:rsidR="002A5B4E" w:rsidRPr="0087022F">
        <w:rPr>
          <w:rFonts w:eastAsia="SimSun"/>
          <w:lang w:val="ru-RU"/>
        </w:rPr>
        <w:t xml:space="preserve"> пока еще не</w:t>
      </w:r>
      <w:r w:rsidR="00A627A9" w:rsidRPr="0087022F">
        <w:rPr>
          <w:rFonts w:eastAsia="SimSun"/>
          <w:lang w:val="ru-RU"/>
        </w:rPr>
        <w:t> </w:t>
      </w:r>
      <w:r w:rsidR="002A5B4E" w:rsidRPr="0087022F">
        <w:rPr>
          <w:rFonts w:eastAsia="SimSun"/>
          <w:lang w:val="ru-RU"/>
        </w:rPr>
        <w:t>закончивши</w:t>
      </w:r>
      <w:r w:rsidR="00A17958" w:rsidRPr="0087022F">
        <w:rPr>
          <w:rFonts w:eastAsia="SimSun"/>
          <w:lang w:val="ru-RU"/>
        </w:rPr>
        <w:t>й</w:t>
      </w:r>
      <w:r w:rsidR="002A5B4E" w:rsidRPr="0087022F">
        <w:rPr>
          <w:rFonts w:eastAsia="SimSun"/>
          <w:lang w:val="ru-RU"/>
        </w:rPr>
        <w:t xml:space="preserve">ся </w:t>
      </w:r>
      <w:r w:rsidR="00A17958" w:rsidRPr="0087022F">
        <w:rPr>
          <w:rFonts w:eastAsia="SimSun"/>
          <w:lang w:val="ru-RU"/>
        </w:rPr>
        <w:t xml:space="preserve">финансовый </w:t>
      </w:r>
      <w:r w:rsidR="002A5B4E" w:rsidRPr="0087022F">
        <w:rPr>
          <w:rFonts w:eastAsia="SimSun"/>
          <w:lang w:val="ru-RU"/>
        </w:rPr>
        <w:t>кризис</w:t>
      </w:r>
      <w:r w:rsidR="008D2060" w:rsidRPr="0087022F">
        <w:rPr>
          <w:rFonts w:eastAsia="SimSun"/>
          <w:lang w:val="ru-RU"/>
        </w:rPr>
        <w:t>, а также</w:t>
      </w:r>
      <w:r w:rsidR="002A5B4E" w:rsidRPr="0087022F">
        <w:rPr>
          <w:rFonts w:eastAsia="SimSun"/>
          <w:lang w:val="ru-RU"/>
        </w:rPr>
        <w:t xml:space="preserve"> </w:t>
      </w:r>
      <w:r w:rsidR="00A17958" w:rsidRPr="0087022F">
        <w:rPr>
          <w:rFonts w:eastAsia="SimSun"/>
          <w:lang w:val="ru-RU"/>
        </w:rPr>
        <w:t>острая</w:t>
      </w:r>
      <w:r w:rsidR="002A5B4E" w:rsidRPr="0087022F">
        <w:rPr>
          <w:rFonts w:eastAsia="SimSun"/>
          <w:lang w:val="ru-RU"/>
        </w:rPr>
        <w:t xml:space="preserve"> конкуренцией со стороны других частных организаций, проводящих подобные мероприятия. </w:t>
      </w:r>
    </w:p>
    <w:p w:rsidR="008D2060" w:rsidRPr="0087022F" w:rsidRDefault="008D2060" w:rsidP="009267AA">
      <w:pPr>
        <w:rPr>
          <w:lang w:val="ru-RU"/>
        </w:rPr>
      </w:pPr>
      <w:r w:rsidRPr="0087022F">
        <w:rPr>
          <w:rFonts w:eastAsia="SimSun"/>
          <w:lang w:val="ru-RU"/>
        </w:rPr>
        <w:lastRenderedPageBreak/>
        <w:t>41</w:t>
      </w:r>
      <w:r w:rsidRPr="0087022F">
        <w:rPr>
          <w:rFonts w:eastAsia="SimSun"/>
          <w:lang w:val="ru-RU"/>
        </w:rPr>
        <w:tab/>
        <w:t>В нашем отчете в прошлом году мы предлагали, в целях обеспечения ценовой доступности мероприятия для</w:t>
      </w:r>
      <w:r w:rsidR="00005CA4" w:rsidRPr="0087022F">
        <w:rPr>
          <w:rFonts w:eastAsia="SimSun"/>
          <w:lang w:val="ru-RU"/>
        </w:rPr>
        <w:t xml:space="preserve"> стран, претендующих стать принимающей страной</w:t>
      </w:r>
      <w:r w:rsidRPr="0087022F">
        <w:rPr>
          <w:lang w:val="ru-RU"/>
        </w:rPr>
        <w:t xml:space="preserve"> (</w:t>
      </w:r>
      <w:r w:rsidR="00005CA4" w:rsidRPr="0087022F">
        <w:rPr>
          <w:iCs/>
          <w:lang w:val="ru-RU"/>
        </w:rPr>
        <w:t>предложение </w:t>
      </w:r>
      <w:r w:rsidRPr="0087022F">
        <w:rPr>
          <w:lang w:val="ru-RU"/>
        </w:rPr>
        <w:t xml:space="preserve">7/2013, </w:t>
      </w:r>
      <w:r w:rsidR="00005CA4" w:rsidRPr="0087022F">
        <w:rPr>
          <w:lang w:val="ru-RU"/>
        </w:rPr>
        <w:t>см. Приложение 1</w:t>
      </w:r>
      <w:r w:rsidRPr="0087022F">
        <w:rPr>
          <w:lang w:val="ru-RU"/>
        </w:rPr>
        <w:t>)</w:t>
      </w:r>
      <w:r w:rsidR="00FA17B8" w:rsidRPr="0087022F">
        <w:rPr>
          <w:lang w:val="ru-RU"/>
        </w:rPr>
        <w:t>,</w:t>
      </w:r>
      <w:r w:rsidRPr="0087022F">
        <w:rPr>
          <w:lang w:val="ru-RU"/>
        </w:rPr>
        <w:t xml:space="preserve"> </w:t>
      </w:r>
      <w:r w:rsidR="00005CA4" w:rsidRPr="0087022F">
        <w:rPr>
          <w:szCs w:val="22"/>
          <w:lang w:val="ru-RU"/>
        </w:rPr>
        <w:t xml:space="preserve">изучить сценарии, обеспечивающие странам, желающим </w:t>
      </w:r>
      <w:r w:rsidR="00FA17B8" w:rsidRPr="0087022F">
        <w:rPr>
          <w:szCs w:val="22"/>
          <w:lang w:val="ru-RU"/>
        </w:rPr>
        <w:t>стать принимающей страной</w:t>
      </w:r>
      <w:r w:rsidR="00005CA4" w:rsidRPr="0087022F">
        <w:rPr>
          <w:szCs w:val="22"/>
          <w:lang w:val="ru-RU"/>
        </w:rPr>
        <w:t xml:space="preserve">, возможность в полной мере воспользоваться инвестициями, которые они могут </w:t>
      </w:r>
      <w:r w:rsidR="00FA17B8" w:rsidRPr="0087022F">
        <w:rPr>
          <w:szCs w:val="22"/>
          <w:lang w:val="ru-RU"/>
        </w:rPr>
        <w:t>сделать для</w:t>
      </w:r>
      <w:r w:rsidR="00A627A9" w:rsidRPr="0087022F">
        <w:rPr>
          <w:szCs w:val="22"/>
          <w:lang w:val="ru-RU"/>
        </w:rPr>
        <w:t> </w:t>
      </w:r>
      <w:r w:rsidR="00005CA4" w:rsidRPr="0087022F">
        <w:rPr>
          <w:szCs w:val="22"/>
          <w:lang w:val="ru-RU"/>
        </w:rPr>
        <w:t>его проведени</w:t>
      </w:r>
      <w:r w:rsidR="00FA17B8" w:rsidRPr="0087022F">
        <w:rPr>
          <w:szCs w:val="22"/>
          <w:lang w:val="ru-RU"/>
        </w:rPr>
        <w:t xml:space="preserve">я у себя Всемирного мероприятия ITU </w:t>
      </w:r>
      <w:proofErr w:type="spellStart"/>
      <w:r w:rsidR="002C607F" w:rsidRPr="0087022F">
        <w:rPr>
          <w:szCs w:val="22"/>
          <w:lang w:val="ru-RU"/>
        </w:rPr>
        <w:t>Tеlе</w:t>
      </w:r>
      <w:r w:rsidR="00FA17B8" w:rsidRPr="0087022F">
        <w:rPr>
          <w:szCs w:val="22"/>
          <w:lang w:val="ru-RU"/>
        </w:rPr>
        <w:t>com</w:t>
      </w:r>
      <w:proofErr w:type="spellEnd"/>
      <w:r w:rsidR="00005CA4" w:rsidRPr="0087022F">
        <w:rPr>
          <w:szCs w:val="22"/>
          <w:lang w:val="ru-RU"/>
        </w:rPr>
        <w:t>, с тем чтобы более полно соответствовать Резолюции 11 (</w:t>
      </w:r>
      <w:proofErr w:type="spellStart"/>
      <w:r w:rsidR="002C607F" w:rsidRPr="0087022F">
        <w:rPr>
          <w:szCs w:val="22"/>
          <w:lang w:val="ru-RU"/>
        </w:rPr>
        <w:t>Пересм</w:t>
      </w:r>
      <w:proofErr w:type="spellEnd"/>
      <w:r w:rsidR="002C607F" w:rsidRPr="0087022F">
        <w:rPr>
          <w:szCs w:val="22"/>
          <w:lang w:val="ru-RU"/>
        </w:rPr>
        <w:t xml:space="preserve">. </w:t>
      </w:r>
      <w:proofErr w:type="spellStart"/>
      <w:r w:rsidR="002C607F" w:rsidRPr="0087022F">
        <w:rPr>
          <w:szCs w:val="22"/>
          <w:lang w:val="ru-RU"/>
        </w:rPr>
        <w:t>Пусан</w:t>
      </w:r>
      <w:proofErr w:type="spellEnd"/>
      <w:r w:rsidR="00005CA4" w:rsidRPr="0087022F">
        <w:rPr>
          <w:szCs w:val="22"/>
          <w:lang w:val="ru-RU"/>
        </w:rPr>
        <w:t>, 201</w:t>
      </w:r>
      <w:r w:rsidR="002C607F" w:rsidRPr="0087022F">
        <w:rPr>
          <w:szCs w:val="22"/>
          <w:lang w:val="ru-RU"/>
        </w:rPr>
        <w:t>4 </w:t>
      </w:r>
      <w:r w:rsidR="00005CA4" w:rsidRPr="0087022F">
        <w:rPr>
          <w:szCs w:val="22"/>
          <w:lang w:val="ru-RU"/>
        </w:rPr>
        <w:t>г.).</w:t>
      </w:r>
    </w:p>
    <w:p w:rsidR="008D2060" w:rsidRPr="0087022F" w:rsidRDefault="008D2060" w:rsidP="009239A2">
      <w:pPr>
        <w:rPr>
          <w:lang w:val="ru-RU"/>
        </w:rPr>
      </w:pPr>
      <w:r w:rsidRPr="0087022F">
        <w:rPr>
          <w:lang w:val="ru-RU"/>
        </w:rPr>
        <w:t>42</w:t>
      </w:r>
      <w:r w:rsidRPr="0087022F">
        <w:rPr>
          <w:lang w:val="ru-RU"/>
        </w:rPr>
        <w:tab/>
      </w:r>
      <w:r w:rsidR="003831CF" w:rsidRPr="0087022F">
        <w:rPr>
          <w:lang w:val="ru-RU"/>
        </w:rPr>
        <w:t xml:space="preserve">Мы полагаем, что одним из немногих стимулирующих факторов является снижение фиксированной суммы возмещения затрат </w:t>
      </w:r>
      <w:r w:rsidR="002C607F" w:rsidRPr="0087022F">
        <w:rPr>
          <w:lang w:val="ru-RU"/>
        </w:rPr>
        <w:t xml:space="preserve">в </w:t>
      </w:r>
      <w:r w:rsidR="003831CF" w:rsidRPr="0087022F">
        <w:rPr>
          <w:lang w:val="ru-RU"/>
        </w:rPr>
        <w:t>основных расход</w:t>
      </w:r>
      <w:r w:rsidR="002C607F" w:rsidRPr="0087022F">
        <w:rPr>
          <w:lang w:val="ru-RU"/>
        </w:rPr>
        <w:t>ах</w:t>
      </w:r>
      <w:r w:rsidRPr="0087022F">
        <w:rPr>
          <w:lang w:val="ru-RU"/>
        </w:rPr>
        <w:t xml:space="preserve">. </w:t>
      </w:r>
      <w:r w:rsidR="003831CF" w:rsidRPr="0087022F">
        <w:rPr>
          <w:lang w:val="ru-RU"/>
        </w:rPr>
        <w:t>Однако это станет возможным на</w:t>
      </w:r>
      <w:r w:rsidR="00A627A9" w:rsidRPr="0087022F">
        <w:rPr>
          <w:lang w:val="ru-RU"/>
        </w:rPr>
        <w:t> </w:t>
      </w:r>
      <w:r w:rsidR="003831CF" w:rsidRPr="0087022F">
        <w:rPr>
          <w:lang w:val="ru-RU"/>
        </w:rPr>
        <w:t xml:space="preserve">четкой основе </w:t>
      </w:r>
      <w:r w:rsidR="007B685D" w:rsidRPr="0087022F">
        <w:rPr>
          <w:lang w:val="ru-RU"/>
        </w:rPr>
        <w:t>расчета</w:t>
      </w:r>
      <w:r w:rsidR="00ED47DF" w:rsidRPr="0087022F">
        <w:rPr>
          <w:lang w:val="ru-RU"/>
        </w:rPr>
        <w:t xml:space="preserve"> размера</w:t>
      </w:r>
      <w:r w:rsidR="007B685D" w:rsidRPr="0087022F">
        <w:rPr>
          <w:lang w:val="ru-RU"/>
        </w:rPr>
        <w:t xml:space="preserve"> возмещения затрат, о чем говорится в рекомендации </w:t>
      </w:r>
      <w:r w:rsidRPr="0087022F">
        <w:rPr>
          <w:lang w:val="ru-RU"/>
        </w:rPr>
        <w:t xml:space="preserve">3 </w:t>
      </w:r>
      <w:r w:rsidR="007B685D" w:rsidRPr="0087022F">
        <w:rPr>
          <w:lang w:val="ru-RU"/>
        </w:rPr>
        <w:t>в нашем отчете прошлого года</w:t>
      </w:r>
      <w:r w:rsidRPr="0087022F">
        <w:rPr>
          <w:lang w:val="ru-RU"/>
        </w:rPr>
        <w:t xml:space="preserve"> (</w:t>
      </w:r>
      <w:r w:rsidR="007B685D" w:rsidRPr="0087022F">
        <w:rPr>
          <w:lang w:val="ru-RU"/>
        </w:rPr>
        <w:t>см. также пункты </w:t>
      </w:r>
      <w:r w:rsidR="009239A2" w:rsidRPr="0087022F">
        <w:rPr>
          <w:lang w:val="ru-RU"/>
        </w:rPr>
        <w:t>59</w:t>
      </w:r>
      <w:r w:rsidRPr="0087022F">
        <w:rPr>
          <w:lang w:val="ru-RU"/>
        </w:rPr>
        <w:t xml:space="preserve"> </w:t>
      </w:r>
      <w:r w:rsidR="007B685D" w:rsidRPr="0087022F">
        <w:rPr>
          <w:lang w:val="ru-RU"/>
        </w:rPr>
        <w:t>и</w:t>
      </w:r>
      <w:r w:rsidRPr="0087022F">
        <w:rPr>
          <w:lang w:val="ru-RU"/>
        </w:rPr>
        <w:t xml:space="preserve"> 60).</w:t>
      </w:r>
    </w:p>
    <w:p w:rsidR="008D2060" w:rsidRPr="0087022F" w:rsidRDefault="00ED47DF" w:rsidP="00A627A9">
      <w:pPr>
        <w:pStyle w:val="Heading3"/>
        <w:rPr>
          <w:lang w:val="ru-RU"/>
        </w:rPr>
      </w:pPr>
      <w:bookmarkStart w:id="71" w:name="_Toc419393860"/>
      <w:r w:rsidRPr="0087022F">
        <w:rPr>
          <w:lang w:val="ru-RU"/>
        </w:rPr>
        <w:t>Стороны соглашения с принимающей страной</w:t>
      </w:r>
      <w:bookmarkEnd w:id="71"/>
    </w:p>
    <w:p w:rsidR="008D2060" w:rsidRPr="0087022F" w:rsidRDefault="008D2060" w:rsidP="009267AA">
      <w:pPr>
        <w:rPr>
          <w:lang w:val="ru-RU"/>
        </w:rPr>
      </w:pPr>
      <w:r w:rsidRPr="0087022F">
        <w:rPr>
          <w:lang w:val="ru-RU"/>
        </w:rPr>
        <w:t>43</w:t>
      </w:r>
      <w:r w:rsidRPr="0087022F">
        <w:rPr>
          <w:lang w:val="ru-RU"/>
        </w:rPr>
        <w:tab/>
      </w:r>
      <w:r w:rsidR="00C82A00" w:rsidRPr="0087022F">
        <w:rPr>
          <w:lang w:val="ru-RU"/>
        </w:rPr>
        <w:t xml:space="preserve">Мы отметили, что в пункте 8 </w:t>
      </w:r>
      <w:r w:rsidR="00C82A00" w:rsidRPr="0087022F">
        <w:rPr>
          <w:i/>
          <w:iCs/>
          <w:lang w:val="ru-RU"/>
        </w:rPr>
        <w:t xml:space="preserve">поручает Генеральному секретарю </w:t>
      </w:r>
      <w:r w:rsidR="00C82A00" w:rsidRPr="0087022F">
        <w:rPr>
          <w:lang w:val="ru-RU"/>
        </w:rPr>
        <w:t>Резолюции </w:t>
      </w:r>
      <w:r w:rsidRPr="0087022F">
        <w:rPr>
          <w:lang w:val="ru-RU"/>
        </w:rPr>
        <w:t>11 (</w:t>
      </w:r>
      <w:proofErr w:type="spellStart"/>
      <w:r w:rsidR="0084411B" w:rsidRPr="0087022F">
        <w:rPr>
          <w:lang w:val="ru-RU"/>
        </w:rPr>
        <w:t>Пересм</w:t>
      </w:r>
      <w:proofErr w:type="spellEnd"/>
      <w:r w:rsidR="0084411B" w:rsidRPr="0087022F">
        <w:rPr>
          <w:lang w:val="ru-RU"/>
        </w:rPr>
        <w:t xml:space="preserve">. </w:t>
      </w:r>
      <w:proofErr w:type="spellStart"/>
      <w:r w:rsidR="00C82A00" w:rsidRPr="0087022F">
        <w:rPr>
          <w:lang w:val="ru-RU"/>
        </w:rPr>
        <w:t>Пусан</w:t>
      </w:r>
      <w:proofErr w:type="spellEnd"/>
      <w:r w:rsidRPr="0087022F">
        <w:rPr>
          <w:lang w:val="ru-RU"/>
        </w:rPr>
        <w:t xml:space="preserve"> 2014</w:t>
      </w:r>
      <w:r w:rsidR="00C82A00" w:rsidRPr="0087022F">
        <w:rPr>
          <w:lang w:val="ru-RU"/>
        </w:rPr>
        <w:t> г.</w:t>
      </w:r>
      <w:r w:rsidRPr="0087022F">
        <w:rPr>
          <w:lang w:val="ru-RU"/>
        </w:rPr>
        <w:t xml:space="preserve">) </w:t>
      </w:r>
      <w:r w:rsidR="00C82A00" w:rsidRPr="0087022F">
        <w:rPr>
          <w:lang w:val="ru-RU"/>
        </w:rPr>
        <w:t>ему поручается пересмотреть типовое соглашение с принимающей страной и</w:t>
      </w:r>
      <w:r w:rsidR="00A627A9" w:rsidRPr="0087022F">
        <w:rPr>
          <w:lang w:val="ru-RU"/>
        </w:rPr>
        <w:t> </w:t>
      </w:r>
      <w:r w:rsidR="00C82A00" w:rsidRPr="0087022F">
        <w:rPr>
          <w:lang w:val="ru-RU"/>
        </w:rPr>
        <w:t>использовать все возможные средства, для того чтобы Совет утвердил его как можно скорее; это</w:t>
      </w:r>
      <w:r w:rsidR="00A627A9" w:rsidRPr="0087022F">
        <w:rPr>
          <w:lang w:val="ru-RU"/>
        </w:rPr>
        <w:t> </w:t>
      </w:r>
      <w:r w:rsidR="00C82A00" w:rsidRPr="0087022F">
        <w:rPr>
          <w:lang w:val="ru-RU"/>
        </w:rPr>
        <w:t>типовое соглашение с принимающей страной должно включать условия, позволяющие Союзу и</w:t>
      </w:r>
      <w:r w:rsidR="00A627A9" w:rsidRPr="0087022F">
        <w:rPr>
          <w:lang w:val="ru-RU"/>
        </w:rPr>
        <w:t> </w:t>
      </w:r>
      <w:r w:rsidR="00C82A00" w:rsidRPr="0087022F">
        <w:rPr>
          <w:lang w:val="ru-RU"/>
        </w:rPr>
        <w:t>принимающей стране вносить изменения, которые они считают необходимыми, вследствие обстоятельств непреодолимой силы или других критериев эффективности</w:t>
      </w:r>
      <w:r w:rsidRPr="0087022F">
        <w:rPr>
          <w:lang w:val="ru-RU"/>
        </w:rPr>
        <w:t>.</w:t>
      </w:r>
    </w:p>
    <w:p w:rsidR="008D2060" w:rsidRPr="0087022F" w:rsidRDefault="008D2060" w:rsidP="009267AA">
      <w:pPr>
        <w:rPr>
          <w:lang w:val="ru-RU"/>
        </w:rPr>
      </w:pPr>
      <w:r w:rsidRPr="0087022F">
        <w:rPr>
          <w:lang w:val="ru-RU"/>
        </w:rPr>
        <w:t>44</w:t>
      </w:r>
      <w:r w:rsidRPr="0087022F">
        <w:rPr>
          <w:lang w:val="ru-RU"/>
        </w:rPr>
        <w:tab/>
      </w:r>
      <w:r w:rsidR="00536ADC" w:rsidRPr="0087022F">
        <w:rPr>
          <w:lang w:val="ru-RU"/>
        </w:rPr>
        <w:t>Исходя из этого мы заключили, что двумя основными аспектами, повлиявшими на</w:t>
      </w:r>
      <w:r w:rsidR="00A627A9" w:rsidRPr="0087022F">
        <w:rPr>
          <w:lang w:val="ru-RU"/>
        </w:rPr>
        <w:t> </w:t>
      </w:r>
      <w:r w:rsidR="00536ADC" w:rsidRPr="0087022F">
        <w:rPr>
          <w:lang w:val="ru-RU"/>
        </w:rPr>
        <w:t xml:space="preserve">подписание соглашения с принимающей страной для Всемирного мероприятия </w:t>
      </w:r>
      <w:r w:rsidRPr="0087022F">
        <w:rPr>
          <w:lang w:val="ru-RU"/>
        </w:rPr>
        <w:t>2014</w:t>
      </w:r>
      <w:r w:rsidR="00536ADC" w:rsidRPr="0087022F">
        <w:rPr>
          <w:lang w:val="ru-RU"/>
        </w:rPr>
        <w:t> года, являлись</w:t>
      </w:r>
      <w:r w:rsidRPr="0087022F">
        <w:rPr>
          <w:lang w:val="ru-RU"/>
        </w:rPr>
        <w:t>: 1)</w:t>
      </w:r>
      <w:r w:rsidR="00536ADC" w:rsidRPr="0087022F">
        <w:rPr>
          <w:lang w:val="ru-RU"/>
        </w:rPr>
        <w:t> слишком поздняя дата подписания</w:t>
      </w:r>
      <w:r w:rsidRPr="0087022F">
        <w:rPr>
          <w:lang w:val="ru-RU"/>
        </w:rPr>
        <w:t xml:space="preserve"> (1</w:t>
      </w:r>
      <w:r w:rsidR="00536ADC" w:rsidRPr="0087022F">
        <w:rPr>
          <w:lang w:val="ru-RU"/>
        </w:rPr>
        <w:t> декабря</w:t>
      </w:r>
      <w:r w:rsidRPr="0087022F">
        <w:rPr>
          <w:lang w:val="ru-RU"/>
        </w:rPr>
        <w:t xml:space="preserve"> 2014</w:t>
      </w:r>
      <w:r w:rsidR="00536ADC" w:rsidRPr="0087022F">
        <w:rPr>
          <w:lang w:val="ru-RU"/>
        </w:rPr>
        <w:t> г.</w:t>
      </w:r>
      <w:r w:rsidRPr="0087022F">
        <w:rPr>
          <w:lang w:val="ru-RU"/>
        </w:rPr>
        <w:t xml:space="preserve">), </w:t>
      </w:r>
      <w:r w:rsidR="00536ADC" w:rsidRPr="0087022F">
        <w:rPr>
          <w:lang w:val="ru-RU"/>
        </w:rPr>
        <w:t>что стало причиной неопределенности по ряду условий, сохранявшейся до начала мероприятия</w:t>
      </w:r>
      <w:r w:rsidRPr="0087022F">
        <w:rPr>
          <w:lang w:val="ru-RU"/>
        </w:rPr>
        <w:t>; 2)</w:t>
      </w:r>
      <w:r w:rsidR="00536ADC" w:rsidRPr="0087022F">
        <w:rPr>
          <w:lang w:val="ru-RU"/>
        </w:rPr>
        <w:t> превалирующая роль, как официального "агента по организации", котор</w:t>
      </w:r>
      <w:r w:rsidR="00CC4F29" w:rsidRPr="0087022F">
        <w:rPr>
          <w:lang w:val="ru-RU"/>
        </w:rPr>
        <w:t>ую</w:t>
      </w:r>
      <w:r w:rsidR="00536ADC" w:rsidRPr="0087022F">
        <w:rPr>
          <w:lang w:val="ru-RU"/>
        </w:rPr>
        <w:t xml:space="preserve"> берет на себя один из спонсоров в процессе определения соглашения, в результате чего само соглашение с принимающей страной стало </w:t>
      </w:r>
      <w:r w:rsidR="00AE31BF" w:rsidRPr="0087022F">
        <w:rPr>
          <w:lang w:val="ru-RU"/>
        </w:rPr>
        <w:t>по</w:t>
      </w:r>
      <w:r w:rsidR="00A627A9" w:rsidRPr="0087022F">
        <w:rPr>
          <w:lang w:val="ru-RU"/>
        </w:rPr>
        <w:t> </w:t>
      </w:r>
      <w:r w:rsidR="00AE31BF" w:rsidRPr="0087022F">
        <w:rPr>
          <w:lang w:val="ru-RU"/>
        </w:rPr>
        <w:t>существу трехсторонним документом</w:t>
      </w:r>
      <w:r w:rsidRPr="0087022F">
        <w:rPr>
          <w:lang w:val="ru-RU"/>
        </w:rPr>
        <w:t xml:space="preserve">. </w:t>
      </w:r>
    </w:p>
    <w:p w:rsidR="008D2060" w:rsidRPr="0087022F" w:rsidRDefault="008D2060" w:rsidP="009267AA">
      <w:pPr>
        <w:rPr>
          <w:lang w:val="ru-RU"/>
        </w:rPr>
      </w:pPr>
      <w:r w:rsidRPr="0087022F">
        <w:rPr>
          <w:lang w:val="ru-RU"/>
        </w:rPr>
        <w:t>45</w:t>
      </w:r>
      <w:r w:rsidRPr="0087022F">
        <w:rPr>
          <w:lang w:val="ru-RU"/>
        </w:rPr>
        <w:tab/>
      </w:r>
      <w:r w:rsidR="00CC4F29" w:rsidRPr="0087022F">
        <w:rPr>
          <w:lang w:val="ru-RU"/>
        </w:rPr>
        <w:t xml:space="preserve">Такое доминирующее положение одного спонсора может препятствовать участию других конкурентов; вследствие чего мы полагаем, что в процессе обсуждения соглашения с принимающей страной наличие "агента по организации", </w:t>
      </w:r>
      <w:r w:rsidR="00977DE8" w:rsidRPr="0087022F">
        <w:rPr>
          <w:lang w:val="ru-RU"/>
        </w:rPr>
        <w:t>прямо</w:t>
      </w:r>
      <w:r w:rsidR="00CC4F29" w:rsidRPr="0087022F">
        <w:rPr>
          <w:lang w:val="ru-RU"/>
        </w:rPr>
        <w:t xml:space="preserve"> заинтересованного в </w:t>
      </w:r>
      <w:r w:rsidR="009E7915" w:rsidRPr="0087022F">
        <w:rPr>
          <w:lang w:val="ru-RU"/>
        </w:rPr>
        <w:t xml:space="preserve">своей </w:t>
      </w:r>
      <w:r w:rsidR="00977DE8" w:rsidRPr="0087022F">
        <w:rPr>
          <w:lang w:val="ru-RU"/>
        </w:rPr>
        <w:t>популяризации, которое создает де-факто "трехстороннюю схему", не следует принимать в качестве</w:t>
      </w:r>
      <w:r w:rsidR="00CC4F29" w:rsidRPr="0087022F">
        <w:rPr>
          <w:lang w:val="ru-RU"/>
        </w:rPr>
        <w:t xml:space="preserve"> </w:t>
      </w:r>
      <w:r w:rsidR="00977DE8" w:rsidRPr="0087022F">
        <w:rPr>
          <w:lang w:val="ru-RU"/>
        </w:rPr>
        <w:t>модели</w:t>
      </w:r>
      <w:r w:rsidRPr="0087022F">
        <w:rPr>
          <w:lang w:val="ru-RU"/>
        </w:rPr>
        <w:t xml:space="preserve">. </w:t>
      </w:r>
    </w:p>
    <w:p w:rsidR="008D2060" w:rsidRPr="0087022F" w:rsidRDefault="008D2060" w:rsidP="009267AA">
      <w:pPr>
        <w:spacing w:after="120"/>
        <w:rPr>
          <w:lang w:val="ru-RU"/>
        </w:rPr>
      </w:pPr>
      <w:r w:rsidRPr="0087022F">
        <w:rPr>
          <w:lang w:val="ru-RU"/>
        </w:rPr>
        <w:t>46</w:t>
      </w:r>
      <w:r w:rsidRPr="0087022F">
        <w:rPr>
          <w:lang w:val="ru-RU"/>
        </w:rPr>
        <w:tab/>
      </w:r>
      <w:r w:rsidR="00977DE8" w:rsidRPr="0087022F">
        <w:rPr>
          <w:lang w:val="ru-RU"/>
        </w:rPr>
        <w:t>Кроме того, нам сообщили, что одной из причин необычной задержки подписания соглашения с принимающей страной стали такие трехсторонние переговоры. Мы также полагаем, что такая модель может оказаться требующей слишком большого напряжения как от МСЭ, так</w:t>
      </w:r>
      <w:r w:rsidR="00A627A9" w:rsidRPr="0087022F">
        <w:rPr>
          <w:lang w:val="ru-RU"/>
        </w:rPr>
        <w:t> </w:t>
      </w:r>
      <w:r w:rsidR="00977DE8" w:rsidRPr="0087022F">
        <w:rPr>
          <w:lang w:val="ru-RU"/>
        </w:rPr>
        <w:t>и</w:t>
      </w:r>
      <w:r w:rsidR="00A627A9" w:rsidRPr="0087022F">
        <w:rPr>
          <w:lang w:val="ru-RU"/>
        </w:rPr>
        <w:t> </w:t>
      </w:r>
      <w:r w:rsidR="00977DE8" w:rsidRPr="0087022F">
        <w:rPr>
          <w:lang w:val="ru-RU"/>
        </w:rPr>
        <w:t>от</w:t>
      </w:r>
      <w:r w:rsidR="00A627A9" w:rsidRPr="0087022F">
        <w:rPr>
          <w:lang w:val="ru-RU"/>
        </w:rPr>
        <w:t> </w:t>
      </w:r>
      <w:r w:rsidR="00977DE8" w:rsidRPr="0087022F">
        <w:rPr>
          <w:lang w:val="ru-RU"/>
        </w:rPr>
        <w:t xml:space="preserve">принимающей страны, и может изменить роль каждой стороны, </w:t>
      </w:r>
      <w:r w:rsidR="003641B9" w:rsidRPr="0087022F">
        <w:rPr>
          <w:lang w:val="ru-RU"/>
        </w:rPr>
        <w:t>разрушая репутацию мероприятия как нейтрального</w:t>
      </w:r>
      <w:r w:rsidRPr="0087022F">
        <w:rPr>
          <w:lang w:val="ru-RU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27A9" w:rsidRPr="004249CF" w:rsidTr="00B82F9B">
        <w:tc>
          <w:tcPr>
            <w:tcW w:w="9781" w:type="dxa"/>
          </w:tcPr>
          <w:p w:rsidR="00A627A9" w:rsidRPr="0087022F" w:rsidRDefault="00A627A9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Предложение 2</w:t>
            </w:r>
          </w:p>
          <w:p w:rsidR="00A627A9" w:rsidRPr="0087022F" w:rsidRDefault="00A627A9" w:rsidP="00B82F9B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47</w:t>
            </w:r>
            <w:r w:rsidRPr="0087022F">
              <w:rPr>
                <w:lang w:val="ru-RU"/>
              </w:rPr>
              <w:tab/>
              <w:t xml:space="preserve">Мы 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руководству, чтобы в соглашении с принимающей страной участвовали только две стороны, учитывая также на индивидуальной основе возможность его практической реализации.</w:t>
            </w:r>
          </w:p>
        </w:tc>
      </w:tr>
    </w:tbl>
    <w:p w:rsidR="008D2060" w:rsidRPr="0087022F" w:rsidRDefault="008D2060" w:rsidP="009267AA">
      <w:pPr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27A9" w:rsidRPr="004249CF" w:rsidTr="00B82F9B">
        <w:tc>
          <w:tcPr>
            <w:tcW w:w="9781" w:type="dxa"/>
          </w:tcPr>
          <w:p w:rsidR="00A627A9" w:rsidRPr="0087022F" w:rsidRDefault="00A627A9" w:rsidP="009267AA">
            <w:pPr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A627A9" w:rsidRPr="0087022F" w:rsidRDefault="00A627A9" w:rsidP="009267AA">
            <w:pPr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Назначение принимающей страной в 2014 году агента по организации для непосредственного выполнения ряда своих обязательств стало схемой, не встречавшейся ранее. Этому вопросу следует уделять особое внимание, в особенности в отношении договоренностей с будущими принимающими странами, и его следует рассматривать в контексте пересмотренного типового соглашения с принимающей страной, как этого требует Резолюция 11 (</w:t>
            </w:r>
            <w:proofErr w:type="spellStart"/>
            <w:r w:rsidRPr="0087022F">
              <w:rPr>
                <w:lang w:val="ru-RU"/>
              </w:rPr>
              <w:t>Пересм</w:t>
            </w:r>
            <w:proofErr w:type="spellEnd"/>
            <w:r w:rsidRPr="0087022F">
              <w:rPr>
                <w:lang w:val="ru-RU"/>
              </w:rPr>
              <w:t xml:space="preserve">. </w:t>
            </w:r>
            <w:proofErr w:type="spellStart"/>
            <w:r w:rsidRPr="0087022F">
              <w:rPr>
                <w:lang w:val="ru-RU"/>
              </w:rPr>
              <w:t>Пусан</w:t>
            </w:r>
            <w:proofErr w:type="spellEnd"/>
            <w:r w:rsidRPr="0087022F">
              <w:rPr>
                <w:lang w:val="ru-RU"/>
              </w:rPr>
              <w:t>, 2014 г.). Для мероприятия 2015 года недавно было подписано соглашение с принимающей страной, в котором участвуют только две стороны.</w:t>
            </w:r>
          </w:p>
        </w:tc>
      </w:tr>
    </w:tbl>
    <w:p w:rsidR="00C7645B" w:rsidRPr="0087022F" w:rsidRDefault="00C7645B" w:rsidP="00A627A9">
      <w:pPr>
        <w:pStyle w:val="Heading1"/>
        <w:rPr>
          <w:lang w:val="ru-RU"/>
        </w:rPr>
      </w:pPr>
      <w:bookmarkStart w:id="72" w:name="_Toc419393861"/>
      <w:r w:rsidRPr="0087022F">
        <w:rPr>
          <w:lang w:val="ru-RU"/>
        </w:rPr>
        <w:lastRenderedPageBreak/>
        <w:t>ДОХОДЫ</w:t>
      </w:r>
      <w:bookmarkEnd w:id="72"/>
    </w:p>
    <w:p w:rsidR="00C7645B" w:rsidRPr="0087022F" w:rsidRDefault="00C7645B" w:rsidP="00A627A9">
      <w:pPr>
        <w:rPr>
          <w:lang w:val="ru-RU"/>
        </w:rPr>
      </w:pPr>
      <w:r w:rsidRPr="0087022F">
        <w:rPr>
          <w:lang w:val="ru-RU"/>
        </w:rPr>
        <w:t>48</w:t>
      </w:r>
      <w:r w:rsidRPr="0087022F">
        <w:rPr>
          <w:lang w:val="ru-RU"/>
        </w:rPr>
        <w:tab/>
      </w:r>
      <w:r w:rsidR="00F92404" w:rsidRPr="0087022F">
        <w:rPr>
          <w:lang w:val="ru-RU"/>
        </w:rPr>
        <w:t xml:space="preserve">Незначительное положительное отличие фактических доходов от пересмотренного бюджета </w:t>
      </w:r>
      <w:r w:rsidRPr="0087022F">
        <w:rPr>
          <w:lang w:val="ru-RU"/>
        </w:rPr>
        <w:t>(+0</w:t>
      </w:r>
      <w:r w:rsidR="00F92404" w:rsidRPr="0087022F">
        <w:rPr>
          <w:lang w:val="ru-RU"/>
        </w:rPr>
        <w:t>,</w:t>
      </w:r>
      <w:r w:rsidRPr="0087022F">
        <w:rPr>
          <w:lang w:val="ru-RU"/>
        </w:rPr>
        <w:t xml:space="preserve">7%) </w:t>
      </w:r>
      <w:r w:rsidR="00F92404" w:rsidRPr="0087022F">
        <w:rPr>
          <w:lang w:val="ru-RU"/>
        </w:rPr>
        <w:t>обусловлено в определенной мере существенно более высокими фактическими доходами (по сравнению с предусмотренными в бюджете)</w:t>
      </w:r>
      <w:r w:rsidR="00F91EB2" w:rsidRPr="0087022F">
        <w:rPr>
          <w:lang w:val="ru-RU"/>
        </w:rPr>
        <w:t>, зафиксированными по линии услуг, полученных в</w:t>
      </w:r>
      <w:r w:rsidR="00A627A9" w:rsidRPr="0087022F">
        <w:rPr>
          <w:lang w:val="ru-RU"/>
        </w:rPr>
        <w:t> </w:t>
      </w:r>
      <w:r w:rsidR="00F91EB2" w:rsidRPr="0087022F">
        <w:rPr>
          <w:lang w:val="ru-RU"/>
        </w:rPr>
        <w:t>качестве части бартера, в особенности в разделе "Коммуникации и маркетинг"</w:t>
      </w:r>
      <w:r w:rsidRPr="0087022F">
        <w:rPr>
          <w:lang w:val="ru-RU"/>
        </w:rPr>
        <w:t xml:space="preserve"> (+14%).</w:t>
      </w:r>
    </w:p>
    <w:p w:rsidR="00C7645B" w:rsidRPr="0087022F" w:rsidRDefault="00F91EB2" w:rsidP="00A627A9">
      <w:pPr>
        <w:pStyle w:val="Heading2"/>
        <w:rPr>
          <w:lang w:val="ru-RU"/>
        </w:rPr>
      </w:pPr>
      <w:bookmarkStart w:id="73" w:name="_Toc419393862"/>
      <w:r w:rsidRPr="0087022F">
        <w:rPr>
          <w:lang w:val="ru-RU"/>
        </w:rPr>
        <w:t>Стоимость бартерных услуг</w:t>
      </w:r>
      <w:bookmarkEnd w:id="73"/>
    </w:p>
    <w:p w:rsidR="00C7645B" w:rsidRPr="0087022F" w:rsidRDefault="00C7645B" w:rsidP="00A627A9">
      <w:pPr>
        <w:rPr>
          <w:lang w:val="ru-RU"/>
        </w:rPr>
      </w:pPr>
      <w:r w:rsidRPr="0087022F">
        <w:rPr>
          <w:lang w:val="ru-RU"/>
        </w:rPr>
        <w:t>49</w:t>
      </w:r>
      <w:r w:rsidRPr="0087022F">
        <w:rPr>
          <w:lang w:val="ru-RU"/>
        </w:rPr>
        <w:tab/>
      </w:r>
      <w:r w:rsidR="00F91EB2" w:rsidRPr="0087022F">
        <w:rPr>
          <w:lang w:val="ru-RU"/>
        </w:rPr>
        <w:t xml:space="preserve">Услуги, предоставленные </w:t>
      </w:r>
      <w:proofErr w:type="spellStart"/>
      <w:r w:rsidR="00605A67" w:rsidRPr="0087022F">
        <w:rPr>
          <w:lang w:val="ru-RU"/>
        </w:rPr>
        <w:t>медиа</w:t>
      </w:r>
      <w:r w:rsidR="00F91EB2" w:rsidRPr="0087022F">
        <w:rPr>
          <w:lang w:val="ru-RU"/>
        </w:rPr>
        <w:t>компаниями</w:t>
      </w:r>
      <w:proofErr w:type="spellEnd"/>
      <w:r w:rsidR="00605A67" w:rsidRPr="0087022F">
        <w:rPr>
          <w:lang w:val="ru-RU"/>
        </w:rPr>
        <w:t xml:space="preserve">, регистрируются как доходы, сбалансированные со стоимостью площадей и </w:t>
      </w:r>
      <w:r w:rsidR="00107CE4" w:rsidRPr="0087022F">
        <w:rPr>
          <w:lang w:val="ru-RU"/>
        </w:rPr>
        <w:t>выгодным расположением в месте поведения мероприятия. Как мы отмечали в наших предыдущих отчетах, сама природа бартерных сделок не позволяет регистрировать превышение</w:t>
      </w:r>
      <w:r w:rsidR="00605A67" w:rsidRPr="0087022F">
        <w:rPr>
          <w:lang w:val="ru-RU"/>
        </w:rPr>
        <w:t xml:space="preserve"> </w:t>
      </w:r>
      <w:r w:rsidR="00107CE4" w:rsidRPr="0087022F">
        <w:rPr>
          <w:lang w:val="ru-RU"/>
        </w:rPr>
        <w:t xml:space="preserve">доходов над расходами и наоборот, если только не отмечено отсутствие деятельности с одной из сторон. </w:t>
      </w:r>
      <w:r w:rsidR="00F91EB2" w:rsidRPr="0087022F">
        <w:rPr>
          <w:lang w:val="ru-RU"/>
        </w:rPr>
        <w:t xml:space="preserve"> </w:t>
      </w:r>
    </w:p>
    <w:p w:rsidR="00C7645B" w:rsidRPr="0087022F" w:rsidRDefault="00C7645B" w:rsidP="00A627A9">
      <w:pPr>
        <w:spacing w:after="120"/>
        <w:rPr>
          <w:lang w:val="ru-RU"/>
        </w:rPr>
      </w:pPr>
      <w:r w:rsidRPr="0087022F">
        <w:rPr>
          <w:lang w:val="ru-RU"/>
        </w:rPr>
        <w:t>50</w:t>
      </w:r>
      <w:r w:rsidRPr="0087022F">
        <w:rPr>
          <w:lang w:val="ru-RU"/>
        </w:rPr>
        <w:tab/>
      </w:r>
      <w:r w:rsidR="00DB44AD" w:rsidRPr="0087022F">
        <w:rPr>
          <w:lang w:val="ru-RU"/>
        </w:rPr>
        <w:t>При том что проверить предоставление услуг может быть относительно просто, если эта услуга заключается в печатной газетной странице, не всегда возможно проверить реальность других услуг, например период раз</w:t>
      </w:r>
      <w:r w:rsidR="00A627A9" w:rsidRPr="0087022F">
        <w:rPr>
          <w:lang w:val="ru-RU"/>
        </w:rPr>
        <w:t>мещения баннера на веб-сайте.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27A9" w:rsidRPr="004249CF" w:rsidTr="00B82F9B">
        <w:tc>
          <w:tcPr>
            <w:tcW w:w="9781" w:type="dxa"/>
          </w:tcPr>
          <w:p w:rsidR="00A627A9" w:rsidRPr="0087022F" w:rsidRDefault="00A627A9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Предложение 3</w:t>
            </w:r>
          </w:p>
          <w:p w:rsidR="00A627A9" w:rsidRPr="0087022F" w:rsidRDefault="00A627A9" w:rsidP="00A627A9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51</w:t>
            </w:r>
            <w:r w:rsidRPr="0087022F">
              <w:rPr>
                <w:lang w:val="ru-RU"/>
              </w:rPr>
              <w:tab/>
              <w:t xml:space="preserve">Мы 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 улучшить документирование сделок таким образом, чтобы при выполнении контроля возможно было бы оценить рентабельность и соотношение цены и качества всех бартерных сделок, например предусмотрев специальный пункт "предоставление доказательства" для включения в бартерные соглашения.</w:t>
            </w:r>
          </w:p>
        </w:tc>
      </w:tr>
    </w:tbl>
    <w:p w:rsidR="00A627A9" w:rsidRPr="0087022F" w:rsidRDefault="00A627A9" w:rsidP="009267AA">
      <w:pPr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27A9" w:rsidRPr="004249CF" w:rsidTr="00B82F9B">
        <w:tc>
          <w:tcPr>
            <w:tcW w:w="9781" w:type="dxa"/>
          </w:tcPr>
          <w:p w:rsidR="00A627A9" w:rsidRPr="0087022F" w:rsidRDefault="00A627A9" w:rsidP="00B82F9B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A627A9" w:rsidRPr="0087022F" w:rsidRDefault="00A627A9" w:rsidP="00A627A9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Были приняты меры для включения нового пункта в бартерные соглашения, заключаемые начиная с мая 2015 года, в котором требуется своевременное представление в МСЭ "доказательства" предоставленных услуг.</w:t>
            </w:r>
          </w:p>
        </w:tc>
      </w:tr>
    </w:tbl>
    <w:p w:rsidR="00C7645B" w:rsidRPr="0087022F" w:rsidRDefault="0031617C" w:rsidP="00A627A9">
      <w:pPr>
        <w:pStyle w:val="Heading2"/>
        <w:rPr>
          <w:lang w:val="ru-RU"/>
        </w:rPr>
      </w:pPr>
      <w:bookmarkStart w:id="74" w:name="_Toc419393863"/>
      <w:r w:rsidRPr="0087022F">
        <w:rPr>
          <w:lang w:val="ru-RU"/>
        </w:rPr>
        <w:t>Пропуска</w:t>
      </w:r>
      <w:bookmarkEnd w:id="74"/>
    </w:p>
    <w:p w:rsidR="00C7645B" w:rsidRPr="0087022F" w:rsidRDefault="00C7645B" w:rsidP="00A627A9">
      <w:pPr>
        <w:rPr>
          <w:lang w:val="ru-RU"/>
        </w:rPr>
      </w:pPr>
      <w:r w:rsidRPr="0087022F">
        <w:rPr>
          <w:lang w:val="ru-RU"/>
        </w:rPr>
        <w:t>52</w:t>
      </w:r>
      <w:r w:rsidRPr="0087022F">
        <w:rPr>
          <w:lang w:val="ru-RU"/>
        </w:rPr>
        <w:tab/>
      </w:r>
      <w:r w:rsidR="0031617C" w:rsidRPr="0087022F">
        <w:rPr>
          <w:lang w:val="ru-RU"/>
        </w:rPr>
        <w:t xml:space="preserve">Пропуска, за которые вносилась фактическая плата, </w:t>
      </w:r>
      <w:r w:rsidR="00634C27" w:rsidRPr="0087022F">
        <w:rPr>
          <w:lang w:val="ru-RU"/>
        </w:rPr>
        <w:t>составили около 9</w:t>
      </w:r>
      <w:r w:rsidRPr="0087022F">
        <w:rPr>
          <w:lang w:val="ru-RU"/>
        </w:rPr>
        <w:t xml:space="preserve">% </w:t>
      </w:r>
      <w:r w:rsidR="00634C27" w:rsidRPr="0087022F">
        <w:rPr>
          <w:lang w:val="ru-RU"/>
        </w:rPr>
        <w:t>от общего числа</w:t>
      </w:r>
      <w:r w:rsidRPr="0087022F">
        <w:rPr>
          <w:lang w:val="ru-RU"/>
        </w:rPr>
        <w:t xml:space="preserve">. </w:t>
      </w:r>
      <w:r w:rsidR="00A87019" w:rsidRPr="0087022F">
        <w:rPr>
          <w:lang w:val="ru-RU"/>
        </w:rPr>
        <w:t>Виртуальная</w:t>
      </w:r>
      <w:r w:rsidR="00634C27" w:rsidRPr="0087022F">
        <w:rPr>
          <w:lang w:val="ru-RU"/>
        </w:rPr>
        <w:t xml:space="preserve"> стоимость всех пропусков (включая выдаваемые бесплатно или предоставляемые в</w:t>
      </w:r>
      <w:r w:rsidR="00A627A9" w:rsidRPr="0087022F">
        <w:rPr>
          <w:lang w:val="ru-RU"/>
        </w:rPr>
        <w:t> </w:t>
      </w:r>
      <w:r w:rsidR="00634C27" w:rsidRPr="0087022F">
        <w:rPr>
          <w:lang w:val="ru-RU"/>
        </w:rPr>
        <w:t>рамках льгот</w:t>
      </w:r>
      <w:r w:rsidRPr="0087022F">
        <w:rPr>
          <w:lang w:val="ru-RU"/>
        </w:rPr>
        <w:t xml:space="preserve">) </w:t>
      </w:r>
      <w:r w:rsidR="00634C27" w:rsidRPr="0087022F">
        <w:rPr>
          <w:lang w:val="ru-RU"/>
        </w:rPr>
        <w:t xml:space="preserve">составляет почти </w:t>
      </w:r>
      <w:r w:rsidRPr="0087022F">
        <w:rPr>
          <w:lang w:val="ru-RU"/>
        </w:rPr>
        <w:t>6</w:t>
      </w:r>
      <w:r w:rsidR="00634C27" w:rsidRPr="0087022F">
        <w:rPr>
          <w:lang w:val="ru-RU"/>
        </w:rPr>
        <w:t> млн. швейцарских франков, при этом доходы от платы за вход (доступ на форумы и выставочную площадку на протяжении всего мероприятия</w:t>
      </w:r>
      <w:r w:rsidRPr="0087022F">
        <w:rPr>
          <w:lang w:val="ru-RU"/>
        </w:rPr>
        <w:t xml:space="preserve">) </w:t>
      </w:r>
      <w:r w:rsidR="00634C27" w:rsidRPr="0087022F">
        <w:rPr>
          <w:lang w:val="ru-RU"/>
        </w:rPr>
        <w:t>составили</w:t>
      </w:r>
      <w:r w:rsidRPr="0087022F">
        <w:rPr>
          <w:lang w:val="ru-RU"/>
        </w:rPr>
        <w:t xml:space="preserve"> 377</w:t>
      </w:r>
      <w:r w:rsidR="00634C27" w:rsidRPr="0087022F">
        <w:rPr>
          <w:lang w:val="ru-RU"/>
        </w:rPr>
        <w:t> </w:t>
      </w:r>
      <w:r w:rsidRPr="0087022F">
        <w:rPr>
          <w:lang w:val="ru-RU"/>
        </w:rPr>
        <w:t>300</w:t>
      </w:r>
      <w:r w:rsidR="00634C27" w:rsidRPr="0087022F">
        <w:rPr>
          <w:lang w:val="ru-RU"/>
        </w:rPr>
        <w:t xml:space="preserve"> швейцарских франков </w:t>
      </w:r>
      <w:r w:rsidRPr="0087022F">
        <w:rPr>
          <w:lang w:val="ru-RU"/>
        </w:rPr>
        <w:t>(872</w:t>
      </w:r>
      <w:r w:rsidR="009239A2" w:rsidRPr="0087022F">
        <w:rPr>
          <w:lang w:val="ru-RU"/>
        </w:rPr>
        <w:t xml:space="preserve"> </w:t>
      </w:r>
      <w:r w:rsidRPr="0087022F">
        <w:rPr>
          <w:lang w:val="ru-RU"/>
        </w:rPr>
        <w:t>000</w:t>
      </w:r>
      <w:r w:rsidR="00634C27" w:rsidRPr="0087022F">
        <w:rPr>
          <w:lang w:val="ru-RU"/>
        </w:rPr>
        <w:t xml:space="preserve"> – в первоначальном бюджете и </w:t>
      </w:r>
      <w:r w:rsidRPr="0087022F">
        <w:rPr>
          <w:lang w:val="ru-RU"/>
        </w:rPr>
        <w:t>604</w:t>
      </w:r>
      <w:r w:rsidR="00634C27" w:rsidRPr="0087022F">
        <w:rPr>
          <w:lang w:val="ru-RU"/>
        </w:rPr>
        <w:t> </w:t>
      </w:r>
      <w:r w:rsidRPr="0087022F">
        <w:rPr>
          <w:lang w:val="ru-RU"/>
        </w:rPr>
        <w:t>000</w:t>
      </w:r>
      <w:r w:rsidR="00634C27" w:rsidRPr="0087022F">
        <w:rPr>
          <w:lang w:val="ru-RU"/>
        </w:rPr>
        <w:t> – в пересмотренном бюджете), что ощутимо ниже уровня Всемирного мероприятия Telecom-2013</w:t>
      </w:r>
      <w:r w:rsidRPr="0087022F">
        <w:rPr>
          <w:lang w:val="ru-RU"/>
        </w:rPr>
        <w:t xml:space="preserve"> (673</w:t>
      </w:r>
      <w:r w:rsidR="00634C27" w:rsidRPr="0087022F">
        <w:rPr>
          <w:lang w:val="ru-RU"/>
        </w:rPr>
        <w:t> </w:t>
      </w:r>
      <w:r w:rsidRPr="0087022F">
        <w:rPr>
          <w:lang w:val="ru-RU"/>
        </w:rPr>
        <w:t>780</w:t>
      </w:r>
      <w:r w:rsidR="00634C27" w:rsidRPr="0087022F">
        <w:rPr>
          <w:lang w:val="ru-RU"/>
        </w:rPr>
        <w:t> швейцарских франков</w:t>
      </w:r>
      <w:r w:rsidRPr="0087022F">
        <w:rPr>
          <w:lang w:val="ru-RU"/>
        </w:rPr>
        <w:t>).</w:t>
      </w:r>
    </w:p>
    <w:p w:rsidR="00C7645B" w:rsidRPr="0087022F" w:rsidRDefault="00C7645B" w:rsidP="00A627A9">
      <w:pPr>
        <w:rPr>
          <w:lang w:val="ru-RU"/>
        </w:rPr>
      </w:pPr>
      <w:r w:rsidRPr="0087022F">
        <w:rPr>
          <w:lang w:val="ru-RU"/>
        </w:rPr>
        <w:t>53</w:t>
      </w:r>
      <w:r w:rsidRPr="0087022F">
        <w:rPr>
          <w:lang w:val="ru-RU"/>
        </w:rPr>
        <w:tab/>
      </w:r>
      <w:r w:rsidR="00A87019" w:rsidRPr="0087022F">
        <w:rPr>
          <w:lang w:val="ru-RU"/>
        </w:rPr>
        <w:t>Результаты проведенного собственными силами "Анализа мероприятия" показывают, что</w:t>
      </w:r>
      <w:r w:rsidR="00A627A9" w:rsidRPr="0087022F">
        <w:rPr>
          <w:lang w:val="ru-RU"/>
        </w:rPr>
        <w:t> </w:t>
      </w:r>
      <w:r w:rsidR="00A87019" w:rsidRPr="0087022F">
        <w:rPr>
          <w:lang w:val="ru-RU"/>
        </w:rPr>
        <w:t>политика скидок и предоставления бесплатных пропусков недостаточно эффективна, поскольку некоторые возможности не были оценены покупателями</w:t>
      </w:r>
      <w:r w:rsidRPr="0087022F">
        <w:rPr>
          <w:lang w:val="ru-RU"/>
        </w:rPr>
        <w:t>.</w:t>
      </w:r>
    </w:p>
    <w:p w:rsidR="00C7645B" w:rsidRPr="0087022F" w:rsidRDefault="00C7645B" w:rsidP="00A627A9">
      <w:pPr>
        <w:spacing w:after="120"/>
        <w:rPr>
          <w:lang w:val="ru-RU"/>
        </w:rPr>
      </w:pPr>
      <w:r w:rsidRPr="0087022F">
        <w:rPr>
          <w:lang w:val="ru-RU"/>
        </w:rPr>
        <w:t>54</w:t>
      </w:r>
      <w:r w:rsidRPr="0087022F">
        <w:rPr>
          <w:lang w:val="ru-RU"/>
        </w:rPr>
        <w:tab/>
      </w:r>
      <w:r w:rsidR="00A87019" w:rsidRPr="0087022F">
        <w:rPr>
          <w:lang w:val="ru-RU"/>
        </w:rPr>
        <w:t xml:space="preserve">Вышеупомянутый анализ, касающийся категорий цен, выявил недостаточную привлекательность </w:t>
      </w:r>
      <w:r w:rsidR="00A6294B" w:rsidRPr="0087022F">
        <w:rPr>
          <w:lang w:val="ru-RU"/>
        </w:rPr>
        <w:t>"</w:t>
      </w:r>
      <w:r w:rsidR="00A87019" w:rsidRPr="0087022F">
        <w:rPr>
          <w:lang w:val="ru-RU"/>
        </w:rPr>
        <w:t xml:space="preserve">серебряных </w:t>
      </w:r>
      <w:r w:rsidR="00A6294B" w:rsidRPr="0087022F">
        <w:rPr>
          <w:lang w:val="ru-RU"/>
        </w:rPr>
        <w:t xml:space="preserve">пропусков" и, учитывая </w:t>
      </w:r>
      <w:r w:rsidR="002D7163" w:rsidRPr="0087022F">
        <w:rPr>
          <w:lang w:val="ru-RU"/>
        </w:rPr>
        <w:t>время</w:t>
      </w:r>
      <w:r w:rsidR="00A6294B" w:rsidRPr="0087022F">
        <w:rPr>
          <w:lang w:val="ru-RU"/>
        </w:rPr>
        <w:t xml:space="preserve"> покупки, цены для "первых заявителей": фактически, рост объема продаж пропусков, как показывает анализ мероприятия, зафиксирован только в течение последней недели перед мероприятием</w:t>
      </w:r>
      <w:r w:rsidRPr="0087022F">
        <w:rPr>
          <w:lang w:val="ru-RU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27A9" w:rsidRPr="004249CF" w:rsidTr="00B82F9B">
        <w:tc>
          <w:tcPr>
            <w:tcW w:w="9781" w:type="dxa"/>
          </w:tcPr>
          <w:p w:rsidR="00A627A9" w:rsidRPr="0087022F" w:rsidRDefault="00A627A9" w:rsidP="004D5D30">
            <w:pPr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Предложение 4</w:t>
            </w:r>
          </w:p>
          <w:p w:rsidR="00A627A9" w:rsidRPr="0087022F" w:rsidRDefault="00A627A9" w:rsidP="004D5D30">
            <w:pPr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55</w:t>
            </w:r>
            <w:r w:rsidRPr="0087022F">
              <w:rPr>
                <w:lang w:val="ru-RU"/>
              </w:rPr>
              <w:tab/>
              <w:t xml:space="preserve">Учитывая результаты, мы 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 разработать разумную ценовую политику, с тем чтобы увеличить доходы от продажи пропусков.</w:t>
            </w:r>
          </w:p>
        </w:tc>
      </w:tr>
    </w:tbl>
    <w:p w:rsidR="00A627A9" w:rsidRPr="0087022F" w:rsidRDefault="00A627A9" w:rsidP="004D5D30">
      <w:pPr>
        <w:spacing w:before="0"/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27A9" w:rsidRPr="004249CF" w:rsidTr="00B82F9B">
        <w:tc>
          <w:tcPr>
            <w:tcW w:w="9781" w:type="dxa"/>
          </w:tcPr>
          <w:p w:rsidR="00A627A9" w:rsidRPr="0087022F" w:rsidRDefault="00A627A9" w:rsidP="00B82F9B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lastRenderedPageBreak/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A627A9" w:rsidRPr="0087022F" w:rsidRDefault="00A627A9" w:rsidP="00A627A9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В рамках стратегии продаж на 2015 год вопрос пропусков решался различными способами, и МСЭ будет измерять эффективность, используя следующее: цена одного пропуска во всех категориях пропусков существенно снижена в целях повышения привлекательности; количество бесплатных билетов на форум, предоставляемых в качестве льготы клиентам, которые покупают площадь или оказывают спонсорскую поддержку, сокращено, в расчете на то, что клиенты сделают дополнительные покупки; и для увеличения посещаемости выставочной площадки введен недорогой пропуск на выставку.</w:t>
            </w:r>
          </w:p>
        </w:tc>
      </w:tr>
    </w:tbl>
    <w:p w:rsidR="00C7645B" w:rsidRPr="0087022F" w:rsidRDefault="002D7163" w:rsidP="00A627A9">
      <w:pPr>
        <w:pStyle w:val="Heading2"/>
        <w:rPr>
          <w:lang w:val="ru-RU"/>
        </w:rPr>
      </w:pPr>
      <w:bookmarkStart w:id="75" w:name="_Toc419393864"/>
      <w:r w:rsidRPr="0087022F">
        <w:rPr>
          <w:lang w:val="ru-RU"/>
        </w:rPr>
        <w:t>Выставка</w:t>
      </w:r>
      <w:bookmarkEnd w:id="75"/>
    </w:p>
    <w:p w:rsidR="00C7645B" w:rsidRPr="0087022F" w:rsidRDefault="00DA29CD" w:rsidP="00A627A9">
      <w:pPr>
        <w:rPr>
          <w:lang w:val="ru-RU"/>
        </w:rPr>
      </w:pPr>
      <w:r w:rsidRPr="0087022F">
        <w:rPr>
          <w:lang w:val="ru-RU"/>
        </w:rPr>
        <w:t>56</w:t>
      </w:r>
      <w:r w:rsidRPr="0087022F">
        <w:rPr>
          <w:lang w:val="ru-RU"/>
        </w:rPr>
        <w:tab/>
      </w:r>
      <w:r w:rsidR="002D7163" w:rsidRPr="0087022F">
        <w:rPr>
          <w:lang w:val="ru-RU"/>
        </w:rPr>
        <w:t>Объем продаж необорудованных площадей был существенно ниже первоначально заложенного в бюджете. Кроме того, наблюдавшаяся на трех последних мероприятиях тенденция показывает надежный источник доходов</w:t>
      </w:r>
      <w:r w:rsidR="000E6180" w:rsidRPr="0087022F">
        <w:rPr>
          <w:lang w:val="ru-RU"/>
        </w:rPr>
        <w:t xml:space="preserve">, обеспечиваемый </w:t>
      </w:r>
      <w:r w:rsidR="002D7163" w:rsidRPr="0087022F">
        <w:rPr>
          <w:lang w:val="ru-RU"/>
        </w:rPr>
        <w:t>другим</w:t>
      </w:r>
      <w:r w:rsidR="000E6180" w:rsidRPr="0087022F">
        <w:rPr>
          <w:lang w:val="ru-RU"/>
        </w:rPr>
        <w:t>и</w:t>
      </w:r>
      <w:r w:rsidR="002D7163" w:rsidRPr="0087022F">
        <w:rPr>
          <w:lang w:val="ru-RU"/>
        </w:rPr>
        <w:t xml:space="preserve"> решениям</w:t>
      </w:r>
      <w:r w:rsidR="000E6180" w:rsidRPr="0087022F">
        <w:rPr>
          <w:lang w:val="ru-RU"/>
        </w:rPr>
        <w:t>и</w:t>
      </w:r>
      <w:r w:rsidR="002D7163" w:rsidRPr="0087022F">
        <w:rPr>
          <w:lang w:val="ru-RU"/>
        </w:rPr>
        <w:t xml:space="preserve">. </w:t>
      </w:r>
      <w:r w:rsidR="00A44EB0" w:rsidRPr="0087022F">
        <w:rPr>
          <w:lang w:val="ru-RU"/>
        </w:rPr>
        <w:t>Среди таких решений большим спросом экспонентов пользовался вариант "под ключ".</w:t>
      </w:r>
    </w:p>
    <w:p w:rsidR="00C7645B" w:rsidRPr="0087022F" w:rsidRDefault="00DA29CD" w:rsidP="00A627A9">
      <w:pPr>
        <w:spacing w:after="120"/>
        <w:rPr>
          <w:lang w:val="ru-RU"/>
        </w:rPr>
      </w:pPr>
      <w:r w:rsidRPr="0087022F">
        <w:rPr>
          <w:lang w:val="ru-RU"/>
        </w:rPr>
        <w:t>57</w:t>
      </w:r>
      <w:r w:rsidRPr="0087022F">
        <w:rPr>
          <w:lang w:val="ru-RU"/>
        </w:rPr>
        <w:tab/>
      </w:r>
      <w:r w:rsidR="00A44EB0" w:rsidRPr="0087022F">
        <w:rPr>
          <w:lang w:val="ru-RU"/>
        </w:rPr>
        <w:t xml:space="preserve">В первоначальном </w:t>
      </w:r>
      <w:r w:rsidR="00172FAB" w:rsidRPr="0087022F">
        <w:rPr>
          <w:lang w:val="ru-RU"/>
        </w:rPr>
        <w:t>бюджете в полной мере не учтен масштаб этой тенденции, однако в</w:t>
      </w:r>
      <w:r w:rsidR="00A627A9" w:rsidRPr="0087022F">
        <w:rPr>
          <w:lang w:val="ru-RU"/>
        </w:rPr>
        <w:t> </w:t>
      </w:r>
      <w:r w:rsidR="00172FAB" w:rsidRPr="0087022F">
        <w:rPr>
          <w:lang w:val="ru-RU"/>
        </w:rPr>
        <w:t>пересмотренном бюджете фактические показатели на тот период позволили сделать более точный прогноз. С другой стороны, мы отметили, что стоимость строительных и наладочных работ в пакетах решений "под ключ" была существенно ниже прогнози</w:t>
      </w:r>
      <w:r w:rsidR="00A627A9" w:rsidRPr="0087022F">
        <w:rPr>
          <w:lang w:val="ru-RU"/>
        </w:rPr>
        <w:t>руемой.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27A9" w:rsidRPr="004249CF" w:rsidTr="00B82F9B">
        <w:tc>
          <w:tcPr>
            <w:tcW w:w="9781" w:type="dxa"/>
          </w:tcPr>
          <w:p w:rsidR="00A627A9" w:rsidRPr="0087022F" w:rsidRDefault="00A627A9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Предложение 5</w:t>
            </w:r>
          </w:p>
          <w:p w:rsidR="00A627A9" w:rsidRPr="0087022F" w:rsidRDefault="00A627A9" w:rsidP="00A627A9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58</w:t>
            </w:r>
            <w:r w:rsidRPr="0087022F">
              <w:rPr>
                <w:lang w:val="ru-RU"/>
              </w:rPr>
              <w:tab/>
              <w:t>Учитывая актуальность получения доходов от предоставления решений "под ключ" мы 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 изучить возможность еще большего расширения разнообразия павильонов "под ключ", с тем чтобы более эффективно использовать эту экономическую возможность.</w:t>
            </w:r>
          </w:p>
        </w:tc>
      </w:tr>
    </w:tbl>
    <w:p w:rsidR="00A627A9" w:rsidRPr="0087022F" w:rsidRDefault="00A627A9" w:rsidP="009267AA">
      <w:pPr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27A9" w:rsidRPr="0087022F" w:rsidTr="00B82F9B">
        <w:tc>
          <w:tcPr>
            <w:tcW w:w="9781" w:type="dxa"/>
          </w:tcPr>
          <w:p w:rsidR="00A627A9" w:rsidRPr="0087022F" w:rsidRDefault="00A627A9" w:rsidP="00B82F9B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A627A9" w:rsidRPr="0087022F" w:rsidRDefault="00A627A9" w:rsidP="00A627A9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Расценки на решение "под ключ" 2015 года обеспечили более выгодное предложение по сравнению с продажей необорудованных площадей. Был также разработан дополнительный недорогой готовый продукт для привлечения малых и средних предприятий (МСП) и начинающих компаний с низким бюджетом к участию в мероприятии. МСЭ будет продолжать контроль привлекательности и рентабельности этих продуктов.</w:t>
            </w:r>
          </w:p>
        </w:tc>
      </w:tr>
    </w:tbl>
    <w:p w:rsidR="00C7645B" w:rsidRPr="0087022F" w:rsidRDefault="00367324" w:rsidP="0097747C">
      <w:pPr>
        <w:pStyle w:val="Heading1"/>
        <w:rPr>
          <w:lang w:val="ru-RU"/>
        </w:rPr>
      </w:pPr>
      <w:bookmarkStart w:id="76" w:name="_Toc419393865"/>
      <w:r w:rsidRPr="0087022F">
        <w:rPr>
          <w:lang w:val="ru-RU"/>
        </w:rPr>
        <w:t>РАСХОДЫ</w:t>
      </w:r>
      <w:bookmarkEnd w:id="76"/>
    </w:p>
    <w:p w:rsidR="0034706F" w:rsidRPr="0087022F" w:rsidRDefault="0034706F" w:rsidP="00A627A9">
      <w:pPr>
        <w:pStyle w:val="Heading2"/>
        <w:rPr>
          <w:lang w:val="ru-RU"/>
        </w:rPr>
      </w:pPr>
      <w:bookmarkStart w:id="77" w:name="_Toc419393866"/>
      <w:r w:rsidRPr="0087022F">
        <w:rPr>
          <w:lang w:val="ru-RU"/>
        </w:rPr>
        <w:t>Возмещение затрат</w:t>
      </w:r>
      <w:bookmarkEnd w:id="77"/>
    </w:p>
    <w:p w:rsidR="0034706F" w:rsidRPr="0087022F" w:rsidRDefault="0034706F" w:rsidP="009267AA">
      <w:pPr>
        <w:spacing w:after="120"/>
        <w:rPr>
          <w:lang w:val="ru-RU"/>
        </w:rPr>
      </w:pPr>
      <w:bookmarkStart w:id="78" w:name="_Ref416442001"/>
      <w:r w:rsidRPr="0087022F">
        <w:rPr>
          <w:lang w:val="ru-RU"/>
        </w:rPr>
        <w:t>59</w:t>
      </w:r>
      <w:r w:rsidRPr="0087022F">
        <w:rPr>
          <w:lang w:val="ru-RU"/>
        </w:rPr>
        <w:tab/>
      </w:r>
      <w:r w:rsidR="008A38F5" w:rsidRPr="0087022F">
        <w:rPr>
          <w:lang w:val="ru-RU"/>
        </w:rPr>
        <w:t>Несмотря на то, что в прошлом году на нашу рекомендацию </w:t>
      </w:r>
      <w:r w:rsidRPr="0087022F">
        <w:rPr>
          <w:lang w:val="ru-RU"/>
        </w:rPr>
        <w:t>3/2013</w:t>
      </w:r>
      <w:r w:rsidR="008A38F5" w:rsidRPr="0087022F">
        <w:rPr>
          <w:lang w:val="ru-RU"/>
        </w:rPr>
        <w:t xml:space="preserve"> Генеральный секретарь сообщил, что "суммы возмещения затрат за 2014 и 2015 годы уже определены в утвержденном двухгодичном бюджете", исследование </w:t>
      </w:r>
      <w:r w:rsidR="004F0164" w:rsidRPr="0087022F">
        <w:rPr>
          <w:lang w:val="ru-RU"/>
        </w:rPr>
        <w:t>определения размера возмещения затрат было проведено FRMD, и его результаты были направлены в октябре 2014 года в Секретариат ITU-</w:t>
      </w:r>
      <w:proofErr w:type="spellStart"/>
      <w:r w:rsidR="004F0164" w:rsidRPr="0087022F">
        <w:rPr>
          <w:lang w:val="ru-RU"/>
        </w:rPr>
        <w:t>Telecom</w:t>
      </w:r>
      <w:proofErr w:type="spellEnd"/>
      <w:r w:rsidR="004F0164" w:rsidRPr="0087022F">
        <w:rPr>
          <w:lang w:val="ru-RU"/>
        </w:rPr>
        <w:t xml:space="preserve"> для</w:t>
      </w:r>
      <w:r w:rsidR="009267AA" w:rsidRPr="0087022F">
        <w:rPr>
          <w:lang w:val="ru-RU"/>
        </w:rPr>
        <w:t> </w:t>
      </w:r>
      <w:r w:rsidR="004F0164" w:rsidRPr="0087022F">
        <w:rPr>
          <w:lang w:val="ru-RU"/>
        </w:rPr>
        <w:t>получения комментариев</w:t>
      </w:r>
      <w:r w:rsidRPr="0087022F">
        <w:rPr>
          <w:lang w:val="ru-RU"/>
        </w:rPr>
        <w:t>.</w:t>
      </w:r>
      <w:bookmarkEnd w:id="78"/>
      <w:r w:rsidRPr="0087022F">
        <w:rPr>
          <w:lang w:val="ru-RU"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267AA" w:rsidRPr="004249CF" w:rsidTr="00B82F9B">
        <w:tc>
          <w:tcPr>
            <w:tcW w:w="9781" w:type="dxa"/>
          </w:tcPr>
          <w:p w:rsidR="009267AA" w:rsidRPr="0087022F" w:rsidRDefault="009267AA" w:rsidP="004D5D30">
            <w:pPr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Рекомендация 1</w:t>
            </w:r>
          </w:p>
          <w:p w:rsidR="009267AA" w:rsidRPr="0087022F" w:rsidRDefault="009267AA" w:rsidP="004D5D30">
            <w:pPr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60</w:t>
            </w:r>
            <w:r w:rsidRPr="0087022F">
              <w:rPr>
                <w:lang w:val="ru-RU"/>
              </w:rPr>
              <w:tab/>
              <w:t xml:space="preserve">Нам было сообщено, что результаты исследования возмещения затрат в настоящее время обсуждаются. После завершения обсуждений мы </w:t>
            </w:r>
            <w:r w:rsidRPr="0087022F">
              <w:rPr>
                <w:b/>
                <w:bCs/>
                <w:lang w:val="ru-RU"/>
              </w:rPr>
              <w:t>рекомендуем</w:t>
            </w:r>
            <w:r w:rsidRPr="0087022F">
              <w:rPr>
                <w:lang w:val="ru-RU"/>
              </w:rPr>
              <w:t xml:space="preserve"> руководству использовать результаты исследования в качестве основы при установлении суммы сборов по линии возмещения затрат.</w:t>
            </w:r>
          </w:p>
        </w:tc>
      </w:tr>
    </w:tbl>
    <w:p w:rsidR="009267AA" w:rsidRPr="0087022F" w:rsidRDefault="009267AA" w:rsidP="004D5D30">
      <w:pPr>
        <w:spacing w:before="0"/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267AA" w:rsidRPr="004249CF" w:rsidTr="00B82F9B">
        <w:tc>
          <w:tcPr>
            <w:tcW w:w="9781" w:type="dxa"/>
          </w:tcPr>
          <w:p w:rsidR="009267AA" w:rsidRPr="0087022F" w:rsidRDefault="009267AA" w:rsidP="00B82F9B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lastRenderedPageBreak/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9267AA" w:rsidRPr="0087022F" w:rsidRDefault="009267AA" w:rsidP="009267AA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 xml:space="preserve">Детальное исследование возмещения затрат было проведено Департаментом управления финансовыми ресурсами, результаты которого были направлены в Секретариат ITU </w:t>
            </w:r>
            <w:proofErr w:type="spellStart"/>
            <w:r w:rsidRPr="0087022F">
              <w:rPr>
                <w:lang w:val="ru-RU"/>
              </w:rPr>
              <w:t>Telecom</w:t>
            </w:r>
            <w:proofErr w:type="spellEnd"/>
            <w:r w:rsidRPr="0087022F">
              <w:rPr>
                <w:lang w:val="ru-RU"/>
              </w:rPr>
              <w:t xml:space="preserve"> и в настоящее время обсуждаются. Результаты исследования возмещения затрат будут использоваться в качестве основы при определении размера взимаемой суммы по линии возмещения затрат.</w:t>
            </w:r>
          </w:p>
        </w:tc>
      </w:tr>
    </w:tbl>
    <w:p w:rsidR="0034706F" w:rsidRPr="0087022F" w:rsidRDefault="00DD2135" w:rsidP="00A627A9">
      <w:pPr>
        <w:pStyle w:val="Heading2"/>
        <w:rPr>
          <w:lang w:val="ru-RU"/>
        </w:rPr>
      </w:pPr>
      <w:bookmarkStart w:id="79" w:name="_Toc419393867"/>
      <w:r w:rsidRPr="0087022F">
        <w:rPr>
          <w:lang w:val="ru-RU"/>
        </w:rPr>
        <w:t>Затраты по персоналу</w:t>
      </w:r>
      <w:bookmarkEnd w:id="79"/>
    </w:p>
    <w:p w:rsidR="0034706F" w:rsidRPr="0087022F" w:rsidRDefault="00BE72FC" w:rsidP="009267AA">
      <w:pPr>
        <w:rPr>
          <w:lang w:val="ru-RU"/>
        </w:rPr>
      </w:pPr>
      <w:r w:rsidRPr="0087022F">
        <w:rPr>
          <w:lang w:val="ru-RU"/>
        </w:rPr>
        <w:t>61</w:t>
      </w:r>
      <w:r w:rsidRPr="0087022F">
        <w:rPr>
          <w:lang w:val="ru-RU"/>
        </w:rPr>
        <w:tab/>
      </w:r>
      <w:r w:rsidR="00770A1C" w:rsidRPr="0087022F">
        <w:rPr>
          <w:lang w:val="ru-RU"/>
        </w:rPr>
        <w:t xml:space="preserve">Мы отметили, что сумма </w:t>
      </w:r>
      <w:r w:rsidR="0034706F" w:rsidRPr="0087022F">
        <w:rPr>
          <w:lang w:val="ru-RU"/>
        </w:rPr>
        <w:t>24</w:t>
      </w:r>
      <w:r w:rsidR="00770A1C" w:rsidRPr="0087022F">
        <w:rPr>
          <w:lang w:val="ru-RU"/>
        </w:rPr>
        <w:t> </w:t>
      </w:r>
      <w:r w:rsidR="0034706F" w:rsidRPr="0087022F">
        <w:rPr>
          <w:lang w:val="ru-RU"/>
        </w:rPr>
        <w:t>678,05</w:t>
      </w:r>
      <w:r w:rsidR="00770A1C" w:rsidRPr="0087022F">
        <w:rPr>
          <w:lang w:val="ru-RU"/>
        </w:rPr>
        <w:t> швейцарск</w:t>
      </w:r>
      <w:r w:rsidR="00BF34A5" w:rsidRPr="0087022F">
        <w:rPr>
          <w:lang w:val="ru-RU"/>
        </w:rPr>
        <w:t>ого</w:t>
      </w:r>
      <w:r w:rsidR="00770A1C" w:rsidRPr="0087022F">
        <w:rPr>
          <w:lang w:val="ru-RU"/>
        </w:rPr>
        <w:t xml:space="preserve"> франк</w:t>
      </w:r>
      <w:r w:rsidR="00BF34A5" w:rsidRPr="0087022F">
        <w:rPr>
          <w:lang w:val="ru-RU"/>
        </w:rPr>
        <w:t>а</w:t>
      </w:r>
      <w:r w:rsidR="00770A1C" w:rsidRPr="0087022F">
        <w:rPr>
          <w:lang w:val="ru-RU"/>
        </w:rPr>
        <w:t xml:space="preserve"> для временного персонала обозначена как накопленные дни отпуска. В некоторых случаях учитывалось большое число дней (до</w:t>
      </w:r>
      <w:r w:rsidR="009267AA" w:rsidRPr="0087022F">
        <w:rPr>
          <w:lang w:val="ru-RU"/>
        </w:rPr>
        <w:t> </w:t>
      </w:r>
      <w:r w:rsidR="00770A1C" w:rsidRPr="0087022F">
        <w:rPr>
          <w:lang w:val="ru-RU"/>
        </w:rPr>
        <w:t>19) неиспользованного отпуска</w:t>
      </w:r>
      <w:r w:rsidR="0034706F" w:rsidRPr="0087022F">
        <w:rPr>
          <w:lang w:val="ru-RU"/>
        </w:rPr>
        <w:t>.</w:t>
      </w:r>
    </w:p>
    <w:p w:rsidR="0034706F" w:rsidRPr="0087022F" w:rsidRDefault="00770A1C" w:rsidP="008503D8">
      <w:pPr>
        <w:pStyle w:val="Heading1"/>
        <w:rPr>
          <w:lang w:val="ru-RU"/>
        </w:rPr>
      </w:pPr>
      <w:bookmarkStart w:id="80" w:name="_Toc419393868"/>
      <w:r w:rsidRPr="0087022F">
        <w:rPr>
          <w:lang w:val="ru-RU"/>
        </w:rPr>
        <w:t>Соответствие бюджета и результатов</w:t>
      </w:r>
      <w:bookmarkEnd w:id="80"/>
    </w:p>
    <w:p w:rsidR="0034706F" w:rsidRPr="0087022F" w:rsidRDefault="00BE72FC" w:rsidP="006D0C65">
      <w:pPr>
        <w:spacing w:after="120"/>
        <w:rPr>
          <w:lang w:val="ru-RU"/>
        </w:rPr>
      </w:pPr>
      <w:r w:rsidRPr="0087022F">
        <w:rPr>
          <w:lang w:val="ru-RU"/>
        </w:rPr>
        <w:t>62</w:t>
      </w:r>
      <w:r w:rsidRPr="0087022F">
        <w:rPr>
          <w:lang w:val="ru-RU"/>
        </w:rPr>
        <w:tab/>
      </w:r>
      <w:r w:rsidR="00770A1C" w:rsidRPr="0087022F">
        <w:rPr>
          <w:lang w:val="ru-RU"/>
        </w:rPr>
        <w:t xml:space="preserve">В некоторых случаях представление фактических доходов и расходов не соответствует </w:t>
      </w:r>
      <w:r w:rsidR="00465ECD" w:rsidRPr="0087022F">
        <w:rPr>
          <w:lang w:val="ru-RU"/>
        </w:rPr>
        <w:t>в</w:t>
      </w:r>
      <w:r w:rsidR="009267AA" w:rsidRPr="0087022F">
        <w:rPr>
          <w:lang w:val="ru-RU"/>
        </w:rPr>
        <w:t> </w:t>
      </w:r>
      <w:r w:rsidR="00465ECD" w:rsidRPr="0087022F">
        <w:rPr>
          <w:lang w:val="ru-RU"/>
        </w:rPr>
        <w:t>точности структуре бюджета</w:t>
      </w:r>
      <w:r w:rsidR="0034706F" w:rsidRPr="0087022F">
        <w:rPr>
          <w:lang w:val="ru-RU"/>
        </w:rPr>
        <w:t xml:space="preserve"> (</w:t>
      </w:r>
      <w:r w:rsidR="00465ECD" w:rsidRPr="0087022F">
        <w:rPr>
          <w:lang w:val="ru-RU"/>
        </w:rPr>
        <w:t>например</w:t>
      </w:r>
      <w:r w:rsidR="006D0C65" w:rsidRPr="0087022F">
        <w:rPr>
          <w:lang w:val="ru-RU"/>
        </w:rPr>
        <w:t>,</w:t>
      </w:r>
      <w:r w:rsidR="0034706F" w:rsidRPr="0087022F">
        <w:rPr>
          <w:lang w:val="ru-RU"/>
        </w:rPr>
        <w:t xml:space="preserve"> </w:t>
      </w:r>
      <w:r w:rsidR="00465ECD" w:rsidRPr="0087022F">
        <w:rPr>
          <w:lang w:val="ru-RU"/>
        </w:rPr>
        <w:t xml:space="preserve">спонсорская поддержка </w:t>
      </w:r>
      <w:r w:rsidR="003A65C1" w:rsidRPr="0087022F">
        <w:rPr>
          <w:lang w:val="ru-RU"/>
        </w:rPr>
        <w:t>службы</w:t>
      </w:r>
      <w:r w:rsidR="00465ECD" w:rsidRPr="0087022F">
        <w:rPr>
          <w:lang w:val="ru-RU"/>
        </w:rPr>
        <w:t xml:space="preserve"> регистрации в статьях дохода</w:t>
      </w:r>
      <w:r w:rsidR="0034706F" w:rsidRPr="0087022F">
        <w:rPr>
          <w:lang w:val="ru-RU"/>
        </w:rPr>
        <w:t xml:space="preserve">, </w:t>
      </w:r>
      <w:r w:rsidR="00465ECD" w:rsidRPr="0087022F">
        <w:rPr>
          <w:lang w:val="ru-RU"/>
        </w:rPr>
        <w:t>инновационное пространство и ряд других "пространств"</w:t>
      </w:r>
      <w:r w:rsidR="0034706F" w:rsidRPr="0087022F">
        <w:rPr>
          <w:lang w:val="ru-RU"/>
        </w:rPr>
        <w:t xml:space="preserve">); </w:t>
      </w:r>
      <w:r w:rsidR="00465ECD" w:rsidRPr="0087022F">
        <w:rPr>
          <w:lang w:val="ru-RU"/>
        </w:rPr>
        <w:t>это не позволяет проводить прямое сравнение показателей и анализировать их</w:t>
      </w:r>
      <w:r w:rsidR="0034706F" w:rsidRPr="0087022F">
        <w:rPr>
          <w:lang w:val="ru-RU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267AA" w:rsidRPr="004249CF" w:rsidTr="00B82F9B">
        <w:tc>
          <w:tcPr>
            <w:tcW w:w="9781" w:type="dxa"/>
          </w:tcPr>
          <w:p w:rsidR="009267AA" w:rsidRPr="0087022F" w:rsidRDefault="009267AA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Рекомендация 2</w:t>
            </w:r>
          </w:p>
          <w:p w:rsidR="009267AA" w:rsidRPr="0087022F" w:rsidRDefault="009267AA" w:rsidP="00B82F9B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63</w:t>
            </w:r>
            <w:r w:rsidRPr="0087022F">
              <w:rPr>
                <w:lang w:val="ru-RU"/>
              </w:rPr>
              <w:tab/>
              <w:t xml:space="preserve">Мы признаем усилия руководства по подготовке надежного бюджета и </w:t>
            </w:r>
            <w:r w:rsidRPr="0087022F">
              <w:rPr>
                <w:b/>
                <w:bCs/>
                <w:lang w:val="ru-RU"/>
              </w:rPr>
              <w:t>рекомендуем</w:t>
            </w:r>
            <w:r w:rsidRPr="0087022F">
              <w:rPr>
                <w:lang w:val="ru-RU"/>
              </w:rPr>
              <w:t xml:space="preserve"> руководству строго следовать структуре бюджета при представлении результатов.</w:t>
            </w:r>
          </w:p>
        </w:tc>
      </w:tr>
    </w:tbl>
    <w:p w:rsidR="009267AA" w:rsidRPr="0087022F" w:rsidRDefault="009267AA" w:rsidP="009267AA">
      <w:pPr>
        <w:spacing w:before="0"/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267AA" w:rsidRPr="004249CF" w:rsidTr="00B82F9B">
        <w:tc>
          <w:tcPr>
            <w:tcW w:w="9781" w:type="dxa"/>
          </w:tcPr>
          <w:p w:rsidR="009267AA" w:rsidRPr="0087022F" w:rsidRDefault="009267AA" w:rsidP="00B82F9B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9267AA" w:rsidRPr="0087022F" w:rsidRDefault="009267AA" w:rsidP="00B82F9B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 xml:space="preserve">Для решения данного вопроса будут приняты меры по усилению координации между Секретариатом ITU </w:t>
            </w:r>
            <w:proofErr w:type="spellStart"/>
            <w:r w:rsidRPr="0087022F">
              <w:rPr>
                <w:lang w:val="ru-RU"/>
              </w:rPr>
              <w:t>Telecom</w:t>
            </w:r>
            <w:proofErr w:type="spellEnd"/>
            <w:r w:rsidRPr="0087022F">
              <w:rPr>
                <w:lang w:val="ru-RU"/>
              </w:rPr>
              <w:t xml:space="preserve"> и RMD.</w:t>
            </w:r>
          </w:p>
        </w:tc>
      </w:tr>
    </w:tbl>
    <w:p w:rsidR="0034706F" w:rsidRPr="0087022F" w:rsidRDefault="003A65C1" w:rsidP="008503D8">
      <w:pPr>
        <w:pStyle w:val="Heading1"/>
        <w:rPr>
          <w:lang w:val="ru-RU"/>
        </w:rPr>
      </w:pPr>
      <w:bookmarkStart w:id="81" w:name="_Toc419393869"/>
      <w:r w:rsidRPr="0087022F">
        <w:rPr>
          <w:lang w:val="ru-RU"/>
        </w:rPr>
        <w:t>Служба регистрации</w:t>
      </w:r>
      <w:bookmarkEnd w:id="81"/>
    </w:p>
    <w:p w:rsidR="0034706F" w:rsidRPr="0087022F" w:rsidRDefault="00BE72FC" w:rsidP="009267AA">
      <w:pPr>
        <w:rPr>
          <w:lang w:val="ru-RU"/>
        </w:rPr>
      </w:pPr>
      <w:r w:rsidRPr="0087022F">
        <w:rPr>
          <w:lang w:val="ru-RU"/>
        </w:rPr>
        <w:t>64</w:t>
      </w:r>
      <w:r w:rsidRPr="0087022F">
        <w:rPr>
          <w:lang w:val="ru-RU"/>
        </w:rPr>
        <w:tab/>
      </w:r>
      <w:r w:rsidR="003A65C1" w:rsidRPr="0087022F">
        <w:rPr>
          <w:lang w:val="ru-RU"/>
        </w:rPr>
        <w:t xml:space="preserve">Мы </w:t>
      </w:r>
      <w:r w:rsidR="00FB14B0" w:rsidRPr="0087022F">
        <w:rPr>
          <w:lang w:val="ru-RU"/>
        </w:rPr>
        <w:t xml:space="preserve">убедились, что наша предыдущая рекомендация </w:t>
      </w:r>
      <w:r w:rsidR="0034706F" w:rsidRPr="0087022F">
        <w:rPr>
          <w:lang w:val="ru-RU"/>
        </w:rPr>
        <w:t>(</w:t>
      </w:r>
      <w:r w:rsidR="00FB14B0" w:rsidRPr="0087022F">
        <w:rPr>
          <w:lang w:val="ru-RU"/>
        </w:rPr>
        <w:t>рекомендация </w:t>
      </w:r>
      <w:r w:rsidR="0034706F" w:rsidRPr="0087022F">
        <w:rPr>
          <w:lang w:val="ru-RU"/>
        </w:rPr>
        <w:t xml:space="preserve">2 </w:t>
      </w:r>
      <w:r w:rsidR="00FB14B0" w:rsidRPr="0087022F">
        <w:rPr>
          <w:lang w:val="ru-RU"/>
        </w:rPr>
        <w:t>в отчете о</w:t>
      </w:r>
      <w:r w:rsidR="009267AA" w:rsidRPr="0087022F">
        <w:rPr>
          <w:lang w:val="ru-RU"/>
        </w:rPr>
        <w:t> </w:t>
      </w:r>
      <w:r w:rsidR="00FB14B0" w:rsidRPr="0087022F">
        <w:rPr>
          <w:lang w:val="ru-RU"/>
        </w:rPr>
        <w:t xml:space="preserve">мероприятии в Дубае </w:t>
      </w:r>
      <w:r w:rsidR="0034706F" w:rsidRPr="0087022F">
        <w:rPr>
          <w:lang w:val="ru-RU"/>
        </w:rPr>
        <w:t>2012</w:t>
      </w:r>
      <w:r w:rsidR="00FB14B0" w:rsidRPr="0087022F">
        <w:rPr>
          <w:lang w:val="ru-RU"/>
        </w:rPr>
        <w:t> г.</w:t>
      </w:r>
      <w:r w:rsidR="0034706F" w:rsidRPr="0087022F">
        <w:rPr>
          <w:lang w:val="ru-RU"/>
        </w:rPr>
        <w:t>),</w:t>
      </w:r>
      <w:r w:rsidR="00FB14B0" w:rsidRPr="0087022F">
        <w:rPr>
          <w:lang w:val="ru-RU"/>
        </w:rPr>
        <w:t xml:space="preserve"> касающаяся самостоятельного осуществления услуг регистрации, надлежащим образов</w:t>
      </w:r>
      <w:r w:rsidR="0034706F" w:rsidRPr="0087022F">
        <w:rPr>
          <w:lang w:val="ru-RU"/>
        </w:rPr>
        <w:t xml:space="preserve"> </w:t>
      </w:r>
      <w:r w:rsidR="00FB14B0" w:rsidRPr="0087022F">
        <w:rPr>
          <w:lang w:val="ru-RU"/>
        </w:rPr>
        <w:t>выполнена</w:t>
      </w:r>
      <w:r w:rsidR="0034706F" w:rsidRPr="0087022F">
        <w:rPr>
          <w:lang w:val="ru-RU"/>
        </w:rPr>
        <w:t xml:space="preserve">. </w:t>
      </w:r>
      <w:r w:rsidR="00FB14B0" w:rsidRPr="0087022F">
        <w:rPr>
          <w:lang w:val="ru-RU"/>
        </w:rPr>
        <w:t xml:space="preserve">Однако наши опросы показали некоторый недостаток </w:t>
      </w:r>
      <w:r w:rsidR="00C704B7" w:rsidRPr="0087022F">
        <w:rPr>
          <w:lang w:val="ru-RU"/>
        </w:rPr>
        <w:t>гибкости, но</w:t>
      </w:r>
      <w:r w:rsidR="009267AA" w:rsidRPr="0087022F">
        <w:rPr>
          <w:lang w:val="ru-RU"/>
        </w:rPr>
        <w:t> </w:t>
      </w:r>
      <w:r w:rsidR="00C704B7" w:rsidRPr="0087022F">
        <w:rPr>
          <w:lang w:val="ru-RU"/>
        </w:rPr>
        <w:t>мы можем признать, что сотрудничество с внутренними ресурсами дает возможность непрерывного совершенствования из года в год, осуществляя обмен практическим опытом</w:t>
      </w:r>
      <w:r w:rsidR="009267AA" w:rsidRPr="0087022F">
        <w:rPr>
          <w:lang w:val="ru-RU"/>
        </w:rPr>
        <w:t>.</w:t>
      </w:r>
    </w:p>
    <w:p w:rsidR="0034706F" w:rsidRPr="0087022F" w:rsidRDefault="00BE72FC" w:rsidP="009267AA">
      <w:pPr>
        <w:rPr>
          <w:lang w:val="ru-RU"/>
        </w:rPr>
      </w:pPr>
      <w:r w:rsidRPr="0087022F">
        <w:rPr>
          <w:lang w:val="ru-RU"/>
        </w:rPr>
        <w:t>65</w:t>
      </w:r>
      <w:r w:rsidRPr="0087022F">
        <w:rPr>
          <w:lang w:val="ru-RU"/>
        </w:rPr>
        <w:tab/>
      </w:r>
      <w:r w:rsidR="00C704B7" w:rsidRPr="0087022F">
        <w:rPr>
          <w:lang w:val="ru-RU"/>
        </w:rPr>
        <w:t>Мы будет следить за этим вопросом в целях отслеживания реальных улучшений</w:t>
      </w:r>
      <w:r w:rsidR="0034706F" w:rsidRPr="0087022F">
        <w:rPr>
          <w:lang w:val="ru-RU"/>
        </w:rPr>
        <w:t>.</w:t>
      </w:r>
    </w:p>
    <w:p w:rsidR="00E24382" w:rsidRPr="0087022F" w:rsidRDefault="002209DB" w:rsidP="00A627A9">
      <w:pPr>
        <w:pStyle w:val="Heading2"/>
        <w:rPr>
          <w:lang w:val="ru-RU"/>
        </w:rPr>
      </w:pPr>
      <w:bookmarkStart w:id="82" w:name="_Toc419393870"/>
      <w:r w:rsidRPr="0087022F">
        <w:rPr>
          <w:lang w:val="ru-RU"/>
        </w:rPr>
        <w:t>Политика в отношении расходов стратегического характера</w:t>
      </w:r>
      <w:bookmarkEnd w:id="82"/>
      <w:r w:rsidR="00E24382" w:rsidRPr="0087022F">
        <w:rPr>
          <w:lang w:val="ru-RU"/>
        </w:rPr>
        <w:t xml:space="preserve"> </w:t>
      </w:r>
    </w:p>
    <w:p w:rsidR="00177C23" w:rsidRPr="0087022F" w:rsidRDefault="00177C23" w:rsidP="00321398">
      <w:pPr>
        <w:rPr>
          <w:lang w:val="ru-RU"/>
        </w:rPr>
      </w:pPr>
      <w:r w:rsidRPr="0087022F">
        <w:rPr>
          <w:lang w:val="ru-RU"/>
        </w:rPr>
        <w:t>66</w:t>
      </w:r>
      <w:r w:rsidRPr="0087022F">
        <w:rPr>
          <w:lang w:val="ru-RU"/>
        </w:rPr>
        <w:tab/>
        <w:t>В Резолюции 11</w:t>
      </w:r>
      <w:r w:rsidRPr="0087022F">
        <w:rPr>
          <w:bCs/>
          <w:lang w:val="ru-RU"/>
        </w:rPr>
        <w:t xml:space="preserve"> (</w:t>
      </w:r>
      <w:proofErr w:type="spellStart"/>
      <w:r w:rsidRPr="0087022F">
        <w:rPr>
          <w:bCs/>
          <w:lang w:val="ru-RU"/>
        </w:rPr>
        <w:t>Пересм</w:t>
      </w:r>
      <w:proofErr w:type="spellEnd"/>
      <w:r w:rsidRPr="0087022F">
        <w:rPr>
          <w:bCs/>
          <w:lang w:val="ru-RU"/>
        </w:rPr>
        <w:t xml:space="preserve">. </w:t>
      </w:r>
      <w:proofErr w:type="spellStart"/>
      <w:r w:rsidR="007A31F4" w:rsidRPr="0087022F">
        <w:rPr>
          <w:bCs/>
          <w:lang w:val="ru-RU"/>
        </w:rPr>
        <w:t>Пусан</w:t>
      </w:r>
      <w:proofErr w:type="spellEnd"/>
      <w:r w:rsidR="007A31F4" w:rsidRPr="0087022F">
        <w:rPr>
          <w:bCs/>
          <w:lang w:val="ru-RU"/>
        </w:rPr>
        <w:t>, 2014 г.</w:t>
      </w:r>
      <w:r w:rsidRPr="0087022F">
        <w:rPr>
          <w:bCs/>
          <w:lang w:val="ru-RU"/>
        </w:rPr>
        <w:t>) в нескольких разделах подчеркивается необходимость активизировать участие развивающихся стран</w:t>
      </w:r>
      <w:r w:rsidRPr="0087022F">
        <w:rPr>
          <w:lang w:val="ru-RU"/>
        </w:rPr>
        <w:t xml:space="preserve">, в частности в пункте а) раздела </w:t>
      </w:r>
      <w:r w:rsidRPr="0087022F">
        <w:rPr>
          <w:i/>
          <w:lang w:val="ru-RU"/>
        </w:rPr>
        <w:t>учитывая</w:t>
      </w:r>
      <w:r w:rsidRPr="0087022F">
        <w:rPr>
          <w:lang w:val="ru-RU"/>
        </w:rPr>
        <w:t xml:space="preserve"> "(...) содействие распространению преимуществ новых технологий в области электросвязи среди всех жителей планеты (...)" и в пункте d) раздела </w:t>
      </w:r>
      <w:r w:rsidRPr="0087022F">
        <w:rPr>
          <w:i/>
          <w:lang w:val="ru-RU"/>
        </w:rPr>
        <w:t xml:space="preserve">учитывая </w:t>
      </w:r>
      <w:r w:rsidRPr="0087022F">
        <w:rPr>
          <w:iCs/>
          <w:lang w:val="ru-RU"/>
        </w:rPr>
        <w:t>"</w:t>
      </w:r>
      <w:r w:rsidRPr="0087022F">
        <w:rPr>
          <w:lang w:val="ru-RU"/>
        </w:rPr>
        <w:t>(...) возможностях применения этих достижений на благо всех Государств-Членов и Членов Секторов, в особенности развивающихся стран".</w:t>
      </w:r>
    </w:p>
    <w:p w:rsidR="00177C23" w:rsidRPr="0087022F" w:rsidRDefault="00177C23" w:rsidP="00321398">
      <w:pPr>
        <w:rPr>
          <w:lang w:val="ru-RU"/>
        </w:rPr>
      </w:pPr>
      <w:r w:rsidRPr="0087022F">
        <w:rPr>
          <w:lang w:val="ru-RU"/>
        </w:rPr>
        <w:t>67</w:t>
      </w:r>
      <w:r w:rsidRPr="0087022F">
        <w:rPr>
          <w:lang w:val="ru-RU"/>
        </w:rPr>
        <w:tab/>
        <w:t xml:space="preserve">Кроме того, в пункте 3 раздела </w:t>
      </w:r>
      <w:r w:rsidRPr="0087022F">
        <w:rPr>
          <w:i/>
          <w:lang w:val="ru-RU"/>
        </w:rPr>
        <w:t xml:space="preserve">поручает Генеральному секретарю </w:t>
      </w:r>
      <w:r w:rsidRPr="0087022F">
        <w:rPr>
          <w:iCs/>
          <w:lang w:val="ru-RU"/>
        </w:rPr>
        <w:t xml:space="preserve">Резолюции 11 </w:t>
      </w:r>
      <w:r w:rsidRPr="0087022F">
        <w:rPr>
          <w:lang w:val="ru-RU"/>
        </w:rPr>
        <w:t>содержится поручение "</w:t>
      </w:r>
      <w:r w:rsidR="00A46BDF" w:rsidRPr="0087022F">
        <w:rPr>
          <w:lang w:val="ru-RU"/>
        </w:rPr>
        <w:t xml:space="preserve">[Генеральному секретарю] </w:t>
      </w:r>
      <w:r w:rsidRPr="0087022F">
        <w:rPr>
          <w:lang w:val="ru-RU"/>
        </w:rPr>
        <w:t>рассмотреть меры, которые позволят Государствам-Членам, в частности развивающимся странам, имеющим возможности и желание, принимать у себя и проводить мероприятия ITU </w:t>
      </w:r>
      <w:proofErr w:type="spellStart"/>
      <w:r w:rsidRPr="0087022F">
        <w:rPr>
          <w:rFonts w:eastAsia="SimSun"/>
          <w:lang w:val="ru-RU"/>
        </w:rPr>
        <w:t>Telecom</w:t>
      </w:r>
      <w:proofErr w:type="spellEnd"/>
      <w:r w:rsidRPr="0087022F">
        <w:rPr>
          <w:lang w:val="ru-RU"/>
        </w:rPr>
        <w:t>, и будут им в этом содействовать".</w:t>
      </w:r>
    </w:p>
    <w:p w:rsidR="00177C23" w:rsidRPr="0087022F" w:rsidRDefault="00177C23" w:rsidP="00321398">
      <w:pPr>
        <w:rPr>
          <w:lang w:val="ru-RU"/>
        </w:rPr>
      </w:pPr>
      <w:r w:rsidRPr="0087022F">
        <w:rPr>
          <w:lang w:val="ru-RU"/>
        </w:rPr>
        <w:lastRenderedPageBreak/>
        <w:t>68</w:t>
      </w:r>
      <w:r w:rsidRPr="0087022F">
        <w:rPr>
          <w:lang w:val="ru-RU"/>
        </w:rPr>
        <w:tab/>
        <w:t xml:space="preserve">Руководство </w:t>
      </w:r>
      <w:r w:rsidR="00A46BDF" w:rsidRPr="0087022F">
        <w:rPr>
          <w:lang w:val="ru-RU"/>
        </w:rPr>
        <w:t>четко уведомило</w:t>
      </w:r>
      <w:r w:rsidRPr="0087022F">
        <w:rPr>
          <w:lang w:val="ru-RU"/>
        </w:rPr>
        <w:t xml:space="preserve">, что принимается ряд мер для достижения поставленных в вышеупомянутой Резолюции 11 задач, такие как </w:t>
      </w:r>
      <w:r w:rsidR="004C138C" w:rsidRPr="0087022F">
        <w:rPr>
          <w:lang w:val="ru-RU"/>
        </w:rPr>
        <w:t>а) </w:t>
      </w:r>
      <w:r w:rsidRPr="0087022F">
        <w:rPr>
          <w:lang w:val="ru-RU"/>
        </w:rPr>
        <w:t xml:space="preserve">программа стипендий, </w:t>
      </w:r>
      <w:r w:rsidR="004C138C" w:rsidRPr="0087022F">
        <w:rPr>
          <w:lang w:val="ru-RU"/>
        </w:rPr>
        <w:t>b) </w:t>
      </w:r>
      <w:r w:rsidRPr="0087022F">
        <w:rPr>
          <w:lang w:val="ru-RU"/>
        </w:rPr>
        <w:t xml:space="preserve">скидки, </w:t>
      </w:r>
      <w:r w:rsidR="004C138C" w:rsidRPr="0087022F">
        <w:rPr>
          <w:lang w:val="ru-RU"/>
        </w:rPr>
        <w:t>с) </w:t>
      </w:r>
      <w:r w:rsidRPr="0087022F">
        <w:rPr>
          <w:lang w:val="ru-RU"/>
        </w:rPr>
        <w:t>помощь в</w:t>
      </w:r>
      <w:r w:rsidR="00321398" w:rsidRPr="0087022F">
        <w:rPr>
          <w:lang w:val="ru-RU"/>
        </w:rPr>
        <w:t> </w:t>
      </w:r>
      <w:r w:rsidRPr="0087022F">
        <w:rPr>
          <w:lang w:val="ru-RU"/>
        </w:rPr>
        <w:t xml:space="preserve">построении национальных павильонов, </w:t>
      </w:r>
      <w:r w:rsidR="004C138C" w:rsidRPr="0087022F">
        <w:rPr>
          <w:lang w:val="ru-RU"/>
        </w:rPr>
        <w:t>d) </w:t>
      </w:r>
      <w:r w:rsidRPr="0087022F">
        <w:rPr>
          <w:lang w:val="ru-RU"/>
        </w:rPr>
        <w:t>организация собраний по установлению связей и т. п.</w:t>
      </w:r>
    </w:p>
    <w:p w:rsidR="004C138C" w:rsidRPr="0087022F" w:rsidRDefault="004C138C" w:rsidP="00321398">
      <w:pPr>
        <w:rPr>
          <w:lang w:val="ru-RU"/>
        </w:rPr>
      </w:pPr>
      <w:r w:rsidRPr="0087022F">
        <w:rPr>
          <w:lang w:val="ru-RU"/>
        </w:rPr>
        <w:t>69</w:t>
      </w:r>
      <w:r w:rsidRPr="0087022F">
        <w:rPr>
          <w:lang w:val="ru-RU"/>
        </w:rPr>
        <w:tab/>
      </w:r>
      <w:r w:rsidR="00BB5EC4" w:rsidRPr="0087022F">
        <w:rPr>
          <w:lang w:val="ru-RU"/>
        </w:rPr>
        <w:t>Что касается нашего предыдущего предложения </w:t>
      </w:r>
      <w:r w:rsidRPr="0087022F">
        <w:rPr>
          <w:lang w:val="ru-RU"/>
        </w:rPr>
        <w:t xml:space="preserve">8, </w:t>
      </w:r>
      <w:r w:rsidR="00BB5EC4" w:rsidRPr="0087022F">
        <w:rPr>
          <w:lang w:val="ru-RU"/>
        </w:rPr>
        <w:t>то мы убедились, что</w:t>
      </w:r>
      <w:r w:rsidR="005C519C" w:rsidRPr="0087022F">
        <w:rPr>
          <w:lang w:val="ru-RU"/>
        </w:rPr>
        <w:t xml:space="preserve"> в бюджете предусмотрена сумма для</w:t>
      </w:r>
      <w:r w:rsidR="00BB5EC4" w:rsidRPr="0087022F">
        <w:rPr>
          <w:lang w:val="ru-RU"/>
        </w:rPr>
        <w:t xml:space="preserve"> программ</w:t>
      </w:r>
      <w:r w:rsidR="005C519C" w:rsidRPr="0087022F">
        <w:rPr>
          <w:lang w:val="ru-RU"/>
        </w:rPr>
        <w:t>ы</w:t>
      </w:r>
      <w:r w:rsidR="00BB5EC4" w:rsidRPr="0087022F">
        <w:rPr>
          <w:lang w:val="ru-RU"/>
        </w:rPr>
        <w:t xml:space="preserve"> стипендий для наименее развитых стран и стран </w:t>
      </w:r>
      <w:r w:rsidR="005C519C" w:rsidRPr="0087022F">
        <w:rPr>
          <w:lang w:val="ru-RU"/>
        </w:rPr>
        <w:t>с низким уровнем доходов</w:t>
      </w:r>
      <w:r w:rsidR="00BB5EC4" w:rsidRPr="0087022F">
        <w:rPr>
          <w:lang w:val="ru-RU"/>
        </w:rPr>
        <w:t xml:space="preserve"> </w:t>
      </w:r>
      <w:r w:rsidR="005C519C" w:rsidRPr="0087022F">
        <w:rPr>
          <w:lang w:val="ru-RU"/>
        </w:rPr>
        <w:t>в размере</w:t>
      </w:r>
      <w:r w:rsidRPr="0087022F">
        <w:rPr>
          <w:lang w:val="ru-RU"/>
        </w:rPr>
        <w:t xml:space="preserve"> 100</w:t>
      </w:r>
      <w:r w:rsidR="005C519C" w:rsidRPr="0087022F">
        <w:rPr>
          <w:lang w:val="ru-RU"/>
        </w:rPr>
        <w:t> тыс. швейцарских франков, однако потрачено было только</w:t>
      </w:r>
      <w:r w:rsidRPr="0087022F">
        <w:rPr>
          <w:lang w:val="ru-RU"/>
        </w:rPr>
        <w:t xml:space="preserve"> 76%. </w:t>
      </w:r>
      <w:r w:rsidR="005C519C" w:rsidRPr="0087022F">
        <w:rPr>
          <w:lang w:val="ru-RU"/>
        </w:rPr>
        <w:t>Приветствуя любую экономию затрат, мы, тем не менее, должны учитывать, что в некоторых случаях более полные расходы скорее всего отражают соответствие вышеупомянутым принципам и</w:t>
      </w:r>
      <w:r w:rsidR="00321398" w:rsidRPr="0087022F">
        <w:rPr>
          <w:lang w:val="ru-RU"/>
        </w:rPr>
        <w:t> </w:t>
      </w:r>
      <w:r w:rsidR="005C519C" w:rsidRPr="0087022F">
        <w:rPr>
          <w:lang w:val="ru-RU"/>
        </w:rPr>
        <w:t>правилам</w:t>
      </w:r>
      <w:r w:rsidRPr="0087022F">
        <w:rPr>
          <w:lang w:val="ru-RU"/>
        </w:rPr>
        <w:t xml:space="preserve">. </w:t>
      </w:r>
    </w:p>
    <w:p w:rsidR="004C138C" w:rsidRPr="0087022F" w:rsidRDefault="004C138C" w:rsidP="00321398">
      <w:pPr>
        <w:spacing w:after="120"/>
        <w:rPr>
          <w:lang w:val="ru-RU"/>
        </w:rPr>
      </w:pPr>
      <w:r w:rsidRPr="0087022F">
        <w:rPr>
          <w:lang w:val="ru-RU"/>
        </w:rPr>
        <w:t>70</w:t>
      </w:r>
      <w:r w:rsidRPr="0087022F">
        <w:rPr>
          <w:lang w:val="ru-RU"/>
        </w:rPr>
        <w:tab/>
      </w:r>
      <w:r w:rsidR="00961A2E" w:rsidRPr="0087022F">
        <w:rPr>
          <w:lang w:val="ru-RU"/>
        </w:rPr>
        <w:t xml:space="preserve">Мы отметили, что на мероприятии </w:t>
      </w:r>
      <w:r w:rsidRPr="0087022F">
        <w:rPr>
          <w:lang w:val="ru-RU"/>
        </w:rPr>
        <w:t>2014</w:t>
      </w:r>
      <w:r w:rsidR="00961A2E" w:rsidRPr="0087022F">
        <w:rPr>
          <w:lang w:val="ru-RU"/>
        </w:rPr>
        <w:t> года</w:t>
      </w:r>
      <w:r w:rsidRPr="0087022F">
        <w:rPr>
          <w:lang w:val="ru-RU"/>
        </w:rPr>
        <w:t xml:space="preserve"> (</w:t>
      </w:r>
      <w:r w:rsidR="00961A2E" w:rsidRPr="0087022F">
        <w:rPr>
          <w:lang w:val="ru-RU"/>
        </w:rPr>
        <w:t xml:space="preserve">и аналогичным образом на предыдущих всемирных мероприятиях </w:t>
      </w:r>
      <w:proofErr w:type="spellStart"/>
      <w:r w:rsidRPr="0087022F">
        <w:rPr>
          <w:lang w:val="ru-RU"/>
        </w:rPr>
        <w:t>Telecom</w:t>
      </w:r>
      <w:proofErr w:type="spellEnd"/>
      <w:r w:rsidRPr="0087022F">
        <w:rPr>
          <w:lang w:val="ru-RU"/>
        </w:rPr>
        <w:t>)</w:t>
      </w:r>
      <w:r w:rsidR="00961A2E" w:rsidRPr="0087022F">
        <w:rPr>
          <w:lang w:val="ru-RU"/>
        </w:rPr>
        <w:t xml:space="preserve"> выданные</w:t>
      </w:r>
      <w:r w:rsidRPr="0087022F">
        <w:rPr>
          <w:lang w:val="ru-RU"/>
        </w:rPr>
        <w:t xml:space="preserve"> </w:t>
      </w:r>
      <w:r w:rsidR="00961A2E" w:rsidRPr="0087022F">
        <w:rPr>
          <w:lang w:val="ru-RU"/>
        </w:rPr>
        <w:t>награды молодым новаторам составили менее половины предусмотренной в бюджете суммы</w:t>
      </w:r>
      <w:r w:rsidRPr="0087022F">
        <w:rPr>
          <w:lang w:val="ru-RU"/>
        </w:rPr>
        <w:t xml:space="preserve"> (</w:t>
      </w:r>
      <w:r w:rsidR="00961A2E" w:rsidRPr="0087022F">
        <w:rPr>
          <w:lang w:val="ru-RU"/>
        </w:rPr>
        <w:t xml:space="preserve">в бюджете предусмотрено </w:t>
      </w:r>
      <w:r w:rsidRPr="0087022F">
        <w:rPr>
          <w:lang w:val="ru-RU"/>
        </w:rPr>
        <w:t>80</w:t>
      </w:r>
      <w:r w:rsidR="00961A2E" w:rsidRPr="0087022F">
        <w:rPr>
          <w:lang w:val="ru-RU"/>
        </w:rPr>
        <w:t> </w:t>
      </w:r>
      <w:r w:rsidRPr="0087022F">
        <w:rPr>
          <w:lang w:val="ru-RU"/>
        </w:rPr>
        <w:t>000</w:t>
      </w:r>
      <w:r w:rsidR="00961A2E" w:rsidRPr="0087022F">
        <w:rPr>
          <w:lang w:val="ru-RU"/>
        </w:rPr>
        <w:t xml:space="preserve"> швейцарских франков, фактические расходы составили </w:t>
      </w:r>
      <w:r w:rsidRPr="0087022F">
        <w:rPr>
          <w:lang w:val="ru-RU"/>
        </w:rPr>
        <w:t>35</w:t>
      </w:r>
      <w:r w:rsidR="00961A2E" w:rsidRPr="0087022F">
        <w:rPr>
          <w:lang w:val="ru-RU"/>
        </w:rPr>
        <w:t> </w:t>
      </w:r>
      <w:r w:rsidRPr="0087022F">
        <w:rPr>
          <w:lang w:val="ru-RU"/>
        </w:rPr>
        <w:t>397</w:t>
      </w:r>
      <w:r w:rsidR="00961A2E" w:rsidRPr="0087022F">
        <w:rPr>
          <w:lang w:val="ru-RU"/>
        </w:rPr>
        <w:t> швейцарских франков</w:t>
      </w:r>
      <w:r w:rsidRPr="0087022F">
        <w:rPr>
          <w:lang w:val="ru-RU"/>
        </w:rPr>
        <w:t>).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21398" w:rsidRPr="004249CF" w:rsidTr="00B82F9B">
        <w:tc>
          <w:tcPr>
            <w:tcW w:w="9781" w:type="dxa"/>
          </w:tcPr>
          <w:p w:rsidR="00321398" w:rsidRPr="0087022F" w:rsidRDefault="00321398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Предложение 6</w:t>
            </w:r>
          </w:p>
          <w:p w:rsidR="00321398" w:rsidRPr="0087022F" w:rsidRDefault="00321398" w:rsidP="00321398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71</w:t>
            </w:r>
            <w:r w:rsidRPr="0087022F">
              <w:rPr>
                <w:lang w:val="ru-RU"/>
              </w:rPr>
              <w:tab/>
              <w:t xml:space="preserve">Мы 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 провести анализ того, какие бюджетные строки, относящиеся к расходам, имеют стратегический характер, и, далее, после решения этого вопроса, оценить, уместна ли экономия, связанная с этими стратегиями.</w:t>
            </w:r>
          </w:p>
        </w:tc>
      </w:tr>
    </w:tbl>
    <w:p w:rsidR="00321398" w:rsidRPr="0087022F" w:rsidRDefault="00321398" w:rsidP="00321398">
      <w:pPr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21398" w:rsidRPr="004249CF" w:rsidTr="00B82F9B">
        <w:tc>
          <w:tcPr>
            <w:tcW w:w="9781" w:type="dxa"/>
          </w:tcPr>
          <w:p w:rsidR="00321398" w:rsidRPr="0087022F" w:rsidRDefault="00321398" w:rsidP="00B82F9B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321398" w:rsidRPr="0087022F" w:rsidRDefault="00321398" w:rsidP="00B82F9B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Фактические расходы, понесенные по линии предоставления стипендий, включая награды молодым новаторам, напрямую связаны с числом заявок, отвечающих определенным критериям. Однако МСЭ проведет анализ любых возможных вариантов экономии по этим и другим бюджетным статьям, которые могут рассматриваться как стратегические расходы, и тщательно оценит влияние на успешное поведение мероприятия.</w:t>
            </w:r>
          </w:p>
        </w:tc>
      </w:tr>
    </w:tbl>
    <w:p w:rsidR="00CF2A0E" w:rsidRPr="0087022F" w:rsidRDefault="0097747C" w:rsidP="00A627A9">
      <w:pPr>
        <w:pStyle w:val="Heading2"/>
        <w:rPr>
          <w:lang w:val="ru-RU"/>
        </w:rPr>
      </w:pPr>
      <w:bookmarkStart w:id="83" w:name="_Toc396899734"/>
      <w:bookmarkStart w:id="84" w:name="_Toc399768449"/>
      <w:bookmarkStart w:id="85" w:name="_Toc419393871"/>
      <w:r w:rsidRPr="0087022F">
        <w:rPr>
          <w:lang w:val="ru-RU"/>
        </w:rPr>
        <w:t xml:space="preserve">Ключевые показатели деятельности </w:t>
      </w:r>
      <w:bookmarkEnd w:id="83"/>
      <w:r w:rsidRPr="0087022F">
        <w:rPr>
          <w:lang w:val="ru-RU"/>
        </w:rPr>
        <w:t>и опрос после мероприятия</w:t>
      </w:r>
      <w:bookmarkEnd w:id="84"/>
      <w:bookmarkEnd w:id="85"/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72</w:t>
      </w:r>
      <w:r w:rsidRPr="0087022F">
        <w:rPr>
          <w:lang w:val="ru-RU"/>
        </w:rPr>
        <w:tab/>
      </w:r>
      <w:r w:rsidR="002B66CD" w:rsidRPr="0087022F">
        <w:rPr>
          <w:lang w:val="ru-RU"/>
        </w:rPr>
        <w:t>Результаты анализа ключевых показателей деятельности (KPI) направлены, как правило, на</w:t>
      </w:r>
      <w:r w:rsidR="00321398" w:rsidRPr="0087022F">
        <w:rPr>
          <w:lang w:val="ru-RU"/>
        </w:rPr>
        <w:t> </w:t>
      </w:r>
      <w:r w:rsidR="002B66CD" w:rsidRPr="0087022F">
        <w:rPr>
          <w:lang w:val="ru-RU"/>
        </w:rPr>
        <w:t>то, чтобы помочь руководству в принятии им стратегических решений, и также могут быть отчасти полезными для подкрепления некоторых полученных нами свидетельств.</w:t>
      </w:r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73</w:t>
      </w:r>
      <w:r w:rsidRPr="0087022F">
        <w:rPr>
          <w:lang w:val="ru-RU"/>
        </w:rPr>
        <w:tab/>
      </w:r>
      <w:r w:rsidR="002B66CD" w:rsidRPr="0087022F">
        <w:rPr>
          <w:lang w:val="ru-RU"/>
        </w:rPr>
        <w:t>Первоначально на цели опроса в бюджете была предусмотрена сумма в</w:t>
      </w:r>
      <w:r w:rsidR="00321398" w:rsidRPr="0087022F">
        <w:rPr>
          <w:lang w:val="ru-RU"/>
        </w:rPr>
        <w:t> </w:t>
      </w:r>
      <w:r w:rsidR="00CF2A0E" w:rsidRPr="0087022F">
        <w:rPr>
          <w:lang w:val="ru-RU"/>
        </w:rPr>
        <w:t>10</w:t>
      </w:r>
      <w:r w:rsidR="002B66CD" w:rsidRPr="0087022F">
        <w:rPr>
          <w:lang w:val="ru-RU"/>
        </w:rPr>
        <w:t> тыс.</w:t>
      </w:r>
      <w:r w:rsidR="00321398" w:rsidRPr="0087022F">
        <w:rPr>
          <w:lang w:val="ru-RU"/>
        </w:rPr>
        <w:t> </w:t>
      </w:r>
      <w:r w:rsidR="002B66CD" w:rsidRPr="0087022F">
        <w:rPr>
          <w:lang w:val="ru-RU"/>
        </w:rPr>
        <w:t>швейцарских франков, но в соответствии с нашим общим указанием о выполнении работы по</w:t>
      </w:r>
      <w:r w:rsidR="00321398" w:rsidRPr="0087022F">
        <w:rPr>
          <w:lang w:val="ru-RU"/>
        </w:rPr>
        <w:t> </w:t>
      </w:r>
      <w:r w:rsidR="002B66CD" w:rsidRPr="0087022F">
        <w:rPr>
          <w:lang w:val="ru-RU"/>
        </w:rPr>
        <w:t>возможности с</w:t>
      </w:r>
      <w:r w:rsidR="00321398" w:rsidRPr="0087022F">
        <w:rPr>
          <w:lang w:val="ru-RU"/>
        </w:rPr>
        <w:t> </w:t>
      </w:r>
      <w:r w:rsidR="002B66CD" w:rsidRPr="0087022F">
        <w:rPr>
          <w:lang w:val="ru-RU"/>
        </w:rPr>
        <w:t>помощью внутренних ресурсов</w:t>
      </w:r>
      <w:r w:rsidR="007F31F7" w:rsidRPr="0087022F">
        <w:rPr>
          <w:lang w:val="ru-RU"/>
        </w:rPr>
        <w:t xml:space="preserve"> внешние услуги не приобретались</w:t>
      </w:r>
      <w:r w:rsidR="00CF2A0E" w:rsidRPr="0087022F">
        <w:rPr>
          <w:lang w:val="ru-RU"/>
        </w:rPr>
        <w:t>.</w:t>
      </w:r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74</w:t>
      </w:r>
      <w:r w:rsidRPr="0087022F">
        <w:rPr>
          <w:lang w:val="ru-RU"/>
        </w:rPr>
        <w:tab/>
      </w:r>
      <w:r w:rsidR="007F31F7" w:rsidRPr="0087022F">
        <w:rPr>
          <w:lang w:val="ru-RU"/>
        </w:rPr>
        <w:t>Кроме того, 17 декабря 2014 года был начат "Онлайновый опрос после мероприятия" по</w:t>
      </w:r>
      <w:r w:rsidR="00321398" w:rsidRPr="0087022F">
        <w:rPr>
          <w:lang w:val="ru-RU"/>
        </w:rPr>
        <w:t> </w:t>
      </w:r>
      <w:r w:rsidR="007F31F7" w:rsidRPr="0087022F">
        <w:rPr>
          <w:lang w:val="ru-RU"/>
        </w:rPr>
        <w:t>некоторым аспектам Всемирного мероприятия ITU Telecom-2014, проводившийся с</w:t>
      </w:r>
      <w:r w:rsidR="00321398" w:rsidRPr="0087022F">
        <w:rPr>
          <w:lang w:val="ru-RU"/>
        </w:rPr>
        <w:t> </w:t>
      </w:r>
      <w:r w:rsidR="007F31F7" w:rsidRPr="0087022F">
        <w:rPr>
          <w:lang w:val="ru-RU"/>
        </w:rPr>
        <w:t>использованием специализированного программного обеспечения. После направления трех напоминаний не ответившим на вопросы опрос был завершен</w:t>
      </w:r>
      <w:r w:rsidR="00CF2A0E" w:rsidRPr="0087022F">
        <w:rPr>
          <w:lang w:val="ru-RU"/>
        </w:rPr>
        <w:t xml:space="preserve"> 2</w:t>
      </w:r>
      <w:r w:rsidR="007F31F7" w:rsidRPr="0087022F">
        <w:rPr>
          <w:lang w:val="ru-RU"/>
        </w:rPr>
        <w:t> января</w:t>
      </w:r>
      <w:r w:rsidR="00CF2A0E" w:rsidRPr="0087022F">
        <w:rPr>
          <w:lang w:val="ru-RU"/>
        </w:rPr>
        <w:t xml:space="preserve"> 2015</w:t>
      </w:r>
      <w:r w:rsidR="007F31F7" w:rsidRPr="0087022F">
        <w:rPr>
          <w:lang w:val="ru-RU"/>
        </w:rPr>
        <w:t> года</w:t>
      </w:r>
      <w:r w:rsidR="00CF2A0E" w:rsidRPr="0087022F">
        <w:rPr>
          <w:lang w:val="ru-RU"/>
        </w:rPr>
        <w:t>.</w:t>
      </w:r>
    </w:p>
    <w:p w:rsidR="00CF2A0E" w:rsidRPr="0087022F" w:rsidRDefault="008F09C5" w:rsidP="008503D8">
      <w:pPr>
        <w:pStyle w:val="Heading2"/>
        <w:rPr>
          <w:lang w:val="ru-RU"/>
        </w:rPr>
      </w:pPr>
      <w:bookmarkStart w:id="86" w:name="_Toc419393872"/>
      <w:r w:rsidRPr="0087022F">
        <w:rPr>
          <w:lang w:val="ru-RU"/>
        </w:rPr>
        <w:t>Розыгрыш призов</w:t>
      </w:r>
      <w:bookmarkEnd w:id="86"/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75</w:t>
      </w:r>
      <w:r w:rsidRPr="0087022F">
        <w:rPr>
          <w:lang w:val="ru-RU"/>
        </w:rPr>
        <w:tab/>
      </w:r>
      <w:r w:rsidR="008F09C5" w:rsidRPr="0087022F">
        <w:rPr>
          <w:lang w:val="ru-RU"/>
        </w:rPr>
        <w:t xml:space="preserve">Было получено только </w:t>
      </w:r>
      <w:r w:rsidR="00CF2A0E" w:rsidRPr="0087022F">
        <w:rPr>
          <w:lang w:val="ru-RU"/>
        </w:rPr>
        <w:t xml:space="preserve">8% </w:t>
      </w:r>
      <w:r w:rsidR="008F09C5" w:rsidRPr="0087022F">
        <w:rPr>
          <w:lang w:val="ru-RU"/>
        </w:rPr>
        <w:t xml:space="preserve">ответов, несмотря на стимул в виде "розыгрыша призов", предусмотренного ответившим до </w:t>
      </w:r>
      <w:r w:rsidR="00CF2A0E" w:rsidRPr="0087022F">
        <w:rPr>
          <w:lang w:val="ru-RU"/>
        </w:rPr>
        <w:t>31</w:t>
      </w:r>
      <w:r w:rsidR="008F09C5" w:rsidRPr="0087022F">
        <w:rPr>
          <w:lang w:val="ru-RU"/>
        </w:rPr>
        <w:t xml:space="preserve"> декабря </w:t>
      </w:r>
      <w:r w:rsidR="00CF2A0E" w:rsidRPr="0087022F">
        <w:rPr>
          <w:lang w:val="ru-RU"/>
        </w:rPr>
        <w:t>2014</w:t>
      </w:r>
      <w:r w:rsidR="008F09C5" w:rsidRPr="0087022F">
        <w:rPr>
          <w:lang w:val="ru-RU"/>
        </w:rPr>
        <w:t> года</w:t>
      </w:r>
      <w:r w:rsidR="00CF2A0E" w:rsidRPr="0087022F">
        <w:rPr>
          <w:lang w:val="ru-RU"/>
        </w:rPr>
        <w:t xml:space="preserve">. </w:t>
      </w:r>
      <w:r w:rsidR="008F09C5" w:rsidRPr="0087022F">
        <w:rPr>
          <w:lang w:val="ru-RU"/>
        </w:rPr>
        <w:t>Мы получили сведение о том, что</w:t>
      </w:r>
      <w:r w:rsidR="00321398" w:rsidRPr="0087022F">
        <w:rPr>
          <w:lang w:val="ru-RU"/>
        </w:rPr>
        <w:t> </w:t>
      </w:r>
      <w:r w:rsidR="008F09C5" w:rsidRPr="0087022F">
        <w:rPr>
          <w:lang w:val="ru-RU"/>
        </w:rPr>
        <w:t xml:space="preserve">проводилась лотерея и что </w:t>
      </w:r>
      <w:r w:rsidR="00CF2A0E" w:rsidRPr="0087022F">
        <w:rPr>
          <w:lang w:val="ru-RU"/>
        </w:rPr>
        <w:t>10</w:t>
      </w:r>
      <w:r w:rsidR="008F09C5" w:rsidRPr="0087022F">
        <w:rPr>
          <w:lang w:val="ru-RU"/>
        </w:rPr>
        <w:t> пар часов были направлены победителям розыгрыша в разные страны мира</w:t>
      </w:r>
      <w:r w:rsidR="00CF2A0E" w:rsidRPr="0087022F">
        <w:rPr>
          <w:lang w:val="ru-RU"/>
        </w:rPr>
        <w:t>.</w:t>
      </w:r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76</w:t>
      </w:r>
      <w:r w:rsidRPr="0087022F">
        <w:rPr>
          <w:lang w:val="ru-RU"/>
        </w:rPr>
        <w:tab/>
      </w:r>
      <w:r w:rsidR="008F09C5" w:rsidRPr="0087022F">
        <w:rPr>
          <w:lang w:val="ru-RU"/>
        </w:rPr>
        <w:t xml:space="preserve">Стоимость пересылки призов (часов) отражена в счетах финансовой отчетности Всемирного мероприятия ITU Telecom-2014 </w:t>
      </w:r>
      <w:r w:rsidR="002569E8" w:rsidRPr="0087022F">
        <w:rPr>
          <w:lang w:val="ru-RU"/>
        </w:rPr>
        <w:t>в бюджетной строке "Почтовые расходы и стоимость перевозки" в</w:t>
      </w:r>
      <w:r w:rsidR="00321398" w:rsidRPr="0087022F">
        <w:rPr>
          <w:lang w:val="ru-RU"/>
        </w:rPr>
        <w:t> </w:t>
      </w:r>
      <w:r w:rsidR="002569E8" w:rsidRPr="0087022F">
        <w:rPr>
          <w:lang w:val="ru-RU"/>
        </w:rPr>
        <w:t>разделе "Коммуникации и маркетинг"</w:t>
      </w:r>
      <w:r w:rsidR="00CF2A0E" w:rsidRPr="0087022F">
        <w:rPr>
          <w:lang w:val="ru-RU"/>
        </w:rPr>
        <w:t xml:space="preserve">. </w:t>
      </w:r>
      <w:r w:rsidR="002569E8" w:rsidRPr="0087022F">
        <w:rPr>
          <w:lang w:val="ru-RU"/>
        </w:rPr>
        <w:t>Однако по одному счету</w:t>
      </w:r>
      <w:r w:rsidR="00117CBE" w:rsidRPr="0087022F">
        <w:rPr>
          <w:lang w:val="ru-RU"/>
        </w:rPr>
        <w:t>-фактуре</w:t>
      </w:r>
      <w:r w:rsidR="002569E8" w:rsidRPr="0087022F">
        <w:rPr>
          <w:lang w:val="ru-RU"/>
        </w:rPr>
        <w:t>, поступив</w:t>
      </w:r>
      <w:r w:rsidR="006D0C65" w:rsidRPr="0087022F">
        <w:rPr>
          <w:lang w:val="ru-RU"/>
        </w:rPr>
        <w:t>шему в феврале 2015 года, должна быть раскрыта</w:t>
      </w:r>
      <w:r w:rsidR="000F1A10" w:rsidRPr="0087022F">
        <w:rPr>
          <w:lang w:val="ru-RU"/>
        </w:rPr>
        <w:t xml:space="preserve"> информация о</w:t>
      </w:r>
      <w:r w:rsidR="002569E8" w:rsidRPr="0087022F">
        <w:rPr>
          <w:lang w:val="ru-RU"/>
        </w:rPr>
        <w:t xml:space="preserve"> начисления</w:t>
      </w:r>
      <w:r w:rsidR="000F1A10" w:rsidRPr="0087022F">
        <w:rPr>
          <w:lang w:val="ru-RU"/>
        </w:rPr>
        <w:t>х</w:t>
      </w:r>
      <w:r w:rsidR="002569E8" w:rsidRPr="0087022F">
        <w:rPr>
          <w:lang w:val="ru-RU"/>
        </w:rPr>
        <w:t xml:space="preserve"> </w:t>
      </w:r>
      <w:r w:rsidR="000F1A10" w:rsidRPr="0087022F">
        <w:rPr>
          <w:lang w:val="ru-RU"/>
        </w:rPr>
        <w:t>для</w:t>
      </w:r>
      <w:r w:rsidR="00506231" w:rsidRPr="0087022F">
        <w:rPr>
          <w:lang w:val="ru-RU"/>
        </w:rPr>
        <w:t xml:space="preserve"> мероприяти</w:t>
      </w:r>
      <w:r w:rsidR="000F1A10" w:rsidRPr="0087022F">
        <w:rPr>
          <w:lang w:val="ru-RU"/>
        </w:rPr>
        <w:t>я</w:t>
      </w:r>
      <w:r w:rsidR="00506231" w:rsidRPr="0087022F">
        <w:rPr>
          <w:lang w:val="ru-RU"/>
        </w:rPr>
        <w:t xml:space="preserve"> </w:t>
      </w:r>
      <w:r w:rsidR="00CF2A0E" w:rsidRPr="0087022F">
        <w:rPr>
          <w:lang w:val="ru-RU"/>
        </w:rPr>
        <w:t>2014</w:t>
      </w:r>
      <w:r w:rsidR="00506231" w:rsidRPr="0087022F">
        <w:rPr>
          <w:lang w:val="ru-RU"/>
        </w:rPr>
        <w:t> года</w:t>
      </w:r>
      <w:r w:rsidR="00CF2A0E" w:rsidRPr="0087022F">
        <w:rPr>
          <w:lang w:val="ru-RU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21398" w:rsidRPr="004249CF" w:rsidTr="00B82F9B">
        <w:tc>
          <w:tcPr>
            <w:tcW w:w="9781" w:type="dxa"/>
          </w:tcPr>
          <w:p w:rsidR="00321398" w:rsidRPr="0087022F" w:rsidRDefault="00321398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lastRenderedPageBreak/>
              <w:t>Предложение 7</w:t>
            </w:r>
          </w:p>
          <w:p w:rsidR="00321398" w:rsidRPr="0087022F" w:rsidRDefault="00321398" w:rsidP="00B82F9B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77</w:t>
            </w:r>
            <w:r w:rsidRPr="0087022F">
              <w:rPr>
                <w:lang w:val="ru-RU"/>
              </w:rPr>
              <w:tab/>
              <w:t xml:space="preserve">Мы 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 в будущем распределять бюджетные начисления, если прогнозируются существенные расходы, связанные с вручением призов.</w:t>
            </w:r>
          </w:p>
        </w:tc>
      </w:tr>
    </w:tbl>
    <w:p w:rsidR="00321398" w:rsidRPr="0087022F" w:rsidRDefault="00321398" w:rsidP="00321398">
      <w:pPr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21398" w:rsidRPr="004249CF" w:rsidTr="00B82F9B">
        <w:tc>
          <w:tcPr>
            <w:tcW w:w="9781" w:type="dxa"/>
          </w:tcPr>
          <w:p w:rsidR="00321398" w:rsidRPr="0087022F" w:rsidRDefault="00321398" w:rsidP="00B82F9B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321398" w:rsidRPr="0087022F" w:rsidRDefault="00321398" w:rsidP="00B82F9B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 xml:space="preserve">Будут предусматриваться бюджетные ассигнования для розыгрыша призов, если прогнозируются существенные расходы. Бюджет мероприятия включает почтовые расходы и стоимость перевозки, однако ITU </w:t>
            </w:r>
            <w:proofErr w:type="spellStart"/>
            <w:r w:rsidRPr="0087022F">
              <w:rPr>
                <w:lang w:val="ru-RU"/>
              </w:rPr>
              <w:t>Telecom</w:t>
            </w:r>
            <w:proofErr w:type="spellEnd"/>
            <w:r w:rsidRPr="0087022F">
              <w:rPr>
                <w:lang w:val="ru-RU"/>
              </w:rPr>
              <w:t xml:space="preserve"> будет надлежащим образом информировать FRMD, в случае если ожидаются дополнительные счета-фактуры после закрытия счетов, с тем чтобы обеспечить возможность соответствующего распределения ассигнований.</w:t>
            </w:r>
          </w:p>
        </w:tc>
      </w:tr>
    </w:tbl>
    <w:p w:rsidR="00CF2A0E" w:rsidRPr="0087022F" w:rsidRDefault="00117CBE" w:rsidP="00A627A9">
      <w:pPr>
        <w:pStyle w:val="Heading2"/>
        <w:rPr>
          <w:lang w:val="ru-RU"/>
        </w:rPr>
      </w:pPr>
      <w:bookmarkStart w:id="87" w:name="_Toc419393873"/>
      <w:r w:rsidRPr="0087022F">
        <w:rPr>
          <w:lang w:val="ru-RU"/>
        </w:rPr>
        <w:t>Гендерное распределение</w:t>
      </w:r>
      <w:bookmarkEnd w:id="87"/>
    </w:p>
    <w:p w:rsidR="00CF2A0E" w:rsidRPr="0087022F" w:rsidRDefault="00D33C39" w:rsidP="006D0C65">
      <w:pPr>
        <w:rPr>
          <w:lang w:val="ru-RU"/>
        </w:rPr>
      </w:pPr>
      <w:r w:rsidRPr="0087022F">
        <w:rPr>
          <w:lang w:val="ru-RU"/>
        </w:rPr>
        <w:t>78</w:t>
      </w:r>
      <w:r w:rsidRPr="0087022F">
        <w:rPr>
          <w:lang w:val="ru-RU"/>
        </w:rPr>
        <w:tab/>
      </w:r>
      <w:r w:rsidR="00117CBE" w:rsidRPr="0087022F">
        <w:rPr>
          <w:lang w:val="ru-RU"/>
        </w:rPr>
        <w:t xml:space="preserve">Мы подтверждаем усилия руководства, предпринимаемые для решения вопроса гендерного равенства, </w:t>
      </w:r>
      <w:r w:rsidR="00B113BC" w:rsidRPr="0087022F">
        <w:rPr>
          <w:lang w:val="ru-RU"/>
        </w:rPr>
        <w:t>который мы включили в наш предыдущий отчет в п</w:t>
      </w:r>
      <w:r w:rsidR="0010437C" w:rsidRPr="0087022F">
        <w:rPr>
          <w:lang w:val="ru-RU"/>
        </w:rPr>
        <w:t>редложени</w:t>
      </w:r>
      <w:r w:rsidR="00B113BC" w:rsidRPr="0087022F">
        <w:rPr>
          <w:lang w:val="ru-RU"/>
        </w:rPr>
        <w:t>и </w:t>
      </w:r>
      <w:r w:rsidR="00CF2A0E" w:rsidRPr="0087022F">
        <w:rPr>
          <w:lang w:val="ru-RU"/>
        </w:rPr>
        <w:t xml:space="preserve">9. </w:t>
      </w:r>
      <w:r w:rsidR="005B17BA" w:rsidRPr="0087022F">
        <w:rPr>
          <w:lang w:val="ru-RU"/>
        </w:rPr>
        <w:t>Прежде всего, если</w:t>
      </w:r>
      <w:r w:rsidR="00321398" w:rsidRPr="0087022F">
        <w:rPr>
          <w:lang w:val="ru-RU"/>
        </w:rPr>
        <w:t> </w:t>
      </w:r>
      <w:r w:rsidR="005B17BA" w:rsidRPr="0087022F">
        <w:rPr>
          <w:lang w:val="ru-RU"/>
        </w:rPr>
        <w:t>на</w:t>
      </w:r>
      <w:r w:rsidR="00321398" w:rsidRPr="0087022F">
        <w:rPr>
          <w:lang w:val="ru-RU"/>
        </w:rPr>
        <w:t> </w:t>
      </w:r>
      <w:r w:rsidR="005B17BA" w:rsidRPr="0087022F">
        <w:rPr>
          <w:lang w:val="ru-RU"/>
        </w:rPr>
        <w:t>мероприятии в Бангкоке в</w:t>
      </w:r>
      <w:r w:rsidR="00CF2A0E" w:rsidRPr="0087022F">
        <w:rPr>
          <w:lang w:val="ru-RU"/>
        </w:rPr>
        <w:t xml:space="preserve"> 2013</w:t>
      </w:r>
      <w:r w:rsidR="005B17BA" w:rsidRPr="0087022F">
        <w:rPr>
          <w:lang w:val="ru-RU"/>
        </w:rPr>
        <w:t xml:space="preserve"> году среди участников сессий Форума большее число, </w:t>
      </w:r>
      <w:r w:rsidR="00CF2A0E" w:rsidRPr="0087022F">
        <w:rPr>
          <w:lang w:val="ru-RU"/>
        </w:rPr>
        <w:t xml:space="preserve">82%, </w:t>
      </w:r>
      <w:r w:rsidR="005B17BA" w:rsidRPr="0087022F">
        <w:rPr>
          <w:lang w:val="ru-RU"/>
        </w:rPr>
        <w:t>составляли мужчин</w:t>
      </w:r>
      <w:r w:rsidR="006D0C65" w:rsidRPr="0087022F">
        <w:rPr>
          <w:lang w:val="ru-RU"/>
        </w:rPr>
        <w:t>ы</w:t>
      </w:r>
      <w:r w:rsidR="005B17BA" w:rsidRPr="0087022F">
        <w:rPr>
          <w:lang w:val="ru-RU"/>
        </w:rPr>
        <w:t>, то в Дохе в</w:t>
      </w:r>
      <w:r w:rsidR="00CF2A0E" w:rsidRPr="0087022F">
        <w:rPr>
          <w:lang w:val="ru-RU"/>
        </w:rPr>
        <w:t xml:space="preserve"> 2014</w:t>
      </w:r>
      <w:r w:rsidR="005B17BA" w:rsidRPr="0087022F">
        <w:rPr>
          <w:lang w:val="ru-RU"/>
        </w:rPr>
        <w:t> году их процентная доля несколько уменьшилась</w:t>
      </w:r>
      <w:r w:rsidR="00CF2A0E" w:rsidRPr="0087022F">
        <w:rPr>
          <w:lang w:val="ru-RU"/>
        </w:rPr>
        <w:t xml:space="preserve"> </w:t>
      </w:r>
      <w:r w:rsidR="005B17BA" w:rsidRPr="0087022F">
        <w:rPr>
          <w:lang w:val="ru-RU"/>
        </w:rPr>
        <w:t>и</w:t>
      </w:r>
      <w:r w:rsidR="00321398" w:rsidRPr="0087022F">
        <w:rPr>
          <w:lang w:val="ru-RU"/>
        </w:rPr>
        <w:t> </w:t>
      </w:r>
      <w:r w:rsidR="005B17BA" w:rsidRPr="0087022F">
        <w:rPr>
          <w:lang w:val="ru-RU"/>
        </w:rPr>
        <w:t>составила</w:t>
      </w:r>
      <w:r w:rsidR="00321398" w:rsidRPr="0087022F">
        <w:rPr>
          <w:lang w:val="ru-RU"/>
        </w:rPr>
        <w:t> </w:t>
      </w:r>
      <w:r w:rsidR="00CF2A0E" w:rsidRPr="0087022F">
        <w:rPr>
          <w:lang w:val="ru-RU"/>
        </w:rPr>
        <w:t xml:space="preserve">79%. </w:t>
      </w:r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79</w:t>
      </w:r>
      <w:r w:rsidRPr="0087022F">
        <w:rPr>
          <w:lang w:val="ru-RU"/>
        </w:rPr>
        <w:tab/>
      </w:r>
      <w:r w:rsidR="005B17BA" w:rsidRPr="0087022F">
        <w:rPr>
          <w:lang w:val="ru-RU"/>
        </w:rPr>
        <w:t xml:space="preserve">Мы признаем, однако, что было приглашено большее число женщин-докладчиков. </w:t>
      </w:r>
      <w:r w:rsidR="00A91D29" w:rsidRPr="0087022F">
        <w:rPr>
          <w:lang w:val="ru-RU"/>
        </w:rPr>
        <w:t>При том что это представляет хорошее начало обеспечения соответствия принципам, указанным нами в</w:t>
      </w:r>
      <w:r w:rsidR="00321398" w:rsidRPr="0087022F">
        <w:rPr>
          <w:lang w:val="ru-RU"/>
        </w:rPr>
        <w:t> </w:t>
      </w:r>
      <w:r w:rsidR="00A91D29" w:rsidRPr="0087022F">
        <w:rPr>
          <w:lang w:val="ru-RU"/>
        </w:rPr>
        <w:t>прошлом году, мы намерены вести дальнейший контроль результатов упомянутых выше усилий</w:t>
      </w:r>
      <w:r w:rsidR="00321398" w:rsidRPr="0087022F">
        <w:rPr>
          <w:lang w:val="ru-RU"/>
        </w:rPr>
        <w:t>.</w:t>
      </w:r>
    </w:p>
    <w:p w:rsidR="00CF2A0E" w:rsidRPr="0087022F" w:rsidRDefault="00A91D29" w:rsidP="008503D8">
      <w:pPr>
        <w:pStyle w:val="Heading2"/>
        <w:rPr>
          <w:lang w:val="ru-RU"/>
        </w:rPr>
      </w:pPr>
      <w:bookmarkStart w:id="88" w:name="_Toc419393874"/>
      <w:r w:rsidRPr="0087022F">
        <w:rPr>
          <w:lang w:val="ru-RU"/>
        </w:rPr>
        <w:t>Снижение числа экспонентов и участников</w:t>
      </w:r>
      <w:bookmarkEnd w:id="88"/>
    </w:p>
    <w:p w:rsidR="00CF2A0E" w:rsidRPr="0087022F" w:rsidRDefault="00D33C39" w:rsidP="006D0C65">
      <w:pPr>
        <w:rPr>
          <w:lang w:val="ru-RU"/>
        </w:rPr>
      </w:pPr>
      <w:r w:rsidRPr="0087022F">
        <w:rPr>
          <w:lang w:val="ru-RU"/>
        </w:rPr>
        <w:t>80</w:t>
      </w:r>
      <w:r w:rsidRPr="0087022F">
        <w:rPr>
          <w:lang w:val="ru-RU"/>
        </w:rPr>
        <w:tab/>
      </w:r>
      <w:r w:rsidR="00A91D29" w:rsidRPr="0087022F">
        <w:rPr>
          <w:lang w:val="ru-RU"/>
        </w:rPr>
        <w:t>По данным проведенного своими силами "Анализа мероприятия" мы отметили, что</w:t>
      </w:r>
      <w:r w:rsidR="00321398" w:rsidRPr="0087022F">
        <w:rPr>
          <w:lang w:val="ru-RU"/>
        </w:rPr>
        <w:t> </w:t>
      </w:r>
      <w:r w:rsidR="00A91D29" w:rsidRPr="0087022F">
        <w:rPr>
          <w:lang w:val="ru-RU"/>
        </w:rPr>
        <w:t>при</w:t>
      </w:r>
      <w:r w:rsidR="00321398" w:rsidRPr="0087022F">
        <w:rPr>
          <w:lang w:val="ru-RU"/>
        </w:rPr>
        <w:t> </w:t>
      </w:r>
      <w:r w:rsidR="00A91D29" w:rsidRPr="0087022F">
        <w:rPr>
          <w:lang w:val="ru-RU"/>
        </w:rPr>
        <w:t xml:space="preserve">увеличении числа кв. метров выставочных площадей </w:t>
      </w:r>
      <w:r w:rsidR="00CF2A0E" w:rsidRPr="0087022F">
        <w:rPr>
          <w:lang w:val="ru-RU"/>
        </w:rPr>
        <w:t>(5812</w:t>
      </w:r>
      <w:r w:rsidR="00A91D29" w:rsidRPr="0087022F">
        <w:rPr>
          <w:lang w:val="ru-RU"/>
        </w:rPr>
        <w:t> кв. м</w:t>
      </w:r>
      <w:r w:rsidR="00CF2A0E" w:rsidRPr="0087022F">
        <w:rPr>
          <w:lang w:val="ru-RU"/>
        </w:rPr>
        <w:t xml:space="preserve"> </w:t>
      </w:r>
      <w:r w:rsidR="00A91D29" w:rsidRPr="0087022F">
        <w:rPr>
          <w:lang w:val="ru-RU"/>
        </w:rPr>
        <w:t>вместо ожидаемых</w:t>
      </w:r>
      <w:r w:rsidR="00CF2A0E" w:rsidRPr="0087022F">
        <w:rPr>
          <w:lang w:val="ru-RU"/>
        </w:rPr>
        <w:t xml:space="preserve"> 4300</w:t>
      </w:r>
      <w:r w:rsidR="00A91D29" w:rsidRPr="0087022F">
        <w:rPr>
          <w:lang w:val="ru-RU"/>
        </w:rPr>
        <w:t> кв.</w:t>
      </w:r>
      <w:r w:rsidR="00321398" w:rsidRPr="0087022F">
        <w:rPr>
          <w:lang w:val="ru-RU"/>
        </w:rPr>
        <w:t> </w:t>
      </w:r>
      <w:r w:rsidR="00A91D29" w:rsidRPr="0087022F">
        <w:rPr>
          <w:lang w:val="ru-RU"/>
        </w:rPr>
        <w:t>м</w:t>
      </w:r>
      <w:r w:rsidR="00CF2A0E" w:rsidRPr="0087022F">
        <w:rPr>
          <w:lang w:val="ru-RU"/>
        </w:rPr>
        <w:t xml:space="preserve">), </w:t>
      </w:r>
      <w:r w:rsidR="00A91D29" w:rsidRPr="0087022F">
        <w:rPr>
          <w:lang w:val="ru-RU"/>
        </w:rPr>
        <w:t>участвовало меньшее число экспонентов</w:t>
      </w:r>
      <w:r w:rsidR="00CF2A0E" w:rsidRPr="0087022F">
        <w:rPr>
          <w:lang w:val="ru-RU"/>
        </w:rPr>
        <w:t xml:space="preserve"> (16</w:t>
      </w:r>
      <w:r w:rsidR="00A91D29" w:rsidRPr="0087022F">
        <w:rPr>
          <w:lang w:val="ru-RU"/>
        </w:rPr>
        <w:t> национальных павильонов вместо 18</w:t>
      </w:r>
      <w:r w:rsidR="00356358" w:rsidRPr="0087022F">
        <w:rPr>
          <w:lang w:val="ru-RU"/>
        </w:rPr>
        <w:t> запланированных</w:t>
      </w:r>
      <w:r w:rsidR="00CF2A0E" w:rsidRPr="0087022F">
        <w:rPr>
          <w:lang w:val="ru-RU"/>
        </w:rPr>
        <w:t xml:space="preserve">) </w:t>
      </w:r>
      <w:r w:rsidR="00A91D29" w:rsidRPr="0087022F">
        <w:rPr>
          <w:lang w:val="ru-RU"/>
        </w:rPr>
        <w:t>и всего</w:t>
      </w:r>
      <w:r w:rsidR="00CF2A0E" w:rsidRPr="0087022F">
        <w:rPr>
          <w:lang w:val="ru-RU"/>
        </w:rPr>
        <w:t xml:space="preserve"> 27</w:t>
      </w:r>
      <w:r w:rsidR="00A91D29" w:rsidRPr="0087022F">
        <w:rPr>
          <w:lang w:val="ru-RU"/>
        </w:rPr>
        <w:t> сторон, сделавших финансовые взносы</w:t>
      </w:r>
      <w:r w:rsidR="00CF2A0E" w:rsidRPr="0087022F">
        <w:rPr>
          <w:lang w:val="ru-RU"/>
        </w:rPr>
        <w:t xml:space="preserve"> (</w:t>
      </w:r>
      <w:r w:rsidR="00A91D29" w:rsidRPr="0087022F">
        <w:rPr>
          <w:lang w:val="ru-RU"/>
        </w:rPr>
        <w:t>против 80</w:t>
      </w:r>
      <w:r w:rsidR="00356358" w:rsidRPr="0087022F">
        <w:rPr>
          <w:lang w:val="ru-RU"/>
        </w:rPr>
        <w:t> запланированных</w:t>
      </w:r>
      <w:r w:rsidR="00CF2A0E" w:rsidRPr="0087022F">
        <w:rPr>
          <w:lang w:val="ru-RU"/>
        </w:rPr>
        <w:t>)</w:t>
      </w:r>
      <w:r w:rsidR="00356358" w:rsidRPr="0087022F">
        <w:rPr>
          <w:lang w:val="ru-RU"/>
        </w:rPr>
        <w:t>, участвовали в выставке</w:t>
      </w:r>
      <w:r w:rsidR="00CF2A0E" w:rsidRPr="0087022F">
        <w:rPr>
          <w:lang w:val="ru-RU"/>
        </w:rPr>
        <w:t xml:space="preserve">. </w:t>
      </w:r>
      <w:r w:rsidR="00356358" w:rsidRPr="0087022F">
        <w:rPr>
          <w:lang w:val="ru-RU"/>
        </w:rPr>
        <w:t>Финансовый отчет показывает, что общая оплаченная выставочная площадь составила</w:t>
      </w:r>
      <w:r w:rsidR="00CF2A0E" w:rsidRPr="0087022F">
        <w:rPr>
          <w:lang w:val="ru-RU"/>
        </w:rPr>
        <w:t xml:space="preserve"> 3945</w:t>
      </w:r>
      <w:r w:rsidR="00356358" w:rsidRPr="0087022F">
        <w:rPr>
          <w:lang w:val="ru-RU"/>
        </w:rPr>
        <w:t> кв. м</w:t>
      </w:r>
      <w:r w:rsidR="00CF2A0E" w:rsidRPr="0087022F">
        <w:rPr>
          <w:lang w:val="ru-RU"/>
        </w:rPr>
        <w:t xml:space="preserve"> (</w:t>
      </w:r>
      <w:r w:rsidR="00356358" w:rsidRPr="0087022F">
        <w:rPr>
          <w:lang w:val="ru-RU"/>
        </w:rPr>
        <w:t>включая решения "под ключ"</w:t>
      </w:r>
      <w:r w:rsidR="00CF2A0E" w:rsidRPr="0087022F">
        <w:rPr>
          <w:lang w:val="ru-RU"/>
        </w:rPr>
        <w:t>)</w:t>
      </w:r>
      <w:r w:rsidR="00356358" w:rsidRPr="0087022F">
        <w:rPr>
          <w:lang w:val="ru-RU"/>
        </w:rPr>
        <w:t xml:space="preserve">, а доходы составили </w:t>
      </w:r>
      <w:r w:rsidR="00CF2A0E" w:rsidRPr="0087022F">
        <w:rPr>
          <w:lang w:val="ru-RU"/>
        </w:rPr>
        <w:t>2510</w:t>
      </w:r>
      <w:r w:rsidR="00356358" w:rsidRPr="0087022F">
        <w:rPr>
          <w:lang w:val="ru-RU"/>
        </w:rPr>
        <w:t xml:space="preserve"> тыс. швейцарских франков, что составляет уменьшение на </w:t>
      </w:r>
      <w:r w:rsidR="00CF2A0E" w:rsidRPr="0087022F">
        <w:rPr>
          <w:lang w:val="ru-RU"/>
        </w:rPr>
        <w:t>22%</w:t>
      </w:r>
      <w:r w:rsidR="00356358" w:rsidRPr="0087022F">
        <w:rPr>
          <w:lang w:val="ru-RU"/>
        </w:rPr>
        <w:t xml:space="preserve"> по сравнению с показателями </w:t>
      </w:r>
      <w:r w:rsidR="00CF2A0E" w:rsidRPr="0087022F">
        <w:rPr>
          <w:lang w:val="ru-RU"/>
        </w:rPr>
        <w:t>2013</w:t>
      </w:r>
      <w:r w:rsidR="00356358" w:rsidRPr="0087022F">
        <w:rPr>
          <w:lang w:val="ru-RU"/>
        </w:rPr>
        <w:t> года</w:t>
      </w:r>
      <w:r w:rsidR="00CF2A0E" w:rsidRPr="0087022F">
        <w:rPr>
          <w:lang w:val="ru-RU"/>
        </w:rPr>
        <w:t>.</w:t>
      </w:r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81</w:t>
      </w:r>
      <w:r w:rsidRPr="0087022F">
        <w:rPr>
          <w:lang w:val="ru-RU"/>
        </w:rPr>
        <w:tab/>
      </w:r>
      <w:r w:rsidR="006078F7" w:rsidRPr="0087022F">
        <w:rPr>
          <w:lang w:val="ru-RU"/>
        </w:rPr>
        <w:t>Наряду с финансовыми последствиями эта тенденция</w:t>
      </w:r>
      <w:r w:rsidR="00C946B9" w:rsidRPr="0087022F">
        <w:rPr>
          <w:lang w:val="ru-RU"/>
        </w:rPr>
        <w:t>, при том что она подтверждается, может поставить под угрозу репутацию и значимость этого мероприятия</w:t>
      </w:r>
      <w:r w:rsidR="00CF2A0E" w:rsidRPr="0087022F">
        <w:rPr>
          <w:lang w:val="ru-RU"/>
        </w:rPr>
        <w:t>.</w:t>
      </w:r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82</w:t>
      </w:r>
      <w:r w:rsidRPr="0087022F">
        <w:rPr>
          <w:lang w:val="ru-RU"/>
        </w:rPr>
        <w:tab/>
      </w:r>
      <w:r w:rsidR="00871FCA" w:rsidRPr="0087022F">
        <w:rPr>
          <w:lang w:val="ru-RU"/>
        </w:rPr>
        <w:t>Число принявших участие лидеров было значительно меньше ожидаемого</w:t>
      </w:r>
      <w:r w:rsidR="00CF2A0E" w:rsidRPr="0087022F">
        <w:rPr>
          <w:lang w:val="ru-RU"/>
        </w:rPr>
        <w:t xml:space="preserve"> (205 </w:t>
      </w:r>
      <w:r w:rsidR="00871FCA" w:rsidRPr="0087022F">
        <w:rPr>
          <w:lang w:val="ru-RU"/>
        </w:rPr>
        <w:t>вместо</w:t>
      </w:r>
      <w:r w:rsidR="00CF2A0E" w:rsidRPr="0087022F">
        <w:rPr>
          <w:lang w:val="ru-RU"/>
        </w:rPr>
        <w:t xml:space="preserve"> 350). </w:t>
      </w:r>
      <w:r w:rsidR="00871FCA" w:rsidRPr="0087022F">
        <w:rPr>
          <w:lang w:val="ru-RU"/>
        </w:rPr>
        <w:t>Присутствовало меньше государственных должностных лиц и больше операторов и регуляторных органов. Процентная доля участия руководителей частного/государственного секторов составила</w:t>
      </w:r>
      <w:r w:rsidR="00321398" w:rsidRPr="0087022F">
        <w:rPr>
          <w:lang w:val="ru-RU"/>
        </w:rPr>
        <w:t> </w:t>
      </w:r>
      <w:r w:rsidR="00CF2A0E" w:rsidRPr="0087022F">
        <w:rPr>
          <w:lang w:val="ru-RU"/>
        </w:rPr>
        <w:t xml:space="preserve">35/65, </w:t>
      </w:r>
      <w:r w:rsidR="00871FCA" w:rsidRPr="0087022F">
        <w:rPr>
          <w:lang w:val="ru-RU"/>
        </w:rPr>
        <w:t xml:space="preserve">в то время как ожидаемое соотношение, заявленное в Анализе </w:t>
      </w:r>
      <w:r w:rsidR="00CF2A0E" w:rsidRPr="0087022F">
        <w:rPr>
          <w:lang w:val="ru-RU"/>
        </w:rPr>
        <w:t xml:space="preserve">KPI </w:t>
      </w:r>
      <w:r w:rsidR="00871FCA" w:rsidRPr="0087022F">
        <w:rPr>
          <w:lang w:val="ru-RU"/>
        </w:rPr>
        <w:t>мероприятия, составляло</w:t>
      </w:r>
      <w:r w:rsidR="00321398" w:rsidRPr="0087022F">
        <w:rPr>
          <w:lang w:val="ru-RU"/>
        </w:rPr>
        <w:t xml:space="preserve"> 50/50.</w:t>
      </w:r>
    </w:p>
    <w:p w:rsidR="00CF2A0E" w:rsidRPr="0087022F" w:rsidRDefault="00D33C39" w:rsidP="00321398">
      <w:pPr>
        <w:spacing w:after="120"/>
        <w:rPr>
          <w:lang w:val="ru-RU"/>
        </w:rPr>
      </w:pPr>
      <w:r w:rsidRPr="0087022F">
        <w:rPr>
          <w:lang w:val="ru-RU"/>
        </w:rPr>
        <w:t>83</w:t>
      </w:r>
      <w:r w:rsidRPr="0087022F">
        <w:rPr>
          <w:lang w:val="ru-RU"/>
        </w:rPr>
        <w:tab/>
      </w:r>
      <w:r w:rsidR="00762680" w:rsidRPr="0087022F">
        <w:rPr>
          <w:lang w:val="ru-RU"/>
        </w:rPr>
        <w:t xml:space="preserve">На состоявшемся </w:t>
      </w:r>
      <w:r w:rsidR="00CF2A0E" w:rsidRPr="0087022F">
        <w:rPr>
          <w:lang w:val="ru-RU"/>
        </w:rPr>
        <w:t>10</w:t>
      </w:r>
      <w:r w:rsidR="00762680" w:rsidRPr="0087022F">
        <w:rPr>
          <w:lang w:val="ru-RU"/>
        </w:rPr>
        <w:t> марта</w:t>
      </w:r>
      <w:r w:rsidR="00CF2A0E" w:rsidRPr="0087022F">
        <w:rPr>
          <w:lang w:val="ru-RU"/>
        </w:rPr>
        <w:t xml:space="preserve"> 2015</w:t>
      </w:r>
      <w:r w:rsidR="00762680" w:rsidRPr="0087022F">
        <w:rPr>
          <w:lang w:val="ru-RU"/>
        </w:rPr>
        <w:t> года собрании с сотрудниками</w:t>
      </w:r>
      <w:r w:rsidR="00CF2A0E" w:rsidRPr="0087022F">
        <w:rPr>
          <w:lang w:val="ru-RU"/>
        </w:rPr>
        <w:t xml:space="preserve"> </w:t>
      </w:r>
      <w:r w:rsidR="00762680" w:rsidRPr="0087022F">
        <w:rPr>
          <w:lang w:val="ru-RU"/>
        </w:rPr>
        <w:t>Всемирного мероприятия</w:t>
      </w:r>
      <w:r w:rsidR="00CF2A0E" w:rsidRPr="0087022F">
        <w:rPr>
          <w:lang w:val="ru-RU"/>
        </w:rPr>
        <w:t xml:space="preserve"> </w:t>
      </w:r>
      <w:proofErr w:type="spellStart"/>
      <w:r w:rsidR="00CF2A0E" w:rsidRPr="0087022F">
        <w:rPr>
          <w:lang w:val="ru-RU"/>
        </w:rPr>
        <w:t>Telecom</w:t>
      </w:r>
      <w:proofErr w:type="spellEnd"/>
      <w:r w:rsidR="00762680" w:rsidRPr="0087022F">
        <w:rPr>
          <w:lang w:val="ru-RU"/>
        </w:rPr>
        <w:t xml:space="preserve"> сделано допущение о том, что эти проблемы с низким участием частично обусловлены недавно прошедшей</w:t>
      </w:r>
      <w:r w:rsidR="00CF2A0E" w:rsidRPr="0087022F">
        <w:rPr>
          <w:lang w:val="ru-RU"/>
        </w:rPr>
        <w:t xml:space="preserve"> </w:t>
      </w:r>
      <w:r w:rsidR="00762680" w:rsidRPr="0087022F">
        <w:rPr>
          <w:lang w:val="ru-RU"/>
        </w:rPr>
        <w:t xml:space="preserve">в </w:t>
      </w:r>
      <w:proofErr w:type="spellStart"/>
      <w:r w:rsidR="00762680" w:rsidRPr="0087022F">
        <w:rPr>
          <w:lang w:val="ru-RU"/>
        </w:rPr>
        <w:t>Пусане</w:t>
      </w:r>
      <w:proofErr w:type="spellEnd"/>
      <w:r w:rsidR="00762680" w:rsidRPr="0087022F">
        <w:rPr>
          <w:lang w:val="ru-RU"/>
        </w:rPr>
        <w:t xml:space="preserve"> Полномочной конференцией</w:t>
      </w:r>
      <w:r w:rsidR="00CF2A0E" w:rsidRPr="0087022F">
        <w:rPr>
          <w:lang w:val="ru-RU"/>
        </w:rPr>
        <w:t xml:space="preserve">, </w:t>
      </w:r>
      <w:r w:rsidR="00762680" w:rsidRPr="0087022F">
        <w:rPr>
          <w:lang w:val="ru-RU"/>
        </w:rPr>
        <w:t>которая в государствах с ограниченным бюджетом могла истощить ресурсы, выделенные на аналогичные мероприятия</w:t>
      </w:r>
      <w:r w:rsidR="00CF2A0E" w:rsidRPr="0087022F">
        <w:rPr>
          <w:lang w:val="ru-RU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21398" w:rsidRPr="004249CF" w:rsidTr="00B82F9B">
        <w:tc>
          <w:tcPr>
            <w:tcW w:w="9781" w:type="dxa"/>
          </w:tcPr>
          <w:p w:rsidR="00321398" w:rsidRPr="0087022F" w:rsidRDefault="00321398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Рекомендация 3</w:t>
            </w:r>
          </w:p>
          <w:p w:rsidR="00321398" w:rsidRPr="0087022F" w:rsidRDefault="00321398" w:rsidP="00B82F9B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84</w:t>
            </w:r>
            <w:r w:rsidRPr="0087022F">
              <w:rPr>
                <w:lang w:val="ru-RU"/>
              </w:rPr>
              <w:tab/>
              <w:t xml:space="preserve">Мы </w:t>
            </w:r>
            <w:r w:rsidRPr="0087022F">
              <w:rPr>
                <w:b/>
                <w:bCs/>
                <w:lang w:val="ru-RU"/>
              </w:rPr>
              <w:t>рекомендуем</w:t>
            </w:r>
            <w:r w:rsidRPr="0087022F">
              <w:rPr>
                <w:lang w:val="ru-RU"/>
              </w:rPr>
              <w:t xml:space="preserve"> руководству продолжать свою деятельность по консолидации присутствия экспонентов и увеличению числа участников.</w:t>
            </w:r>
          </w:p>
        </w:tc>
      </w:tr>
    </w:tbl>
    <w:p w:rsidR="00321398" w:rsidRPr="0087022F" w:rsidRDefault="00321398" w:rsidP="00321398">
      <w:pPr>
        <w:spacing w:before="0"/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21398" w:rsidRPr="0087022F" w:rsidTr="00B82F9B">
        <w:tc>
          <w:tcPr>
            <w:tcW w:w="9781" w:type="dxa"/>
          </w:tcPr>
          <w:p w:rsidR="00321398" w:rsidRPr="0087022F" w:rsidRDefault="00321398" w:rsidP="00B82F9B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lastRenderedPageBreak/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321398" w:rsidRPr="0087022F" w:rsidRDefault="00321398" w:rsidP="00321398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 xml:space="preserve">С 2015 года ITU </w:t>
            </w:r>
            <w:proofErr w:type="spellStart"/>
            <w:r w:rsidRPr="0087022F">
              <w:rPr>
                <w:lang w:val="ru-RU"/>
              </w:rPr>
              <w:t>Telecom</w:t>
            </w:r>
            <w:proofErr w:type="spellEnd"/>
            <w:r w:rsidRPr="0087022F">
              <w:rPr>
                <w:lang w:val="ru-RU"/>
              </w:rPr>
              <w:t xml:space="preserve"> начнет переходный период, для того чтобы представлять себя международной платформой, ориентированной на предпринимательство в области ИКТ и инициативы по поддержке МСП. При таком изменении положения появится возможность привлечь новую более широкую аудиторию, продолжая выполнять мандат в интересах Государств-Членов. Дополнительное внимание и значимость придается выставке с целью существенного увеличения числа участников. Устанавливаются KPI для отслеживания прогресса.</w:t>
            </w:r>
          </w:p>
        </w:tc>
      </w:tr>
    </w:tbl>
    <w:p w:rsidR="00CF2A0E" w:rsidRPr="0087022F" w:rsidRDefault="00DA31FD" w:rsidP="008503D8">
      <w:pPr>
        <w:pStyle w:val="Heading2"/>
        <w:rPr>
          <w:lang w:val="ru-RU"/>
        </w:rPr>
      </w:pPr>
      <w:bookmarkStart w:id="89" w:name="_Toc419393875"/>
      <w:r w:rsidRPr="0087022F">
        <w:rPr>
          <w:lang w:val="ru-RU"/>
        </w:rPr>
        <w:t>Трудности с получением визы</w:t>
      </w:r>
      <w:bookmarkEnd w:id="89"/>
    </w:p>
    <w:p w:rsidR="00CF2A0E" w:rsidRPr="0087022F" w:rsidRDefault="00D33C39" w:rsidP="00321398">
      <w:pPr>
        <w:spacing w:after="120"/>
        <w:rPr>
          <w:lang w:val="ru-RU"/>
        </w:rPr>
      </w:pPr>
      <w:r w:rsidRPr="0087022F">
        <w:rPr>
          <w:lang w:val="ru-RU"/>
        </w:rPr>
        <w:t>85</w:t>
      </w:r>
      <w:r w:rsidRPr="0087022F">
        <w:rPr>
          <w:lang w:val="ru-RU"/>
        </w:rPr>
        <w:tab/>
      </w:r>
      <w:r w:rsidR="00D16D32" w:rsidRPr="0087022F">
        <w:rPr>
          <w:lang w:val="ru-RU"/>
        </w:rPr>
        <w:t>На вышеупомянутом собрании с сотрудниками Всемирного мероприятия</w:t>
      </w:r>
      <w:r w:rsidR="00CF2A0E" w:rsidRPr="0087022F">
        <w:rPr>
          <w:lang w:val="ru-RU"/>
        </w:rPr>
        <w:t xml:space="preserve"> </w:t>
      </w:r>
      <w:proofErr w:type="spellStart"/>
      <w:r w:rsidR="00CF2A0E" w:rsidRPr="0087022F">
        <w:rPr>
          <w:lang w:val="ru-RU"/>
        </w:rPr>
        <w:t>Telecom</w:t>
      </w:r>
      <w:proofErr w:type="spellEnd"/>
      <w:r w:rsidR="00D16D32" w:rsidRPr="0087022F">
        <w:rPr>
          <w:lang w:val="ru-RU"/>
        </w:rPr>
        <w:t xml:space="preserve"> нам сообщили о проблемах с получением визы</w:t>
      </w:r>
      <w:r w:rsidR="00CF2A0E" w:rsidRPr="0087022F">
        <w:rPr>
          <w:lang w:val="ru-RU"/>
        </w:rPr>
        <w:t xml:space="preserve">. </w:t>
      </w:r>
      <w:r w:rsidR="007757B7" w:rsidRPr="0087022F">
        <w:rPr>
          <w:lang w:val="ru-RU"/>
        </w:rPr>
        <w:t>Эти проблемы стали причиной отмены участия</w:t>
      </w:r>
      <w:r w:rsidR="005719F8" w:rsidRPr="0087022F">
        <w:rPr>
          <w:lang w:val="ru-RU"/>
        </w:rPr>
        <w:t>. Мы</w:t>
      </w:r>
      <w:r w:rsidR="00321398" w:rsidRPr="0087022F">
        <w:rPr>
          <w:lang w:val="ru-RU"/>
        </w:rPr>
        <w:t> </w:t>
      </w:r>
      <w:r w:rsidR="005719F8" w:rsidRPr="0087022F">
        <w:rPr>
          <w:lang w:val="ru-RU"/>
        </w:rPr>
        <w:t>полагаем, что этот вопрос непросто поднять в рамках отношений с принимающей страной. Однако следует учитывать, что более широкое участие во всемирных мероприятиях</w:t>
      </w:r>
      <w:r w:rsidR="00CF2A0E" w:rsidRPr="0087022F">
        <w:rPr>
          <w:lang w:val="ru-RU"/>
        </w:rPr>
        <w:t xml:space="preserve"> </w:t>
      </w:r>
      <w:proofErr w:type="spellStart"/>
      <w:r w:rsidR="00CF2A0E" w:rsidRPr="0087022F">
        <w:rPr>
          <w:lang w:val="ru-RU"/>
        </w:rPr>
        <w:t>Telecom</w:t>
      </w:r>
      <w:proofErr w:type="spellEnd"/>
      <w:r w:rsidR="00CF2A0E" w:rsidRPr="0087022F">
        <w:rPr>
          <w:lang w:val="ru-RU"/>
        </w:rPr>
        <w:t xml:space="preserve"> </w:t>
      </w:r>
      <w:r w:rsidR="005719F8" w:rsidRPr="0087022F">
        <w:rPr>
          <w:lang w:val="ru-RU"/>
        </w:rPr>
        <w:t>выгодно МСЭ и заинтересованным сторонам</w:t>
      </w:r>
      <w:r w:rsidR="00CF2A0E" w:rsidRPr="0087022F">
        <w:rPr>
          <w:lang w:val="ru-RU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21398" w:rsidRPr="004249CF" w:rsidTr="00B82F9B">
        <w:tc>
          <w:tcPr>
            <w:tcW w:w="9781" w:type="dxa"/>
          </w:tcPr>
          <w:p w:rsidR="00321398" w:rsidRPr="0087022F" w:rsidRDefault="00321398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Предложение 8</w:t>
            </w:r>
          </w:p>
          <w:p w:rsidR="00321398" w:rsidRPr="0087022F" w:rsidRDefault="00321398" w:rsidP="00B82F9B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86</w:t>
            </w:r>
            <w:r w:rsidRPr="0087022F">
              <w:rPr>
                <w:lang w:val="ru-RU"/>
              </w:rPr>
              <w:tab/>
              <w:t xml:space="preserve">Мы 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 просить Государства-Члены упростить режим выдачи виз для участников всемирных мероприятий ITU </w:t>
            </w:r>
            <w:proofErr w:type="spellStart"/>
            <w:r w:rsidRPr="0087022F">
              <w:rPr>
                <w:lang w:val="ru-RU"/>
              </w:rPr>
              <w:t>Telecom</w:t>
            </w:r>
            <w:proofErr w:type="spellEnd"/>
            <w:r w:rsidRPr="0087022F">
              <w:rPr>
                <w:lang w:val="ru-RU"/>
              </w:rPr>
              <w:t>.</w:t>
            </w:r>
          </w:p>
        </w:tc>
      </w:tr>
    </w:tbl>
    <w:p w:rsidR="00321398" w:rsidRPr="0087022F" w:rsidRDefault="00321398" w:rsidP="00321398">
      <w:pPr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21398" w:rsidRPr="004249CF" w:rsidTr="00B82F9B">
        <w:tc>
          <w:tcPr>
            <w:tcW w:w="9781" w:type="dxa"/>
          </w:tcPr>
          <w:p w:rsidR="00321398" w:rsidRPr="0087022F" w:rsidRDefault="00321398" w:rsidP="00B82F9B">
            <w:pPr>
              <w:keepNext/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321398" w:rsidRPr="0087022F" w:rsidRDefault="00321398" w:rsidP="00321398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МСЭ продолжает привлекать пристальное внимание к этому вопросу в ходе обсуждений с будущими принимающими странами и подчеркивает важность введения эффективных и своевременных процессов для представления заявления на визу для участников из всех Государств-Членов.</w:t>
            </w:r>
          </w:p>
        </w:tc>
      </w:tr>
    </w:tbl>
    <w:p w:rsidR="00CF2A0E" w:rsidRPr="0087022F" w:rsidRDefault="00D64609" w:rsidP="008503D8">
      <w:pPr>
        <w:pStyle w:val="Heading2"/>
        <w:rPr>
          <w:lang w:val="ru-RU"/>
        </w:rPr>
      </w:pPr>
      <w:bookmarkStart w:id="90" w:name="_Toc419393876"/>
      <w:r w:rsidRPr="0087022F">
        <w:rPr>
          <w:lang w:val="ru-RU"/>
        </w:rPr>
        <w:t>Сессии Форума и присутствие СМИ</w:t>
      </w:r>
      <w:bookmarkEnd w:id="90"/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87</w:t>
      </w:r>
      <w:r w:rsidRPr="0087022F">
        <w:rPr>
          <w:lang w:val="ru-RU"/>
        </w:rPr>
        <w:tab/>
      </w:r>
      <w:r w:rsidR="0063567F" w:rsidRPr="0087022F">
        <w:rPr>
          <w:lang w:val="ru-RU"/>
        </w:rPr>
        <w:t>В некоторых случаях на сессиях Форума наблюдалась очень низкая посещаемость. Высокой посещаемостью характеризовались сессии с обедом</w:t>
      </w:r>
      <w:r w:rsidR="00CF2A0E" w:rsidRPr="0087022F">
        <w:rPr>
          <w:lang w:val="ru-RU"/>
        </w:rPr>
        <w:t>:</w:t>
      </w:r>
      <w:r w:rsidR="0063567F" w:rsidRPr="0087022F">
        <w:rPr>
          <w:lang w:val="ru-RU"/>
        </w:rPr>
        <w:t xml:space="preserve"> число участников</w:t>
      </w:r>
      <w:r w:rsidR="00CF2A0E" w:rsidRPr="0087022F">
        <w:rPr>
          <w:lang w:val="ru-RU"/>
        </w:rPr>
        <w:t xml:space="preserve"> MC1 </w:t>
      </w:r>
      <w:r w:rsidR="0063567F" w:rsidRPr="0087022F">
        <w:rPr>
          <w:lang w:val="ru-RU"/>
        </w:rPr>
        <w:t>и</w:t>
      </w:r>
      <w:r w:rsidR="00CF2A0E" w:rsidRPr="0087022F">
        <w:rPr>
          <w:lang w:val="ru-RU"/>
        </w:rPr>
        <w:t xml:space="preserve"> MC3 </w:t>
      </w:r>
      <w:r w:rsidR="0063567F" w:rsidRPr="0087022F">
        <w:rPr>
          <w:lang w:val="ru-RU"/>
        </w:rPr>
        <w:t>во второй день</w:t>
      </w:r>
      <w:r w:rsidR="00CF2A0E" w:rsidRPr="0087022F">
        <w:rPr>
          <w:lang w:val="ru-RU"/>
        </w:rPr>
        <w:t xml:space="preserve">, TC1 </w:t>
      </w:r>
      <w:r w:rsidR="0063567F" w:rsidRPr="0087022F">
        <w:rPr>
          <w:lang w:val="ru-RU"/>
        </w:rPr>
        <w:t>и</w:t>
      </w:r>
      <w:r w:rsidR="00CF2A0E" w:rsidRPr="0087022F">
        <w:rPr>
          <w:lang w:val="ru-RU"/>
        </w:rPr>
        <w:t xml:space="preserve"> TC2 </w:t>
      </w:r>
      <w:r w:rsidR="0063567F" w:rsidRPr="0087022F">
        <w:rPr>
          <w:lang w:val="ru-RU"/>
        </w:rPr>
        <w:t xml:space="preserve">в третий день и </w:t>
      </w:r>
      <w:r w:rsidR="00CF2A0E" w:rsidRPr="0087022F">
        <w:rPr>
          <w:lang w:val="ru-RU"/>
        </w:rPr>
        <w:t xml:space="preserve">WC1 </w:t>
      </w:r>
      <w:r w:rsidR="0063567F" w:rsidRPr="0087022F">
        <w:rPr>
          <w:lang w:val="ru-RU"/>
        </w:rPr>
        <w:t>в четвертый день превысило вместимость помещения</w:t>
      </w:r>
      <w:r w:rsidR="00CF2A0E" w:rsidRPr="0087022F">
        <w:rPr>
          <w:lang w:val="ru-RU"/>
        </w:rPr>
        <w:t xml:space="preserve">. </w:t>
      </w:r>
    </w:p>
    <w:p w:rsidR="00CF2A0E" w:rsidRPr="0087022F" w:rsidRDefault="00D33C39" w:rsidP="00321398">
      <w:pPr>
        <w:rPr>
          <w:lang w:val="ru-RU"/>
        </w:rPr>
      </w:pPr>
      <w:r w:rsidRPr="0087022F">
        <w:rPr>
          <w:lang w:val="ru-RU"/>
        </w:rPr>
        <w:t>88</w:t>
      </w:r>
      <w:r w:rsidRPr="0087022F">
        <w:rPr>
          <w:lang w:val="ru-RU"/>
        </w:rPr>
        <w:tab/>
      </w:r>
      <w:r w:rsidR="0063567F" w:rsidRPr="0087022F">
        <w:rPr>
          <w:lang w:val="ru-RU"/>
        </w:rPr>
        <w:t>Все показатели посещаемости показывают резкое уменьшение участников Форума в ходе мероприятия</w:t>
      </w:r>
      <w:r w:rsidR="00CF2A0E" w:rsidRPr="0087022F">
        <w:rPr>
          <w:lang w:val="ru-RU"/>
        </w:rPr>
        <w:t xml:space="preserve"> (</w:t>
      </w:r>
      <w:r w:rsidR="0063567F" w:rsidRPr="0087022F">
        <w:rPr>
          <w:lang w:val="ru-RU"/>
        </w:rPr>
        <w:t>с примерно</w:t>
      </w:r>
      <w:r w:rsidR="00CF2A0E" w:rsidRPr="0087022F">
        <w:rPr>
          <w:lang w:val="ru-RU"/>
        </w:rPr>
        <w:t xml:space="preserve"> 2000 </w:t>
      </w:r>
      <w:r w:rsidR="0063567F" w:rsidRPr="0087022F">
        <w:rPr>
          <w:lang w:val="ru-RU"/>
        </w:rPr>
        <w:t>в первый день до менее чем</w:t>
      </w:r>
      <w:r w:rsidR="00CF2A0E" w:rsidRPr="0087022F">
        <w:rPr>
          <w:lang w:val="ru-RU"/>
        </w:rPr>
        <w:t xml:space="preserve"> 1200 </w:t>
      </w:r>
      <w:r w:rsidR="0063567F" w:rsidRPr="0087022F">
        <w:rPr>
          <w:lang w:val="ru-RU"/>
        </w:rPr>
        <w:t>в последний день</w:t>
      </w:r>
      <w:r w:rsidR="00CF2A0E" w:rsidRPr="0087022F">
        <w:rPr>
          <w:lang w:val="ru-RU"/>
        </w:rPr>
        <w:t>).</w:t>
      </w:r>
    </w:p>
    <w:p w:rsidR="00CF2A0E" w:rsidRPr="0087022F" w:rsidRDefault="00D33C39" w:rsidP="00C20B9A">
      <w:pPr>
        <w:spacing w:after="120"/>
        <w:rPr>
          <w:lang w:val="ru-RU"/>
        </w:rPr>
      </w:pPr>
      <w:r w:rsidRPr="0087022F">
        <w:rPr>
          <w:lang w:val="ru-RU"/>
        </w:rPr>
        <w:t>89</w:t>
      </w:r>
      <w:r w:rsidRPr="0087022F">
        <w:rPr>
          <w:lang w:val="ru-RU"/>
        </w:rPr>
        <w:tab/>
      </w:r>
      <w:r w:rsidR="0063567F" w:rsidRPr="0087022F">
        <w:rPr>
          <w:lang w:val="ru-RU"/>
        </w:rPr>
        <w:t>Опрос показал низкий уровень присутствия СМИ на сессиях Форума после первых сессий</w:t>
      </w:r>
      <w:r w:rsidR="00CF2A0E" w:rsidRPr="0087022F">
        <w:rPr>
          <w:lang w:val="ru-RU"/>
        </w:rPr>
        <w:t xml:space="preserve"> (87</w:t>
      </w:r>
      <w:r w:rsidR="00321398" w:rsidRPr="0087022F">
        <w:rPr>
          <w:lang w:val="ru-RU"/>
        </w:rPr>
        <w:t> </w:t>
      </w:r>
      <w:r w:rsidR="0063567F" w:rsidRPr="0087022F">
        <w:rPr>
          <w:lang w:val="ru-RU"/>
        </w:rPr>
        <w:t xml:space="preserve">в первый день, далее </w:t>
      </w:r>
      <w:r w:rsidR="00CF2A0E" w:rsidRPr="0087022F">
        <w:rPr>
          <w:lang w:val="ru-RU"/>
        </w:rPr>
        <w:t xml:space="preserve">54, 37, 20 </w:t>
      </w:r>
      <w:r w:rsidR="0063567F" w:rsidRPr="0087022F">
        <w:rPr>
          <w:lang w:val="ru-RU"/>
        </w:rPr>
        <w:t>в последующие дни</w:t>
      </w:r>
      <w:r w:rsidR="00CF2A0E" w:rsidRPr="0087022F">
        <w:rPr>
          <w:lang w:val="ru-RU"/>
        </w:rPr>
        <w:t>).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20B9A" w:rsidRPr="004249CF" w:rsidTr="00B82F9B">
        <w:tc>
          <w:tcPr>
            <w:tcW w:w="9781" w:type="dxa"/>
          </w:tcPr>
          <w:p w:rsidR="00C20B9A" w:rsidRPr="0087022F" w:rsidRDefault="00C20B9A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Предложение 9</w:t>
            </w:r>
          </w:p>
          <w:p w:rsidR="00C20B9A" w:rsidRPr="0087022F" w:rsidRDefault="00C20B9A" w:rsidP="00C20B9A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90</w:t>
            </w:r>
            <w:r w:rsidRPr="0087022F">
              <w:rPr>
                <w:lang w:val="ru-RU"/>
              </w:rPr>
              <w:tab/>
              <w:t xml:space="preserve">Мы 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 провести анализ продолжительности мероприятия и распределения основных собраний и соответствующих конференций на протяжении всего мероприятия, с тем чтобы поддерживать информированность СМИ в течение более длительного периода.</w:t>
            </w:r>
          </w:p>
        </w:tc>
      </w:tr>
    </w:tbl>
    <w:p w:rsidR="00C20B9A" w:rsidRPr="0087022F" w:rsidRDefault="00C20B9A" w:rsidP="00C20B9A">
      <w:pPr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20B9A" w:rsidRPr="004249CF" w:rsidTr="00B82F9B">
        <w:tc>
          <w:tcPr>
            <w:tcW w:w="9781" w:type="dxa"/>
          </w:tcPr>
          <w:p w:rsidR="00C20B9A" w:rsidRPr="0087022F" w:rsidRDefault="00C20B9A" w:rsidP="00C20B9A">
            <w:pPr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C20B9A" w:rsidRPr="0087022F" w:rsidRDefault="00C20B9A" w:rsidP="00C20B9A">
            <w:pPr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Будут приняты меры для проведения оценки оптимальной продолжительности мероприятия и расписания собраний и соответствующих конференций, с тем чтобы стимулировать интерес СМИ на протяжении всего мероприятия. Кроме того, будут предприняты дальнейшие усилия по составлению графика пресс-конференций и анонсов на протяжении мероприятия для стимулирования и поддержания интереса СМИ.</w:t>
            </w:r>
          </w:p>
        </w:tc>
      </w:tr>
    </w:tbl>
    <w:p w:rsidR="00CF2A0E" w:rsidRPr="0087022F" w:rsidRDefault="00D548EA" w:rsidP="008503D8">
      <w:pPr>
        <w:pStyle w:val="Heading2"/>
        <w:rPr>
          <w:lang w:val="ru-RU"/>
        </w:rPr>
      </w:pPr>
      <w:bookmarkStart w:id="91" w:name="_Toc419393877"/>
      <w:r w:rsidRPr="0087022F">
        <w:rPr>
          <w:lang w:val="ru-RU"/>
        </w:rPr>
        <w:lastRenderedPageBreak/>
        <w:t>Глобальный</w:t>
      </w:r>
      <w:r w:rsidRPr="0087022F">
        <w:rPr>
          <w:lang w:val="ru-RU"/>
        </w:rPr>
        <w:tab/>
        <w:t xml:space="preserve"> масштаб</w:t>
      </w:r>
      <w:bookmarkEnd w:id="91"/>
    </w:p>
    <w:p w:rsidR="00CF2A0E" w:rsidRPr="0087022F" w:rsidRDefault="00D33C39" w:rsidP="00C20B9A">
      <w:pPr>
        <w:rPr>
          <w:lang w:val="ru-RU"/>
        </w:rPr>
      </w:pPr>
      <w:r w:rsidRPr="0087022F">
        <w:rPr>
          <w:lang w:val="ru-RU"/>
        </w:rPr>
        <w:t>91</w:t>
      </w:r>
      <w:r w:rsidRPr="0087022F">
        <w:rPr>
          <w:lang w:val="ru-RU"/>
        </w:rPr>
        <w:tab/>
      </w:r>
      <w:r w:rsidR="00D548EA" w:rsidRPr="0087022F">
        <w:rPr>
          <w:lang w:val="ru-RU"/>
        </w:rPr>
        <w:t xml:space="preserve">Глобальный масштаб Всемирного мероприятия </w:t>
      </w:r>
      <w:proofErr w:type="spellStart"/>
      <w:r w:rsidR="00CF2A0E" w:rsidRPr="0087022F">
        <w:rPr>
          <w:lang w:val="ru-RU"/>
        </w:rPr>
        <w:t>Telecom</w:t>
      </w:r>
      <w:proofErr w:type="spellEnd"/>
      <w:r w:rsidR="00CF2A0E" w:rsidRPr="0087022F">
        <w:rPr>
          <w:lang w:val="ru-RU"/>
        </w:rPr>
        <w:t xml:space="preserve"> </w:t>
      </w:r>
      <w:r w:rsidR="00D548EA" w:rsidRPr="0087022F">
        <w:rPr>
          <w:lang w:val="ru-RU"/>
        </w:rPr>
        <w:t>с каждым годом сокращается вследствие регионального распределения участников</w:t>
      </w:r>
      <w:r w:rsidR="00CF2A0E" w:rsidRPr="0087022F">
        <w:rPr>
          <w:lang w:val="ru-RU"/>
        </w:rPr>
        <w:t xml:space="preserve">: </w:t>
      </w:r>
      <w:r w:rsidR="00D548EA" w:rsidRPr="0087022F">
        <w:rPr>
          <w:lang w:val="ru-RU"/>
        </w:rPr>
        <w:t xml:space="preserve">в Дохе в </w:t>
      </w:r>
      <w:r w:rsidR="00CF2A0E" w:rsidRPr="0087022F">
        <w:rPr>
          <w:lang w:val="ru-RU"/>
        </w:rPr>
        <w:t>2014</w:t>
      </w:r>
      <w:r w:rsidR="00D548EA" w:rsidRPr="0087022F">
        <w:rPr>
          <w:lang w:val="ru-RU"/>
        </w:rPr>
        <w:t xml:space="preserve"> году </w:t>
      </w:r>
      <w:r w:rsidR="00CF2A0E" w:rsidRPr="0087022F">
        <w:rPr>
          <w:lang w:val="ru-RU"/>
        </w:rPr>
        <w:t xml:space="preserve">48% </w:t>
      </w:r>
      <w:r w:rsidR="00D548EA" w:rsidRPr="0087022F">
        <w:rPr>
          <w:lang w:val="ru-RU"/>
        </w:rPr>
        <w:t>участников прибыли из</w:t>
      </w:r>
      <w:r w:rsidR="00C20B9A" w:rsidRPr="0087022F">
        <w:rPr>
          <w:lang w:val="ru-RU"/>
        </w:rPr>
        <w:t> </w:t>
      </w:r>
      <w:r w:rsidR="00D548EA" w:rsidRPr="0087022F">
        <w:rPr>
          <w:lang w:val="ru-RU"/>
        </w:rPr>
        <w:t>арабских государств и лишь небольшое число их регионов Европы и Северной и Южной Америки</w:t>
      </w:r>
      <w:r w:rsidR="00CF2A0E" w:rsidRPr="0087022F">
        <w:rPr>
          <w:lang w:val="ru-RU"/>
        </w:rPr>
        <w:t xml:space="preserve">. </w:t>
      </w:r>
      <w:r w:rsidR="00D548EA" w:rsidRPr="0087022F">
        <w:rPr>
          <w:lang w:val="ru-RU"/>
        </w:rPr>
        <w:t>Положительный аспект этой ситуации</w:t>
      </w:r>
      <w:r w:rsidR="00A750A3" w:rsidRPr="0087022F">
        <w:rPr>
          <w:lang w:val="ru-RU"/>
        </w:rPr>
        <w:t xml:space="preserve"> заключается в том, что были представлены основные развивающиеся рынки</w:t>
      </w:r>
      <w:r w:rsidR="00CF2A0E" w:rsidRPr="0087022F">
        <w:rPr>
          <w:lang w:val="ru-RU"/>
        </w:rPr>
        <w:t>.</w:t>
      </w:r>
    </w:p>
    <w:p w:rsidR="00CF2A0E" w:rsidRPr="0087022F" w:rsidRDefault="00D33C39" w:rsidP="00C20B9A">
      <w:pPr>
        <w:spacing w:after="120"/>
        <w:rPr>
          <w:lang w:val="ru-RU"/>
        </w:rPr>
      </w:pPr>
      <w:r w:rsidRPr="0087022F">
        <w:rPr>
          <w:lang w:val="ru-RU"/>
        </w:rPr>
        <w:t>92</w:t>
      </w:r>
      <w:r w:rsidRPr="0087022F">
        <w:rPr>
          <w:lang w:val="ru-RU"/>
        </w:rPr>
        <w:tab/>
      </w:r>
      <w:r w:rsidR="00DD21BD" w:rsidRPr="0087022F">
        <w:rPr>
          <w:lang w:val="ru-RU"/>
        </w:rPr>
        <w:t>Ротация мест проведения составляет лишь частичное решение проблемы сохранения глобального масштаба этого мероприятия</w:t>
      </w:r>
      <w:r w:rsidR="00CF2A0E" w:rsidRPr="0087022F">
        <w:rPr>
          <w:lang w:val="ru-RU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20B9A" w:rsidRPr="0087022F" w:rsidTr="00B82F9B">
        <w:tc>
          <w:tcPr>
            <w:tcW w:w="9781" w:type="dxa"/>
          </w:tcPr>
          <w:p w:rsidR="00C20B9A" w:rsidRPr="0087022F" w:rsidRDefault="00C20B9A" w:rsidP="00B82F9B">
            <w:pPr>
              <w:keepNext/>
              <w:spacing w:before="60"/>
              <w:rPr>
                <w:b/>
                <w:bCs/>
                <w:lang w:val="ru-RU"/>
              </w:rPr>
            </w:pPr>
            <w:r w:rsidRPr="0087022F">
              <w:rPr>
                <w:b/>
                <w:bCs/>
                <w:lang w:val="ru-RU"/>
              </w:rPr>
              <w:t>Предложение 10</w:t>
            </w:r>
          </w:p>
          <w:p w:rsidR="00C20B9A" w:rsidRPr="0087022F" w:rsidRDefault="00C20B9A" w:rsidP="00C20B9A">
            <w:pPr>
              <w:keepNext/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>93</w:t>
            </w:r>
            <w:r w:rsidRPr="0087022F">
              <w:rPr>
                <w:lang w:val="ru-RU"/>
              </w:rPr>
              <w:tab/>
              <w:t xml:space="preserve">Вследствие этого, мы </w:t>
            </w:r>
            <w:r w:rsidRPr="0087022F">
              <w:rPr>
                <w:b/>
                <w:bCs/>
                <w:lang w:val="ru-RU"/>
              </w:rPr>
              <w:t>предлагаем</w:t>
            </w:r>
            <w:r w:rsidRPr="0087022F">
              <w:rPr>
                <w:lang w:val="ru-RU"/>
              </w:rPr>
              <w:t xml:space="preserve"> руководству исследовать все виды деятельности по коммуникации и рекламе, с тем чтобы укрепить репутацию Всемирного мероприятия ITU </w:t>
            </w:r>
            <w:proofErr w:type="spellStart"/>
            <w:r w:rsidRPr="0087022F">
              <w:rPr>
                <w:lang w:val="ru-RU"/>
              </w:rPr>
              <w:t>Telecom</w:t>
            </w:r>
            <w:proofErr w:type="spellEnd"/>
            <w:r w:rsidRPr="0087022F">
              <w:rPr>
                <w:lang w:val="ru-RU"/>
              </w:rPr>
              <w:t xml:space="preserve"> как мероприятия глобального масштаба.</w:t>
            </w:r>
          </w:p>
        </w:tc>
      </w:tr>
    </w:tbl>
    <w:p w:rsidR="00C20B9A" w:rsidRPr="0087022F" w:rsidRDefault="00C20B9A" w:rsidP="00C20B9A">
      <w:pPr>
        <w:rPr>
          <w:lang w:val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20B9A" w:rsidRPr="004249CF" w:rsidTr="00B82F9B">
        <w:tc>
          <w:tcPr>
            <w:tcW w:w="9781" w:type="dxa"/>
          </w:tcPr>
          <w:p w:rsidR="00C20B9A" w:rsidRPr="0087022F" w:rsidRDefault="00C20B9A" w:rsidP="00B82F9B">
            <w:pPr>
              <w:keepLines/>
              <w:spacing w:before="60"/>
              <w:rPr>
                <w:lang w:val="ru-RU"/>
              </w:rPr>
            </w:pPr>
            <w:r w:rsidRPr="0087022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87022F">
              <w:rPr>
                <w:lang w:val="ru-RU"/>
              </w:rPr>
              <w:t>:</w:t>
            </w:r>
          </w:p>
          <w:p w:rsidR="00C20B9A" w:rsidRPr="0087022F" w:rsidRDefault="00C20B9A" w:rsidP="00B82F9B">
            <w:pPr>
              <w:keepLines/>
              <w:spacing w:before="60" w:after="60"/>
              <w:rPr>
                <w:lang w:val="ru-RU"/>
              </w:rPr>
            </w:pPr>
            <w:r w:rsidRPr="0087022F">
              <w:rPr>
                <w:lang w:val="ru-RU"/>
              </w:rPr>
              <w:t xml:space="preserve">Будут предприняты дальнейшие усилия по определению и привлечению лучших коммуникационных и рекламных каналов в целях укрепления глобального масштаба всемирных мероприятий ITU </w:t>
            </w:r>
            <w:proofErr w:type="spellStart"/>
            <w:r w:rsidRPr="0087022F">
              <w:rPr>
                <w:lang w:val="ru-RU"/>
              </w:rPr>
              <w:t>Telecom</w:t>
            </w:r>
            <w:proofErr w:type="spellEnd"/>
            <w:r w:rsidRPr="0087022F">
              <w:rPr>
                <w:lang w:val="ru-RU"/>
              </w:rPr>
              <w:t xml:space="preserve"> в рамках установленных бюджетных ассигнований.</w:t>
            </w:r>
          </w:p>
        </w:tc>
      </w:tr>
    </w:tbl>
    <w:p w:rsidR="00CF2A0E" w:rsidRPr="0087022F" w:rsidRDefault="003D394A" w:rsidP="00A627A9">
      <w:pPr>
        <w:pStyle w:val="Heading1"/>
        <w:rPr>
          <w:lang w:val="ru-RU"/>
        </w:rPr>
      </w:pPr>
      <w:bookmarkStart w:id="92" w:name="_Toc419393878"/>
      <w:r w:rsidRPr="0087022F">
        <w:rPr>
          <w:lang w:val="ru-RU"/>
        </w:rPr>
        <w:t>ПОСЛЕДУЮЩАЯ ДЕЯТЕЛЬНОСТЬ</w:t>
      </w:r>
      <w:bookmarkEnd w:id="92"/>
    </w:p>
    <w:p w:rsidR="00CF2A0E" w:rsidRPr="0087022F" w:rsidRDefault="003D394A" w:rsidP="00C20B9A">
      <w:pPr>
        <w:rPr>
          <w:lang w:val="ru-RU"/>
        </w:rPr>
      </w:pPr>
      <w:r w:rsidRPr="0087022F">
        <w:rPr>
          <w:lang w:val="ru-RU"/>
        </w:rPr>
        <w:t>В нижеследующем приложении содержатся таблицы, отражающие последующую деятельность в</w:t>
      </w:r>
      <w:r w:rsidR="00C20B9A" w:rsidRPr="0087022F">
        <w:rPr>
          <w:lang w:val="ru-RU"/>
        </w:rPr>
        <w:t> </w:t>
      </w:r>
      <w:r w:rsidRPr="0087022F">
        <w:rPr>
          <w:lang w:val="ru-RU"/>
        </w:rPr>
        <w:t>связи с нашими предыдущими рекомендациями и предложениями</w:t>
      </w:r>
      <w:r w:rsidR="00CF2A0E" w:rsidRPr="0087022F">
        <w:rPr>
          <w:lang w:val="ru-RU"/>
        </w:rPr>
        <w:t>.</w:t>
      </w:r>
    </w:p>
    <w:p w:rsidR="006D0C65" w:rsidRPr="0087022F" w:rsidRDefault="00C8646A" w:rsidP="006D0C65">
      <w:pPr>
        <w:pStyle w:val="AnnexNo"/>
        <w:rPr>
          <w:lang w:val="ru-RU"/>
        </w:rPr>
      </w:pPr>
      <w:bookmarkStart w:id="93" w:name="_Toc417373409"/>
      <w:bookmarkStart w:id="94" w:name="_Toc419393879"/>
      <w:r w:rsidRPr="0087022F">
        <w:rPr>
          <w:lang w:val="ru-RU"/>
        </w:rPr>
        <w:lastRenderedPageBreak/>
        <w:t>ПРИЛОЖЕНИЕ I</w:t>
      </w:r>
      <w:bookmarkStart w:id="95" w:name="_Toc399768456"/>
      <w:bookmarkEnd w:id="93"/>
    </w:p>
    <w:p w:rsidR="00C8646A" w:rsidRPr="0087022F" w:rsidRDefault="00C8646A" w:rsidP="006D0C65">
      <w:pPr>
        <w:pStyle w:val="Annextitle"/>
        <w:rPr>
          <w:lang w:val="ru-RU"/>
        </w:rPr>
      </w:pPr>
      <w:r w:rsidRPr="0087022F">
        <w:rPr>
          <w:lang w:val="ru-RU"/>
        </w:rPr>
        <w:t xml:space="preserve">Последующие меры в связи с замечаниями, </w:t>
      </w:r>
      <w:r w:rsidR="0085345D" w:rsidRPr="0087022F">
        <w:rPr>
          <w:lang w:val="ru-RU"/>
        </w:rPr>
        <w:br/>
      </w:r>
      <w:r w:rsidRPr="0087022F">
        <w:rPr>
          <w:lang w:val="ru-RU"/>
        </w:rPr>
        <w:t>представленными в предыдущ</w:t>
      </w:r>
      <w:r w:rsidR="00AB37BA" w:rsidRPr="0087022F">
        <w:rPr>
          <w:lang w:val="ru-RU"/>
        </w:rPr>
        <w:t>их</w:t>
      </w:r>
      <w:r w:rsidRPr="0087022F">
        <w:rPr>
          <w:lang w:val="ru-RU"/>
        </w:rPr>
        <w:t xml:space="preserve"> отчет</w:t>
      </w:r>
      <w:bookmarkEnd w:id="95"/>
      <w:r w:rsidR="00AB37BA" w:rsidRPr="0087022F">
        <w:rPr>
          <w:lang w:val="ru-RU"/>
        </w:rPr>
        <w:t>ах</w:t>
      </w:r>
      <w:bookmarkEnd w:id="94"/>
    </w:p>
    <w:p w:rsidR="00C8646A" w:rsidRPr="0087022F" w:rsidRDefault="00C8646A" w:rsidP="006D0C65">
      <w:pPr>
        <w:pStyle w:val="Headingb"/>
        <w:spacing w:after="120"/>
        <w:jc w:val="center"/>
        <w:rPr>
          <w:lang w:val="ru-RU"/>
        </w:rPr>
      </w:pPr>
      <w:r w:rsidRPr="0087022F">
        <w:rPr>
          <w:lang w:val="ru-RU"/>
        </w:rPr>
        <w:t>Рекомендации</w:t>
      </w: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552"/>
        <w:gridCol w:w="1842"/>
        <w:gridCol w:w="1696"/>
      </w:tblGrid>
      <w:tr w:rsidR="003558A1" w:rsidRPr="004249CF" w:rsidTr="004A6176">
        <w:trPr>
          <w:cantSplit/>
          <w:trHeight w:val="1328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58A1" w:rsidRPr="0087022F" w:rsidRDefault="003558A1" w:rsidP="001F36DD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58A1" w:rsidRPr="0087022F" w:rsidRDefault="003558A1" w:rsidP="001F36DD">
            <w:pPr>
              <w:pStyle w:val="Tablehead"/>
              <w:tabs>
                <w:tab w:val="clear" w:pos="2835"/>
              </w:tabs>
              <w:ind w:right="-29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Рекомендация, представленная </w:t>
            </w:r>
            <w:r w:rsidR="007A08A3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Государственной счетной </w:t>
            </w:r>
            <w:r w:rsidRPr="0087022F">
              <w:rPr>
                <w:sz w:val="18"/>
                <w:szCs w:val="18"/>
                <w:lang w:val="ru-RU"/>
              </w:rPr>
              <w:t>палатой Италии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58A1" w:rsidRPr="0087022F" w:rsidRDefault="003558A1" w:rsidP="001F36DD">
            <w:pPr>
              <w:pStyle w:val="Tablehead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Комментарии, полученные от Генерального секретаря во время опубликования отчета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58A1" w:rsidRPr="0087022F" w:rsidRDefault="003558A1" w:rsidP="001F36DD">
            <w:pPr>
              <w:pStyle w:val="Tablehead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Статус выполнения по сообщению руководства МСЭ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58A1" w:rsidRPr="0087022F" w:rsidRDefault="003558A1" w:rsidP="001F36DD">
            <w:pPr>
              <w:pStyle w:val="Tablehead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Статус</w:t>
            </w:r>
            <w:r w:rsidR="001F36DD" w:rsidRPr="0087022F">
              <w:rPr>
                <w:sz w:val="18"/>
                <w:szCs w:val="18"/>
                <w:lang w:val="ru-RU"/>
              </w:rPr>
              <w:t xml:space="preserve"> мер, принятых руководством, по </w:t>
            </w:r>
            <w:r w:rsidRPr="0087022F">
              <w:rPr>
                <w:sz w:val="18"/>
                <w:szCs w:val="18"/>
                <w:lang w:val="ru-RU"/>
              </w:rPr>
              <w:t xml:space="preserve">оценке </w:t>
            </w:r>
            <w:r w:rsidR="007A08A3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Государственной счетной </w:t>
            </w:r>
            <w:r w:rsidRPr="0087022F">
              <w:rPr>
                <w:sz w:val="18"/>
                <w:szCs w:val="18"/>
                <w:lang w:val="ru-RU"/>
              </w:rPr>
              <w:t>палаты Италии</w:t>
            </w:r>
          </w:p>
        </w:tc>
      </w:tr>
      <w:tr w:rsidR="003558A1" w:rsidRPr="0087022F" w:rsidTr="004A6176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3558A1" w:rsidP="001F36DD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b/>
                <w:bCs/>
                <w:sz w:val="18"/>
                <w:szCs w:val="18"/>
                <w:lang w:val="ru-RU"/>
              </w:rPr>
              <w:t>Рек. 3</w:t>
            </w:r>
            <w:r w:rsidR="001F36DD" w:rsidRPr="0087022F">
              <w:rPr>
                <w:b/>
                <w:bCs/>
                <w:sz w:val="18"/>
                <w:szCs w:val="18"/>
                <w:lang w:val="ru-RU"/>
              </w:rPr>
              <w:br/>
            </w:r>
            <w:r w:rsidRPr="0087022F">
              <w:rPr>
                <w:b/>
                <w:bCs/>
                <w:sz w:val="18"/>
                <w:szCs w:val="18"/>
                <w:lang w:val="ru-RU"/>
              </w:rPr>
              <w:t>2012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3558A1" w:rsidP="001F36DD">
            <w:pPr>
              <w:pStyle w:val="Tabletext"/>
              <w:tabs>
                <w:tab w:val="clear" w:pos="2835"/>
              </w:tabs>
              <w:ind w:right="-29"/>
              <w:rPr>
                <w:sz w:val="18"/>
                <w:szCs w:val="18"/>
                <w:highlight w:val="yellow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Мы в полной мере понимаем, что МСЭ необходимо применять принцип возмещения затрат к Всемирному мероприятию ITU Telecom-2012, ввиду соответствующего воздействия возмещения затрат на конечный результат мероприятия, но мы не нашли достаточных данных по процессу учета, в ходе которого определяется объем возмещения затрат. Ввиду этого </w:t>
            </w:r>
            <w:r w:rsidRPr="0087022F">
              <w:rPr>
                <w:sz w:val="18"/>
                <w:szCs w:val="18"/>
                <w:u w:val="single"/>
                <w:lang w:val="ru-RU"/>
              </w:rPr>
              <w:t>мы рекомендуем</w:t>
            </w:r>
            <w:r w:rsidRPr="0087022F">
              <w:rPr>
                <w:sz w:val="18"/>
                <w:szCs w:val="18"/>
                <w:lang w:val="ru-RU"/>
              </w:rPr>
              <w:t xml:space="preserve"> руководству в дальнейшем полнее раскрывать в процессе принятия решений все соответствующие элементы, необходимые для точного определения этого показателя.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3558A1" w:rsidP="001F36DD">
            <w:pPr>
              <w:pStyle w:val="Tabletext"/>
              <w:rPr>
                <w:sz w:val="18"/>
                <w:szCs w:val="18"/>
                <w:highlight w:val="yellow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Будет проведено исследование для последовательного определения начиная с 2016</w:t>
            </w:r>
            <w:r w:rsidR="001F36DD" w:rsidRPr="0087022F">
              <w:rPr>
                <w:sz w:val="18"/>
                <w:szCs w:val="18"/>
                <w:lang w:val="ru-RU"/>
              </w:rPr>
              <w:t> </w:t>
            </w:r>
            <w:r w:rsidRPr="0087022F">
              <w:rPr>
                <w:sz w:val="18"/>
                <w:szCs w:val="18"/>
                <w:lang w:val="ru-RU"/>
              </w:rPr>
              <w:t>года основы для установления значения возмещения затрат, которое будет относиться на мероприятие ITU </w:t>
            </w:r>
            <w:proofErr w:type="spellStart"/>
            <w:r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sz w:val="18"/>
                <w:szCs w:val="18"/>
                <w:lang w:val="ru-RU"/>
              </w:rPr>
              <w:t>. Суммы на 2014 и 2015 годы уже определены в бюджете МСЭ на этот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1B0822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Детальное исследование размера взимаемой суммы возмещения затрат </w:t>
            </w:r>
            <w:r w:rsidR="00AB37BA" w:rsidRPr="0087022F">
              <w:rPr>
                <w:sz w:val="18"/>
                <w:szCs w:val="18"/>
                <w:lang w:val="ru-RU"/>
              </w:rPr>
              <w:t>для</w:t>
            </w:r>
            <w:r w:rsidR="003558A1" w:rsidRPr="0087022F">
              <w:rPr>
                <w:sz w:val="18"/>
                <w:szCs w:val="18"/>
                <w:lang w:val="ru-RU"/>
              </w:rPr>
              <w:t xml:space="preserve"> ITU </w:t>
            </w:r>
            <w:proofErr w:type="spellStart"/>
            <w:r w:rsidR="003558A1"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="003558A1" w:rsidRPr="0087022F">
              <w:rPr>
                <w:sz w:val="18"/>
                <w:szCs w:val="18"/>
                <w:lang w:val="ru-RU"/>
              </w:rPr>
              <w:t xml:space="preserve"> </w:t>
            </w:r>
            <w:r w:rsidRPr="0087022F">
              <w:rPr>
                <w:sz w:val="18"/>
                <w:szCs w:val="18"/>
                <w:lang w:val="ru-RU"/>
              </w:rPr>
              <w:t xml:space="preserve">завершено </w:t>
            </w:r>
            <w:r w:rsidR="00B11A7A" w:rsidRPr="0087022F">
              <w:rPr>
                <w:sz w:val="18"/>
                <w:szCs w:val="18"/>
                <w:lang w:val="ru-RU"/>
              </w:rPr>
              <w:t>в связи с Рекомендацией 3</w:t>
            </w:r>
            <w:r w:rsidR="003558A1" w:rsidRPr="0087022F">
              <w:rPr>
                <w:sz w:val="18"/>
                <w:szCs w:val="18"/>
                <w:lang w:val="ru-RU"/>
              </w:rPr>
              <w:t xml:space="preserve"> 2013</w:t>
            </w:r>
            <w:r w:rsidR="00895FCC" w:rsidRPr="0087022F">
              <w:rPr>
                <w:sz w:val="18"/>
                <w:szCs w:val="18"/>
                <w:lang w:val="ru-RU"/>
              </w:rPr>
              <w:t> </w:t>
            </w:r>
            <w:r w:rsidR="00B11A7A" w:rsidRPr="0087022F">
              <w:rPr>
                <w:sz w:val="18"/>
                <w:szCs w:val="18"/>
                <w:lang w:val="ru-RU"/>
              </w:rPr>
              <w:t>г</w:t>
            </w:r>
            <w:r w:rsidR="001F36DD" w:rsidRPr="0087022F">
              <w:rPr>
                <w:sz w:val="18"/>
                <w:szCs w:val="18"/>
                <w:lang w:val="ru-RU"/>
              </w:rPr>
              <w:t>ода</w:t>
            </w:r>
            <w:r w:rsidR="00B11A7A" w:rsidRPr="0087022F">
              <w:rPr>
                <w:sz w:val="18"/>
                <w:szCs w:val="18"/>
                <w:lang w:val="ru-RU"/>
              </w:rPr>
              <w:t xml:space="preserve">. </w:t>
            </w:r>
            <w:r w:rsidR="008D0180" w:rsidRPr="0087022F">
              <w:rPr>
                <w:sz w:val="18"/>
                <w:szCs w:val="18"/>
                <w:lang w:val="ru-RU"/>
              </w:rPr>
              <w:t>Работа завершена</w:t>
            </w:r>
            <w:r w:rsidR="001F36DD" w:rsidRPr="0087022F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="00AB37BA" w:rsidRPr="0087022F">
              <w:rPr>
                <w:sz w:val="18"/>
                <w:szCs w:val="18"/>
                <w:lang w:val="ru-RU"/>
              </w:rPr>
              <w:t>Выпонено</w:t>
            </w:r>
            <w:proofErr w:type="spellEnd"/>
            <w:r w:rsidR="003558A1" w:rsidRPr="0087022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8D0180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Выполнено</w:t>
            </w:r>
            <w:r w:rsidR="001F36DD" w:rsidRPr="0087022F">
              <w:rPr>
                <w:sz w:val="18"/>
                <w:szCs w:val="18"/>
                <w:lang w:val="ru-RU"/>
              </w:rPr>
              <w:t>.</w:t>
            </w:r>
          </w:p>
        </w:tc>
      </w:tr>
      <w:tr w:rsidR="003558A1" w:rsidRPr="0087022F" w:rsidTr="004A6176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3558A1" w:rsidP="001F36DD">
            <w:pPr>
              <w:pStyle w:val="Tabletext"/>
              <w:rPr>
                <w:b/>
                <w:sz w:val="18"/>
                <w:szCs w:val="18"/>
                <w:lang w:val="ru-RU"/>
              </w:rPr>
            </w:pPr>
            <w:r w:rsidRPr="0087022F">
              <w:rPr>
                <w:b/>
                <w:sz w:val="18"/>
                <w:szCs w:val="18"/>
                <w:lang w:val="ru-RU"/>
              </w:rPr>
              <w:t>Рек. 4</w:t>
            </w:r>
            <w:r w:rsidR="001F36DD" w:rsidRPr="0087022F">
              <w:rPr>
                <w:b/>
                <w:sz w:val="18"/>
                <w:szCs w:val="18"/>
                <w:lang w:val="ru-RU"/>
              </w:rPr>
              <w:br/>
            </w:r>
            <w:r w:rsidRPr="0087022F">
              <w:rPr>
                <w:b/>
                <w:sz w:val="18"/>
                <w:szCs w:val="18"/>
                <w:lang w:val="ru-RU"/>
              </w:rPr>
              <w:t>2012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3558A1" w:rsidP="001F36DD">
            <w:pPr>
              <w:pStyle w:val="Tabletext"/>
              <w:tabs>
                <w:tab w:val="clear" w:pos="2835"/>
              </w:tabs>
              <w:ind w:right="-29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Вместе с тем в пункте 5.6 раздела решает Резолюции 11 (</w:t>
            </w:r>
            <w:proofErr w:type="spellStart"/>
            <w:r w:rsidRPr="0087022F">
              <w:rPr>
                <w:sz w:val="18"/>
                <w:szCs w:val="18"/>
                <w:lang w:val="ru-RU"/>
              </w:rPr>
              <w:t>Пересм</w:t>
            </w:r>
            <w:proofErr w:type="spellEnd"/>
            <w:r w:rsidRPr="0087022F">
              <w:rPr>
                <w:sz w:val="18"/>
                <w:szCs w:val="18"/>
                <w:lang w:val="ru-RU"/>
              </w:rPr>
              <w:t xml:space="preserve">. Гвадалахара, 2010 г.) предусматривается "согласование фиксированных мест проведения трех последовательных мероприятий, после чего будет проведен новый конкурс для следующих трех мероприятий в фиксированном месте". Вследствие этого, хотя мы понимаем, какие затруднения испытывает руководство, и то, что это первый год выполнений Резолюции 11, </w:t>
            </w:r>
            <w:r w:rsidRPr="0087022F">
              <w:rPr>
                <w:sz w:val="18"/>
                <w:szCs w:val="18"/>
                <w:u w:val="single"/>
                <w:lang w:val="ru-RU"/>
              </w:rPr>
              <w:t>мы рекомендуем</w:t>
            </w:r>
            <w:r w:rsidRPr="0087022F">
              <w:rPr>
                <w:sz w:val="18"/>
                <w:szCs w:val="18"/>
                <w:lang w:val="ru-RU"/>
              </w:rPr>
              <w:t xml:space="preserve"> начать проводить в последующие годы конкурсы, с тем чтобы выполнить требования Резолюции.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3558A1" w:rsidP="001F36DD">
            <w:pPr>
              <w:pStyle w:val="Tabletext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Посредством циркулярного письма, рассылаемого всем Государствам-Членам, МСЭ предлагает странам, заинтересованным в принятии у себя мероприятий ITU </w:t>
            </w:r>
            <w:proofErr w:type="spellStart"/>
            <w:r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sz w:val="18"/>
                <w:szCs w:val="18"/>
                <w:lang w:val="ru-RU"/>
              </w:rPr>
              <w:t>, представлять заявки. На сегодняшний день большинство предложений ограничиваются проведением одного мероприятия.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895FCC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Проведение мероприятий</w:t>
            </w:r>
            <w:r w:rsidR="003558A1" w:rsidRPr="0087022F">
              <w:rPr>
                <w:sz w:val="18"/>
                <w:szCs w:val="18"/>
                <w:lang w:val="ru-RU"/>
              </w:rPr>
              <w:t xml:space="preserve"> ITU </w:t>
            </w:r>
            <w:proofErr w:type="spellStart"/>
            <w:r w:rsidR="003558A1"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="003558A1" w:rsidRPr="0087022F">
              <w:rPr>
                <w:sz w:val="18"/>
                <w:szCs w:val="18"/>
                <w:lang w:val="ru-RU"/>
              </w:rPr>
              <w:t xml:space="preserve"> </w:t>
            </w:r>
            <w:r w:rsidRPr="0087022F">
              <w:rPr>
                <w:sz w:val="18"/>
                <w:szCs w:val="18"/>
                <w:lang w:val="ru-RU"/>
              </w:rPr>
              <w:t>и далее будет базироваться</w:t>
            </w:r>
            <w:r w:rsidR="008D0180" w:rsidRPr="0087022F">
              <w:rPr>
                <w:sz w:val="18"/>
                <w:szCs w:val="18"/>
                <w:lang w:val="ru-RU"/>
              </w:rPr>
              <w:t xml:space="preserve"> на рассмотрении предложений, полученных от потенциальных принимающих стран</w:t>
            </w:r>
            <w:r w:rsidR="003558A1" w:rsidRPr="0087022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58A1" w:rsidRPr="0087022F" w:rsidRDefault="008D0180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Выполнено.</w:t>
            </w:r>
          </w:p>
        </w:tc>
      </w:tr>
      <w:tr w:rsidR="00C8646A" w:rsidRPr="0087022F" w:rsidTr="004A6176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8D0180" w:rsidP="001F36DD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b/>
                <w:bCs/>
                <w:sz w:val="18"/>
                <w:szCs w:val="18"/>
                <w:lang w:val="ru-RU"/>
              </w:rPr>
              <w:lastRenderedPageBreak/>
              <w:t>Рек. 1</w:t>
            </w:r>
            <w:r w:rsidR="001F36DD" w:rsidRPr="0087022F">
              <w:rPr>
                <w:b/>
                <w:bCs/>
                <w:sz w:val="18"/>
                <w:szCs w:val="18"/>
                <w:lang w:val="ru-RU"/>
              </w:rPr>
              <w:br/>
            </w:r>
            <w:r w:rsidR="00C8646A" w:rsidRPr="0087022F">
              <w:rPr>
                <w:b/>
                <w:bCs/>
                <w:sz w:val="18"/>
                <w:szCs w:val="18"/>
                <w:lang w:val="ru-RU"/>
              </w:rPr>
              <w:t>2013</w:t>
            </w:r>
            <w:r w:rsidRPr="0087022F">
              <w:rPr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3558A1" w:rsidP="001F36DD">
            <w:pPr>
              <w:spacing w:before="40" w:after="40"/>
              <w:ind w:right="-29"/>
              <w:rPr>
                <w:bCs/>
                <w:sz w:val="18"/>
                <w:szCs w:val="18"/>
                <w:lang w:val="ru-RU"/>
              </w:rPr>
            </w:pPr>
            <w:r w:rsidRPr="0087022F">
              <w:rPr>
                <w:bCs/>
                <w:sz w:val="18"/>
                <w:szCs w:val="18"/>
                <w:lang w:val="ru-RU"/>
              </w:rPr>
              <w:t xml:space="preserve">Мы считаем, что бюджет должен быть основан на более реалистичных и достижимых бюджетных допущениях, с тем чтобы избежать нагрузки по его пересмотру. В связи с этим </w:t>
            </w:r>
            <w:r w:rsidRPr="0087022F">
              <w:rPr>
                <w:bCs/>
                <w:sz w:val="18"/>
                <w:szCs w:val="18"/>
                <w:u w:val="single"/>
                <w:lang w:val="ru-RU"/>
              </w:rPr>
              <w:t>мы рекомендуем</w:t>
            </w:r>
            <w:r w:rsidRPr="0087022F">
              <w:rPr>
                <w:bCs/>
                <w:sz w:val="18"/>
                <w:szCs w:val="18"/>
                <w:lang w:val="ru-RU"/>
              </w:rPr>
              <w:t>, чтобы бюджет отражал реалистичные и достижимые допущения.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3558A1" w:rsidP="001F36DD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Будут продолжены усилия, направленные на уточнение бюджетных допущений при одновременном учете поддержки, оказываемой принимающими странами, что обуславливает необходимость адекватного планирования МСЭ непредвиденных затрат.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8D0180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В соответствии с рекомендацией 1 2012 г</w:t>
            </w:r>
            <w:r w:rsidR="001F36DD" w:rsidRPr="0087022F">
              <w:rPr>
                <w:sz w:val="18"/>
                <w:szCs w:val="18"/>
                <w:lang w:val="ru-RU"/>
              </w:rPr>
              <w:t>ода</w:t>
            </w:r>
            <w:r w:rsidRPr="0087022F">
              <w:rPr>
                <w:sz w:val="18"/>
                <w:szCs w:val="18"/>
                <w:lang w:val="ru-RU"/>
              </w:rPr>
              <w:t xml:space="preserve"> Счетной палаты Италии</w:t>
            </w:r>
            <w:r w:rsidR="00676276" w:rsidRPr="0087022F">
              <w:rPr>
                <w:sz w:val="18"/>
                <w:szCs w:val="18"/>
                <w:lang w:val="ru-RU"/>
              </w:rPr>
              <w:t>, а также с данной рекомендацией бюджет Всемирного мероприятия</w:t>
            </w:r>
            <w:r w:rsidR="00C8646A" w:rsidRPr="0087022F">
              <w:rPr>
                <w:sz w:val="18"/>
                <w:szCs w:val="18"/>
                <w:lang w:val="ru-RU"/>
              </w:rPr>
              <w:t xml:space="preserve"> ITU Telecom</w:t>
            </w:r>
            <w:r w:rsidR="00676276" w:rsidRPr="0087022F">
              <w:rPr>
                <w:sz w:val="18"/>
                <w:szCs w:val="18"/>
                <w:lang w:val="ru-RU"/>
              </w:rPr>
              <w:t>-</w:t>
            </w:r>
            <w:r w:rsidR="00C8646A" w:rsidRPr="0087022F">
              <w:rPr>
                <w:sz w:val="18"/>
                <w:szCs w:val="18"/>
                <w:lang w:val="ru-RU"/>
              </w:rPr>
              <w:t xml:space="preserve">2014 </w:t>
            </w:r>
            <w:r w:rsidR="00676276" w:rsidRPr="0087022F">
              <w:rPr>
                <w:sz w:val="18"/>
                <w:szCs w:val="18"/>
                <w:lang w:val="ru-RU"/>
              </w:rPr>
              <w:t>был пересмотрен</w:t>
            </w:r>
            <w:r w:rsidR="001F36DD" w:rsidRPr="0087022F">
              <w:rPr>
                <w:sz w:val="18"/>
                <w:szCs w:val="18"/>
                <w:lang w:val="ru-RU"/>
              </w:rPr>
              <w:t xml:space="preserve">. </w:t>
            </w:r>
            <w:r w:rsidRPr="0087022F">
              <w:rPr>
                <w:sz w:val="18"/>
                <w:szCs w:val="18"/>
                <w:lang w:val="ru-RU"/>
              </w:rPr>
              <w:t>Работа завершена</w:t>
            </w:r>
            <w:r w:rsidR="00C8646A" w:rsidRPr="0087022F">
              <w:rPr>
                <w:sz w:val="18"/>
                <w:szCs w:val="18"/>
                <w:lang w:val="ru-RU"/>
              </w:rPr>
              <w:t xml:space="preserve">. </w:t>
            </w:r>
            <w:r w:rsidRPr="0087022F">
              <w:rPr>
                <w:sz w:val="18"/>
                <w:szCs w:val="18"/>
                <w:lang w:val="ru-RU"/>
              </w:rPr>
              <w:t>Выполнено</w:t>
            </w:r>
            <w:r w:rsidR="00C8646A" w:rsidRPr="0087022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8D0180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Выполнено.</w:t>
            </w:r>
          </w:p>
        </w:tc>
      </w:tr>
      <w:tr w:rsidR="00C8646A" w:rsidRPr="0087022F" w:rsidTr="004A6176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AB37BA" w:rsidP="001F36DD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b/>
                <w:bCs/>
                <w:sz w:val="18"/>
                <w:szCs w:val="18"/>
                <w:lang w:val="ru-RU"/>
              </w:rPr>
              <w:t>Рек. </w:t>
            </w:r>
            <w:r w:rsidR="00C8646A" w:rsidRPr="0087022F"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1F36DD" w:rsidRPr="0087022F">
              <w:rPr>
                <w:b/>
                <w:bCs/>
                <w:sz w:val="18"/>
                <w:szCs w:val="18"/>
                <w:lang w:val="ru-RU"/>
              </w:rPr>
              <w:br/>
            </w:r>
            <w:r w:rsidR="008D0180" w:rsidRPr="0087022F">
              <w:rPr>
                <w:b/>
                <w:bCs/>
                <w:sz w:val="18"/>
                <w:szCs w:val="18"/>
                <w:lang w:val="ru-RU"/>
              </w:rPr>
              <w:t>2013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C04ACE" w:rsidP="001F36DD">
            <w:pPr>
              <w:spacing w:before="40" w:after="40"/>
              <w:ind w:right="-29"/>
              <w:rPr>
                <w:bCs/>
                <w:sz w:val="18"/>
                <w:szCs w:val="18"/>
                <w:lang w:val="ru-RU"/>
              </w:rPr>
            </w:pPr>
            <w:r w:rsidRPr="0087022F">
              <w:rPr>
                <w:bCs/>
                <w:sz w:val="18"/>
                <w:szCs w:val="18"/>
                <w:lang w:val="ru-RU"/>
              </w:rPr>
              <w:t xml:space="preserve">Поступление некоторого объема доходов от повышения категории пропусков, реализованного непосредственно в виде расчетов за наличные при открытии мероприятия, не было своевременно зарегистрировано в системе и было официально закреплено лишь позднее. </w:t>
            </w:r>
            <w:r w:rsidRPr="0087022F">
              <w:rPr>
                <w:sz w:val="18"/>
                <w:szCs w:val="18"/>
                <w:lang w:val="ru-RU"/>
              </w:rPr>
              <w:t xml:space="preserve">Хотя это нарушение носит несущественный характер, </w:t>
            </w:r>
            <w:r w:rsidRPr="0087022F">
              <w:rPr>
                <w:sz w:val="18"/>
                <w:szCs w:val="18"/>
                <w:u w:val="single"/>
                <w:lang w:val="ru-RU"/>
              </w:rPr>
              <w:t>мы рекомендуем</w:t>
            </w:r>
            <w:r w:rsidRPr="0087022F">
              <w:rPr>
                <w:sz w:val="18"/>
                <w:szCs w:val="18"/>
                <w:lang w:val="ru-RU"/>
              </w:rPr>
              <w:t xml:space="preserve"> принять стандартную процедуру для таких случаев.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C04ACE" w:rsidP="001F36DD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Будет обеспечена стандартная письменная процедура, касающаяся повышения категории пропусков. В настоящее время обсуждается возможность того, чтобы повышение категории отражалось в системе группой по вопросам регистрации во вспомогательном офисе в конце дня. Изучается возможность использования технического решения для повышения категории в системе регистрации.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C55F27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До Всемирного мероприятия</w:t>
            </w:r>
            <w:r w:rsidR="00C8646A" w:rsidRPr="0087022F">
              <w:rPr>
                <w:sz w:val="18"/>
                <w:szCs w:val="18"/>
                <w:lang w:val="ru-RU"/>
              </w:rPr>
              <w:t xml:space="preserve"> </w:t>
            </w:r>
            <w:r w:rsidRPr="0087022F">
              <w:rPr>
                <w:sz w:val="18"/>
                <w:szCs w:val="18"/>
                <w:lang w:val="ru-RU"/>
              </w:rPr>
              <w:t xml:space="preserve">ITU Telecom-2014 была установлена процедура повышения категории пропусков и </w:t>
            </w:r>
            <w:r w:rsidR="00F30D9B" w:rsidRPr="0087022F">
              <w:rPr>
                <w:sz w:val="18"/>
                <w:szCs w:val="18"/>
                <w:lang w:val="ru-RU"/>
              </w:rPr>
              <w:t>экземпляр описания этой процедуры</w:t>
            </w:r>
            <w:r w:rsidRPr="0087022F">
              <w:rPr>
                <w:sz w:val="18"/>
                <w:szCs w:val="18"/>
                <w:lang w:val="ru-RU"/>
              </w:rPr>
              <w:t xml:space="preserve"> предоставлен Аудитору.</w:t>
            </w:r>
            <w:r w:rsidR="00C8646A" w:rsidRPr="0087022F">
              <w:rPr>
                <w:sz w:val="18"/>
                <w:szCs w:val="18"/>
                <w:lang w:val="ru-RU"/>
              </w:rPr>
              <w:t xml:space="preserve"> </w:t>
            </w:r>
            <w:r w:rsidR="008D0180" w:rsidRPr="0087022F">
              <w:rPr>
                <w:sz w:val="18"/>
                <w:szCs w:val="18"/>
                <w:lang w:val="ru-RU"/>
              </w:rPr>
              <w:t>Работа завершена</w:t>
            </w:r>
            <w:r w:rsidR="00C8646A" w:rsidRPr="0087022F">
              <w:rPr>
                <w:sz w:val="18"/>
                <w:szCs w:val="18"/>
                <w:lang w:val="ru-RU"/>
              </w:rPr>
              <w:t xml:space="preserve">. </w:t>
            </w:r>
            <w:r w:rsidR="008D0180" w:rsidRPr="0087022F">
              <w:rPr>
                <w:sz w:val="18"/>
                <w:szCs w:val="18"/>
                <w:lang w:val="ru-RU"/>
              </w:rPr>
              <w:t>Выполнено</w:t>
            </w:r>
            <w:r w:rsidR="00C8646A" w:rsidRPr="0087022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8D0180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Выполнено.</w:t>
            </w:r>
          </w:p>
        </w:tc>
      </w:tr>
      <w:tr w:rsidR="00C8646A" w:rsidRPr="0087022F" w:rsidTr="004A6176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AB37BA" w:rsidP="001F36DD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b/>
                <w:bCs/>
                <w:sz w:val="18"/>
                <w:szCs w:val="18"/>
                <w:lang w:val="ru-RU"/>
              </w:rPr>
              <w:t>Рек. </w:t>
            </w:r>
            <w:r w:rsidR="00C8646A" w:rsidRPr="0087022F">
              <w:rPr>
                <w:b/>
                <w:bCs/>
                <w:sz w:val="18"/>
                <w:szCs w:val="18"/>
                <w:lang w:val="ru-RU"/>
              </w:rPr>
              <w:t>3</w:t>
            </w:r>
            <w:r w:rsidR="001F36DD" w:rsidRPr="0087022F">
              <w:rPr>
                <w:b/>
                <w:bCs/>
                <w:sz w:val="18"/>
                <w:szCs w:val="18"/>
                <w:lang w:val="ru-RU"/>
              </w:rPr>
              <w:br/>
            </w:r>
            <w:r w:rsidR="008D0180" w:rsidRPr="0087022F">
              <w:rPr>
                <w:b/>
                <w:bCs/>
                <w:sz w:val="18"/>
                <w:szCs w:val="18"/>
                <w:lang w:val="ru-RU"/>
              </w:rPr>
              <w:t>2013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A855DC" w:rsidP="001F36DD">
            <w:pPr>
              <w:spacing w:before="40" w:after="40"/>
              <w:ind w:right="-29"/>
              <w:rPr>
                <w:bCs/>
                <w:sz w:val="18"/>
                <w:szCs w:val="18"/>
                <w:lang w:val="ru-RU"/>
              </w:rPr>
            </w:pPr>
            <w:r w:rsidRPr="0087022F">
              <w:rPr>
                <w:bCs/>
                <w:sz w:val="18"/>
                <w:szCs w:val="18"/>
                <w:lang w:val="ru-RU"/>
              </w:rPr>
              <w:t xml:space="preserve">С учетом того, что в последнее время не проводился анализ величины и структуры этой общей суммы, </w:t>
            </w:r>
            <w:r w:rsidRPr="0087022F">
              <w:rPr>
                <w:bCs/>
                <w:sz w:val="18"/>
                <w:szCs w:val="18"/>
                <w:u w:val="single"/>
                <w:lang w:val="ru-RU"/>
              </w:rPr>
              <w:t>мы рекомендуем</w:t>
            </w:r>
            <w:r w:rsidRPr="0087022F">
              <w:rPr>
                <w:bCs/>
                <w:sz w:val="18"/>
                <w:szCs w:val="18"/>
                <w:lang w:val="ru-RU"/>
              </w:rPr>
              <w:t xml:space="preserve"> руководству предоставить четкую основу для определения размера возмещения затрат.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A855DC" w:rsidP="001F36DD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Суммы возмещения затрат за 2014 и 2015 годы уже определены в утвержденном двухгодичном бюджете. Что касается возмещения затрат начиная с 2016 года, будет проведено подробное исследование, которое составит основу для установления платы.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234A1D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Подробное</w:t>
            </w:r>
            <w:r w:rsidR="00F30D9B" w:rsidRPr="0087022F">
              <w:rPr>
                <w:sz w:val="18"/>
                <w:szCs w:val="18"/>
                <w:lang w:val="ru-RU"/>
              </w:rPr>
              <w:t xml:space="preserve"> исследование размера сумм возмещения затрат для</w:t>
            </w:r>
            <w:r w:rsidR="00C8646A" w:rsidRPr="0087022F">
              <w:rPr>
                <w:sz w:val="18"/>
                <w:szCs w:val="18"/>
                <w:lang w:val="ru-RU"/>
              </w:rPr>
              <w:t xml:space="preserve"> ITU </w:t>
            </w:r>
            <w:proofErr w:type="spellStart"/>
            <w:r w:rsidR="00C8646A"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="00C8646A" w:rsidRPr="0087022F">
              <w:rPr>
                <w:sz w:val="18"/>
                <w:szCs w:val="18"/>
                <w:lang w:val="ru-RU"/>
              </w:rPr>
              <w:t xml:space="preserve"> </w:t>
            </w:r>
            <w:r w:rsidR="00F30D9B" w:rsidRPr="0087022F">
              <w:rPr>
                <w:sz w:val="18"/>
                <w:szCs w:val="18"/>
                <w:lang w:val="ru-RU"/>
              </w:rPr>
              <w:t xml:space="preserve">проведено в соответствии с рекомендацией 3 </w:t>
            </w:r>
            <w:r w:rsidR="00C8646A" w:rsidRPr="0087022F">
              <w:rPr>
                <w:sz w:val="18"/>
                <w:szCs w:val="18"/>
                <w:lang w:val="ru-RU"/>
              </w:rPr>
              <w:t>2012</w:t>
            </w:r>
            <w:r w:rsidR="00F30D9B" w:rsidRPr="0087022F">
              <w:rPr>
                <w:sz w:val="18"/>
                <w:szCs w:val="18"/>
                <w:lang w:val="ru-RU"/>
              </w:rPr>
              <w:t> г</w:t>
            </w:r>
            <w:r w:rsidR="001F36DD" w:rsidRPr="0087022F">
              <w:rPr>
                <w:sz w:val="18"/>
                <w:szCs w:val="18"/>
                <w:lang w:val="ru-RU"/>
              </w:rPr>
              <w:t>ода.</w:t>
            </w:r>
            <w:r w:rsidR="00C8646A" w:rsidRPr="0087022F">
              <w:rPr>
                <w:sz w:val="18"/>
                <w:szCs w:val="18"/>
                <w:lang w:val="ru-RU"/>
              </w:rPr>
              <w:t xml:space="preserve"> </w:t>
            </w:r>
            <w:r w:rsidR="008D0180" w:rsidRPr="0087022F">
              <w:rPr>
                <w:sz w:val="18"/>
                <w:szCs w:val="18"/>
                <w:lang w:val="ru-RU"/>
              </w:rPr>
              <w:t>Работа завершена</w:t>
            </w:r>
            <w:r w:rsidR="00C8646A" w:rsidRPr="0087022F">
              <w:rPr>
                <w:sz w:val="18"/>
                <w:szCs w:val="18"/>
                <w:lang w:val="ru-RU"/>
              </w:rPr>
              <w:t xml:space="preserve">. </w:t>
            </w:r>
            <w:r w:rsidR="008D0180" w:rsidRPr="0087022F">
              <w:rPr>
                <w:sz w:val="18"/>
                <w:szCs w:val="18"/>
                <w:lang w:val="ru-RU"/>
              </w:rPr>
              <w:t>Выполнено</w:t>
            </w:r>
            <w:r w:rsidR="00C8646A" w:rsidRPr="0087022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8D0180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Выполнено.</w:t>
            </w:r>
          </w:p>
        </w:tc>
      </w:tr>
      <w:tr w:rsidR="00C8646A" w:rsidRPr="0087022F" w:rsidTr="004A6176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234A1D" w:rsidP="001F36DD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b/>
                <w:bCs/>
                <w:sz w:val="18"/>
                <w:szCs w:val="18"/>
                <w:lang w:val="ru-RU"/>
              </w:rPr>
              <w:t>Рек. </w:t>
            </w:r>
            <w:r w:rsidR="00C8646A" w:rsidRPr="0087022F">
              <w:rPr>
                <w:b/>
                <w:bCs/>
                <w:sz w:val="18"/>
                <w:szCs w:val="18"/>
                <w:lang w:val="ru-RU"/>
              </w:rPr>
              <w:t>4</w:t>
            </w:r>
            <w:r w:rsidR="001F36DD" w:rsidRPr="0087022F">
              <w:rPr>
                <w:b/>
                <w:bCs/>
                <w:sz w:val="18"/>
                <w:szCs w:val="18"/>
                <w:lang w:val="ru-RU"/>
              </w:rPr>
              <w:br/>
            </w:r>
            <w:r w:rsidR="008D0180" w:rsidRPr="0087022F">
              <w:rPr>
                <w:b/>
                <w:bCs/>
                <w:sz w:val="18"/>
                <w:szCs w:val="18"/>
                <w:lang w:val="ru-RU"/>
              </w:rPr>
              <w:t>2013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CA540F" w:rsidP="001F36DD">
            <w:pPr>
              <w:spacing w:before="40" w:after="40"/>
              <w:ind w:right="-29"/>
              <w:rPr>
                <w:bCs/>
                <w:sz w:val="18"/>
                <w:szCs w:val="18"/>
                <w:lang w:val="ru-RU"/>
              </w:rPr>
            </w:pPr>
            <w:r w:rsidRPr="0087022F">
              <w:rPr>
                <w:bCs/>
                <w:sz w:val="18"/>
                <w:szCs w:val="18"/>
                <w:u w:val="single"/>
                <w:lang w:val="ru-RU"/>
              </w:rPr>
              <w:t>Мы рекомендуем</w:t>
            </w:r>
            <w:r w:rsidRPr="0087022F">
              <w:rPr>
                <w:bCs/>
                <w:sz w:val="18"/>
                <w:szCs w:val="18"/>
                <w:lang w:val="ru-RU"/>
              </w:rPr>
              <w:t>, чтобы при организации мероприятий ITU-</w:t>
            </w:r>
            <w:proofErr w:type="spellStart"/>
            <w:r w:rsidRPr="0087022F">
              <w:rPr>
                <w:bCs/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bCs/>
                <w:sz w:val="18"/>
                <w:szCs w:val="18"/>
                <w:lang w:val="ru-RU"/>
              </w:rPr>
              <w:t xml:space="preserve"> сохранялась гарантированная возможность выбора и в случае безвозмездных услуг, предоставляемых принимающей страной.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CA540F" w:rsidP="001F36DD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МСЭ будет внимательно анализировать безвозмездные услуги, предлагаемые принимающей страной, и оценивать, насколько надлежащим является ожидаемый уровень качества.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8D0180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В процессе выполнения.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646A" w:rsidRPr="0087022F" w:rsidRDefault="008D0180" w:rsidP="001F36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В процессе выполнения.</w:t>
            </w:r>
          </w:p>
        </w:tc>
      </w:tr>
    </w:tbl>
    <w:p w:rsidR="00C8646A" w:rsidRPr="0087022F" w:rsidRDefault="005C3659" w:rsidP="006D0C65">
      <w:pPr>
        <w:pStyle w:val="Headingb"/>
        <w:spacing w:after="120"/>
        <w:jc w:val="center"/>
        <w:rPr>
          <w:lang w:val="ru-RU"/>
        </w:rPr>
      </w:pPr>
      <w:r w:rsidRPr="0087022F">
        <w:rPr>
          <w:lang w:val="ru-RU"/>
        </w:rPr>
        <w:lastRenderedPageBreak/>
        <w:t>Предложения</w:t>
      </w: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552"/>
        <w:gridCol w:w="1842"/>
        <w:gridCol w:w="1696"/>
      </w:tblGrid>
      <w:tr w:rsidR="00B00D46" w:rsidRPr="004249CF" w:rsidTr="005C3659">
        <w:trPr>
          <w:cantSplit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0F" w:rsidRPr="0087022F" w:rsidRDefault="00CA540F" w:rsidP="005C3659">
            <w:pPr>
              <w:spacing w:before="80" w:after="8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0F" w:rsidRPr="0087022F" w:rsidRDefault="005C3659" w:rsidP="005C3659">
            <w:pPr>
              <w:pStyle w:val="Tablehead"/>
              <w:tabs>
                <w:tab w:val="clear" w:pos="2268"/>
              </w:tabs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Предложение, представленное</w:t>
            </w:r>
            <w:r w:rsidR="00CA540F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7A08A3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Государственной с</w:t>
            </w:r>
            <w:r w:rsidR="00CA540F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четной палатой Италии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0F" w:rsidRPr="0087022F" w:rsidRDefault="00CA540F" w:rsidP="005C3659">
            <w:pPr>
              <w:pStyle w:val="Tablehead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Комментарии, полученные от Генерального секретаря во время опубликования отчета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0F" w:rsidRPr="0087022F" w:rsidRDefault="00CA540F" w:rsidP="005C3659">
            <w:pPr>
              <w:pStyle w:val="Tablehead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Статус выполнения по сообщению руководства МСЭ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0F" w:rsidRPr="0087022F" w:rsidRDefault="00CA540F" w:rsidP="005C3659">
            <w:pPr>
              <w:pStyle w:val="Tablehead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Статус мер, принятых руководством, по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оценке </w:t>
            </w:r>
            <w:r w:rsidR="007A08A3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Государственной счетной 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палаты Италии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</w:t>
            </w:r>
            <w:r w:rsidR="001F36DD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2012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A540F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Хотя в этом документе содержатся элементы обратной связи, мы нашли, что отсутствует прямая связь между KPI и общими целями, установленными в Резолюции</w:t>
            </w:r>
            <w:r w:rsidR="005C3659" w:rsidRPr="0087022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 </w:t>
            </w:r>
            <w:r w:rsidRPr="0087022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11. Ввиду этого </w:t>
            </w:r>
            <w:r w:rsidRPr="0087022F">
              <w:rPr>
                <w:rFonts w:asciiTheme="minorHAnsi" w:hAnsiTheme="minorHAnsi"/>
                <w:bCs/>
                <w:sz w:val="18"/>
                <w:szCs w:val="18"/>
                <w:u w:val="single"/>
                <w:lang w:val="ru-RU"/>
              </w:rPr>
              <w:t>мы предлагаем</w:t>
            </w:r>
            <w:r w:rsidRPr="0087022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для следующего мероприятия 2013 года принять, до начала мероприятия, точные и надежные KPI, связанные с согласованными в целом, надежными и поддающимися количественному измерению целями, взяв в качестве эталона Резолюцию 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A540F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Для будущих мероприятий ITU </w:t>
            </w:r>
            <w:proofErr w:type="spellStart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будут определены дополнительные KPI для отражения положений Резолюции 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F30D9B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Были установлены, измерены, проанализированы и представлены Внешнему аудитору дополнительные и актуальные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KPI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для мероприятий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2013 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2014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 годов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Это стало стандартной процедурой для каждого мероприятия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 </w:t>
            </w:r>
            <w:r w:rsidR="008D0180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3</w:t>
            </w:r>
            <w:r w:rsidR="005C3659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2012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7B3795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Cs/>
                <w:sz w:val="18"/>
                <w:szCs w:val="18"/>
                <w:u w:val="single"/>
                <w:lang w:val="ru-RU"/>
              </w:rPr>
              <w:t>Мы</w:t>
            </w:r>
            <w:r w:rsidRPr="0087022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сознаем, что руководство считает гибкость важным фактором привлечения участников, но </w:t>
            </w:r>
            <w:r w:rsidRPr="0087022F">
              <w:rPr>
                <w:rFonts w:asciiTheme="minorHAnsi" w:hAnsiTheme="minorHAnsi"/>
                <w:bCs/>
                <w:sz w:val="18"/>
                <w:szCs w:val="18"/>
                <w:u w:val="single"/>
                <w:lang w:val="ru-RU"/>
              </w:rPr>
              <w:t>предлагаем</w:t>
            </w:r>
            <w:r w:rsidRPr="0087022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в дальнейшем вести мониторинг результатов проведения этой политики, определяя степень ее соответствия и оценивая ее воздействие на доходы от продаж, не только чтобы принять решение относительно того, следует ли ее сохранять, но и для того, чтобы точнее прогнозировать доходы в бюджете.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7B3795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Гибкость, обеспечиваемая политикой предоставления скидок, позволила ITU </w:t>
            </w:r>
            <w:proofErr w:type="spellStart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привлечь ключевых участников отрасли и обеспечить их участие. ITU </w:t>
            </w:r>
            <w:proofErr w:type="spellStart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продолжит мониторинг этой политики, чтобы обеспечить эффективное достижение ею своей цели и отражение развития нашей стремительно меняющейся экосистемы. Скидки – это лишь один из нескольких элементов, которые партнеры/клиенты рассматривают перед принятием решения относительно участия. Между доходами и политикой предоставления скидок нет прямой взаимосвязи.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ITU </w:t>
            </w:r>
            <w:proofErr w:type="spellStart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30D9B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продолжает мониторинг политики предоставления скидок и обеспечение эффективности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r w:rsidR="008D0180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</w:t>
            </w:r>
            <w:r w:rsidR="00F30D9B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="008D0180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процессе выполнения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lastRenderedPageBreak/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</w:t>
            </w:r>
            <w:r w:rsidR="005C3659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2012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7A08A3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Мы узнали от руководства, что бартерные сделки были важны для Всемирного мероприятия ITU Telecom-2012 не только для привлечения компаний и инвесторов, но и для приобретения существенно необходимых услуг и продуктов. Мы отметили, что оценка таких услуг, в частности, расчет выгод для МСЭ, как правило, основывается на опубликованной рыночной стоимости, приводимой в тарифных справочниках. В то же время, когда такая информация отсутствует, иногда составляется смета. Ввиду этого </w:t>
            </w:r>
            <w:r w:rsidRPr="0087022F">
              <w:rPr>
                <w:rFonts w:asciiTheme="minorHAnsi" w:hAnsiTheme="minorHAnsi"/>
                <w:bCs/>
                <w:sz w:val="18"/>
                <w:szCs w:val="18"/>
                <w:u w:val="single"/>
                <w:lang w:val="ru-RU"/>
              </w:rPr>
              <w:t>мы предлагаем</w:t>
            </w:r>
            <w:r w:rsidRPr="0087022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, чтобы информация относительно выгод для МСЭ, а также услуг, предоставляемых МСЭ, более четко представлялась в виде, поддающемся количественному измерению, чтобы нагляднее показать, насколько та или иная бартерная сделка выгодна для МСЭ.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7A08A3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Бартерные соглашения важны для привлечения компаний/инвесторов и экономически эффективного приобретения имеющих существенное значение услуг/товаров. Все возможности заключения бартерных сделок тщательно оцениваются, и информация относительно выгод для МСЭ, а также услуг, предоставляемых МСЭ, имеется в наличии.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Работа завершена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</w:t>
            </w:r>
            <w:r w:rsidR="005C3659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</w:t>
            </w:r>
            <w:r w:rsidR="00072413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0D0496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Пересмотренный бюджет и фактическое состояние дел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C8646A" w:rsidRPr="0087022F" w:rsidRDefault="007A08A3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Cs/>
                <w:sz w:val="18"/>
                <w:szCs w:val="18"/>
                <w:u w:val="single"/>
                <w:lang w:val="ru-RU"/>
              </w:rPr>
              <w:t>Мы предлагаем</w:t>
            </w:r>
            <w:r w:rsidRPr="0087022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добавлять упоминание о фактическом состоянии доходов и расходов при подготовке пересмотренного бюджета, поскольку мы считаем эту информацию инструментом более эффективной оценки.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0D0496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7A08A3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ходе каждого пересмотра бюджета всегда учитываются фактические доходы и расходы, объемы которых постоянно изменяются. Актуальные показатели будут предоставляться в отдельном от бюджета документе.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0D0496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072413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Работа завершена. </w:t>
            </w:r>
            <w:r w:rsidR="008D0180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0D0496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</w:t>
            </w:r>
            <w:r w:rsidR="00B00D46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2013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170E25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Категории 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KPI </w:t>
            </w:r>
          </w:p>
          <w:p w:rsidR="00C8646A" w:rsidRPr="0087022F" w:rsidRDefault="000D0496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Мы считаем, что было бы полезно улучшить определение категорий, чтобы четко показать KPI и обеспечить более подробное описание, и поэтому </w:t>
            </w:r>
            <w:r w:rsidRPr="0087022F">
              <w:rPr>
                <w:sz w:val="18"/>
                <w:szCs w:val="18"/>
                <w:u w:val="single"/>
                <w:lang w:val="ru-RU"/>
              </w:rPr>
              <w:t>мы предлагаем</w:t>
            </w:r>
            <w:r w:rsidRPr="0087022F">
              <w:rPr>
                <w:sz w:val="18"/>
                <w:szCs w:val="18"/>
                <w:lang w:val="ru-RU"/>
              </w:rPr>
              <w:t xml:space="preserve"> это сделать.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170E25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KPI были определены и отслеживаются. Будет продолжаться деятельность по совершенствованию KPI и их использованию для руководства разработкой и организацией Всемирных мероприятий ITU </w:t>
            </w:r>
            <w:proofErr w:type="spellStart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B00D46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lastRenderedPageBreak/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3</w:t>
            </w:r>
            <w:r w:rsidR="00B00D46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2013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66165D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Скидки</w:t>
            </w:r>
          </w:p>
          <w:p w:rsidR="00C8646A" w:rsidRPr="0087022F" w:rsidRDefault="00B00D46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u w:val="single"/>
                <w:lang w:val="ru-RU"/>
              </w:rPr>
              <w:t>Мы</w:t>
            </w:r>
            <w:r w:rsidR="0059225E" w:rsidRPr="0087022F">
              <w:rPr>
                <w:sz w:val="18"/>
                <w:szCs w:val="18"/>
                <w:u w:val="single"/>
                <w:lang w:val="ru-RU"/>
              </w:rPr>
              <w:t xml:space="preserve"> предлагаем</w:t>
            </w:r>
            <w:r w:rsidR="0059225E" w:rsidRPr="0087022F">
              <w:rPr>
                <w:sz w:val="18"/>
                <w:szCs w:val="18"/>
                <w:lang w:val="ru-RU"/>
              </w:rPr>
              <w:t xml:space="preserve"> более тщательно проанализировать поведение покупателей и изменить условия этого сниженного сбора, выбрав более поздний период или отказавшись от скидок.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59225E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Гибкость, обеспечиваемая политикой предоставления скидок, позволила ITU </w:t>
            </w:r>
            <w:proofErr w:type="spellStart"/>
            <w:r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sz w:val="18"/>
                <w:szCs w:val="18"/>
                <w:lang w:val="ru-RU"/>
              </w:rPr>
              <w:t xml:space="preserve"> привлечь ключевых участников отрасли и обеспечить их участие. ITU </w:t>
            </w:r>
            <w:proofErr w:type="spellStart"/>
            <w:r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sz w:val="18"/>
                <w:szCs w:val="18"/>
                <w:lang w:val="ru-RU"/>
              </w:rPr>
              <w:t xml:space="preserve"> продолжит мониторинг этой политики, чтобы обеспечить эффективное достижение ею своей цели и отражение развития нашей стремительно меняющейся экосистемы. Скидки – это лишь один из нескольких элементов, которые партнеры/клиенты рассматривают перед принятием решения относительно участия. Между доходами и политикой предоставления скидок нет прямой взаимосвязи.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BE46D9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Для Всемирного мероприятия ITU Telecom-2015 установлены политика и процедура, включающая скидки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экземпляр их описания предоставлен Внешнему аудитору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r w:rsidR="008D0180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Работа завершена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 </w:t>
            </w:r>
            <w:r w:rsidR="008D0180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  <w:r w:rsidR="00B00D46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4</w:t>
            </w:r>
            <w:r w:rsidR="00B00D46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4C08CA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Неиспользуем</w:t>
            </w:r>
            <w:r w:rsidR="00380661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ы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е пространства</w:t>
            </w:r>
          </w:p>
          <w:p w:rsidR="00C8646A" w:rsidRPr="0087022F" w:rsidRDefault="00F44F0A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Мы допускаем, что третьи лица имеют право не использовать предоставленное им пространство, однако безлюдные зоны выставочной площадки могут создать негативное представление об интересе СМИ к мероприятию. В</w:t>
            </w:r>
            <w:r w:rsidR="005C3659" w:rsidRPr="0087022F">
              <w:rPr>
                <w:sz w:val="18"/>
                <w:szCs w:val="18"/>
                <w:lang w:val="ru-RU"/>
              </w:rPr>
              <w:t> </w:t>
            </w:r>
            <w:r w:rsidRPr="0087022F">
              <w:rPr>
                <w:sz w:val="18"/>
                <w:szCs w:val="18"/>
                <w:lang w:val="ru-RU"/>
              </w:rPr>
              <w:t xml:space="preserve">связи с этим </w:t>
            </w:r>
            <w:r w:rsidRPr="0087022F">
              <w:rPr>
                <w:sz w:val="18"/>
                <w:szCs w:val="18"/>
                <w:u w:val="single"/>
                <w:lang w:val="ru-RU"/>
              </w:rPr>
              <w:t>мы предлагаем</w:t>
            </w:r>
            <w:r w:rsidRPr="0087022F">
              <w:rPr>
                <w:sz w:val="18"/>
                <w:szCs w:val="18"/>
                <w:lang w:val="ru-RU"/>
              </w:rPr>
              <w:t xml:space="preserve"> в возможно короткие сроки определить такое неиспользуемое пространство и надлежащим образом переоборудовать его.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F44F0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Будут приняты дальнейшие меры по оптимизации использования выставочного пространства, с учетом отказа от участия в последний момент и повышения расходов, связанных с перепрофилированием "неиспользуемого" пространства.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</w:t>
            </w:r>
            <w:r w:rsidR="00B00D46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7315C4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Присутствие СМИ</w:t>
            </w:r>
          </w:p>
          <w:p w:rsidR="009641C3" w:rsidRPr="0087022F" w:rsidRDefault="00D63021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Учитывая, что д</w:t>
            </w:r>
            <w:r w:rsidR="009641C3" w:rsidRPr="0087022F">
              <w:rPr>
                <w:sz w:val="18"/>
                <w:szCs w:val="18"/>
                <w:lang w:val="ru-RU"/>
              </w:rPr>
              <w:t>анные о присутствии свидетельствуют об уменьшении количества посетителей (на 5%) сектора для СМИ (на мероприятии 2012 года доля составила 8%)</w:t>
            </w:r>
            <w:r w:rsidRPr="0087022F">
              <w:rPr>
                <w:sz w:val="18"/>
                <w:szCs w:val="18"/>
                <w:lang w:val="ru-RU"/>
              </w:rPr>
              <w:t>,</w:t>
            </w:r>
            <w:r w:rsidR="009641C3" w:rsidRPr="0087022F">
              <w:rPr>
                <w:sz w:val="18"/>
                <w:szCs w:val="18"/>
                <w:lang w:val="ru-RU"/>
              </w:rPr>
              <w:t xml:space="preserve"> </w:t>
            </w:r>
            <w:r w:rsidR="009641C3" w:rsidRPr="0087022F">
              <w:rPr>
                <w:sz w:val="18"/>
                <w:szCs w:val="18"/>
                <w:u w:val="single"/>
                <w:lang w:val="ru-RU"/>
              </w:rPr>
              <w:t>мы предлагаем</w:t>
            </w:r>
            <w:r w:rsidR="009641C3" w:rsidRPr="0087022F">
              <w:rPr>
                <w:sz w:val="18"/>
                <w:szCs w:val="18"/>
                <w:lang w:val="ru-RU"/>
              </w:rPr>
              <w:t xml:space="preserve"> рассмотреть и проанализировать это уменьшение, с тем чтобы получить четкое представление об уровне заинтересованности различных видов СМИ в этом мероприятии.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9641C3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Будет продолжаться деятельность по расширению участия групп качественных СМИ, включая новые СМИ, в том числе через творческие партнерства и дистанционное участие.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lastRenderedPageBreak/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6</w:t>
            </w:r>
            <w:r w:rsidR="00B00D46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7315C4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Следует давать больше информации о бартерных сделках</w:t>
            </w:r>
          </w:p>
          <w:p w:rsidR="00C8646A" w:rsidRPr="0087022F" w:rsidRDefault="00D63021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u w:val="single"/>
                <w:lang w:val="ru-RU"/>
              </w:rPr>
              <w:t>М</w:t>
            </w:r>
            <w:r w:rsidR="00C269CF" w:rsidRPr="0087022F">
              <w:rPr>
                <w:sz w:val="18"/>
                <w:szCs w:val="18"/>
                <w:u w:val="single"/>
                <w:lang w:val="ru-RU"/>
              </w:rPr>
              <w:t>ы вынуждены</w:t>
            </w:r>
            <w:r w:rsidR="00C269CF" w:rsidRPr="0087022F">
              <w:rPr>
                <w:sz w:val="18"/>
                <w:szCs w:val="18"/>
                <w:lang w:val="ru-RU"/>
              </w:rPr>
              <w:t xml:space="preserve"> вновь </w:t>
            </w:r>
            <w:r w:rsidR="00C269CF" w:rsidRPr="0087022F">
              <w:rPr>
                <w:sz w:val="18"/>
                <w:szCs w:val="18"/>
                <w:u w:val="single"/>
                <w:lang w:val="ru-RU"/>
              </w:rPr>
              <w:t>предложить</w:t>
            </w:r>
            <w:r w:rsidR="00C269CF" w:rsidRPr="0087022F">
              <w:rPr>
                <w:sz w:val="18"/>
                <w:szCs w:val="18"/>
                <w:lang w:val="ru-RU"/>
              </w:rPr>
              <w:t xml:space="preserve"> (как в прошлом году, </w:t>
            </w:r>
            <w:r w:rsidRPr="0087022F">
              <w:rPr>
                <w:sz w:val="18"/>
                <w:szCs w:val="18"/>
                <w:lang w:val="ru-RU"/>
              </w:rPr>
              <w:t>р</w:t>
            </w:r>
            <w:r w:rsidR="00C269CF" w:rsidRPr="0087022F">
              <w:rPr>
                <w:sz w:val="18"/>
                <w:szCs w:val="18"/>
                <w:lang w:val="ru-RU"/>
              </w:rPr>
              <w:t>ек. 5/2012) повысить уровень раскрытия информации об этих услугах и средствах, предоставленных ITU </w:t>
            </w:r>
            <w:proofErr w:type="spellStart"/>
            <w:r w:rsidR="00C269CF"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="00C269CF" w:rsidRPr="0087022F">
              <w:rPr>
                <w:sz w:val="18"/>
                <w:szCs w:val="18"/>
                <w:lang w:val="ru-RU"/>
              </w:rPr>
              <w:t>, а также контролировать стоимость каждой бартерной сделки.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3E7B3B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C269CF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Бартерные соглашения важны для привлечения компаний/инвесторов и экономически эффективного приобретения имеющих существенное значение услуг/товаров. Все возможности заключения бартерных сделок тщательно оцениваются, и информация относительно выгод для МСЭ, а также услуг, предоставляемых МСЭ, имеется в наличии.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3E7B3B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Работа завершена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5332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как и </w:t>
            </w:r>
            <w:r w:rsidR="00C2520C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соответствии с предложением 5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2012</w:t>
            </w:r>
            <w:r w:rsidR="00C2520C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 г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ода. 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3E7B3B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7</w:t>
            </w:r>
            <w:r w:rsidR="00B00D46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7315C4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Сделать мероприятие приемлемым в ценовом отношении для большего количества возможных принимающих стран</w:t>
            </w:r>
          </w:p>
          <w:p w:rsidR="00C8646A" w:rsidRPr="0087022F" w:rsidRDefault="00D63021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u w:val="single"/>
                <w:lang w:val="ru-RU"/>
              </w:rPr>
              <w:t>М</w:t>
            </w:r>
            <w:r w:rsidR="00E13B3B" w:rsidRPr="0087022F">
              <w:rPr>
                <w:sz w:val="18"/>
                <w:szCs w:val="18"/>
                <w:u w:val="single"/>
                <w:lang w:val="ru-RU"/>
              </w:rPr>
              <w:t>ы предлагаем</w:t>
            </w:r>
            <w:r w:rsidR="00E13B3B" w:rsidRPr="0087022F">
              <w:rPr>
                <w:sz w:val="18"/>
                <w:szCs w:val="18"/>
                <w:lang w:val="ru-RU"/>
              </w:rPr>
              <w:t xml:space="preserve"> изучить сценарии, обеспечивающие странам, желающим провести у себя Всемирное мероприятие ITU </w:t>
            </w:r>
            <w:proofErr w:type="spellStart"/>
            <w:r w:rsidR="00E13B3B"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="00E13B3B" w:rsidRPr="0087022F">
              <w:rPr>
                <w:sz w:val="18"/>
                <w:szCs w:val="18"/>
                <w:lang w:val="ru-RU"/>
              </w:rPr>
              <w:t xml:space="preserve">, возможность в полной мере воспользоваться инвестициями, которые они могут </w:t>
            </w:r>
            <w:r w:rsidR="004844DC" w:rsidRPr="0087022F">
              <w:rPr>
                <w:sz w:val="18"/>
                <w:szCs w:val="18"/>
                <w:lang w:val="ru-RU"/>
              </w:rPr>
              <w:t>сделать для</w:t>
            </w:r>
            <w:r w:rsidR="00E13B3B" w:rsidRPr="0087022F">
              <w:rPr>
                <w:sz w:val="18"/>
                <w:szCs w:val="18"/>
                <w:lang w:val="ru-RU"/>
              </w:rPr>
              <w:t xml:space="preserve"> его проведени</w:t>
            </w:r>
            <w:r w:rsidR="004844DC" w:rsidRPr="0087022F">
              <w:rPr>
                <w:sz w:val="18"/>
                <w:szCs w:val="18"/>
                <w:lang w:val="ru-RU"/>
              </w:rPr>
              <w:t>я</w:t>
            </w:r>
            <w:r w:rsidR="00E13B3B" w:rsidRPr="0087022F">
              <w:rPr>
                <w:sz w:val="18"/>
                <w:szCs w:val="18"/>
                <w:lang w:val="ru-RU"/>
              </w:rPr>
              <w:t>, с тем чтобы более полно соответствовать Резолюции 11 (</w:t>
            </w:r>
            <w:proofErr w:type="spellStart"/>
            <w:r w:rsidR="00E13B3B" w:rsidRPr="0087022F">
              <w:rPr>
                <w:sz w:val="18"/>
                <w:szCs w:val="18"/>
                <w:lang w:val="ru-RU"/>
              </w:rPr>
              <w:t>Пересм</w:t>
            </w:r>
            <w:proofErr w:type="spellEnd"/>
            <w:r w:rsidR="00E13B3B" w:rsidRPr="0087022F">
              <w:rPr>
                <w:sz w:val="18"/>
                <w:szCs w:val="18"/>
                <w:lang w:val="ru-RU"/>
              </w:rPr>
              <w:t>. Гвадалахара, 2010 г.).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553329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E13B3B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Принимающие страны систематически выражают удовлетворение в связи с проведением у себя мероприятий ITU </w:t>
            </w:r>
            <w:proofErr w:type="spellStart"/>
            <w:r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sz w:val="18"/>
                <w:szCs w:val="18"/>
                <w:lang w:val="ru-RU"/>
              </w:rPr>
              <w:t xml:space="preserve">. Следует продолжить усилия, направленные на увеличение положительного воздействия от проведения мероприятий ITU </w:t>
            </w:r>
            <w:proofErr w:type="spellStart"/>
            <w:r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29" w:rsidRPr="0087022F" w:rsidRDefault="00553329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29" w:rsidRPr="0087022F" w:rsidRDefault="00553329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8</w:t>
            </w:r>
            <w:r w:rsidR="00B00D46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7315C4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Участие развивающихся стран в мероприятиях</w:t>
            </w:r>
          </w:p>
          <w:p w:rsidR="00C8646A" w:rsidRPr="0087022F" w:rsidRDefault="007315C4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u w:val="single"/>
                <w:lang w:val="ru-RU"/>
              </w:rPr>
              <w:t>Мы</w:t>
            </w:r>
            <w:r w:rsidRPr="0087022F">
              <w:rPr>
                <w:sz w:val="18"/>
                <w:szCs w:val="18"/>
                <w:lang w:val="ru-RU"/>
              </w:rPr>
              <w:t xml:space="preserve"> признаем усилия руководства, направленные на содействие участию развивающихся стран, а также меры в связи с нашими рекомендациями и предложениями, содержащими</w:t>
            </w:r>
            <w:r w:rsidR="005C3659" w:rsidRPr="0087022F">
              <w:rPr>
                <w:sz w:val="18"/>
                <w:szCs w:val="18"/>
                <w:lang w:val="ru-RU"/>
              </w:rPr>
              <w:t>ся в отчете за прошлый год (см. </w:t>
            </w:r>
            <w:r w:rsidR="00545D43" w:rsidRPr="0087022F">
              <w:rPr>
                <w:sz w:val="18"/>
                <w:szCs w:val="18"/>
                <w:lang w:val="ru-RU"/>
              </w:rPr>
              <w:t>п</w:t>
            </w:r>
            <w:r w:rsidR="005C3659" w:rsidRPr="0087022F">
              <w:rPr>
                <w:sz w:val="18"/>
                <w:szCs w:val="18"/>
                <w:lang w:val="ru-RU"/>
              </w:rPr>
              <w:t>редложение </w:t>
            </w:r>
            <w:r w:rsidRPr="0087022F">
              <w:rPr>
                <w:sz w:val="18"/>
                <w:szCs w:val="18"/>
                <w:lang w:val="ru-RU"/>
              </w:rPr>
              <w:t xml:space="preserve">7/2012), и </w:t>
            </w:r>
            <w:r w:rsidRPr="0087022F">
              <w:rPr>
                <w:sz w:val="18"/>
                <w:szCs w:val="18"/>
                <w:u w:val="single"/>
                <w:lang w:val="ru-RU"/>
              </w:rPr>
              <w:t>предлагаем</w:t>
            </w:r>
            <w:r w:rsidRPr="0087022F">
              <w:rPr>
                <w:sz w:val="18"/>
                <w:szCs w:val="18"/>
                <w:lang w:val="ru-RU"/>
              </w:rPr>
              <w:t xml:space="preserve"> продолжать внедрять меры, направленные на оказание помощи развивающимся странам, возможно увеличивая количество рассчитанных на них инициатив.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53329"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7315C4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Будет продолжаться деятельность по содействию участию развивающихся стран, а также по внедрению мер помощи этим странам, и при этом рассматриваться возможность увеличения числа инициатив и объема выделяемых на эти цели финансовых ресурсов в рамках финансовых ограничений Союза.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553329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381137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553329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381137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lastRenderedPageBreak/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9</w:t>
            </w:r>
            <w:r w:rsidR="00B00D46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676276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Гендерное распределение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C8646A" w:rsidRPr="0087022F" w:rsidRDefault="0066165D" w:rsidP="005C3659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Хотя участие в Форуме не может обусловливаться принадлежностью к тому или иному полу, </w:t>
            </w:r>
            <w:r w:rsidRPr="0087022F">
              <w:rPr>
                <w:sz w:val="18"/>
                <w:szCs w:val="18"/>
                <w:u w:val="single"/>
                <w:lang w:val="ru-RU"/>
              </w:rPr>
              <w:t>мы предлагаем</w:t>
            </w:r>
            <w:r w:rsidRPr="0087022F">
              <w:rPr>
                <w:sz w:val="18"/>
                <w:szCs w:val="18"/>
                <w:lang w:val="ru-RU"/>
              </w:rPr>
              <w:t xml:space="preserve"> урегулировать этот вопрос и изучить способ исправить такой дисбаланс.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66165D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Будут продолжены усилия в направлении улучшения гендерного баланса между участниками.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553329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Достигнуто улучшение, но МСЭ продолжит свою деятельность в целях дальнейшего улучшения гендерного баланса участников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C8646A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5C3659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B00D46" w:rsidRPr="0087022F" w:rsidTr="005C3659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8D0180" w:rsidP="005C3659">
            <w:pPr>
              <w:tabs>
                <w:tab w:val="clear" w:pos="794"/>
                <w:tab w:val="left" w:pos="732"/>
              </w:tabs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Предл. </w:t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10</w:t>
            </w:r>
            <w:r w:rsidR="00B00D46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="00C8646A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2013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6B34FA" w:rsidP="005C3659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Возможно</w:t>
            </w:r>
            <w:r w:rsidR="00C55362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е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ослаблени</w:t>
            </w:r>
            <w:r w:rsidR="00C55362"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е</w:t>
            </w:r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отличительных особенностей Всемирного мероприятия ITU </w:t>
            </w:r>
            <w:proofErr w:type="spellStart"/>
            <w:r w:rsidRPr="0087022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Telecom</w:t>
            </w:r>
            <w:proofErr w:type="spellEnd"/>
          </w:p>
          <w:p w:rsidR="00C8646A" w:rsidRPr="0087022F" w:rsidRDefault="006B34FA" w:rsidP="00381137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>Мы считаем, что руководство должно быть готово к тому, чтобы критически переосмыслить это мероприятие и долю его компонентов, с тем чтобы сохранить или изменить сами отличительные особенности этого мероприятия.</w:t>
            </w:r>
            <w:r w:rsidR="00381137">
              <w:rPr>
                <w:sz w:val="18"/>
                <w:szCs w:val="18"/>
                <w:lang w:val="ru-RU"/>
              </w:rPr>
              <w:t xml:space="preserve"> </w:t>
            </w:r>
            <w:r w:rsidRPr="0087022F">
              <w:rPr>
                <w:sz w:val="18"/>
                <w:szCs w:val="18"/>
                <w:lang w:val="ru-RU"/>
              </w:rPr>
              <w:t xml:space="preserve">Поскольку такие решения относятся к сфере деятельности Полномочной конференции и предлагаются ее вниманию, </w:t>
            </w:r>
            <w:r w:rsidRPr="0087022F">
              <w:rPr>
                <w:sz w:val="18"/>
                <w:szCs w:val="18"/>
                <w:u w:val="single"/>
                <w:lang w:val="ru-RU"/>
              </w:rPr>
              <w:t>мы предлагаем</w:t>
            </w:r>
            <w:r w:rsidRPr="0087022F">
              <w:rPr>
                <w:sz w:val="18"/>
                <w:szCs w:val="18"/>
                <w:lang w:val="ru-RU"/>
              </w:rPr>
              <w:t xml:space="preserve"> руководству представить исследование по данному вопросу, чтобы помочь Полномочной конференции принять правильные решения.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1674FF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6B34FA" w:rsidP="0068385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sz w:val="18"/>
                <w:szCs w:val="18"/>
                <w:lang w:val="ru-RU"/>
              </w:rPr>
              <w:t xml:space="preserve">Преобразование ITU </w:t>
            </w:r>
            <w:proofErr w:type="spellStart"/>
            <w:r w:rsidRPr="0087022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sz w:val="18"/>
                <w:szCs w:val="18"/>
                <w:lang w:val="ru-RU"/>
              </w:rPr>
              <w:t>, которое было начато после ПК</w:t>
            </w:r>
            <w:r w:rsidR="0068385A" w:rsidRPr="0087022F">
              <w:rPr>
                <w:sz w:val="18"/>
                <w:szCs w:val="18"/>
                <w:lang w:val="ru-RU"/>
              </w:rPr>
              <w:noBreakHyphen/>
            </w:r>
            <w:r w:rsidRPr="0087022F">
              <w:rPr>
                <w:sz w:val="18"/>
                <w:szCs w:val="18"/>
                <w:lang w:val="ru-RU"/>
              </w:rPr>
              <w:t>10, оказалось успешным, как это подтверждается финансовыми результатами и различными опросами. Будут продолжены усилия по улучшению предлагаемых преимуществ в целях восстановления исключительного положения.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29" w:rsidRPr="0087022F" w:rsidRDefault="001674FF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553329"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553329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 2015 года ITU </w:t>
            </w:r>
            <w:proofErr w:type="spellStart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7757B7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начнет</w:t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переходный период, для того чтобы представлять себя международной платформой, ориентированной на предпринимательство в области ИКТ и инициативы по поддержке МСП. При таком изменении положения появится возможность придания новых отличительных характеристик и значимости.</w:t>
            </w:r>
            <w:r w:rsidR="00C8646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A" w:rsidRPr="0087022F" w:rsidRDefault="001674FF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</w:p>
          <w:p w:rsidR="00C8646A" w:rsidRPr="0087022F" w:rsidRDefault="008D0180" w:rsidP="005C365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7022F">
              <w:rPr>
                <w:rFonts w:asciiTheme="minorHAnsi" w:hAnsiTheme="minorHAnsi"/>
                <w:sz w:val="18"/>
                <w:szCs w:val="18"/>
                <w:lang w:val="ru-RU"/>
              </w:rPr>
              <w:t>В процессе выполнения</w:t>
            </w:r>
            <w:r w:rsidR="0068385A" w:rsidRPr="0087022F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</w:tbl>
    <w:p w:rsidR="00C8646A" w:rsidRPr="0087022F" w:rsidRDefault="00C8646A" w:rsidP="00C20B9A">
      <w:pPr>
        <w:spacing w:before="600"/>
        <w:jc w:val="center"/>
        <w:rPr>
          <w:lang w:val="ru-RU" w:eastAsia="it-IT"/>
        </w:rPr>
      </w:pPr>
      <w:r w:rsidRPr="0087022F">
        <w:rPr>
          <w:lang w:val="ru-RU" w:eastAsia="it-IT"/>
        </w:rPr>
        <w:t>________________</w:t>
      </w:r>
    </w:p>
    <w:sectPr w:rsidR="00C8646A" w:rsidRPr="0087022F" w:rsidSect="004D185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9B" w:rsidRDefault="00B82F9B">
      <w:r>
        <w:separator/>
      </w:r>
    </w:p>
  </w:endnote>
  <w:endnote w:type="continuationSeparator" w:id="0">
    <w:p w:rsidR="00B82F9B" w:rsidRDefault="00B8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F9B" w:rsidRDefault="004249CF" w:rsidP="00F333E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8385A" w:rsidRPr="0068385A">
      <w:rPr>
        <w:lang w:val="fr-CH"/>
      </w:rPr>
      <w:t>P</w:t>
    </w:r>
    <w:r w:rsidR="0068385A">
      <w:t>:\RUS\SG\CONSEIL\C15\000\066R.docx</w:t>
    </w:r>
    <w:r>
      <w:fldChar w:fldCharType="end"/>
    </w:r>
    <w:r w:rsidR="00B82F9B" w:rsidRPr="0055695C">
      <w:rPr>
        <w:lang w:val="fr-CH"/>
      </w:rPr>
      <w:t xml:space="preserve"> (</w:t>
    </w:r>
    <w:r w:rsidR="00B82F9B" w:rsidRPr="00364848">
      <w:rPr>
        <w:lang w:val="fr-CH"/>
      </w:rPr>
      <w:t>379597</w:t>
    </w:r>
    <w:r w:rsidR="00B82F9B" w:rsidRPr="0055695C">
      <w:rPr>
        <w:lang w:val="fr-CH"/>
      </w:rPr>
      <w:t>)</w:t>
    </w:r>
    <w:r w:rsidR="00B82F9B" w:rsidRPr="0055695C">
      <w:rPr>
        <w:lang w:val="fr-CH"/>
      </w:rPr>
      <w:tab/>
    </w:r>
    <w:r w:rsidR="00B82F9B">
      <w:fldChar w:fldCharType="begin"/>
    </w:r>
    <w:r w:rsidR="00B82F9B">
      <w:instrText xml:space="preserve"> SAVEDATE \@ DD.MM.YY </w:instrText>
    </w:r>
    <w:r w:rsidR="00B82F9B">
      <w:fldChar w:fldCharType="separate"/>
    </w:r>
    <w:r>
      <w:t>14.05.15</w:t>
    </w:r>
    <w:r w:rsidR="00B82F9B">
      <w:fldChar w:fldCharType="end"/>
    </w:r>
    <w:r w:rsidR="00B82F9B" w:rsidRPr="0055695C">
      <w:rPr>
        <w:lang w:val="fr-CH"/>
      </w:rPr>
      <w:tab/>
    </w:r>
    <w:r w:rsidR="00B82F9B">
      <w:fldChar w:fldCharType="begin"/>
    </w:r>
    <w:r w:rsidR="00B82F9B">
      <w:instrText xml:space="preserve"> PRINTDATE \@ DD.MM.YY </w:instrText>
    </w:r>
    <w:r w:rsidR="00B82F9B">
      <w:fldChar w:fldCharType="separate"/>
    </w:r>
    <w:r w:rsidR="0068385A">
      <w:t>14.05.15</w:t>
    </w:r>
    <w:r w:rsidR="00B82F9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F9B" w:rsidRDefault="00B82F9B" w:rsidP="0067246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82F9B" w:rsidRDefault="004249CF" w:rsidP="00F333E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8385A" w:rsidRPr="0068385A">
      <w:rPr>
        <w:lang w:val="fr-CH"/>
      </w:rPr>
      <w:t>P</w:t>
    </w:r>
    <w:r w:rsidR="0068385A">
      <w:t>:\RUS\SG\CONSEIL\C15\000\066R.docx</w:t>
    </w:r>
    <w:r>
      <w:fldChar w:fldCharType="end"/>
    </w:r>
    <w:r w:rsidR="00B82F9B" w:rsidRPr="0055695C">
      <w:rPr>
        <w:lang w:val="fr-CH"/>
      </w:rPr>
      <w:t xml:space="preserve"> (</w:t>
    </w:r>
    <w:r w:rsidR="00B82F9B" w:rsidRPr="00364848">
      <w:rPr>
        <w:lang w:val="fr-CH"/>
      </w:rPr>
      <w:t>379597</w:t>
    </w:r>
    <w:r w:rsidR="00B82F9B" w:rsidRPr="0055695C">
      <w:rPr>
        <w:lang w:val="fr-CH"/>
      </w:rPr>
      <w:t>)</w:t>
    </w:r>
    <w:r w:rsidR="00B82F9B" w:rsidRPr="0055695C">
      <w:rPr>
        <w:lang w:val="fr-CH"/>
      </w:rPr>
      <w:tab/>
    </w:r>
    <w:r w:rsidR="00B82F9B">
      <w:fldChar w:fldCharType="begin"/>
    </w:r>
    <w:r w:rsidR="00B82F9B">
      <w:instrText xml:space="preserve"> SAVEDATE \@ DD.MM.YY </w:instrText>
    </w:r>
    <w:r w:rsidR="00B82F9B">
      <w:fldChar w:fldCharType="separate"/>
    </w:r>
    <w:r>
      <w:t>14.05.15</w:t>
    </w:r>
    <w:r w:rsidR="00B82F9B">
      <w:fldChar w:fldCharType="end"/>
    </w:r>
    <w:r w:rsidR="00B82F9B" w:rsidRPr="0055695C">
      <w:rPr>
        <w:lang w:val="fr-CH"/>
      </w:rPr>
      <w:tab/>
    </w:r>
    <w:r w:rsidR="00B82F9B">
      <w:fldChar w:fldCharType="begin"/>
    </w:r>
    <w:r w:rsidR="00B82F9B">
      <w:instrText xml:space="preserve"> PRINTDATE \@ DD.MM.YY </w:instrText>
    </w:r>
    <w:r w:rsidR="00B82F9B">
      <w:fldChar w:fldCharType="separate"/>
    </w:r>
    <w:r w:rsidR="0068385A">
      <w:t>14.05.15</w:t>
    </w:r>
    <w:r w:rsidR="00B82F9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9B" w:rsidRDefault="00B82F9B">
      <w:r>
        <w:t>____________________</w:t>
      </w:r>
    </w:p>
  </w:footnote>
  <w:footnote w:type="continuationSeparator" w:id="0">
    <w:p w:rsidR="00B82F9B" w:rsidRDefault="00B8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F9B" w:rsidRDefault="00B82F9B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249CF">
      <w:rPr>
        <w:noProof/>
      </w:rPr>
      <w:t>21</w:t>
    </w:r>
    <w:r>
      <w:rPr>
        <w:noProof/>
      </w:rPr>
      <w:fldChar w:fldCharType="end"/>
    </w:r>
  </w:p>
  <w:p w:rsidR="00B82F9B" w:rsidRPr="00FC468B" w:rsidRDefault="00B82F9B" w:rsidP="003B73FD">
    <w:pPr>
      <w:pStyle w:val="Header"/>
      <w:rPr>
        <w:lang w:val="ru-RU"/>
      </w:rPr>
    </w:pPr>
    <w:r>
      <w:t>C15/</w:t>
    </w:r>
    <w:r>
      <w:rPr>
        <w:lang w:val="ru-RU"/>
      </w:rPr>
      <w:t>66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B57CD"/>
    <w:multiLevelType w:val="hybridMultilevel"/>
    <w:tmpl w:val="CC68386E"/>
    <w:lvl w:ilvl="0" w:tplc="5846FF46">
      <w:start w:val="1"/>
      <w:numFmt w:val="decimal"/>
      <w:pStyle w:val="testobase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DE289F"/>
    <w:multiLevelType w:val="hybridMultilevel"/>
    <w:tmpl w:val="B00EABD0"/>
    <w:lvl w:ilvl="0" w:tplc="EC7003A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5593"/>
    <w:multiLevelType w:val="hybridMultilevel"/>
    <w:tmpl w:val="52E20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78F6"/>
    <w:multiLevelType w:val="hybridMultilevel"/>
    <w:tmpl w:val="9EFA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36DD"/>
    <w:multiLevelType w:val="hybridMultilevel"/>
    <w:tmpl w:val="097C4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91AD7"/>
    <w:multiLevelType w:val="hybridMultilevel"/>
    <w:tmpl w:val="1EE223D0"/>
    <w:lvl w:ilvl="0" w:tplc="CEAEA39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51E274C"/>
    <w:multiLevelType w:val="hybridMultilevel"/>
    <w:tmpl w:val="FC52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D12DE"/>
    <w:multiLevelType w:val="hybridMultilevel"/>
    <w:tmpl w:val="8738DCEC"/>
    <w:lvl w:ilvl="0" w:tplc="C48E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40329"/>
    <w:multiLevelType w:val="hybridMultilevel"/>
    <w:tmpl w:val="D7824310"/>
    <w:lvl w:ilvl="0" w:tplc="D7323F4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94F4F"/>
    <w:multiLevelType w:val="hybridMultilevel"/>
    <w:tmpl w:val="B2BAF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8561D"/>
    <w:multiLevelType w:val="hybridMultilevel"/>
    <w:tmpl w:val="AEBC1892"/>
    <w:lvl w:ilvl="0" w:tplc="BD9EDF1C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6F4867CF"/>
    <w:multiLevelType w:val="hybridMultilevel"/>
    <w:tmpl w:val="5D9CA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2395B"/>
    <w:multiLevelType w:val="hybridMultilevel"/>
    <w:tmpl w:val="39643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2"/>
    <w:rsid w:val="0000385B"/>
    <w:rsid w:val="00005CA4"/>
    <w:rsid w:val="00015010"/>
    <w:rsid w:val="0003192F"/>
    <w:rsid w:val="00046672"/>
    <w:rsid w:val="0005520D"/>
    <w:rsid w:val="00063016"/>
    <w:rsid w:val="00072413"/>
    <w:rsid w:val="00076AF6"/>
    <w:rsid w:val="00085C4D"/>
    <w:rsid w:val="00085CF2"/>
    <w:rsid w:val="000940E9"/>
    <w:rsid w:val="000A1BA4"/>
    <w:rsid w:val="000B102A"/>
    <w:rsid w:val="000B1705"/>
    <w:rsid w:val="000C5DE2"/>
    <w:rsid w:val="000C7FDC"/>
    <w:rsid w:val="000D0496"/>
    <w:rsid w:val="000D75B2"/>
    <w:rsid w:val="000E6180"/>
    <w:rsid w:val="000F1A10"/>
    <w:rsid w:val="0010437C"/>
    <w:rsid w:val="00107CE4"/>
    <w:rsid w:val="001121F5"/>
    <w:rsid w:val="001123DF"/>
    <w:rsid w:val="00117BEC"/>
    <w:rsid w:val="00117CBE"/>
    <w:rsid w:val="001361FF"/>
    <w:rsid w:val="00140CE1"/>
    <w:rsid w:val="001529FA"/>
    <w:rsid w:val="001674FF"/>
    <w:rsid w:val="0017046E"/>
    <w:rsid w:val="001708A0"/>
    <w:rsid w:val="00170E25"/>
    <w:rsid w:val="00172FAB"/>
    <w:rsid w:val="0017539C"/>
    <w:rsid w:val="00175476"/>
    <w:rsid w:val="00175AC2"/>
    <w:rsid w:val="0017609F"/>
    <w:rsid w:val="00177C23"/>
    <w:rsid w:val="00195B4D"/>
    <w:rsid w:val="001B0822"/>
    <w:rsid w:val="001C628E"/>
    <w:rsid w:val="001D6B29"/>
    <w:rsid w:val="001E0F7B"/>
    <w:rsid w:val="001E5C49"/>
    <w:rsid w:val="001E7C40"/>
    <w:rsid w:val="001F185B"/>
    <w:rsid w:val="001F36DD"/>
    <w:rsid w:val="001F6DF5"/>
    <w:rsid w:val="002101D4"/>
    <w:rsid w:val="002119FD"/>
    <w:rsid w:val="00211E82"/>
    <w:rsid w:val="002130E0"/>
    <w:rsid w:val="002209DB"/>
    <w:rsid w:val="00227160"/>
    <w:rsid w:val="00234A1D"/>
    <w:rsid w:val="0025379D"/>
    <w:rsid w:val="002569E8"/>
    <w:rsid w:val="002606B7"/>
    <w:rsid w:val="00265875"/>
    <w:rsid w:val="0027303B"/>
    <w:rsid w:val="0028109B"/>
    <w:rsid w:val="0028120D"/>
    <w:rsid w:val="00283B13"/>
    <w:rsid w:val="002A5B4E"/>
    <w:rsid w:val="002A65C0"/>
    <w:rsid w:val="002A7785"/>
    <w:rsid w:val="002B1F58"/>
    <w:rsid w:val="002B66CD"/>
    <w:rsid w:val="002B758F"/>
    <w:rsid w:val="002C1C7A"/>
    <w:rsid w:val="002C607F"/>
    <w:rsid w:val="002D2857"/>
    <w:rsid w:val="002D7163"/>
    <w:rsid w:val="002E225C"/>
    <w:rsid w:val="002E2827"/>
    <w:rsid w:val="002E6CFB"/>
    <w:rsid w:val="002E6D8D"/>
    <w:rsid w:val="002F29BC"/>
    <w:rsid w:val="002F7DB3"/>
    <w:rsid w:val="0030160F"/>
    <w:rsid w:val="003031EE"/>
    <w:rsid w:val="0031617C"/>
    <w:rsid w:val="00321398"/>
    <w:rsid w:val="00322D0D"/>
    <w:rsid w:val="00324D79"/>
    <w:rsid w:val="003306CB"/>
    <w:rsid w:val="0033339F"/>
    <w:rsid w:val="0033765A"/>
    <w:rsid w:val="0034706F"/>
    <w:rsid w:val="003558A1"/>
    <w:rsid w:val="00356358"/>
    <w:rsid w:val="003641B9"/>
    <w:rsid w:val="00364848"/>
    <w:rsid w:val="00367324"/>
    <w:rsid w:val="00371C2A"/>
    <w:rsid w:val="003746B2"/>
    <w:rsid w:val="00380661"/>
    <w:rsid w:val="00381137"/>
    <w:rsid w:val="00381753"/>
    <w:rsid w:val="003831CF"/>
    <w:rsid w:val="003942D4"/>
    <w:rsid w:val="003958A8"/>
    <w:rsid w:val="003A65C1"/>
    <w:rsid w:val="003B0FB9"/>
    <w:rsid w:val="003B73FD"/>
    <w:rsid w:val="003C2533"/>
    <w:rsid w:val="003C3FA2"/>
    <w:rsid w:val="003C5EF2"/>
    <w:rsid w:val="003D1D4B"/>
    <w:rsid w:val="003D29A0"/>
    <w:rsid w:val="003D394A"/>
    <w:rsid w:val="003D55E0"/>
    <w:rsid w:val="003E1E03"/>
    <w:rsid w:val="003E5AA6"/>
    <w:rsid w:val="003E7B3B"/>
    <w:rsid w:val="0040435A"/>
    <w:rsid w:val="00407C3C"/>
    <w:rsid w:val="00413D78"/>
    <w:rsid w:val="00416A24"/>
    <w:rsid w:val="004203D6"/>
    <w:rsid w:val="004249CF"/>
    <w:rsid w:val="00426543"/>
    <w:rsid w:val="00431D9E"/>
    <w:rsid w:val="00433CE8"/>
    <w:rsid w:val="00434A5C"/>
    <w:rsid w:val="00446E72"/>
    <w:rsid w:val="0045391D"/>
    <w:rsid w:val="004544D9"/>
    <w:rsid w:val="0046396D"/>
    <w:rsid w:val="00465ECD"/>
    <w:rsid w:val="004844DC"/>
    <w:rsid w:val="0048521A"/>
    <w:rsid w:val="00490E72"/>
    <w:rsid w:val="004921C8"/>
    <w:rsid w:val="004A1EE0"/>
    <w:rsid w:val="004A6176"/>
    <w:rsid w:val="004B05FC"/>
    <w:rsid w:val="004B23C7"/>
    <w:rsid w:val="004B6620"/>
    <w:rsid w:val="004C08CA"/>
    <w:rsid w:val="004C138C"/>
    <w:rsid w:val="004D15F0"/>
    <w:rsid w:val="004D1851"/>
    <w:rsid w:val="004D599D"/>
    <w:rsid w:val="004D5D30"/>
    <w:rsid w:val="004E2D00"/>
    <w:rsid w:val="004E2EA5"/>
    <w:rsid w:val="004E3AEB"/>
    <w:rsid w:val="004F0164"/>
    <w:rsid w:val="00500F34"/>
    <w:rsid w:val="0050223C"/>
    <w:rsid w:val="00506231"/>
    <w:rsid w:val="0051663A"/>
    <w:rsid w:val="005243FF"/>
    <w:rsid w:val="00532DD0"/>
    <w:rsid w:val="0053584D"/>
    <w:rsid w:val="00536285"/>
    <w:rsid w:val="00536ADC"/>
    <w:rsid w:val="00545D43"/>
    <w:rsid w:val="00553329"/>
    <w:rsid w:val="00564FBC"/>
    <w:rsid w:val="005719F8"/>
    <w:rsid w:val="00582442"/>
    <w:rsid w:val="005834FC"/>
    <w:rsid w:val="005861D1"/>
    <w:rsid w:val="0059225E"/>
    <w:rsid w:val="00592B72"/>
    <w:rsid w:val="005956AE"/>
    <w:rsid w:val="005A32C0"/>
    <w:rsid w:val="005B17BA"/>
    <w:rsid w:val="005C3659"/>
    <w:rsid w:val="005C519C"/>
    <w:rsid w:val="005C73B7"/>
    <w:rsid w:val="005D2C60"/>
    <w:rsid w:val="005D353C"/>
    <w:rsid w:val="0060388B"/>
    <w:rsid w:val="0060516D"/>
    <w:rsid w:val="00605A67"/>
    <w:rsid w:val="006078F7"/>
    <w:rsid w:val="006104DA"/>
    <w:rsid w:val="00614969"/>
    <w:rsid w:val="00621AD2"/>
    <w:rsid w:val="00634C27"/>
    <w:rsid w:val="006355BF"/>
    <w:rsid w:val="0063567F"/>
    <w:rsid w:val="0064144F"/>
    <w:rsid w:val="006478FD"/>
    <w:rsid w:val="006535F1"/>
    <w:rsid w:val="006547B1"/>
    <w:rsid w:val="0065557D"/>
    <w:rsid w:val="0066165D"/>
    <w:rsid w:val="00662984"/>
    <w:rsid w:val="0067055C"/>
    <w:rsid w:val="006716BB"/>
    <w:rsid w:val="0067246D"/>
    <w:rsid w:val="00676276"/>
    <w:rsid w:val="0068385A"/>
    <w:rsid w:val="0068618C"/>
    <w:rsid w:val="006A3BC7"/>
    <w:rsid w:val="006A690E"/>
    <w:rsid w:val="006B34FA"/>
    <w:rsid w:val="006B6DCC"/>
    <w:rsid w:val="006C0CAF"/>
    <w:rsid w:val="006C3234"/>
    <w:rsid w:val="006D0C65"/>
    <w:rsid w:val="006D5B51"/>
    <w:rsid w:val="00702B95"/>
    <w:rsid w:val="00725B8E"/>
    <w:rsid w:val="007315C4"/>
    <w:rsid w:val="007321FC"/>
    <w:rsid w:val="00734875"/>
    <w:rsid w:val="00737C9C"/>
    <w:rsid w:val="007422E8"/>
    <w:rsid w:val="00745191"/>
    <w:rsid w:val="007467C4"/>
    <w:rsid w:val="0075051B"/>
    <w:rsid w:val="00753492"/>
    <w:rsid w:val="00753DB8"/>
    <w:rsid w:val="00757126"/>
    <w:rsid w:val="00757698"/>
    <w:rsid w:val="00762680"/>
    <w:rsid w:val="00770A1C"/>
    <w:rsid w:val="007757B7"/>
    <w:rsid w:val="00782DB5"/>
    <w:rsid w:val="007853AE"/>
    <w:rsid w:val="00794D34"/>
    <w:rsid w:val="007A08A3"/>
    <w:rsid w:val="007A141C"/>
    <w:rsid w:val="007A31F4"/>
    <w:rsid w:val="007B2C6D"/>
    <w:rsid w:val="007B3795"/>
    <w:rsid w:val="007B3D1C"/>
    <w:rsid w:val="007B685D"/>
    <w:rsid w:val="007B76CF"/>
    <w:rsid w:val="007C6FE3"/>
    <w:rsid w:val="007D0B3B"/>
    <w:rsid w:val="007D4A14"/>
    <w:rsid w:val="007F150E"/>
    <w:rsid w:val="007F2026"/>
    <w:rsid w:val="007F31F7"/>
    <w:rsid w:val="00806B0B"/>
    <w:rsid w:val="008116CF"/>
    <w:rsid w:val="008121B9"/>
    <w:rsid w:val="00813E5E"/>
    <w:rsid w:val="0081557E"/>
    <w:rsid w:val="00816E98"/>
    <w:rsid w:val="00817D5B"/>
    <w:rsid w:val="0083581B"/>
    <w:rsid w:val="0084411B"/>
    <w:rsid w:val="008503D8"/>
    <w:rsid w:val="0085345D"/>
    <w:rsid w:val="0086223C"/>
    <w:rsid w:val="00864AFF"/>
    <w:rsid w:val="0087022F"/>
    <w:rsid w:val="00871FCA"/>
    <w:rsid w:val="00884959"/>
    <w:rsid w:val="00891815"/>
    <w:rsid w:val="00895FCC"/>
    <w:rsid w:val="008A38F5"/>
    <w:rsid w:val="008B163E"/>
    <w:rsid w:val="008B3ED5"/>
    <w:rsid w:val="008B4A6A"/>
    <w:rsid w:val="008C07C3"/>
    <w:rsid w:val="008C0CFB"/>
    <w:rsid w:val="008C7E27"/>
    <w:rsid w:val="008D0180"/>
    <w:rsid w:val="008D2060"/>
    <w:rsid w:val="008F09C5"/>
    <w:rsid w:val="008F1E7C"/>
    <w:rsid w:val="00906BF3"/>
    <w:rsid w:val="00914661"/>
    <w:rsid w:val="00915EB2"/>
    <w:rsid w:val="009173EF"/>
    <w:rsid w:val="009239A2"/>
    <w:rsid w:val="009267AA"/>
    <w:rsid w:val="00926940"/>
    <w:rsid w:val="00927192"/>
    <w:rsid w:val="00932906"/>
    <w:rsid w:val="009435C5"/>
    <w:rsid w:val="00961A2E"/>
    <w:rsid w:val="00961B0B"/>
    <w:rsid w:val="0096383C"/>
    <w:rsid w:val="009641C3"/>
    <w:rsid w:val="009643A7"/>
    <w:rsid w:val="009740C8"/>
    <w:rsid w:val="009746FB"/>
    <w:rsid w:val="00975664"/>
    <w:rsid w:val="00976E48"/>
    <w:rsid w:val="0097747C"/>
    <w:rsid w:val="00977DE8"/>
    <w:rsid w:val="0098349E"/>
    <w:rsid w:val="0099690A"/>
    <w:rsid w:val="009B38C3"/>
    <w:rsid w:val="009C06A2"/>
    <w:rsid w:val="009D1EAC"/>
    <w:rsid w:val="009D3353"/>
    <w:rsid w:val="009D50D6"/>
    <w:rsid w:val="009E17BD"/>
    <w:rsid w:val="009E1B99"/>
    <w:rsid w:val="009E2447"/>
    <w:rsid w:val="009E7915"/>
    <w:rsid w:val="009F53D4"/>
    <w:rsid w:val="00A04CEC"/>
    <w:rsid w:val="00A06A40"/>
    <w:rsid w:val="00A155B2"/>
    <w:rsid w:val="00A15E0E"/>
    <w:rsid w:val="00A17958"/>
    <w:rsid w:val="00A17CAB"/>
    <w:rsid w:val="00A25EFA"/>
    <w:rsid w:val="00A27F92"/>
    <w:rsid w:val="00A32257"/>
    <w:rsid w:val="00A36D20"/>
    <w:rsid w:val="00A44EB0"/>
    <w:rsid w:val="00A46BDF"/>
    <w:rsid w:val="00A55622"/>
    <w:rsid w:val="00A56DA2"/>
    <w:rsid w:val="00A6129F"/>
    <w:rsid w:val="00A627A9"/>
    <w:rsid w:val="00A6294B"/>
    <w:rsid w:val="00A65E12"/>
    <w:rsid w:val="00A750A3"/>
    <w:rsid w:val="00A77840"/>
    <w:rsid w:val="00A83502"/>
    <w:rsid w:val="00A855DC"/>
    <w:rsid w:val="00A85786"/>
    <w:rsid w:val="00A87019"/>
    <w:rsid w:val="00A91D29"/>
    <w:rsid w:val="00A925B2"/>
    <w:rsid w:val="00A9359D"/>
    <w:rsid w:val="00AA00BD"/>
    <w:rsid w:val="00AA06C1"/>
    <w:rsid w:val="00AA71D6"/>
    <w:rsid w:val="00AB37BA"/>
    <w:rsid w:val="00AB581C"/>
    <w:rsid w:val="00AC047A"/>
    <w:rsid w:val="00AC4FCF"/>
    <w:rsid w:val="00AE31BF"/>
    <w:rsid w:val="00AF6E49"/>
    <w:rsid w:val="00B00D46"/>
    <w:rsid w:val="00B02100"/>
    <w:rsid w:val="00B04A67"/>
    <w:rsid w:val="00B0583C"/>
    <w:rsid w:val="00B1107B"/>
    <w:rsid w:val="00B113BC"/>
    <w:rsid w:val="00B11A7A"/>
    <w:rsid w:val="00B11DBB"/>
    <w:rsid w:val="00B369AD"/>
    <w:rsid w:val="00B40A81"/>
    <w:rsid w:val="00B44910"/>
    <w:rsid w:val="00B528BA"/>
    <w:rsid w:val="00B5650F"/>
    <w:rsid w:val="00B66546"/>
    <w:rsid w:val="00B72267"/>
    <w:rsid w:val="00B76EB6"/>
    <w:rsid w:val="00B824C8"/>
    <w:rsid w:val="00B82F9B"/>
    <w:rsid w:val="00BA6CBB"/>
    <w:rsid w:val="00BB5EC4"/>
    <w:rsid w:val="00BC251A"/>
    <w:rsid w:val="00BD032B"/>
    <w:rsid w:val="00BE2640"/>
    <w:rsid w:val="00BE46D9"/>
    <w:rsid w:val="00BE72FC"/>
    <w:rsid w:val="00BE7BF4"/>
    <w:rsid w:val="00BF2783"/>
    <w:rsid w:val="00BF34A5"/>
    <w:rsid w:val="00C01189"/>
    <w:rsid w:val="00C02180"/>
    <w:rsid w:val="00C04ACE"/>
    <w:rsid w:val="00C20B9A"/>
    <w:rsid w:val="00C2520C"/>
    <w:rsid w:val="00C25A22"/>
    <w:rsid w:val="00C269CF"/>
    <w:rsid w:val="00C374DE"/>
    <w:rsid w:val="00C47AD4"/>
    <w:rsid w:val="00C528CC"/>
    <w:rsid w:val="00C52D81"/>
    <w:rsid w:val="00C544D4"/>
    <w:rsid w:val="00C55198"/>
    <w:rsid w:val="00C55362"/>
    <w:rsid w:val="00C55F27"/>
    <w:rsid w:val="00C704B7"/>
    <w:rsid w:val="00C75F90"/>
    <w:rsid w:val="00C7645B"/>
    <w:rsid w:val="00C76FE2"/>
    <w:rsid w:val="00C82A00"/>
    <w:rsid w:val="00C8646A"/>
    <w:rsid w:val="00C946B9"/>
    <w:rsid w:val="00CA04C6"/>
    <w:rsid w:val="00CA540F"/>
    <w:rsid w:val="00CA6393"/>
    <w:rsid w:val="00CB18FF"/>
    <w:rsid w:val="00CB7D84"/>
    <w:rsid w:val="00CB7F68"/>
    <w:rsid w:val="00CC2BAD"/>
    <w:rsid w:val="00CC4F29"/>
    <w:rsid w:val="00CC626F"/>
    <w:rsid w:val="00CD0C08"/>
    <w:rsid w:val="00CE03FB"/>
    <w:rsid w:val="00CE433C"/>
    <w:rsid w:val="00CF2A0E"/>
    <w:rsid w:val="00CF33F3"/>
    <w:rsid w:val="00CF3C17"/>
    <w:rsid w:val="00D0075B"/>
    <w:rsid w:val="00D06183"/>
    <w:rsid w:val="00D16D32"/>
    <w:rsid w:val="00D22C42"/>
    <w:rsid w:val="00D33C39"/>
    <w:rsid w:val="00D34880"/>
    <w:rsid w:val="00D4393D"/>
    <w:rsid w:val="00D468F2"/>
    <w:rsid w:val="00D548EA"/>
    <w:rsid w:val="00D63021"/>
    <w:rsid w:val="00D64609"/>
    <w:rsid w:val="00D65041"/>
    <w:rsid w:val="00D67148"/>
    <w:rsid w:val="00D71368"/>
    <w:rsid w:val="00D774E1"/>
    <w:rsid w:val="00D969D0"/>
    <w:rsid w:val="00DA29CD"/>
    <w:rsid w:val="00DA31FD"/>
    <w:rsid w:val="00DA5D09"/>
    <w:rsid w:val="00DB1AD4"/>
    <w:rsid w:val="00DB4196"/>
    <w:rsid w:val="00DB44AD"/>
    <w:rsid w:val="00DC1270"/>
    <w:rsid w:val="00DD2135"/>
    <w:rsid w:val="00DD21BD"/>
    <w:rsid w:val="00DD21F7"/>
    <w:rsid w:val="00DF1E91"/>
    <w:rsid w:val="00DF65B9"/>
    <w:rsid w:val="00E01FDA"/>
    <w:rsid w:val="00E101F1"/>
    <w:rsid w:val="00E10E80"/>
    <w:rsid w:val="00E124F0"/>
    <w:rsid w:val="00E13B3B"/>
    <w:rsid w:val="00E24382"/>
    <w:rsid w:val="00E46841"/>
    <w:rsid w:val="00E57212"/>
    <w:rsid w:val="00E60F04"/>
    <w:rsid w:val="00E6733A"/>
    <w:rsid w:val="00E82A5B"/>
    <w:rsid w:val="00E97803"/>
    <w:rsid w:val="00EA0D35"/>
    <w:rsid w:val="00EA1255"/>
    <w:rsid w:val="00EA7C0D"/>
    <w:rsid w:val="00EB0D6F"/>
    <w:rsid w:val="00EB2232"/>
    <w:rsid w:val="00EC5337"/>
    <w:rsid w:val="00ED0617"/>
    <w:rsid w:val="00ED34A5"/>
    <w:rsid w:val="00ED47DF"/>
    <w:rsid w:val="00EF69C9"/>
    <w:rsid w:val="00F13F85"/>
    <w:rsid w:val="00F2150A"/>
    <w:rsid w:val="00F223DA"/>
    <w:rsid w:val="00F231D8"/>
    <w:rsid w:val="00F234A2"/>
    <w:rsid w:val="00F235CC"/>
    <w:rsid w:val="00F30D9B"/>
    <w:rsid w:val="00F333EF"/>
    <w:rsid w:val="00F336A7"/>
    <w:rsid w:val="00F4142D"/>
    <w:rsid w:val="00F43957"/>
    <w:rsid w:val="00F44F0A"/>
    <w:rsid w:val="00F46C5F"/>
    <w:rsid w:val="00F614B7"/>
    <w:rsid w:val="00F84000"/>
    <w:rsid w:val="00F910B1"/>
    <w:rsid w:val="00F91EB2"/>
    <w:rsid w:val="00F92404"/>
    <w:rsid w:val="00F94A63"/>
    <w:rsid w:val="00FA0DEE"/>
    <w:rsid w:val="00FA17B8"/>
    <w:rsid w:val="00FB0B3C"/>
    <w:rsid w:val="00FB14B0"/>
    <w:rsid w:val="00FB7596"/>
    <w:rsid w:val="00FC11F3"/>
    <w:rsid w:val="00FC4233"/>
    <w:rsid w:val="00FC468B"/>
    <w:rsid w:val="00FC65B6"/>
    <w:rsid w:val="00FE4077"/>
    <w:rsid w:val="00FE5DB3"/>
    <w:rsid w:val="00FE6D95"/>
    <w:rsid w:val="00FE778B"/>
    <w:rsid w:val="00FE77D2"/>
    <w:rsid w:val="00FF3582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;"/>
  <w15:docId w15:val="{44116B15-EA9B-420C-ADB8-9A2D59B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643A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643A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239A2"/>
    <w:pPr>
      <w:spacing w:before="200"/>
      <w:ind w:left="0" w:firstLine="0"/>
      <w:outlineLvl w:val="2"/>
    </w:pPr>
    <w:rPr>
      <w:rFonts w:asciiTheme="minorHAnsi" w:hAnsiTheme="minorHAnsi"/>
      <w:i/>
      <w:sz w:val="22"/>
    </w:rPr>
  </w:style>
  <w:style w:type="paragraph" w:styleId="Heading4">
    <w:name w:val="heading 4"/>
    <w:basedOn w:val="Heading3"/>
    <w:next w:val="Normal"/>
    <w:qFormat/>
    <w:rsid w:val="009643A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643A7"/>
    <w:pPr>
      <w:outlineLvl w:val="4"/>
    </w:pPr>
  </w:style>
  <w:style w:type="paragraph" w:styleId="Heading6">
    <w:name w:val="heading 6"/>
    <w:basedOn w:val="Heading4"/>
    <w:next w:val="Normal"/>
    <w:qFormat/>
    <w:rsid w:val="009643A7"/>
    <w:pPr>
      <w:outlineLvl w:val="5"/>
    </w:pPr>
  </w:style>
  <w:style w:type="paragraph" w:styleId="Heading7">
    <w:name w:val="heading 7"/>
    <w:basedOn w:val="Heading6"/>
    <w:next w:val="Normal"/>
    <w:qFormat/>
    <w:rsid w:val="009643A7"/>
    <w:pPr>
      <w:outlineLvl w:val="6"/>
    </w:pPr>
  </w:style>
  <w:style w:type="paragraph" w:styleId="Heading8">
    <w:name w:val="heading 8"/>
    <w:basedOn w:val="Heading6"/>
    <w:next w:val="Normal"/>
    <w:qFormat/>
    <w:rsid w:val="009643A7"/>
    <w:pPr>
      <w:outlineLvl w:val="7"/>
    </w:pPr>
  </w:style>
  <w:style w:type="paragraph" w:styleId="Heading9">
    <w:name w:val="heading 9"/>
    <w:basedOn w:val="Heading6"/>
    <w:next w:val="Normal"/>
    <w:qFormat/>
    <w:rsid w:val="009643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9643A7"/>
  </w:style>
  <w:style w:type="paragraph" w:styleId="TOC4">
    <w:name w:val="toc 4"/>
    <w:basedOn w:val="TOC3"/>
    <w:rsid w:val="009643A7"/>
    <w:pPr>
      <w:spacing w:before="80"/>
    </w:pPr>
  </w:style>
  <w:style w:type="paragraph" w:styleId="TOC3">
    <w:name w:val="toc 3"/>
    <w:basedOn w:val="TOC2"/>
    <w:rsid w:val="009643A7"/>
  </w:style>
  <w:style w:type="paragraph" w:styleId="TOC2">
    <w:name w:val="toc 2"/>
    <w:basedOn w:val="TOC1"/>
    <w:rsid w:val="009643A7"/>
    <w:pPr>
      <w:spacing w:before="160"/>
    </w:pPr>
  </w:style>
  <w:style w:type="paragraph" w:styleId="TOC1">
    <w:name w:val="toc 1"/>
    <w:basedOn w:val="Normal"/>
    <w:rsid w:val="009643A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643A7"/>
  </w:style>
  <w:style w:type="paragraph" w:styleId="TOC6">
    <w:name w:val="toc 6"/>
    <w:basedOn w:val="TOC4"/>
    <w:rsid w:val="009643A7"/>
  </w:style>
  <w:style w:type="paragraph" w:styleId="TOC5">
    <w:name w:val="toc 5"/>
    <w:basedOn w:val="TOC4"/>
    <w:rsid w:val="009643A7"/>
  </w:style>
  <w:style w:type="paragraph" w:styleId="Index7">
    <w:name w:val="index 7"/>
    <w:basedOn w:val="Normal"/>
    <w:next w:val="Normal"/>
    <w:rsid w:val="009643A7"/>
    <w:pPr>
      <w:ind w:left="1698"/>
    </w:pPr>
  </w:style>
  <w:style w:type="paragraph" w:styleId="Index6">
    <w:name w:val="index 6"/>
    <w:basedOn w:val="Normal"/>
    <w:next w:val="Normal"/>
    <w:rsid w:val="009643A7"/>
    <w:pPr>
      <w:ind w:left="1415"/>
    </w:pPr>
  </w:style>
  <w:style w:type="paragraph" w:styleId="Index5">
    <w:name w:val="index 5"/>
    <w:basedOn w:val="Normal"/>
    <w:next w:val="Normal"/>
    <w:rsid w:val="009643A7"/>
    <w:pPr>
      <w:ind w:left="1132"/>
    </w:pPr>
  </w:style>
  <w:style w:type="paragraph" w:styleId="Index4">
    <w:name w:val="index 4"/>
    <w:basedOn w:val="Normal"/>
    <w:next w:val="Normal"/>
    <w:rsid w:val="009643A7"/>
    <w:pPr>
      <w:ind w:left="849"/>
    </w:pPr>
  </w:style>
  <w:style w:type="paragraph" w:styleId="Index3">
    <w:name w:val="index 3"/>
    <w:basedOn w:val="Normal"/>
    <w:next w:val="Normal"/>
    <w:rsid w:val="009643A7"/>
    <w:pPr>
      <w:ind w:left="566"/>
    </w:pPr>
  </w:style>
  <w:style w:type="paragraph" w:styleId="Index2">
    <w:name w:val="index 2"/>
    <w:basedOn w:val="Normal"/>
    <w:next w:val="Normal"/>
    <w:rsid w:val="009643A7"/>
    <w:pPr>
      <w:ind w:left="283"/>
    </w:pPr>
  </w:style>
  <w:style w:type="paragraph" w:styleId="Index1">
    <w:name w:val="index 1"/>
    <w:basedOn w:val="Normal"/>
    <w:next w:val="Normal"/>
    <w:rsid w:val="009643A7"/>
  </w:style>
  <w:style w:type="character" w:styleId="LineNumber">
    <w:name w:val="line number"/>
    <w:basedOn w:val="DefaultParagraphFont"/>
    <w:rsid w:val="009643A7"/>
  </w:style>
  <w:style w:type="paragraph" w:styleId="IndexHeading">
    <w:name w:val="index heading"/>
    <w:basedOn w:val="Normal"/>
    <w:next w:val="Index1"/>
    <w:rsid w:val="009643A7"/>
  </w:style>
  <w:style w:type="paragraph" w:styleId="Footer">
    <w:name w:val="footer"/>
    <w:basedOn w:val="Normal"/>
    <w:link w:val="FooterChar"/>
    <w:rsid w:val="009643A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9643A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643A7"/>
    <w:rPr>
      <w:position w:val="6"/>
      <w:sz w:val="16"/>
    </w:rPr>
  </w:style>
  <w:style w:type="paragraph" w:styleId="FootnoteText">
    <w:name w:val="footnote text"/>
    <w:basedOn w:val="Normal"/>
    <w:rsid w:val="009643A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643A7"/>
    <w:pPr>
      <w:ind w:left="794"/>
    </w:pPr>
  </w:style>
  <w:style w:type="paragraph" w:customStyle="1" w:styleId="enumlev1">
    <w:name w:val="enumlev1"/>
    <w:basedOn w:val="Normal"/>
    <w:rsid w:val="009643A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643A7"/>
    <w:pPr>
      <w:ind w:left="1191" w:hanging="397"/>
    </w:pPr>
  </w:style>
  <w:style w:type="paragraph" w:customStyle="1" w:styleId="enumlev3">
    <w:name w:val="enumlev3"/>
    <w:basedOn w:val="enumlev2"/>
    <w:rsid w:val="009643A7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9643A7"/>
    <w:pPr>
      <w:spacing w:before="320"/>
    </w:pPr>
  </w:style>
  <w:style w:type="paragraph" w:customStyle="1" w:styleId="Equation">
    <w:name w:val="Equation"/>
    <w:basedOn w:val="Normal"/>
    <w:rsid w:val="009643A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643A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643A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643A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643A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643A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643A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643A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643A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643A7"/>
  </w:style>
  <w:style w:type="paragraph" w:customStyle="1" w:styleId="Data">
    <w:name w:val="Data"/>
    <w:basedOn w:val="Subject"/>
    <w:next w:val="Subject"/>
    <w:rsid w:val="009643A7"/>
  </w:style>
  <w:style w:type="paragraph" w:customStyle="1" w:styleId="Reasons">
    <w:name w:val="Reasons"/>
    <w:basedOn w:val="Normal"/>
    <w:rsid w:val="009643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643A7"/>
    <w:rPr>
      <w:color w:val="0000FF"/>
      <w:u w:val="single"/>
    </w:rPr>
  </w:style>
  <w:style w:type="paragraph" w:customStyle="1" w:styleId="FirstFooter">
    <w:name w:val="FirstFooter"/>
    <w:basedOn w:val="Footer"/>
    <w:rsid w:val="009643A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643A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643A7"/>
  </w:style>
  <w:style w:type="paragraph" w:customStyle="1" w:styleId="Headingb">
    <w:name w:val="Heading_b"/>
    <w:basedOn w:val="Heading3"/>
    <w:next w:val="Normal"/>
    <w:rsid w:val="009643A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9643A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643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643A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643A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43A7"/>
    <w:rPr>
      <w:b/>
    </w:rPr>
  </w:style>
  <w:style w:type="paragraph" w:customStyle="1" w:styleId="dnum">
    <w:name w:val="dnum"/>
    <w:basedOn w:val="Normal"/>
    <w:rsid w:val="009643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643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643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643A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643A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643A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643A7"/>
  </w:style>
  <w:style w:type="paragraph" w:customStyle="1" w:styleId="Appendixtitle">
    <w:name w:val="Appendix_title"/>
    <w:basedOn w:val="Annextitle"/>
    <w:next w:val="Appendixref"/>
    <w:rsid w:val="009643A7"/>
  </w:style>
  <w:style w:type="paragraph" w:customStyle="1" w:styleId="Appendixref">
    <w:name w:val="Appendix_ref"/>
    <w:basedOn w:val="Annexref"/>
    <w:next w:val="Normalaftertitle"/>
    <w:rsid w:val="009643A7"/>
  </w:style>
  <w:style w:type="paragraph" w:customStyle="1" w:styleId="Call">
    <w:name w:val="Call"/>
    <w:basedOn w:val="Normal"/>
    <w:next w:val="Normal"/>
    <w:rsid w:val="009643A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643A7"/>
    <w:rPr>
      <w:vertAlign w:val="superscript"/>
    </w:rPr>
  </w:style>
  <w:style w:type="paragraph" w:customStyle="1" w:styleId="Equationlegend">
    <w:name w:val="Equation_legend"/>
    <w:basedOn w:val="Normal"/>
    <w:rsid w:val="009643A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643A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643A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643A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643A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643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643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643A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643A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643A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9643A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643A7"/>
  </w:style>
  <w:style w:type="paragraph" w:customStyle="1" w:styleId="Parttitle">
    <w:name w:val="Part_title"/>
    <w:basedOn w:val="Annextitle"/>
    <w:next w:val="Partref"/>
    <w:rsid w:val="009643A7"/>
  </w:style>
  <w:style w:type="paragraph" w:customStyle="1" w:styleId="Partref">
    <w:name w:val="Part_ref"/>
    <w:basedOn w:val="Annexref"/>
    <w:next w:val="Normalaftertitle"/>
    <w:rsid w:val="009643A7"/>
  </w:style>
  <w:style w:type="paragraph" w:customStyle="1" w:styleId="RecNo">
    <w:name w:val="Rec_No"/>
    <w:basedOn w:val="Normal"/>
    <w:next w:val="Rectitle"/>
    <w:rsid w:val="009643A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643A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643A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43A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43A7"/>
  </w:style>
  <w:style w:type="paragraph" w:customStyle="1" w:styleId="QuestionNo">
    <w:name w:val="Question_No"/>
    <w:basedOn w:val="RecNo"/>
    <w:next w:val="Questiontitle"/>
    <w:rsid w:val="009643A7"/>
  </w:style>
  <w:style w:type="paragraph" w:customStyle="1" w:styleId="Questionref">
    <w:name w:val="Question_ref"/>
    <w:basedOn w:val="Recref"/>
    <w:next w:val="Questiondate"/>
    <w:rsid w:val="009643A7"/>
  </w:style>
  <w:style w:type="paragraph" w:customStyle="1" w:styleId="Questiontitle">
    <w:name w:val="Question_title"/>
    <w:basedOn w:val="Rectitle"/>
    <w:next w:val="Questionref"/>
    <w:rsid w:val="009643A7"/>
  </w:style>
  <w:style w:type="paragraph" w:customStyle="1" w:styleId="Reftext">
    <w:name w:val="Ref_text"/>
    <w:basedOn w:val="Normal"/>
    <w:rsid w:val="009643A7"/>
    <w:pPr>
      <w:ind w:left="794" w:hanging="794"/>
    </w:pPr>
  </w:style>
  <w:style w:type="paragraph" w:customStyle="1" w:styleId="Reftitle">
    <w:name w:val="Ref_title"/>
    <w:basedOn w:val="Normal"/>
    <w:next w:val="Reftext"/>
    <w:rsid w:val="009643A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43A7"/>
  </w:style>
  <w:style w:type="paragraph" w:customStyle="1" w:styleId="RepNo">
    <w:name w:val="Rep_No"/>
    <w:basedOn w:val="RecNo"/>
    <w:next w:val="Reptitle"/>
    <w:rsid w:val="009643A7"/>
  </w:style>
  <w:style w:type="paragraph" w:customStyle="1" w:styleId="Reptitle">
    <w:name w:val="Rep_title"/>
    <w:basedOn w:val="Rectitle"/>
    <w:next w:val="Repref"/>
    <w:rsid w:val="009643A7"/>
  </w:style>
  <w:style w:type="paragraph" w:customStyle="1" w:styleId="Repref">
    <w:name w:val="Rep_ref"/>
    <w:basedOn w:val="Recref"/>
    <w:next w:val="Repdate"/>
    <w:rsid w:val="009643A7"/>
  </w:style>
  <w:style w:type="paragraph" w:customStyle="1" w:styleId="Resdate">
    <w:name w:val="Res_date"/>
    <w:basedOn w:val="Recdate"/>
    <w:next w:val="Normalaftertitle"/>
    <w:rsid w:val="009643A7"/>
  </w:style>
  <w:style w:type="paragraph" w:customStyle="1" w:styleId="ResNo">
    <w:name w:val="Res_No"/>
    <w:basedOn w:val="RecNo"/>
    <w:next w:val="Restitle"/>
    <w:rsid w:val="009643A7"/>
  </w:style>
  <w:style w:type="paragraph" w:customStyle="1" w:styleId="Restitle">
    <w:name w:val="Res_title"/>
    <w:basedOn w:val="Rectitle"/>
    <w:next w:val="Resref"/>
    <w:rsid w:val="009643A7"/>
  </w:style>
  <w:style w:type="paragraph" w:customStyle="1" w:styleId="Resref">
    <w:name w:val="Res_ref"/>
    <w:basedOn w:val="Recref"/>
    <w:next w:val="Resdate"/>
    <w:rsid w:val="009643A7"/>
  </w:style>
  <w:style w:type="paragraph" w:customStyle="1" w:styleId="SectionNo">
    <w:name w:val="Section_No"/>
    <w:basedOn w:val="AnnexNo"/>
    <w:next w:val="Sectiontitle"/>
    <w:rsid w:val="009643A7"/>
  </w:style>
  <w:style w:type="paragraph" w:customStyle="1" w:styleId="Sectiontitle">
    <w:name w:val="Section_title"/>
    <w:basedOn w:val="Normal"/>
    <w:next w:val="Normalaftertitle"/>
    <w:rsid w:val="009643A7"/>
    <w:rPr>
      <w:sz w:val="26"/>
    </w:rPr>
  </w:style>
  <w:style w:type="paragraph" w:customStyle="1" w:styleId="SpecialFooter">
    <w:name w:val="Special Footer"/>
    <w:basedOn w:val="Footer"/>
    <w:rsid w:val="009643A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3A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43A7"/>
    <w:pPr>
      <w:spacing w:before="120"/>
    </w:pPr>
  </w:style>
  <w:style w:type="paragraph" w:customStyle="1" w:styleId="Tableref">
    <w:name w:val="Table_ref"/>
    <w:basedOn w:val="Normal"/>
    <w:next w:val="Tabletitle"/>
    <w:rsid w:val="009643A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643A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643A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643A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643A7"/>
    <w:rPr>
      <w:b/>
    </w:rPr>
  </w:style>
  <w:style w:type="paragraph" w:customStyle="1" w:styleId="Chaptitle">
    <w:name w:val="Chap_title"/>
    <w:basedOn w:val="Arttitle"/>
    <w:next w:val="Normalaftertitle"/>
    <w:rsid w:val="009643A7"/>
  </w:style>
  <w:style w:type="paragraph" w:customStyle="1" w:styleId="firstfooter0">
    <w:name w:val="firstfooter"/>
    <w:basedOn w:val="Normal"/>
    <w:rsid w:val="00813E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basedOn w:val="DefaultParagraphFont"/>
    <w:link w:val="Normalaftertitle"/>
    <w:rsid w:val="00E01FDA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01FDA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96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C4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6383C"/>
    <w:rPr>
      <w:rFonts w:ascii="Calibri" w:hAnsi="Calibri"/>
      <w:caps/>
      <w:noProof/>
      <w:sz w:val="16"/>
      <w:lang w:val="fr-FR" w:eastAsia="en-US"/>
    </w:rPr>
  </w:style>
  <w:style w:type="paragraph" w:customStyle="1" w:styleId="Body">
    <w:name w:val="Body"/>
    <w:rsid w:val="00DD21F7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call0">
    <w:name w:val="call"/>
    <w:basedOn w:val="Normal"/>
    <w:next w:val="Normal"/>
    <w:rsid w:val="00DD21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customStyle="1" w:styleId="A1">
    <w:name w:val="A1"/>
    <w:uiPriority w:val="99"/>
    <w:rsid w:val="00F333EF"/>
    <w:rPr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3B73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base">
    <w:name w:val="testo base"/>
    <w:basedOn w:val="ListParagraph"/>
    <w:link w:val="testobaseCarattere"/>
    <w:qFormat/>
    <w:rsid w:val="006547B1"/>
    <w:pPr>
      <w:numPr>
        <w:numId w:val="8"/>
      </w:numPr>
      <w:tabs>
        <w:tab w:val="clear" w:pos="794"/>
        <w:tab w:val="clear" w:pos="1191"/>
        <w:tab w:val="clear" w:pos="1588"/>
        <w:tab w:val="clear" w:pos="1985"/>
      </w:tabs>
      <w:adjustRightInd w:val="0"/>
      <w:spacing w:before="120" w:after="0" w:line="319" w:lineRule="auto"/>
      <w:ind w:left="425" w:hanging="425"/>
      <w:contextualSpacing w:val="0"/>
      <w:jc w:val="both"/>
    </w:pPr>
    <w:rPr>
      <w:rFonts w:ascii="Times New Roman" w:eastAsiaTheme="minorHAnsi" w:hAnsi="Times New Roman" w:cs="Times New Roman"/>
      <w:sz w:val="24"/>
      <w:szCs w:val="24"/>
      <w:lang w:val="en-GB" w:eastAsia="it-IT"/>
    </w:rPr>
  </w:style>
  <w:style w:type="character" w:customStyle="1" w:styleId="testobaseCarattere">
    <w:name w:val="testo base Carattere"/>
    <w:basedOn w:val="DefaultParagraphFont"/>
    <w:link w:val="testobase"/>
    <w:rsid w:val="006547B1"/>
    <w:rPr>
      <w:rFonts w:ascii="Times New Roman" w:eastAsiaTheme="minorHAnsi" w:hAnsi="Times New Roman"/>
      <w:sz w:val="24"/>
      <w:szCs w:val="24"/>
      <w:lang w:val="en-GB" w:eastAsia="it-IT"/>
    </w:rPr>
  </w:style>
  <w:style w:type="paragraph" w:customStyle="1" w:styleId="recesugg">
    <w:name w:val="rec e sugg"/>
    <w:basedOn w:val="testobase"/>
    <w:qFormat/>
    <w:rsid w:val="0065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titolorecesug">
    <w:name w:val="titolo rec e sug"/>
    <w:basedOn w:val="Normal"/>
    <w:qFormat/>
    <w:rsid w:val="006547B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jc w:val="both"/>
      <w:textAlignment w:val="auto"/>
    </w:pPr>
    <w:rPr>
      <w:rFonts w:asciiTheme="majorBidi" w:eastAsiaTheme="minorHAnsi" w:hAnsiTheme="majorBidi" w:cstheme="majorBidi"/>
      <w:b/>
      <w:bCs/>
      <w:sz w:val="24"/>
      <w:szCs w:val="24"/>
    </w:rPr>
  </w:style>
  <w:style w:type="paragraph" w:customStyle="1" w:styleId="titcomments">
    <w:name w:val="tit comments"/>
    <w:basedOn w:val="titolorecesug"/>
    <w:qFormat/>
    <w:rsid w:val="008D2060"/>
    <w:rPr>
      <w:u w:val="single"/>
    </w:rPr>
  </w:style>
  <w:style w:type="paragraph" w:customStyle="1" w:styleId="comments">
    <w:name w:val="comments"/>
    <w:basedOn w:val="Normal"/>
    <w:next w:val="Normal"/>
    <w:qFormat/>
    <w:rsid w:val="00C7645B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jc w:val="both"/>
      <w:textAlignment w:val="auto"/>
    </w:pPr>
    <w:rPr>
      <w:rFonts w:asciiTheme="majorBidi" w:eastAsiaTheme="minorHAns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5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928546760602301E-2"/>
          <c:y val="7.7328646748681895E-2"/>
          <c:w val="0.92607145323939755"/>
          <c:h val="0.8031740073015306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14.906000000000001</c:v>
                </c:pt>
                <c:pt idx="1">
                  <c:v>10.555999999999999</c:v>
                </c:pt>
                <c:pt idx="2">
                  <c:v>7.5069999999999997</c:v>
                </c:pt>
                <c:pt idx="3">
                  <c:v>8.0340000000000007</c:v>
                </c:pt>
                <c:pt idx="4">
                  <c:v>9.923</c:v>
                </c:pt>
                <c:pt idx="5">
                  <c:v>8.8960000000000008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39910936"/>
        <c:axId val="343355848"/>
      </c:lineChart>
      <c:catAx>
        <c:axId val="339910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355848"/>
        <c:crosses val="autoZero"/>
        <c:auto val="1"/>
        <c:lblAlgn val="ctr"/>
        <c:lblOffset val="100"/>
        <c:noMultiLvlLbl val="0"/>
      </c:catAx>
      <c:valAx>
        <c:axId val="343355848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9910936"/>
        <c:crosses val="autoZero"/>
        <c:crossBetween val="between"/>
        <c:majorUnit val="5"/>
      </c:val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 sz="10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CB10-B077-44EB-ADF6-9757F850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PR_C15.dotm</Template>
  <TotalTime>197</TotalTime>
  <Pages>24</Pages>
  <Words>6919</Words>
  <Characters>49013</Characters>
  <Application>Microsoft Office Word</Application>
  <DocSecurity>0</DocSecurity>
  <Lines>408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55821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2015</dc:subject>
  <dc:creator>Brouard, Ricarda</dc:creator>
  <cp:keywords/>
  <dc:description/>
  <cp:lastModifiedBy>Antipina, Nadezda</cp:lastModifiedBy>
  <cp:revision>10</cp:revision>
  <cp:lastPrinted>2015-05-14T15:16:00Z</cp:lastPrinted>
  <dcterms:created xsi:type="dcterms:W3CDTF">2015-05-14T15:03:00Z</dcterms:created>
  <dcterms:modified xsi:type="dcterms:W3CDTF">2015-05-14T19:43:00Z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