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30B49" w:rsidRPr="00813E5E">
        <w:trPr>
          <w:cantSplit/>
        </w:trPr>
        <w:tc>
          <w:tcPr>
            <w:tcW w:w="6911" w:type="dxa"/>
          </w:tcPr>
          <w:p w:rsidR="00C30B49" w:rsidRPr="00813E5E" w:rsidRDefault="00C30B49" w:rsidP="00C30B4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30B49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C30B4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30B49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C30B49" w:rsidRPr="00813E5E" w:rsidRDefault="00C30B49" w:rsidP="00C30B49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B49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30B49" w:rsidRPr="00813E5E" w:rsidRDefault="00C30B4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30B49" w:rsidRPr="00813E5E" w:rsidRDefault="00C30B49">
            <w:pPr>
              <w:spacing w:before="0" w:line="240" w:lineRule="atLeast"/>
              <w:rPr>
                <w:szCs w:val="24"/>
              </w:rPr>
            </w:pPr>
          </w:p>
        </w:tc>
      </w:tr>
      <w:tr w:rsidR="00C30B49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30B49" w:rsidRPr="00813E5E" w:rsidRDefault="00C30B4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30B49" w:rsidRPr="00813E5E" w:rsidRDefault="00C30B49">
            <w:pPr>
              <w:spacing w:before="0" w:line="240" w:lineRule="atLeast"/>
              <w:rPr>
                <w:szCs w:val="24"/>
              </w:rPr>
            </w:pPr>
          </w:p>
        </w:tc>
      </w:tr>
      <w:tr w:rsidR="00C30B49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C30B49" w:rsidRPr="00C30B49" w:rsidRDefault="00C30B49" w:rsidP="00C30B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</w:t>
            </w:r>
            <w:r w:rsidR="006B331B">
              <w:rPr>
                <w:b/>
              </w:rPr>
              <w:t xml:space="preserve"> 2.10</w:t>
            </w:r>
          </w:p>
        </w:tc>
        <w:tc>
          <w:tcPr>
            <w:tcW w:w="3120" w:type="dxa"/>
          </w:tcPr>
          <w:p w:rsidR="00C30B49" w:rsidRPr="00C30B49" w:rsidRDefault="00C30B49" w:rsidP="006B331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C17/2</w:t>
            </w:r>
            <w:r w:rsidR="006B331B">
              <w:rPr>
                <w:b/>
              </w:rPr>
              <w:t>7</w:t>
            </w:r>
            <w:r>
              <w:rPr>
                <w:b/>
              </w:rPr>
              <w:t>-E</w:t>
            </w:r>
          </w:p>
        </w:tc>
      </w:tr>
      <w:tr w:rsidR="00C30B49" w:rsidRPr="00813E5E">
        <w:trPr>
          <w:cantSplit/>
          <w:trHeight w:val="23"/>
        </w:trPr>
        <w:tc>
          <w:tcPr>
            <w:tcW w:w="6911" w:type="dxa"/>
            <w:vMerge/>
          </w:tcPr>
          <w:p w:rsidR="00C30B49" w:rsidRPr="00813E5E" w:rsidRDefault="00C30B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30B49" w:rsidRPr="00C30B49" w:rsidRDefault="002A1A8F" w:rsidP="002A1A8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12</w:t>
            </w:r>
            <w:r w:rsidR="006B331B">
              <w:rPr>
                <w:b/>
              </w:rPr>
              <w:t xml:space="preserve"> A</w:t>
            </w:r>
            <w:r w:rsidR="006B331B">
              <w:rPr>
                <w:b/>
              </w:rPr>
              <w:t>pril</w:t>
            </w:r>
            <w:r w:rsidR="00C30B49">
              <w:rPr>
                <w:b/>
              </w:rPr>
              <w:t xml:space="preserve"> 2017</w:t>
            </w:r>
          </w:p>
        </w:tc>
      </w:tr>
      <w:tr w:rsidR="00C30B49" w:rsidRPr="00813E5E">
        <w:trPr>
          <w:cantSplit/>
          <w:trHeight w:val="23"/>
        </w:trPr>
        <w:tc>
          <w:tcPr>
            <w:tcW w:w="6911" w:type="dxa"/>
            <w:vMerge/>
          </w:tcPr>
          <w:p w:rsidR="00C30B49" w:rsidRPr="00813E5E" w:rsidRDefault="00C30B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30B49" w:rsidRPr="00C30B49" w:rsidRDefault="00C30B49" w:rsidP="00C30B4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C30B49" w:rsidRPr="00813E5E">
        <w:trPr>
          <w:cantSplit/>
        </w:trPr>
        <w:tc>
          <w:tcPr>
            <w:tcW w:w="10031" w:type="dxa"/>
            <w:gridSpan w:val="2"/>
          </w:tcPr>
          <w:p w:rsidR="00C30B49" w:rsidRPr="00813E5E" w:rsidRDefault="00C30B49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C30B49" w:rsidRPr="00813E5E">
        <w:trPr>
          <w:cantSplit/>
        </w:trPr>
        <w:tc>
          <w:tcPr>
            <w:tcW w:w="10031" w:type="dxa"/>
            <w:gridSpan w:val="2"/>
          </w:tcPr>
          <w:p w:rsidR="00C30B49" w:rsidRPr="00813E5E" w:rsidRDefault="006B331B" w:rsidP="00BB36D8">
            <w:pPr>
              <w:pStyle w:val="Title1"/>
            </w:pPr>
            <w:bookmarkStart w:id="7" w:name="dtitle1" w:colFirst="0" w:colLast="0"/>
            <w:bookmarkEnd w:id="6"/>
            <w:r w:rsidRPr="006B331B">
              <w:t>WORLD RADIOCOMMUNICATION CONFERENCE (WRC-19)</w:t>
            </w:r>
          </w:p>
        </w:tc>
      </w:tr>
      <w:bookmarkEnd w:id="7"/>
    </w:tbl>
    <w:p w:rsidR="00C30B49" w:rsidRPr="00813E5E" w:rsidRDefault="00C30B4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0B49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B49" w:rsidRPr="006B331B" w:rsidRDefault="00C30B49" w:rsidP="006B331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ind w:left="52" w:firstLine="0"/>
              <w:rPr>
                <w:szCs w:val="24"/>
              </w:rPr>
            </w:pPr>
            <w:r w:rsidRPr="006B331B">
              <w:rPr>
                <w:szCs w:val="24"/>
              </w:rPr>
              <w:t>Summary</w:t>
            </w:r>
          </w:p>
          <w:p w:rsidR="006B331B" w:rsidRPr="006B331B" w:rsidRDefault="006B331B" w:rsidP="0096051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szCs w:val="24"/>
              </w:rPr>
            </w:pPr>
            <w:r w:rsidRPr="006B331B">
              <w:rPr>
                <w:szCs w:val="24"/>
              </w:rPr>
              <w:t>Council Resolution 1380 containing the WRC-19 agenda, as well as the dates and venue for the World Radiocommunication Conference (WRC-19) and for the Radiocommunication Assembly (RA-19), wa</w:t>
            </w:r>
            <w:r w:rsidR="00960514">
              <w:rPr>
                <w:szCs w:val="24"/>
              </w:rPr>
              <w:t>s the object of a consultation with</w:t>
            </w:r>
            <w:r w:rsidRPr="006B331B">
              <w:rPr>
                <w:szCs w:val="24"/>
              </w:rPr>
              <w:t xml:space="preserve"> the membership and received the agreement of the majority of the Member States of ITU.</w:t>
            </w:r>
          </w:p>
          <w:p w:rsidR="006B331B" w:rsidRPr="006B331B" w:rsidRDefault="006B331B" w:rsidP="0096051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szCs w:val="24"/>
              </w:rPr>
            </w:pPr>
            <w:r w:rsidRPr="006B331B">
              <w:rPr>
                <w:szCs w:val="24"/>
              </w:rPr>
              <w:t>In view of the Arab Republic of Egypt’s expression of interest to host the WRC‐19 on the dates proposed in Resolution 1380, the BR c</w:t>
            </w:r>
            <w:r w:rsidR="00960514">
              <w:rPr>
                <w:szCs w:val="24"/>
              </w:rPr>
              <w:t>ommunicated to the A</w:t>
            </w:r>
            <w:r w:rsidRPr="006B331B">
              <w:rPr>
                <w:szCs w:val="24"/>
              </w:rPr>
              <w:t xml:space="preserve">dministration of Egypt the ITU requirements for hosting RA-19 and WRC-19. The Administration of Egypt has indicated its commitment to meet </w:t>
            </w:r>
            <w:r w:rsidR="00960514">
              <w:rPr>
                <w:szCs w:val="24"/>
              </w:rPr>
              <w:t>ITU’s</w:t>
            </w:r>
            <w:r w:rsidRPr="006B331B">
              <w:rPr>
                <w:szCs w:val="24"/>
              </w:rPr>
              <w:t xml:space="preserve"> minimum requirements to organize RA-19 and WRC-19 in </w:t>
            </w:r>
            <w:proofErr w:type="spellStart"/>
            <w:r w:rsidRPr="006B331B">
              <w:rPr>
                <w:szCs w:val="24"/>
              </w:rPr>
              <w:t>Sharm</w:t>
            </w:r>
            <w:proofErr w:type="spellEnd"/>
            <w:r w:rsidRPr="006B331B">
              <w:rPr>
                <w:szCs w:val="24"/>
              </w:rPr>
              <w:t xml:space="preserve"> El-Sheikh, on the dates set forth in Resolution 1380.</w:t>
            </w:r>
          </w:p>
          <w:p w:rsidR="006B331B" w:rsidRPr="006B331B" w:rsidRDefault="006B331B" w:rsidP="006B33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szCs w:val="24"/>
              </w:rPr>
            </w:pPr>
            <w:r w:rsidRPr="006B331B">
              <w:rPr>
                <w:szCs w:val="24"/>
              </w:rPr>
              <w:t>This document also contains a brief status report on the ITU-R preparations for WRC-19.</w:t>
            </w:r>
          </w:p>
          <w:p w:rsidR="00C30B49" w:rsidRPr="006B331B" w:rsidRDefault="00C30B49" w:rsidP="006B331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ind w:left="0" w:firstLine="0"/>
              <w:rPr>
                <w:szCs w:val="24"/>
              </w:rPr>
            </w:pPr>
            <w:r w:rsidRPr="006B331B">
              <w:rPr>
                <w:szCs w:val="24"/>
              </w:rPr>
              <w:t>Action required</w:t>
            </w:r>
          </w:p>
          <w:p w:rsidR="006B331B" w:rsidRPr="006B331B" w:rsidRDefault="006B331B" w:rsidP="0059029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szCs w:val="24"/>
              </w:rPr>
            </w:pPr>
            <w:r w:rsidRPr="006B331B">
              <w:rPr>
                <w:szCs w:val="24"/>
              </w:rPr>
              <w:t xml:space="preserve">The Council is requested to </w:t>
            </w:r>
            <w:r w:rsidR="0059029D">
              <w:rPr>
                <w:b/>
                <w:szCs w:val="24"/>
              </w:rPr>
              <w:t xml:space="preserve">reconsider </w:t>
            </w:r>
            <w:r w:rsidRPr="006B331B">
              <w:rPr>
                <w:b/>
                <w:szCs w:val="24"/>
              </w:rPr>
              <w:t>Resolution 1380</w:t>
            </w:r>
            <w:r w:rsidRPr="006B331B">
              <w:rPr>
                <w:szCs w:val="24"/>
              </w:rPr>
              <w:t xml:space="preserve"> </w:t>
            </w:r>
            <w:r w:rsidR="0059029D">
              <w:rPr>
                <w:szCs w:val="24"/>
              </w:rPr>
              <w:t xml:space="preserve">in view of the Arab Republic of Egypt’s commitment to meet ITU’s minimum requirements to organize </w:t>
            </w:r>
            <w:r w:rsidRPr="006B331B">
              <w:rPr>
                <w:szCs w:val="24"/>
              </w:rPr>
              <w:t xml:space="preserve">RA-19 and WRC-19 </w:t>
            </w:r>
            <w:r w:rsidR="0059029D">
              <w:rPr>
                <w:szCs w:val="24"/>
              </w:rPr>
              <w:t xml:space="preserve">in </w:t>
            </w:r>
            <w:proofErr w:type="spellStart"/>
            <w:r w:rsidRPr="006B331B">
              <w:rPr>
                <w:szCs w:val="24"/>
              </w:rPr>
              <w:t>Sharm</w:t>
            </w:r>
            <w:proofErr w:type="spellEnd"/>
            <w:r w:rsidRPr="006B331B">
              <w:rPr>
                <w:szCs w:val="24"/>
              </w:rPr>
              <w:t xml:space="preserve"> El-Sheikh</w:t>
            </w:r>
            <w:r w:rsidR="0059029D">
              <w:rPr>
                <w:szCs w:val="24"/>
              </w:rPr>
              <w:t xml:space="preserve"> on the dates set forth in Resolution 1380</w:t>
            </w:r>
            <w:r w:rsidRPr="006B331B">
              <w:rPr>
                <w:szCs w:val="24"/>
              </w:rPr>
              <w:t>.</w:t>
            </w:r>
          </w:p>
          <w:p w:rsidR="00C30B49" w:rsidRPr="006B331B" w:rsidRDefault="00C30B49" w:rsidP="006B331B">
            <w:pPr>
              <w:pStyle w:val="Table"/>
              <w:keepNext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6B331B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C30B49" w:rsidRPr="006B331B" w:rsidRDefault="00C30B49" w:rsidP="006B331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ind w:left="52" w:firstLine="0"/>
              <w:rPr>
                <w:szCs w:val="24"/>
              </w:rPr>
            </w:pPr>
            <w:r w:rsidRPr="006B331B">
              <w:rPr>
                <w:szCs w:val="24"/>
              </w:rPr>
              <w:t>References</w:t>
            </w:r>
          </w:p>
          <w:p w:rsidR="00C30B49" w:rsidRPr="006B331B" w:rsidRDefault="002A1A8F" w:rsidP="006B331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rPr>
                <w:i/>
                <w:iCs/>
                <w:szCs w:val="24"/>
              </w:rPr>
            </w:pPr>
            <w:hyperlink r:id="rId9" w:history="1">
              <w:r w:rsidR="006B331B" w:rsidRPr="006B331B">
                <w:rPr>
                  <w:rStyle w:val="Hyperlink"/>
                  <w:i/>
                  <w:iCs/>
                  <w:szCs w:val="24"/>
                </w:rPr>
                <w:t>CV 42, 47, 75, 118, 126</w:t>
              </w:r>
            </w:hyperlink>
            <w:r w:rsidR="006B331B" w:rsidRPr="006B331B">
              <w:rPr>
                <w:i/>
                <w:iCs/>
                <w:szCs w:val="24"/>
              </w:rPr>
              <w:t xml:space="preserve">; </w:t>
            </w:r>
            <w:hyperlink r:id="rId10" w:history="1">
              <w:r w:rsidR="006B331B" w:rsidRPr="006B331B">
                <w:rPr>
                  <w:rStyle w:val="Hyperlink"/>
                  <w:i/>
                  <w:iCs/>
                  <w:szCs w:val="24"/>
                </w:rPr>
                <w:t>Resolution 1380</w:t>
              </w:r>
            </w:hyperlink>
            <w:r w:rsidR="006B331B" w:rsidRPr="006B331B">
              <w:rPr>
                <w:i/>
                <w:iCs/>
                <w:szCs w:val="24"/>
              </w:rPr>
              <w:t xml:space="preserve">; CL </w:t>
            </w:r>
            <w:hyperlink r:id="rId11" w:history="1">
              <w:r w:rsidR="006B331B" w:rsidRPr="006B331B">
                <w:rPr>
                  <w:rStyle w:val="Hyperlink"/>
                  <w:i/>
                  <w:iCs/>
                  <w:szCs w:val="24"/>
                </w:rPr>
                <w:t>16/45</w:t>
              </w:r>
            </w:hyperlink>
            <w:r w:rsidR="006B331B" w:rsidRPr="006B331B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="006B331B" w:rsidRPr="006B331B">
                <w:rPr>
                  <w:rStyle w:val="Hyperlink"/>
                  <w:i/>
                  <w:iCs/>
                  <w:szCs w:val="24"/>
                </w:rPr>
                <w:t>16/49</w:t>
              </w:r>
            </w:hyperlink>
            <w:r w:rsidR="006B331B" w:rsidRPr="006B331B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="006B331B" w:rsidRPr="006B331B">
                <w:rPr>
                  <w:rStyle w:val="Hyperlink"/>
                  <w:i/>
                  <w:iCs/>
                  <w:szCs w:val="24"/>
                </w:rPr>
                <w:t>16/57</w:t>
              </w:r>
            </w:hyperlink>
          </w:p>
        </w:tc>
      </w:tr>
    </w:tbl>
    <w:p w:rsidR="006B331B" w:rsidRPr="006B331B" w:rsidRDefault="006B331B" w:rsidP="006B331B">
      <w:pPr>
        <w:pStyle w:val="Heading1"/>
        <w:keepNext w:val="0"/>
        <w:keepLines w:val="0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600" w:after="120"/>
        <w:ind w:left="0" w:firstLine="0"/>
        <w:textAlignment w:val="auto"/>
        <w:rPr>
          <w:rFonts w:asciiTheme="minorHAnsi" w:hAnsiTheme="minorHAnsi"/>
          <w:szCs w:val="28"/>
        </w:rPr>
      </w:pPr>
      <w:bookmarkStart w:id="8" w:name="dstart"/>
      <w:bookmarkStart w:id="9" w:name="dbreak"/>
      <w:bookmarkEnd w:id="8"/>
      <w:bookmarkEnd w:id="9"/>
      <w:r w:rsidRPr="006B331B">
        <w:rPr>
          <w:rFonts w:asciiTheme="minorHAnsi" w:hAnsiTheme="minorHAnsi"/>
          <w:szCs w:val="28"/>
        </w:rPr>
        <w:t>Place, dates</w:t>
      </w:r>
      <w:r w:rsidR="00960514">
        <w:rPr>
          <w:rFonts w:asciiTheme="minorHAnsi" w:hAnsiTheme="minorHAnsi"/>
          <w:szCs w:val="28"/>
        </w:rPr>
        <w:t>,</w:t>
      </w:r>
      <w:r w:rsidRPr="006B331B">
        <w:rPr>
          <w:rFonts w:asciiTheme="minorHAnsi" w:hAnsiTheme="minorHAnsi"/>
          <w:szCs w:val="28"/>
        </w:rPr>
        <w:t xml:space="preserve"> and agenda of WRC-19; place and dates of RA-19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Cs w:val="24"/>
        </w:rPr>
      </w:pPr>
      <w:r w:rsidRPr="006B331B">
        <w:rPr>
          <w:rFonts w:asciiTheme="minorHAnsi" w:eastAsia="SimSun" w:hAnsiTheme="minorHAnsi"/>
          <w:szCs w:val="24"/>
        </w:rPr>
        <w:t xml:space="preserve">During its 2016 session, </w:t>
      </w:r>
      <w:r w:rsidR="00960514">
        <w:rPr>
          <w:rFonts w:asciiTheme="minorHAnsi" w:eastAsia="SimSun" w:hAnsiTheme="minorHAnsi"/>
          <w:szCs w:val="24"/>
        </w:rPr>
        <w:t xml:space="preserve">the </w:t>
      </w:r>
      <w:r w:rsidRPr="006B331B">
        <w:rPr>
          <w:rFonts w:asciiTheme="minorHAnsi" w:eastAsia="SimSun" w:hAnsiTheme="minorHAnsi"/>
          <w:szCs w:val="24"/>
        </w:rPr>
        <w:t>Council considered the</w:t>
      </w:r>
      <w:r w:rsidR="00C05ED3">
        <w:rPr>
          <w:rFonts w:asciiTheme="minorHAnsi" w:eastAsia="SimSun" w:hAnsiTheme="minorHAnsi"/>
          <w:szCs w:val="24"/>
        </w:rPr>
        <w:t xml:space="preserve"> </w:t>
      </w:r>
      <w:r w:rsidR="00C05ED3" w:rsidRPr="006B331B">
        <w:rPr>
          <w:szCs w:val="24"/>
        </w:rPr>
        <w:t>World Radiocommunication Conference</w:t>
      </w:r>
      <w:r w:rsidRPr="006B331B">
        <w:rPr>
          <w:rFonts w:asciiTheme="minorHAnsi" w:eastAsia="SimSun" w:hAnsiTheme="minorHAnsi"/>
          <w:szCs w:val="24"/>
        </w:rPr>
        <w:t xml:space="preserve"> </w:t>
      </w:r>
      <w:r w:rsidR="00C05ED3">
        <w:rPr>
          <w:rFonts w:asciiTheme="minorHAnsi" w:eastAsia="SimSun" w:hAnsiTheme="minorHAnsi"/>
          <w:szCs w:val="24"/>
        </w:rPr>
        <w:t>(</w:t>
      </w:r>
      <w:r w:rsidRPr="006B331B">
        <w:rPr>
          <w:rFonts w:asciiTheme="minorHAnsi" w:eastAsia="SimSun" w:hAnsiTheme="minorHAnsi"/>
          <w:szCs w:val="24"/>
        </w:rPr>
        <w:t>WRC-19</w:t>
      </w:r>
      <w:r w:rsidR="00C05ED3">
        <w:rPr>
          <w:rFonts w:asciiTheme="minorHAnsi" w:eastAsia="SimSun" w:hAnsiTheme="minorHAnsi"/>
          <w:szCs w:val="24"/>
        </w:rPr>
        <w:t>)</w:t>
      </w:r>
      <w:r w:rsidRPr="006B331B">
        <w:rPr>
          <w:rFonts w:asciiTheme="minorHAnsi" w:eastAsia="SimSun" w:hAnsiTheme="minorHAnsi"/>
          <w:szCs w:val="24"/>
        </w:rPr>
        <w:t xml:space="preserve"> agenda contained in </w:t>
      </w:r>
      <w:r w:rsidRPr="006B331B">
        <w:rPr>
          <w:rFonts w:asciiTheme="minorHAnsi" w:hAnsiTheme="minorHAnsi"/>
          <w:szCs w:val="24"/>
        </w:rPr>
        <w:t xml:space="preserve">Resolution 809 (WRC-15) </w:t>
      </w:r>
      <w:r w:rsidRPr="006B331B">
        <w:rPr>
          <w:rFonts w:asciiTheme="minorHAnsi" w:eastAsia="SimSun" w:hAnsiTheme="minorHAnsi"/>
          <w:szCs w:val="24"/>
        </w:rPr>
        <w:t>and approved Resolution 1380 (</w:t>
      </w:r>
      <w:bookmarkStart w:id="10" w:name="_Hlk351970741"/>
      <w:r w:rsidR="00960514">
        <w:rPr>
          <w:rFonts w:asciiTheme="minorHAnsi" w:eastAsia="SimSun" w:hAnsiTheme="minorHAnsi"/>
          <w:szCs w:val="24"/>
        </w:rPr>
        <w:t>see d</w:t>
      </w:r>
      <w:r w:rsidRPr="006B331B">
        <w:rPr>
          <w:rFonts w:asciiTheme="minorHAnsi" w:eastAsia="SimSun" w:hAnsiTheme="minorHAnsi"/>
          <w:szCs w:val="24"/>
        </w:rPr>
        <w:t xml:space="preserve">ocument </w:t>
      </w:r>
      <w:hyperlink r:id="rId14" w:history="1">
        <w:r w:rsidRPr="006B331B">
          <w:rPr>
            <w:rStyle w:val="Hyperlink"/>
            <w:rFonts w:asciiTheme="minorHAnsi" w:eastAsia="SimSun" w:hAnsiTheme="minorHAnsi"/>
            <w:szCs w:val="24"/>
          </w:rPr>
          <w:t>C16/130</w:t>
        </w:r>
        <w:bookmarkEnd w:id="10"/>
      </w:hyperlink>
      <w:r w:rsidRPr="006B331B">
        <w:rPr>
          <w:rFonts w:asciiTheme="minorHAnsi" w:eastAsia="SimSun" w:hAnsiTheme="minorHAnsi"/>
          <w:szCs w:val="24"/>
        </w:rPr>
        <w:t xml:space="preserve">) containing the WRC-19 agenda, as well as the dates and venue for WRC-19 (Geneva, </w:t>
      </w:r>
      <w:r w:rsidRPr="006B331B">
        <w:rPr>
          <w:rFonts w:asciiTheme="minorHAnsi" w:hAnsiTheme="minorHAnsi"/>
          <w:szCs w:val="24"/>
        </w:rPr>
        <w:lastRenderedPageBreak/>
        <w:t xml:space="preserve">28 October to 22 November </w:t>
      </w:r>
      <w:r w:rsidRPr="006B331B">
        <w:rPr>
          <w:rFonts w:asciiTheme="minorHAnsi" w:eastAsia="SimSun" w:hAnsiTheme="minorHAnsi"/>
          <w:szCs w:val="24"/>
        </w:rPr>
        <w:t>2019) and for</w:t>
      </w:r>
      <w:r w:rsidR="00C05ED3">
        <w:rPr>
          <w:rFonts w:asciiTheme="minorHAnsi" w:eastAsia="SimSun" w:hAnsiTheme="minorHAnsi"/>
          <w:szCs w:val="24"/>
        </w:rPr>
        <w:t xml:space="preserve"> </w:t>
      </w:r>
      <w:r w:rsidR="00C05ED3" w:rsidRPr="006B331B">
        <w:rPr>
          <w:szCs w:val="24"/>
        </w:rPr>
        <w:t>Radiocommunication Assembly</w:t>
      </w:r>
      <w:r w:rsidRPr="006B331B">
        <w:rPr>
          <w:rFonts w:asciiTheme="minorHAnsi" w:eastAsia="SimSun" w:hAnsiTheme="minorHAnsi"/>
          <w:szCs w:val="24"/>
        </w:rPr>
        <w:t xml:space="preserve"> </w:t>
      </w:r>
      <w:r w:rsidR="00C05ED3">
        <w:rPr>
          <w:rFonts w:asciiTheme="minorHAnsi" w:eastAsia="SimSun" w:hAnsiTheme="minorHAnsi"/>
          <w:szCs w:val="24"/>
        </w:rPr>
        <w:t>(</w:t>
      </w:r>
      <w:r w:rsidRPr="006B331B">
        <w:rPr>
          <w:rFonts w:asciiTheme="minorHAnsi" w:eastAsia="SimSun" w:hAnsiTheme="minorHAnsi"/>
          <w:szCs w:val="24"/>
        </w:rPr>
        <w:t>RA-19</w:t>
      </w:r>
      <w:r w:rsidR="00C05ED3">
        <w:rPr>
          <w:rFonts w:asciiTheme="minorHAnsi" w:eastAsia="SimSun" w:hAnsiTheme="minorHAnsi"/>
          <w:szCs w:val="24"/>
        </w:rPr>
        <w:t>)</w:t>
      </w:r>
      <w:r w:rsidRPr="006B331B">
        <w:rPr>
          <w:rFonts w:asciiTheme="minorHAnsi" w:eastAsia="SimSun" w:hAnsiTheme="minorHAnsi"/>
          <w:szCs w:val="24"/>
        </w:rPr>
        <w:t xml:space="preserve"> (Geneva, </w:t>
      </w:r>
      <w:r w:rsidRPr="006B331B">
        <w:rPr>
          <w:rFonts w:asciiTheme="minorHAnsi" w:hAnsiTheme="minorHAnsi"/>
          <w:szCs w:val="24"/>
        </w:rPr>
        <w:t>21 to 25 </w:t>
      </w:r>
      <w:r w:rsidR="00960514">
        <w:rPr>
          <w:rFonts w:asciiTheme="minorHAnsi" w:eastAsia="SimSun" w:hAnsiTheme="minorHAnsi"/>
          <w:szCs w:val="24"/>
        </w:rPr>
        <w:t>October 2019</w:t>
      </w:r>
      <w:r w:rsidRPr="006B331B">
        <w:rPr>
          <w:rFonts w:asciiTheme="minorHAnsi" w:eastAsia="SimSun" w:hAnsiTheme="minorHAnsi"/>
          <w:szCs w:val="24"/>
        </w:rPr>
        <w:t xml:space="preserve">). 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Cs w:val="24"/>
        </w:rPr>
      </w:pPr>
      <w:r w:rsidRPr="006B331B">
        <w:rPr>
          <w:rFonts w:asciiTheme="minorHAnsi" w:eastAsia="SimSun" w:hAnsiTheme="minorHAnsi"/>
          <w:szCs w:val="24"/>
        </w:rPr>
        <w:t xml:space="preserve">In accordance with CV 42 and CV 118, Resolution 1380 was the object of a consultation to Member States through Circular letters </w:t>
      </w:r>
      <w:hyperlink r:id="rId15" w:history="1">
        <w:r w:rsidRPr="00960514">
          <w:rPr>
            <w:rStyle w:val="Hyperlink"/>
            <w:rFonts w:asciiTheme="minorHAnsi" w:eastAsia="SimSun" w:hAnsiTheme="minorHAnsi"/>
            <w:szCs w:val="24"/>
          </w:rPr>
          <w:t>CL‐16/45</w:t>
        </w:r>
      </w:hyperlink>
      <w:r w:rsidRPr="006B331B">
        <w:rPr>
          <w:rFonts w:asciiTheme="minorHAnsi" w:eastAsia="SimSun" w:hAnsiTheme="minorHAnsi"/>
          <w:szCs w:val="24"/>
        </w:rPr>
        <w:t xml:space="preserve"> of 1 September 2016 and </w:t>
      </w:r>
      <w:hyperlink r:id="rId16" w:history="1">
        <w:r w:rsidRPr="00960514">
          <w:rPr>
            <w:rStyle w:val="Hyperlink"/>
            <w:rFonts w:asciiTheme="minorHAnsi" w:eastAsia="SimSun" w:hAnsiTheme="minorHAnsi"/>
            <w:szCs w:val="24"/>
          </w:rPr>
          <w:t>CL‐16/49</w:t>
        </w:r>
      </w:hyperlink>
      <w:r w:rsidRPr="006B331B">
        <w:rPr>
          <w:rFonts w:asciiTheme="minorHAnsi" w:eastAsia="SimSun" w:hAnsiTheme="minorHAnsi"/>
          <w:szCs w:val="24"/>
        </w:rPr>
        <w:t xml:space="preserve"> of 3 October 2016.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Cs w:val="24"/>
        </w:rPr>
      </w:pPr>
      <w:r w:rsidRPr="006B331B">
        <w:rPr>
          <w:rFonts w:asciiTheme="minorHAnsi" w:eastAsia="SimSun" w:hAnsiTheme="minorHAnsi"/>
          <w:szCs w:val="24"/>
        </w:rPr>
        <w:t xml:space="preserve">As informed to the membership via Circular Letter </w:t>
      </w:r>
      <w:hyperlink r:id="rId17" w:history="1">
        <w:r w:rsidRPr="006B331B">
          <w:rPr>
            <w:rStyle w:val="Hyperlink"/>
            <w:rFonts w:asciiTheme="minorHAnsi" w:eastAsia="SimSun" w:hAnsiTheme="minorHAnsi"/>
            <w:szCs w:val="24"/>
          </w:rPr>
          <w:t>CL-16/57</w:t>
        </w:r>
      </w:hyperlink>
      <w:r w:rsidRPr="006B331B">
        <w:rPr>
          <w:rFonts w:asciiTheme="minorHAnsi" w:eastAsia="SimSun" w:hAnsiTheme="minorHAnsi"/>
          <w:szCs w:val="24"/>
        </w:rPr>
        <w:t xml:space="preserve"> of 8 December 2016, the proposed place, dates</w:t>
      </w:r>
      <w:r w:rsidR="00960514">
        <w:rPr>
          <w:rFonts w:asciiTheme="minorHAnsi" w:eastAsia="SimSun" w:hAnsiTheme="minorHAnsi"/>
          <w:szCs w:val="24"/>
        </w:rPr>
        <w:t>,</w:t>
      </w:r>
      <w:r w:rsidRPr="006B331B">
        <w:rPr>
          <w:rFonts w:asciiTheme="minorHAnsi" w:eastAsia="SimSun" w:hAnsiTheme="minorHAnsi"/>
          <w:szCs w:val="24"/>
        </w:rPr>
        <w:t xml:space="preserve"> and agenda for WRC-19 and the proposed place and dates for RA-19 as set forth in Resolution 1380, received the agreement of the majority of </w:t>
      </w:r>
      <w:r w:rsidR="00960514">
        <w:rPr>
          <w:rFonts w:asciiTheme="minorHAnsi" w:eastAsia="SimSun" w:hAnsiTheme="minorHAnsi"/>
          <w:szCs w:val="24"/>
        </w:rPr>
        <w:t>ITU</w:t>
      </w:r>
      <w:r w:rsidRPr="006B331B">
        <w:rPr>
          <w:rFonts w:asciiTheme="minorHAnsi" w:eastAsia="SimSun" w:hAnsiTheme="minorHAnsi"/>
          <w:szCs w:val="24"/>
        </w:rPr>
        <w:t xml:space="preserve"> Member States.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6B331B">
        <w:rPr>
          <w:rFonts w:asciiTheme="minorHAnsi" w:eastAsia="SimSun" w:hAnsiTheme="minorHAnsi"/>
          <w:szCs w:val="24"/>
        </w:rPr>
        <w:t>In view of the Arab Republic of Egypt’s expression of interest to host the WRC</w:t>
      </w:r>
      <w:r w:rsidRPr="006B331B">
        <w:rPr>
          <w:rFonts w:asciiTheme="minorHAnsi" w:eastAsia="SimSun" w:hAnsiTheme="minorHAnsi" w:cs="Cambria Math"/>
          <w:szCs w:val="24"/>
        </w:rPr>
        <w:t>‐</w:t>
      </w:r>
      <w:r w:rsidRPr="006B331B">
        <w:rPr>
          <w:rFonts w:asciiTheme="minorHAnsi" w:eastAsia="SimSun" w:hAnsiTheme="minorHAnsi"/>
          <w:szCs w:val="24"/>
        </w:rPr>
        <w:t>19 on the dates proposed in Resolution 1380, the Council further instructed the Secretary</w:t>
      </w:r>
      <w:r w:rsidRPr="006B331B">
        <w:rPr>
          <w:rFonts w:asciiTheme="minorHAnsi" w:eastAsia="SimSun" w:hAnsiTheme="minorHAnsi" w:cs="Cambria Math"/>
          <w:szCs w:val="24"/>
        </w:rPr>
        <w:t>‐</w:t>
      </w:r>
      <w:r w:rsidRPr="006B331B">
        <w:rPr>
          <w:rFonts w:asciiTheme="minorHAnsi" w:eastAsia="SimSun" w:hAnsiTheme="minorHAnsi"/>
          <w:szCs w:val="24"/>
        </w:rPr>
        <w:t>General to continue consultations with Egypt to explore the possibility of an alternative place for WRC</w:t>
      </w:r>
      <w:r w:rsidRPr="006B331B">
        <w:rPr>
          <w:rFonts w:asciiTheme="minorHAnsi" w:eastAsia="SimSun" w:hAnsiTheme="minorHAnsi" w:cs="Cambria Math"/>
          <w:szCs w:val="24"/>
        </w:rPr>
        <w:t>‐</w:t>
      </w:r>
      <w:r w:rsidRPr="006B331B">
        <w:rPr>
          <w:rFonts w:asciiTheme="minorHAnsi" w:eastAsia="SimSun" w:hAnsiTheme="minorHAnsi"/>
          <w:szCs w:val="24"/>
        </w:rPr>
        <w:t>19. To this end, o</w:t>
      </w:r>
      <w:r w:rsidRPr="006B331B">
        <w:rPr>
          <w:rFonts w:asciiTheme="minorHAnsi" w:hAnsiTheme="minorHAnsi"/>
          <w:szCs w:val="24"/>
        </w:rPr>
        <w:t xml:space="preserve">n 15 June 2016, the BR communicated to the </w:t>
      </w:r>
      <w:r w:rsidR="00960514">
        <w:rPr>
          <w:rFonts w:asciiTheme="minorHAnsi" w:hAnsiTheme="minorHAnsi"/>
          <w:szCs w:val="24"/>
        </w:rPr>
        <w:t>A</w:t>
      </w:r>
      <w:r w:rsidRPr="006B331B">
        <w:rPr>
          <w:rFonts w:asciiTheme="minorHAnsi" w:hAnsiTheme="minorHAnsi"/>
          <w:szCs w:val="24"/>
        </w:rPr>
        <w:t>dministration of Egypt the ITU requirements for hosting RA-19 and WRC-19.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6B331B">
        <w:rPr>
          <w:rFonts w:asciiTheme="minorHAnsi" w:hAnsiTheme="minorHAnsi"/>
          <w:szCs w:val="24"/>
        </w:rPr>
        <w:t xml:space="preserve">The Administration of Egypt has recently indicated its commitment to meet </w:t>
      </w:r>
      <w:r w:rsidR="00960514">
        <w:rPr>
          <w:rFonts w:asciiTheme="minorHAnsi" w:hAnsiTheme="minorHAnsi"/>
          <w:szCs w:val="24"/>
        </w:rPr>
        <w:t>ITU’s</w:t>
      </w:r>
      <w:r w:rsidRPr="006B331B">
        <w:rPr>
          <w:rFonts w:asciiTheme="minorHAnsi" w:hAnsiTheme="minorHAnsi"/>
          <w:szCs w:val="24"/>
        </w:rPr>
        <w:t xml:space="preserve"> minimum requirements to organize RA-1</w:t>
      </w:r>
      <w:r w:rsidR="00960514">
        <w:rPr>
          <w:rFonts w:asciiTheme="minorHAnsi" w:hAnsiTheme="minorHAnsi"/>
          <w:szCs w:val="24"/>
        </w:rPr>
        <w:t xml:space="preserve">9 and WRC-19 in </w:t>
      </w:r>
      <w:proofErr w:type="spellStart"/>
      <w:r w:rsidR="00960514">
        <w:rPr>
          <w:rFonts w:asciiTheme="minorHAnsi" w:hAnsiTheme="minorHAnsi"/>
          <w:szCs w:val="24"/>
        </w:rPr>
        <w:t>Sharm</w:t>
      </w:r>
      <w:proofErr w:type="spellEnd"/>
      <w:r w:rsidR="00960514">
        <w:rPr>
          <w:rFonts w:asciiTheme="minorHAnsi" w:hAnsiTheme="minorHAnsi"/>
          <w:szCs w:val="24"/>
        </w:rPr>
        <w:t xml:space="preserve"> El-Sheikh</w:t>
      </w:r>
      <w:r w:rsidRPr="006B331B">
        <w:rPr>
          <w:rFonts w:asciiTheme="minorHAnsi" w:hAnsiTheme="minorHAnsi"/>
          <w:szCs w:val="24"/>
        </w:rPr>
        <w:t xml:space="preserve"> on the dates set forth in Resolution 1380.</w:t>
      </w:r>
    </w:p>
    <w:p w:rsidR="006B331B" w:rsidRPr="006B331B" w:rsidRDefault="0059029D" w:rsidP="005902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960514">
        <w:rPr>
          <w:rFonts w:asciiTheme="minorHAnsi" w:hAnsiTheme="minorHAnsi"/>
          <w:szCs w:val="24"/>
        </w:rPr>
        <w:t>he</w:t>
      </w:r>
      <w:r w:rsidR="006B331B" w:rsidRPr="006B331B">
        <w:rPr>
          <w:rFonts w:asciiTheme="minorHAnsi" w:hAnsiTheme="minorHAnsi"/>
          <w:szCs w:val="24"/>
        </w:rPr>
        <w:t xml:space="preserve"> Council is requested to </w:t>
      </w:r>
      <w:r>
        <w:rPr>
          <w:b/>
          <w:szCs w:val="24"/>
        </w:rPr>
        <w:t xml:space="preserve">reconsider </w:t>
      </w:r>
      <w:r w:rsidRPr="006B331B">
        <w:rPr>
          <w:b/>
          <w:szCs w:val="24"/>
        </w:rPr>
        <w:t>Resolution 1380</w:t>
      </w:r>
      <w:r w:rsidRPr="006B331B">
        <w:rPr>
          <w:szCs w:val="24"/>
        </w:rPr>
        <w:t xml:space="preserve"> </w:t>
      </w:r>
      <w:r>
        <w:rPr>
          <w:szCs w:val="24"/>
        </w:rPr>
        <w:t xml:space="preserve">in view of the Arab Republic of Egypt’s commitment to meet ITU’s minimum requirements to organize </w:t>
      </w:r>
      <w:r w:rsidRPr="006B331B">
        <w:rPr>
          <w:szCs w:val="24"/>
        </w:rPr>
        <w:t xml:space="preserve">RA-19 and WRC-19 </w:t>
      </w:r>
      <w:r>
        <w:rPr>
          <w:szCs w:val="24"/>
        </w:rPr>
        <w:t xml:space="preserve">in </w:t>
      </w:r>
      <w:proofErr w:type="spellStart"/>
      <w:r w:rsidRPr="006B331B">
        <w:rPr>
          <w:szCs w:val="24"/>
        </w:rPr>
        <w:t>Sharm</w:t>
      </w:r>
      <w:proofErr w:type="spellEnd"/>
      <w:r w:rsidRPr="006B331B">
        <w:rPr>
          <w:szCs w:val="24"/>
        </w:rPr>
        <w:t xml:space="preserve"> El-Sheikh</w:t>
      </w:r>
      <w:r>
        <w:rPr>
          <w:szCs w:val="24"/>
        </w:rPr>
        <w:t xml:space="preserve"> on the dates set forth in Resolution 1380</w:t>
      </w:r>
      <w:r w:rsidR="006B331B" w:rsidRPr="006B331B">
        <w:rPr>
          <w:rFonts w:asciiTheme="minorHAnsi" w:hAnsiTheme="minorHAnsi"/>
          <w:szCs w:val="24"/>
        </w:rPr>
        <w:t>.</w:t>
      </w:r>
    </w:p>
    <w:p w:rsidR="006B331B" w:rsidRPr="006B331B" w:rsidRDefault="006B331B" w:rsidP="00960514">
      <w:pPr>
        <w:pStyle w:val="Heading1"/>
        <w:keepNext w:val="0"/>
        <w:keepLines w:val="0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rFonts w:asciiTheme="minorHAnsi" w:hAnsiTheme="minorHAnsi"/>
          <w:szCs w:val="28"/>
        </w:rPr>
      </w:pPr>
      <w:r w:rsidRPr="006B331B">
        <w:rPr>
          <w:rFonts w:asciiTheme="minorHAnsi" w:hAnsiTheme="minorHAnsi"/>
          <w:szCs w:val="28"/>
        </w:rPr>
        <w:t>WRC-19 preparations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6B331B">
        <w:rPr>
          <w:rFonts w:asciiTheme="minorHAnsi" w:hAnsiTheme="minorHAnsi"/>
          <w:szCs w:val="24"/>
        </w:rPr>
        <w:t>Following the adoption of Council Resolution 1380, the CPM-19 Steering Committee met in September 2016 to review the preparation of the draft CPM report to WRC-19, as well as to agree on the place and dates of the CPM19-2 (Geneva, 18 to 28 February 2019) and update the list of the concerned ITU-R working parties in the allocation of ITU-R preparatory work for WRC-19.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6B331B">
        <w:rPr>
          <w:rFonts w:asciiTheme="minorHAnsi" w:hAnsiTheme="minorHAnsi"/>
          <w:szCs w:val="24"/>
        </w:rPr>
        <w:t xml:space="preserve">Moreover, and taking into account </w:t>
      </w:r>
      <w:r w:rsidR="00B16AD6">
        <w:rPr>
          <w:rFonts w:asciiTheme="minorHAnsi" w:hAnsiTheme="minorHAnsi"/>
          <w:szCs w:val="24"/>
        </w:rPr>
        <w:t xml:space="preserve">PP </w:t>
      </w:r>
      <w:r w:rsidRPr="00B16AD6">
        <w:rPr>
          <w:rFonts w:asciiTheme="minorHAnsi" w:hAnsiTheme="minorHAnsi"/>
          <w:szCs w:val="24"/>
        </w:rPr>
        <w:t>Resolution 80 (Rev. Marrakesh, 2002),</w:t>
      </w:r>
      <w:r w:rsidRPr="006B331B">
        <w:rPr>
          <w:rFonts w:asciiTheme="minorHAnsi" w:hAnsiTheme="minorHAnsi"/>
          <w:szCs w:val="24"/>
        </w:rPr>
        <w:t xml:space="preserve"> preparations for WRC</w:t>
      </w:r>
      <w:r w:rsidRPr="006B331B">
        <w:rPr>
          <w:rFonts w:asciiTheme="minorHAnsi" w:hAnsiTheme="minorHAnsi"/>
          <w:szCs w:val="24"/>
        </w:rPr>
        <w:noBreakHyphen/>
        <w:t>19 have started through BR’s active participation in the preparatory meetings of the regional groups, including APT, ASMG, ATU, CEPT, CITEL</w:t>
      </w:r>
      <w:r w:rsidR="00960514">
        <w:rPr>
          <w:rFonts w:asciiTheme="minorHAnsi" w:hAnsiTheme="minorHAnsi"/>
          <w:szCs w:val="24"/>
        </w:rPr>
        <w:t>,</w:t>
      </w:r>
      <w:r w:rsidRPr="006B331B">
        <w:rPr>
          <w:rFonts w:asciiTheme="minorHAnsi" w:hAnsiTheme="minorHAnsi"/>
          <w:szCs w:val="24"/>
        </w:rPr>
        <w:t xml:space="preserve"> and RCC. ITU has been assisting these preparations wherever possible, noting, in particular, </w:t>
      </w:r>
      <w:r w:rsidRPr="00B16AD6">
        <w:rPr>
          <w:rFonts w:asciiTheme="minorHAnsi" w:hAnsiTheme="minorHAnsi"/>
          <w:b/>
          <w:bCs/>
          <w:szCs w:val="24"/>
        </w:rPr>
        <w:t>Resolution 72 (Rev. WRC-07)</w:t>
      </w:r>
      <w:r w:rsidRPr="00B16AD6">
        <w:rPr>
          <w:rFonts w:asciiTheme="minorHAnsi" w:hAnsiTheme="minorHAnsi"/>
          <w:szCs w:val="24"/>
        </w:rPr>
        <w:t>.</w:t>
      </w:r>
    </w:p>
    <w:p w:rsidR="006B331B" w:rsidRPr="006B331B" w:rsidRDefault="006B331B" w:rsidP="00960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6B331B">
        <w:rPr>
          <w:rFonts w:asciiTheme="minorHAnsi" w:hAnsiTheme="minorHAnsi"/>
          <w:szCs w:val="24"/>
        </w:rPr>
        <w:t xml:space="preserve">The Bureau is </w:t>
      </w:r>
      <w:r w:rsidR="00960514">
        <w:rPr>
          <w:rFonts w:asciiTheme="minorHAnsi" w:hAnsiTheme="minorHAnsi"/>
          <w:szCs w:val="24"/>
        </w:rPr>
        <w:t>planning to organize three ITU inter-regional workshops on WRC-19 p</w:t>
      </w:r>
      <w:r w:rsidRPr="006B331B">
        <w:rPr>
          <w:rFonts w:asciiTheme="minorHAnsi" w:hAnsiTheme="minorHAnsi"/>
          <w:szCs w:val="24"/>
        </w:rPr>
        <w:t>reparation, the first of which will take place in Geneva on 21-22 November 2017, in order to review the progress made halfway through the preparatory cycle on the ITU</w:t>
      </w:r>
      <w:r w:rsidRPr="006B331B">
        <w:rPr>
          <w:rFonts w:asciiTheme="minorHAnsi" w:hAnsiTheme="minorHAnsi"/>
          <w:szCs w:val="24"/>
        </w:rPr>
        <w:noBreakHyphen/>
        <w:t>R studies related to the WRC-19 agenda items</w:t>
      </w:r>
      <w:r w:rsidR="00960514">
        <w:rPr>
          <w:rFonts w:asciiTheme="minorHAnsi" w:hAnsiTheme="minorHAnsi"/>
          <w:szCs w:val="24"/>
        </w:rPr>
        <w:t>, as well as</w:t>
      </w:r>
      <w:r w:rsidRPr="006B331B">
        <w:rPr>
          <w:rFonts w:asciiTheme="minorHAnsi" w:hAnsiTheme="minorHAnsi"/>
          <w:szCs w:val="24"/>
        </w:rPr>
        <w:t xml:space="preserve"> to provide opportunities for exchanging information and </w:t>
      </w:r>
      <w:r w:rsidR="00960514">
        <w:rPr>
          <w:rFonts w:asciiTheme="minorHAnsi" w:hAnsiTheme="minorHAnsi"/>
          <w:szCs w:val="24"/>
        </w:rPr>
        <w:t xml:space="preserve">to </w:t>
      </w:r>
      <w:r w:rsidRPr="006B331B">
        <w:rPr>
          <w:rFonts w:asciiTheme="minorHAnsi" w:hAnsiTheme="minorHAnsi"/>
          <w:szCs w:val="24"/>
        </w:rPr>
        <w:t>have a better understanding of the preliminary draft common proposals, positions</w:t>
      </w:r>
      <w:r w:rsidR="00960514">
        <w:rPr>
          <w:rFonts w:asciiTheme="minorHAnsi" w:hAnsiTheme="minorHAnsi"/>
          <w:szCs w:val="24"/>
        </w:rPr>
        <w:t>,</w:t>
      </w:r>
      <w:r w:rsidRPr="006B331B">
        <w:rPr>
          <w:rFonts w:asciiTheme="minorHAnsi" w:hAnsiTheme="minorHAnsi"/>
          <w:szCs w:val="24"/>
        </w:rPr>
        <w:t xml:space="preserve"> and/or views on the WRC-19 issues from the concerned entities such as the main regional groups and international organizations.</w:t>
      </w:r>
    </w:p>
    <w:p w:rsidR="006B331B" w:rsidRPr="006B331B" w:rsidRDefault="006B331B" w:rsidP="006B331B">
      <w:pPr>
        <w:spacing w:before="840"/>
        <w:jc w:val="center"/>
        <w:rPr>
          <w:rFonts w:asciiTheme="minorHAnsi" w:hAnsiTheme="minorHAnsi"/>
          <w:szCs w:val="24"/>
        </w:rPr>
      </w:pPr>
      <w:r w:rsidRPr="006B331B">
        <w:rPr>
          <w:rFonts w:asciiTheme="minorHAnsi" w:hAnsiTheme="minorHAnsi"/>
          <w:szCs w:val="24"/>
        </w:rPr>
        <w:t>_____________________</w:t>
      </w:r>
      <w:bookmarkStart w:id="11" w:name="_GoBack"/>
      <w:bookmarkEnd w:id="11"/>
    </w:p>
    <w:sectPr w:rsidR="006B331B" w:rsidRPr="006B331B" w:rsidSect="004D1851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6E" w:rsidRDefault="0042746E">
      <w:r>
        <w:separator/>
      </w:r>
    </w:p>
  </w:endnote>
  <w:endnote w:type="continuationSeparator" w:id="0">
    <w:p w:rsidR="0042746E" w:rsidRDefault="004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6B331B" w:rsidRDefault="00873052">
    <w:pPr>
      <w:pStyle w:val="Footer"/>
      <w:rPr>
        <w:color w:val="D9D9D9" w:themeColor="background1" w:themeShade="D9"/>
      </w:rPr>
    </w:pPr>
    <w:r w:rsidRPr="006B331B">
      <w:rPr>
        <w:color w:val="D9D9D9" w:themeColor="background1" w:themeShade="D9"/>
      </w:rPr>
      <w:fldChar w:fldCharType="begin"/>
    </w:r>
    <w:r w:rsidRPr="006B331B">
      <w:rPr>
        <w:color w:val="D9D9D9" w:themeColor="background1" w:themeShade="D9"/>
      </w:rPr>
      <w:instrText xml:space="preserve"> FILENAME \p  \* MERGEFORMAT </w:instrText>
    </w:r>
    <w:r w:rsidRPr="006B331B">
      <w:rPr>
        <w:color w:val="D9D9D9" w:themeColor="background1" w:themeShade="D9"/>
      </w:rPr>
      <w:fldChar w:fldCharType="separate"/>
    </w:r>
    <w:r w:rsidR="00C30B49" w:rsidRPr="006B331B">
      <w:rPr>
        <w:color w:val="D9D9D9" w:themeColor="background1" w:themeShade="D9"/>
      </w:rPr>
      <w:t>Document1</w:t>
    </w:r>
    <w:r w:rsidRPr="006B331B">
      <w:rPr>
        <w:color w:val="D9D9D9" w:themeColor="background1" w:themeShade="D9"/>
      </w:rPr>
      <w:fldChar w:fldCharType="end"/>
    </w:r>
    <w:r w:rsidR="00CB18FF" w:rsidRPr="006B331B">
      <w:rPr>
        <w:color w:val="D9D9D9" w:themeColor="background1" w:themeShade="D9"/>
      </w:rPr>
      <w:tab/>
    </w:r>
    <w:r w:rsidR="00864AFF" w:rsidRPr="006B331B">
      <w:rPr>
        <w:color w:val="D9D9D9" w:themeColor="background1" w:themeShade="D9"/>
      </w:rPr>
      <w:fldChar w:fldCharType="begin"/>
    </w:r>
    <w:r w:rsidR="00CB18FF" w:rsidRPr="006B331B">
      <w:rPr>
        <w:color w:val="D9D9D9" w:themeColor="background1" w:themeShade="D9"/>
      </w:rPr>
      <w:instrText xml:space="preserve"> SAVEDATE \@ DD.MM.YY </w:instrText>
    </w:r>
    <w:r w:rsidR="00864AFF" w:rsidRPr="006B331B">
      <w:rPr>
        <w:color w:val="D9D9D9" w:themeColor="background1" w:themeShade="D9"/>
      </w:rPr>
      <w:fldChar w:fldCharType="separate"/>
    </w:r>
    <w:r w:rsidR="002A1A8F">
      <w:rPr>
        <w:color w:val="D9D9D9" w:themeColor="background1" w:themeShade="D9"/>
      </w:rPr>
      <w:t>12.04.17</w:t>
    </w:r>
    <w:r w:rsidR="00864AFF" w:rsidRPr="006B331B">
      <w:rPr>
        <w:color w:val="D9D9D9" w:themeColor="background1" w:themeShade="D9"/>
      </w:rPr>
      <w:fldChar w:fldCharType="end"/>
    </w:r>
    <w:r w:rsidR="00CB18FF" w:rsidRPr="006B331B">
      <w:rPr>
        <w:color w:val="D9D9D9" w:themeColor="background1" w:themeShade="D9"/>
      </w:rPr>
      <w:tab/>
    </w:r>
    <w:r w:rsidR="00864AFF" w:rsidRPr="006B331B">
      <w:rPr>
        <w:color w:val="D9D9D9" w:themeColor="background1" w:themeShade="D9"/>
      </w:rPr>
      <w:fldChar w:fldCharType="begin"/>
    </w:r>
    <w:r w:rsidR="00CB18FF" w:rsidRPr="006B331B">
      <w:rPr>
        <w:color w:val="D9D9D9" w:themeColor="background1" w:themeShade="D9"/>
      </w:rPr>
      <w:instrText xml:space="preserve"> PRINTDATE \@ DD.MM.YY </w:instrText>
    </w:r>
    <w:r w:rsidR="00864AFF" w:rsidRPr="006B331B">
      <w:rPr>
        <w:color w:val="D9D9D9" w:themeColor="background1" w:themeShade="D9"/>
      </w:rPr>
      <w:fldChar w:fldCharType="separate"/>
    </w:r>
    <w:r w:rsidR="00C30B49" w:rsidRPr="006B331B">
      <w:rPr>
        <w:color w:val="D9D9D9" w:themeColor="background1" w:themeShade="D9"/>
      </w:rPr>
      <w:t>18.07.00</w:t>
    </w:r>
    <w:r w:rsidR="00864AFF" w:rsidRPr="006B331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6B331B" w:rsidRDefault="00873052">
    <w:pPr>
      <w:pStyle w:val="Footer"/>
      <w:rPr>
        <w:color w:val="D9D9D9" w:themeColor="background1" w:themeShade="D9"/>
      </w:rPr>
    </w:pPr>
    <w:r w:rsidRPr="006B331B">
      <w:rPr>
        <w:color w:val="D9D9D9" w:themeColor="background1" w:themeShade="D9"/>
      </w:rPr>
      <w:fldChar w:fldCharType="begin"/>
    </w:r>
    <w:r w:rsidRPr="006B331B">
      <w:rPr>
        <w:color w:val="D9D9D9" w:themeColor="background1" w:themeShade="D9"/>
      </w:rPr>
      <w:instrText xml:space="preserve"> FILENAME \p  \* MERGEFORMAT </w:instrText>
    </w:r>
    <w:r w:rsidRPr="006B331B">
      <w:rPr>
        <w:color w:val="D9D9D9" w:themeColor="background1" w:themeShade="D9"/>
      </w:rPr>
      <w:fldChar w:fldCharType="separate"/>
    </w:r>
    <w:r w:rsidR="00C30B49" w:rsidRPr="006B331B">
      <w:rPr>
        <w:color w:val="D9D9D9" w:themeColor="background1" w:themeShade="D9"/>
      </w:rPr>
      <w:t>Document1</w:t>
    </w:r>
    <w:r w:rsidRPr="006B331B">
      <w:rPr>
        <w:color w:val="D9D9D9" w:themeColor="background1" w:themeShade="D9"/>
      </w:rPr>
      <w:fldChar w:fldCharType="end"/>
    </w:r>
    <w:r w:rsidR="00322D0D" w:rsidRPr="006B331B">
      <w:rPr>
        <w:color w:val="D9D9D9" w:themeColor="background1" w:themeShade="D9"/>
      </w:rPr>
      <w:tab/>
    </w:r>
    <w:r w:rsidR="00864AFF" w:rsidRPr="006B331B">
      <w:rPr>
        <w:color w:val="D9D9D9" w:themeColor="background1" w:themeShade="D9"/>
      </w:rPr>
      <w:fldChar w:fldCharType="begin"/>
    </w:r>
    <w:r w:rsidR="00322D0D" w:rsidRPr="006B331B">
      <w:rPr>
        <w:color w:val="D9D9D9" w:themeColor="background1" w:themeShade="D9"/>
      </w:rPr>
      <w:instrText xml:space="preserve"> SAVEDATE \@ DD.MM.YY </w:instrText>
    </w:r>
    <w:r w:rsidR="00864AFF" w:rsidRPr="006B331B">
      <w:rPr>
        <w:color w:val="D9D9D9" w:themeColor="background1" w:themeShade="D9"/>
      </w:rPr>
      <w:fldChar w:fldCharType="separate"/>
    </w:r>
    <w:r w:rsidR="002A1A8F">
      <w:rPr>
        <w:color w:val="D9D9D9" w:themeColor="background1" w:themeShade="D9"/>
      </w:rPr>
      <w:t>12.04.17</w:t>
    </w:r>
    <w:r w:rsidR="00864AFF" w:rsidRPr="006B331B">
      <w:rPr>
        <w:color w:val="D9D9D9" w:themeColor="background1" w:themeShade="D9"/>
      </w:rPr>
      <w:fldChar w:fldCharType="end"/>
    </w:r>
    <w:r w:rsidR="00322D0D" w:rsidRPr="006B331B">
      <w:rPr>
        <w:color w:val="D9D9D9" w:themeColor="background1" w:themeShade="D9"/>
      </w:rPr>
      <w:tab/>
    </w:r>
    <w:r w:rsidR="00864AFF" w:rsidRPr="006B331B">
      <w:rPr>
        <w:color w:val="D9D9D9" w:themeColor="background1" w:themeShade="D9"/>
      </w:rPr>
      <w:fldChar w:fldCharType="begin"/>
    </w:r>
    <w:r w:rsidR="00322D0D" w:rsidRPr="006B331B">
      <w:rPr>
        <w:color w:val="D9D9D9" w:themeColor="background1" w:themeShade="D9"/>
      </w:rPr>
      <w:instrText xml:space="preserve"> PRINTDATE \@ DD.MM.YY </w:instrText>
    </w:r>
    <w:r w:rsidR="00864AFF" w:rsidRPr="006B331B">
      <w:rPr>
        <w:color w:val="D9D9D9" w:themeColor="background1" w:themeShade="D9"/>
      </w:rPr>
      <w:fldChar w:fldCharType="separate"/>
    </w:r>
    <w:r w:rsidR="00C30B49" w:rsidRPr="006B331B">
      <w:rPr>
        <w:color w:val="D9D9D9" w:themeColor="background1" w:themeShade="D9"/>
      </w:rPr>
      <w:t>18.07.00</w:t>
    </w:r>
    <w:r w:rsidR="00864AFF" w:rsidRPr="006B331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6E" w:rsidRDefault="0042746E">
      <w:r>
        <w:t>____________________</w:t>
      </w:r>
    </w:p>
  </w:footnote>
  <w:footnote w:type="continuationSeparator" w:id="0">
    <w:p w:rsidR="0042746E" w:rsidRDefault="0042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A1A8F">
      <w:rPr>
        <w:noProof/>
      </w:rPr>
      <w:t>2</w:t>
    </w:r>
    <w:r>
      <w:rPr>
        <w:noProof/>
      </w:rPr>
      <w:fldChar w:fldCharType="end"/>
    </w:r>
  </w:p>
  <w:p w:rsidR="00322D0D" w:rsidRDefault="00C30B49" w:rsidP="006B331B">
    <w:pPr>
      <w:pStyle w:val="Header"/>
    </w:pPr>
    <w:r>
      <w:t>C17/2</w:t>
    </w:r>
    <w:r w:rsidR="006B331B">
      <w:t>7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F43A9D"/>
    <w:multiLevelType w:val="multilevel"/>
    <w:tmpl w:val="CFB03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D6E0B"/>
    <w:multiLevelType w:val="hybridMultilevel"/>
    <w:tmpl w:val="EAF8A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4D2"/>
    <w:multiLevelType w:val="multilevel"/>
    <w:tmpl w:val="DAE03B5E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A4BFF"/>
    <w:multiLevelType w:val="hybridMultilevel"/>
    <w:tmpl w:val="7AD0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3484F"/>
    <w:rsid w:val="00264425"/>
    <w:rsid w:val="00265875"/>
    <w:rsid w:val="0027303B"/>
    <w:rsid w:val="0028109B"/>
    <w:rsid w:val="002A1A8F"/>
    <w:rsid w:val="002B1F58"/>
    <w:rsid w:val="002C1C7A"/>
    <w:rsid w:val="0030160F"/>
    <w:rsid w:val="00322D0D"/>
    <w:rsid w:val="003454C8"/>
    <w:rsid w:val="003942D4"/>
    <w:rsid w:val="003958A8"/>
    <w:rsid w:val="003C2533"/>
    <w:rsid w:val="0040435A"/>
    <w:rsid w:val="00416A24"/>
    <w:rsid w:val="0042746E"/>
    <w:rsid w:val="00431D9E"/>
    <w:rsid w:val="00433CE8"/>
    <w:rsid w:val="00434A5C"/>
    <w:rsid w:val="004544D9"/>
    <w:rsid w:val="00490E72"/>
    <w:rsid w:val="00491157"/>
    <w:rsid w:val="004921C8"/>
    <w:rsid w:val="004B4CC9"/>
    <w:rsid w:val="004D1851"/>
    <w:rsid w:val="004D599D"/>
    <w:rsid w:val="004E2EA5"/>
    <w:rsid w:val="004E3AEB"/>
    <w:rsid w:val="0050223C"/>
    <w:rsid w:val="005243FF"/>
    <w:rsid w:val="00564FBC"/>
    <w:rsid w:val="00582442"/>
    <w:rsid w:val="0059029D"/>
    <w:rsid w:val="0064737F"/>
    <w:rsid w:val="006535F1"/>
    <w:rsid w:val="0065557D"/>
    <w:rsid w:val="00662984"/>
    <w:rsid w:val="006716BB"/>
    <w:rsid w:val="006B331B"/>
    <w:rsid w:val="006B6680"/>
    <w:rsid w:val="006B6DCC"/>
    <w:rsid w:val="00702DEF"/>
    <w:rsid w:val="00706861"/>
    <w:rsid w:val="00720D77"/>
    <w:rsid w:val="0075051B"/>
    <w:rsid w:val="00794D34"/>
    <w:rsid w:val="00813E5E"/>
    <w:rsid w:val="0083581B"/>
    <w:rsid w:val="00864AFF"/>
    <w:rsid w:val="00873052"/>
    <w:rsid w:val="008B4A6A"/>
    <w:rsid w:val="008C7E27"/>
    <w:rsid w:val="009173EF"/>
    <w:rsid w:val="00932906"/>
    <w:rsid w:val="00947CB3"/>
    <w:rsid w:val="00960514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16AD6"/>
    <w:rsid w:val="00B40A81"/>
    <w:rsid w:val="00B44910"/>
    <w:rsid w:val="00B72267"/>
    <w:rsid w:val="00B76EB6"/>
    <w:rsid w:val="00B7737B"/>
    <w:rsid w:val="00B824C8"/>
    <w:rsid w:val="00BB36D8"/>
    <w:rsid w:val="00BC251A"/>
    <w:rsid w:val="00BD032B"/>
    <w:rsid w:val="00BE2640"/>
    <w:rsid w:val="00C01189"/>
    <w:rsid w:val="00C05ED3"/>
    <w:rsid w:val="00C30B4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2517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172B593-BBED-4489-8880-94FF35F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,CEO_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C30B4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C30B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eastAsia="MS Mincho" w:cs="Arial"/>
      <w:sz w:val="22"/>
      <w:szCs w:val="22"/>
      <w:lang w:val="en-US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rsid w:val="00C30B49"/>
    <w:rPr>
      <w:rFonts w:ascii="Calibri" w:eastAsia="MS Mincho" w:hAnsi="Calibri" w:cs="Arial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C30B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406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C30B49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0B49"/>
  </w:style>
  <w:style w:type="character" w:styleId="Strong">
    <w:name w:val="Strong"/>
    <w:basedOn w:val="DefaultParagraphFont"/>
    <w:uiPriority w:val="22"/>
    <w:qFormat/>
    <w:rsid w:val="00C30B4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30B49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6-SG-CIR-0057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SG-CIR-0049/en" TargetMode="External"/><Relationship Id="rId17" Type="http://schemas.openxmlformats.org/officeDocument/2006/relationships/hyperlink" Target="https://www.itu.int/md/S16-SG-CIR-005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49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SG-CIR-004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45/en" TargetMode="External"/><Relationship Id="rId10" Type="http://schemas.openxmlformats.org/officeDocument/2006/relationships/hyperlink" Target="https://www.itu.int/md/S16-CL-C-0130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6-CL-C-0130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030D-16DC-4F18-A553-8AC6A7CE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WRC-19</vt:lpstr>
    </vt:vector>
  </TitlesOfParts>
  <Manager>General Secretariat - Pool</Manager>
  <Company>International Telecommunication Union (ITU)</Company>
  <LinksUpToDate>false</LinksUpToDate>
  <CharactersWithSpaces>4941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WRC-19</dc:title>
  <dc:subject>Council 2017</dc:subject>
  <dc:creator>Maniewicz, Mario</dc:creator>
  <cp:keywords>C2017, C17</cp:keywords>
  <dc:description/>
  <cp:lastModifiedBy>Janin</cp:lastModifiedBy>
  <cp:revision>3</cp:revision>
  <cp:lastPrinted>2000-07-18T13:30:00Z</cp:lastPrinted>
  <dcterms:created xsi:type="dcterms:W3CDTF">2017-04-12T07:06:00Z</dcterms:created>
  <dcterms:modified xsi:type="dcterms:W3CDTF">2017-04-18T05:31:00Z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