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A011A" w:rsidRPr="00887511">
        <w:trPr>
          <w:cantSplit/>
        </w:trPr>
        <w:tc>
          <w:tcPr>
            <w:tcW w:w="6912" w:type="dxa"/>
          </w:tcPr>
          <w:p w:rsidR="00943F1D" w:rsidRPr="00887511" w:rsidRDefault="00BA011A" w:rsidP="008E3D37">
            <w:pPr>
              <w:spacing w:before="360"/>
              <w:rPr>
                <w:b/>
                <w:bCs/>
                <w:szCs w:val="24"/>
                <w:lang w:val="fr-CH"/>
              </w:rPr>
            </w:pPr>
            <w:bookmarkStart w:id="0" w:name="dc06"/>
            <w:bookmarkEnd w:id="0"/>
            <w:r w:rsidRPr="00887511">
              <w:rPr>
                <w:b/>
                <w:bCs/>
                <w:sz w:val="30"/>
                <w:szCs w:val="30"/>
                <w:lang w:val="fr-CH"/>
              </w:rPr>
              <w:t>Conseil 201</w:t>
            </w:r>
            <w:r w:rsidR="00943F1D" w:rsidRPr="00887511">
              <w:rPr>
                <w:b/>
                <w:bCs/>
                <w:sz w:val="30"/>
                <w:szCs w:val="30"/>
                <w:lang w:val="fr-CH"/>
              </w:rPr>
              <w:t>7</w:t>
            </w:r>
            <w:r w:rsidRPr="00887511">
              <w:rPr>
                <w:rFonts w:ascii="Verdana" w:hAnsi="Verdana"/>
                <w:b/>
                <w:bCs/>
                <w:sz w:val="26"/>
                <w:szCs w:val="26"/>
                <w:lang w:val="fr-CH"/>
              </w:rPr>
              <w:br/>
            </w:r>
            <w:r w:rsidRPr="00887511">
              <w:rPr>
                <w:b/>
                <w:bCs/>
                <w:szCs w:val="24"/>
                <w:lang w:val="fr-CH"/>
              </w:rPr>
              <w:t>Genève</w:t>
            </w:r>
            <w:r w:rsidR="00943F1D" w:rsidRPr="00887511">
              <w:rPr>
                <w:b/>
                <w:bCs/>
                <w:szCs w:val="24"/>
                <w:lang w:val="fr-CH"/>
              </w:rPr>
              <w:t>, 1</w:t>
            </w:r>
            <w:r w:rsidRPr="00887511">
              <w:rPr>
                <w:b/>
                <w:bCs/>
                <w:szCs w:val="24"/>
                <w:lang w:val="fr-CH"/>
              </w:rPr>
              <w:t>5</w:t>
            </w:r>
            <w:r w:rsidR="00275DCF" w:rsidRPr="00887511">
              <w:rPr>
                <w:b/>
                <w:bCs/>
                <w:szCs w:val="24"/>
                <w:lang w:val="fr-CH"/>
              </w:rPr>
              <w:noBreakHyphen/>
            </w:r>
            <w:r w:rsidR="00943F1D" w:rsidRPr="00887511">
              <w:rPr>
                <w:b/>
                <w:bCs/>
                <w:szCs w:val="24"/>
                <w:lang w:val="fr-CH"/>
              </w:rPr>
              <w:t xml:space="preserve">25 </w:t>
            </w:r>
            <w:r w:rsidRPr="00887511">
              <w:rPr>
                <w:b/>
                <w:bCs/>
                <w:szCs w:val="24"/>
                <w:lang w:val="fr-CH"/>
              </w:rPr>
              <w:t>mai 201</w:t>
            </w:r>
            <w:r w:rsidR="00943F1D" w:rsidRPr="00887511">
              <w:rPr>
                <w:b/>
                <w:bCs/>
                <w:szCs w:val="24"/>
                <w:lang w:val="fr-CH"/>
              </w:rPr>
              <w:t>7</w:t>
            </w:r>
          </w:p>
        </w:tc>
        <w:tc>
          <w:tcPr>
            <w:tcW w:w="3261" w:type="dxa"/>
          </w:tcPr>
          <w:p w:rsidR="00BA011A" w:rsidRPr="00887511" w:rsidRDefault="00BA011A" w:rsidP="00BA011A">
            <w:pPr>
              <w:spacing w:before="0"/>
              <w:jc w:val="right"/>
              <w:rPr>
                <w:lang w:val="fr-CH"/>
              </w:rPr>
            </w:pPr>
            <w:bookmarkStart w:id="1" w:name="ditulogo"/>
            <w:bookmarkEnd w:id="1"/>
            <w:r w:rsidRPr="00887511">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A011A" w:rsidRPr="00887511" w:rsidTr="00EF41DD">
        <w:trPr>
          <w:cantSplit/>
          <w:trHeight w:val="20"/>
        </w:trPr>
        <w:tc>
          <w:tcPr>
            <w:tcW w:w="6912" w:type="dxa"/>
            <w:tcBorders>
              <w:bottom w:val="single" w:sz="12" w:space="0" w:color="auto"/>
            </w:tcBorders>
            <w:vAlign w:val="center"/>
          </w:tcPr>
          <w:p w:rsidR="00BA011A" w:rsidRPr="00887511" w:rsidRDefault="00BA011A" w:rsidP="004C37A9">
            <w:pPr>
              <w:spacing w:before="0"/>
              <w:rPr>
                <w:b/>
                <w:bCs/>
                <w:sz w:val="26"/>
                <w:szCs w:val="26"/>
                <w:lang w:val="fr-CH"/>
              </w:rPr>
            </w:pPr>
          </w:p>
        </w:tc>
        <w:tc>
          <w:tcPr>
            <w:tcW w:w="3261" w:type="dxa"/>
            <w:tcBorders>
              <w:bottom w:val="single" w:sz="12" w:space="0" w:color="auto"/>
            </w:tcBorders>
          </w:tcPr>
          <w:p w:rsidR="00BA011A" w:rsidRPr="00887511" w:rsidRDefault="00BA011A" w:rsidP="00DF74DD">
            <w:pPr>
              <w:spacing w:before="0"/>
              <w:rPr>
                <w:b/>
                <w:bCs/>
                <w:lang w:val="fr-CH"/>
              </w:rPr>
            </w:pPr>
          </w:p>
        </w:tc>
      </w:tr>
      <w:tr w:rsidR="00BA011A" w:rsidRPr="00887511">
        <w:trPr>
          <w:cantSplit/>
          <w:trHeight w:val="20"/>
        </w:trPr>
        <w:tc>
          <w:tcPr>
            <w:tcW w:w="6912" w:type="dxa"/>
            <w:tcBorders>
              <w:top w:val="single" w:sz="12" w:space="0" w:color="auto"/>
            </w:tcBorders>
          </w:tcPr>
          <w:p w:rsidR="00BA011A" w:rsidRPr="00887511" w:rsidRDefault="00BA011A" w:rsidP="00DF74DD">
            <w:pPr>
              <w:spacing w:before="0"/>
              <w:rPr>
                <w:smallCaps/>
                <w:sz w:val="22"/>
                <w:lang w:val="fr-CH"/>
              </w:rPr>
            </w:pPr>
          </w:p>
        </w:tc>
        <w:tc>
          <w:tcPr>
            <w:tcW w:w="3261" w:type="dxa"/>
            <w:tcBorders>
              <w:top w:val="single" w:sz="12" w:space="0" w:color="auto"/>
            </w:tcBorders>
          </w:tcPr>
          <w:p w:rsidR="00BA011A" w:rsidRPr="00887511" w:rsidRDefault="00BA011A" w:rsidP="00DF74DD">
            <w:pPr>
              <w:spacing w:before="0"/>
              <w:rPr>
                <w:b/>
                <w:bCs/>
                <w:lang w:val="fr-CH"/>
              </w:rPr>
            </w:pPr>
          </w:p>
        </w:tc>
      </w:tr>
      <w:tr w:rsidR="00BA011A" w:rsidRPr="00887511">
        <w:trPr>
          <w:cantSplit/>
          <w:trHeight w:val="20"/>
        </w:trPr>
        <w:tc>
          <w:tcPr>
            <w:tcW w:w="6912" w:type="dxa"/>
            <w:vMerge w:val="restart"/>
          </w:tcPr>
          <w:p w:rsidR="00BA011A" w:rsidRPr="00887511" w:rsidRDefault="00BA011A" w:rsidP="006B493C">
            <w:pPr>
              <w:spacing w:before="0"/>
              <w:rPr>
                <w:rFonts w:cs="Times"/>
                <w:b/>
                <w:bCs/>
                <w:szCs w:val="24"/>
                <w:lang w:val="fr-CH"/>
              </w:rPr>
            </w:pPr>
            <w:bookmarkStart w:id="2" w:name="dnum" w:colFirst="1" w:colLast="1"/>
            <w:bookmarkStart w:id="3" w:name="dmeeting" w:colFirst="0" w:colLast="0"/>
            <w:r w:rsidRPr="00887511">
              <w:rPr>
                <w:rFonts w:cs="Times"/>
                <w:b/>
                <w:bCs/>
                <w:szCs w:val="24"/>
                <w:lang w:val="fr-CH"/>
              </w:rPr>
              <w:t xml:space="preserve">Point de l'ordre du </w:t>
            </w:r>
            <w:proofErr w:type="gramStart"/>
            <w:r w:rsidRPr="00887511">
              <w:rPr>
                <w:rFonts w:cs="Times"/>
                <w:b/>
                <w:bCs/>
                <w:szCs w:val="24"/>
                <w:lang w:val="fr-CH"/>
              </w:rPr>
              <w:t>jour:</w:t>
            </w:r>
            <w:proofErr w:type="gramEnd"/>
            <w:r w:rsidRPr="00887511">
              <w:rPr>
                <w:rFonts w:cs="Times"/>
                <w:b/>
                <w:bCs/>
                <w:szCs w:val="24"/>
                <w:lang w:val="fr-CH"/>
              </w:rPr>
              <w:t xml:space="preserve"> </w:t>
            </w:r>
            <w:r w:rsidR="006B493C" w:rsidRPr="00887511">
              <w:rPr>
                <w:rFonts w:cs="Times"/>
                <w:b/>
                <w:bCs/>
                <w:szCs w:val="24"/>
                <w:lang w:val="fr-CH"/>
              </w:rPr>
              <w:t>PL 2.10</w:t>
            </w:r>
          </w:p>
        </w:tc>
        <w:tc>
          <w:tcPr>
            <w:tcW w:w="3261" w:type="dxa"/>
          </w:tcPr>
          <w:p w:rsidR="00BA011A" w:rsidRPr="00887511" w:rsidRDefault="00943F1D" w:rsidP="006B493C">
            <w:pPr>
              <w:spacing w:before="0"/>
              <w:rPr>
                <w:b/>
                <w:bCs/>
                <w:lang w:val="fr-CH"/>
              </w:rPr>
            </w:pPr>
            <w:r w:rsidRPr="00887511">
              <w:rPr>
                <w:b/>
                <w:bCs/>
                <w:lang w:val="fr-CH"/>
              </w:rPr>
              <w:t>Document C17</w:t>
            </w:r>
            <w:r w:rsidR="00BA011A" w:rsidRPr="00887511">
              <w:rPr>
                <w:b/>
                <w:bCs/>
                <w:lang w:val="fr-CH"/>
              </w:rPr>
              <w:t>/</w:t>
            </w:r>
            <w:r w:rsidR="008E3D37" w:rsidRPr="00887511">
              <w:rPr>
                <w:b/>
                <w:bCs/>
                <w:lang w:val="fr-CH"/>
              </w:rPr>
              <w:t>2</w:t>
            </w:r>
            <w:r w:rsidR="006B493C" w:rsidRPr="00887511">
              <w:rPr>
                <w:b/>
                <w:bCs/>
                <w:lang w:val="fr-CH"/>
              </w:rPr>
              <w:t>7</w:t>
            </w:r>
            <w:r w:rsidR="00BA011A" w:rsidRPr="00887511">
              <w:rPr>
                <w:b/>
                <w:bCs/>
                <w:lang w:val="fr-CH"/>
              </w:rPr>
              <w:t>-F</w:t>
            </w:r>
          </w:p>
        </w:tc>
      </w:tr>
      <w:tr w:rsidR="00BA011A" w:rsidRPr="00887511">
        <w:trPr>
          <w:cantSplit/>
          <w:trHeight w:val="20"/>
        </w:trPr>
        <w:tc>
          <w:tcPr>
            <w:tcW w:w="6912" w:type="dxa"/>
            <w:vMerge/>
          </w:tcPr>
          <w:p w:rsidR="00BA011A" w:rsidRPr="00887511" w:rsidRDefault="00BA011A" w:rsidP="00DF74DD">
            <w:pPr>
              <w:shd w:val="solid" w:color="FFFFFF" w:fill="FFFFFF"/>
              <w:spacing w:before="180"/>
              <w:rPr>
                <w:smallCaps/>
                <w:lang w:val="fr-CH"/>
              </w:rPr>
            </w:pPr>
            <w:bookmarkStart w:id="4" w:name="ddate" w:colFirst="1" w:colLast="1"/>
            <w:bookmarkEnd w:id="2"/>
            <w:bookmarkEnd w:id="3"/>
          </w:p>
        </w:tc>
        <w:tc>
          <w:tcPr>
            <w:tcW w:w="3261" w:type="dxa"/>
          </w:tcPr>
          <w:p w:rsidR="00BA011A" w:rsidRPr="00887511" w:rsidRDefault="006B493C" w:rsidP="00943F1D">
            <w:pPr>
              <w:spacing w:before="0"/>
              <w:rPr>
                <w:b/>
                <w:bCs/>
                <w:lang w:val="fr-CH"/>
              </w:rPr>
            </w:pPr>
            <w:r w:rsidRPr="00887511">
              <w:rPr>
                <w:b/>
                <w:bCs/>
                <w:lang w:val="fr-CH"/>
              </w:rPr>
              <w:t xml:space="preserve">12 avril </w:t>
            </w:r>
            <w:r w:rsidR="00943F1D" w:rsidRPr="00887511">
              <w:rPr>
                <w:b/>
                <w:bCs/>
                <w:lang w:val="fr-CH"/>
              </w:rPr>
              <w:t>2017</w:t>
            </w:r>
          </w:p>
        </w:tc>
      </w:tr>
      <w:tr w:rsidR="00BA011A" w:rsidRPr="00887511">
        <w:trPr>
          <w:cantSplit/>
          <w:trHeight w:val="20"/>
        </w:trPr>
        <w:tc>
          <w:tcPr>
            <w:tcW w:w="6912" w:type="dxa"/>
            <w:vMerge/>
          </w:tcPr>
          <w:p w:rsidR="00BA011A" w:rsidRPr="00887511" w:rsidRDefault="00BA011A" w:rsidP="00DF74DD">
            <w:pPr>
              <w:shd w:val="solid" w:color="FFFFFF" w:fill="FFFFFF"/>
              <w:spacing w:before="180"/>
              <w:rPr>
                <w:smallCaps/>
                <w:lang w:val="fr-CH"/>
              </w:rPr>
            </w:pPr>
            <w:bookmarkStart w:id="5" w:name="dorlang" w:colFirst="1" w:colLast="1"/>
            <w:bookmarkEnd w:id="4"/>
          </w:p>
        </w:tc>
        <w:tc>
          <w:tcPr>
            <w:tcW w:w="3261" w:type="dxa"/>
          </w:tcPr>
          <w:p w:rsidR="00BA011A" w:rsidRPr="00887511" w:rsidRDefault="00BA011A" w:rsidP="00BA011A">
            <w:pPr>
              <w:spacing w:before="0"/>
              <w:rPr>
                <w:b/>
                <w:bCs/>
                <w:lang w:val="fr-CH"/>
              </w:rPr>
            </w:pPr>
            <w:proofErr w:type="gramStart"/>
            <w:r w:rsidRPr="00887511">
              <w:rPr>
                <w:b/>
                <w:bCs/>
                <w:lang w:val="fr-CH"/>
              </w:rPr>
              <w:t>Original:</w:t>
            </w:r>
            <w:proofErr w:type="gramEnd"/>
            <w:r w:rsidRPr="00887511">
              <w:rPr>
                <w:b/>
                <w:bCs/>
                <w:lang w:val="fr-CH"/>
              </w:rPr>
              <w:t xml:space="preserve"> anglais</w:t>
            </w:r>
          </w:p>
        </w:tc>
      </w:tr>
      <w:tr w:rsidR="00BA011A" w:rsidRPr="00887511">
        <w:trPr>
          <w:cantSplit/>
        </w:trPr>
        <w:tc>
          <w:tcPr>
            <w:tcW w:w="10173" w:type="dxa"/>
            <w:gridSpan w:val="2"/>
          </w:tcPr>
          <w:p w:rsidR="00BA011A" w:rsidRPr="00887511" w:rsidRDefault="00BA011A" w:rsidP="00DF74DD">
            <w:pPr>
              <w:pStyle w:val="Source"/>
              <w:rPr>
                <w:lang w:val="fr-CH"/>
              </w:rPr>
            </w:pPr>
            <w:bookmarkStart w:id="6" w:name="dsource" w:colFirst="0" w:colLast="0"/>
            <w:bookmarkEnd w:id="5"/>
            <w:r w:rsidRPr="00887511">
              <w:rPr>
                <w:lang w:val="fr-CH"/>
              </w:rPr>
              <w:t>Rapport du Secrétaire général</w:t>
            </w:r>
          </w:p>
        </w:tc>
      </w:tr>
      <w:tr w:rsidR="00BA011A" w:rsidRPr="0059022F">
        <w:trPr>
          <w:cantSplit/>
        </w:trPr>
        <w:tc>
          <w:tcPr>
            <w:tcW w:w="10173" w:type="dxa"/>
            <w:gridSpan w:val="2"/>
          </w:tcPr>
          <w:p w:rsidR="00BA011A" w:rsidRPr="00887511" w:rsidRDefault="006B493C" w:rsidP="006B493C">
            <w:pPr>
              <w:pStyle w:val="Title1"/>
              <w:rPr>
                <w:lang w:val="fr-CH"/>
              </w:rPr>
            </w:pPr>
            <w:bookmarkStart w:id="7" w:name="dtitle1" w:colFirst="0" w:colLast="0"/>
            <w:bookmarkEnd w:id="6"/>
            <w:r w:rsidRPr="00887511">
              <w:rPr>
                <w:lang w:val="fr-CH"/>
              </w:rPr>
              <w:t>Conférence mondiale des radiocommunications (CMR-19)</w:t>
            </w:r>
          </w:p>
        </w:tc>
      </w:tr>
      <w:bookmarkEnd w:id="7"/>
    </w:tbl>
    <w:p w:rsidR="00BA011A" w:rsidRPr="00887511" w:rsidRDefault="00BA011A" w:rsidP="006B493C">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A011A" w:rsidRPr="0059022F">
        <w:trPr>
          <w:trHeight w:val="3372"/>
        </w:trPr>
        <w:tc>
          <w:tcPr>
            <w:tcW w:w="8080" w:type="dxa"/>
            <w:tcBorders>
              <w:top w:val="single" w:sz="12" w:space="0" w:color="auto"/>
              <w:left w:val="single" w:sz="12" w:space="0" w:color="auto"/>
              <w:bottom w:val="single" w:sz="12" w:space="0" w:color="auto"/>
              <w:right w:val="single" w:sz="12" w:space="0" w:color="auto"/>
            </w:tcBorders>
          </w:tcPr>
          <w:p w:rsidR="00BA011A" w:rsidRPr="00887511" w:rsidRDefault="00BA011A" w:rsidP="00E51202">
            <w:pPr>
              <w:pStyle w:val="Headingb"/>
              <w:rPr>
                <w:lang w:val="fr-CH"/>
              </w:rPr>
            </w:pPr>
            <w:r w:rsidRPr="0059022F">
              <w:rPr>
                <w:lang w:val="fr-CH"/>
              </w:rPr>
              <w:t>Résumé</w:t>
            </w:r>
          </w:p>
          <w:p w:rsidR="006B493C" w:rsidRPr="00887511" w:rsidRDefault="00497C3C" w:rsidP="00B50EED">
            <w:pPr>
              <w:rPr>
                <w:lang w:val="fr-CH"/>
              </w:rPr>
            </w:pPr>
            <w:r w:rsidRPr="00887511">
              <w:rPr>
                <w:lang w:val="fr-CH"/>
              </w:rPr>
              <w:t xml:space="preserve">La </w:t>
            </w:r>
            <w:r w:rsidR="006B493C" w:rsidRPr="00887511">
              <w:rPr>
                <w:lang w:val="fr-CH"/>
              </w:rPr>
              <w:t>R</w:t>
            </w:r>
            <w:r w:rsidRPr="00887511">
              <w:rPr>
                <w:lang w:val="fr-CH"/>
              </w:rPr>
              <w:t>é</w:t>
            </w:r>
            <w:r w:rsidR="006B493C" w:rsidRPr="00887511">
              <w:rPr>
                <w:lang w:val="fr-CH"/>
              </w:rPr>
              <w:t xml:space="preserve">solution 1380 </w:t>
            </w:r>
            <w:r w:rsidRPr="00887511">
              <w:rPr>
                <w:lang w:val="fr-CH"/>
              </w:rPr>
              <w:t>du Conseil</w:t>
            </w:r>
            <w:r w:rsidR="00E51202">
              <w:rPr>
                <w:lang w:val="fr-CH"/>
              </w:rPr>
              <w:t>,</w:t>
            </w:r>
            <w:r w:rsidRPr="00887511">
              <w:rPr>
                <w:lang w:val="fr-CH"/>
              </w:rPr>
              <w:t xml:space="preserve"> </w:t>
            </w:r>
            <w:r w:rsidR="00E51202">
              <w:rPr>
                <w:lang w:val="fr-CH"/>
              </w:rPr>
              <w:t>qui contient</w:t>
            </w:r>
            <w:r w:rsidR="00727371" w:rsidRPr="00887511">
              <w:rPr>
                <w:lang w:val="fr-CH"/>
              </w:rPr>
              <w:t xml:space="preserve"> l'ordre du jour de la CM</w:t>
            </w:r>
            <w:bookmarkStart w:id="8" w:name="_GoBack"/>
            <w:bookmarkEnd w:id="8"/>
            <w:r w:rsidR="00727371" w:rsidRPr="00887511">
              <w:rPr>
                <w:lang w:val="fr-CH"/>
              </w:rPr>
              <w:t>R</w:t>
            </w:r>
            <w:r w:rsidR="006B493C" w:rsidRPr="00887511">
              <w:rPr>
                <w:lang w:val="fr-CH"/>
              </w:rPr>
              <w:t xml:space="preserve">-19, </w:t>
            </w:r>
            <w:r w:rsidR="00727371" w:rsidRPr="00887511">
              <w:rPr>
                <w:lang w:val="fr-CH"/>
              </w:rPr>
              <w:t xml:space="preserve">ainsi que les </w:t>
            </w:r>
            <w:r w:rsidR="006B493C" w:rsidRPr="00887511">
              <w:rPr>
                <w:lang w:val="fr-CH"/>
              </w:rPr>
              <w:t xml:space="preserve">dates </w:t>
            </w:r>
            <w:r w:rsidR="00727371" w:rsidRPr="00887511">
              <w:rPr>
                <w:lang w:val="fr-CH"/>
              </w:rPr>
              <w:t>et le lieu de la Conférence mondiale des r</w:t>
            </w:r>
            <w:r w:rsidR="006B493C" w:rsidRPr="00887511">
              <w:rPr>
                <w:lang w:val="fr-CH"/>
              </w:rPr>
              <w:t>adiocommunication</w:t>
            </w:r>
            <w:r w:rsidR="00727371" w:rsidRPr="00887511">
              <w:rPr>
                <w:lang w:val="fr-CH"/>
              </w:rPr>
              <w:t>s</w:t>
            </w:r>
            <w:r w:rsidR="006B493C" w:rsidRPr="00887511">
              <w:rPr>
                <w:lang w:val="fr-CH"/>
              </w:rPr>
              <w:t xml:space="preserve"> (</w:t>
            </w:r>
            <w:r w:rsidR="00727371" w:rsidRPr="00887511">
              <w:rPr>
                <w:lang w:val="fr-CH"/>
              </w:rPr>
              <w:t>CMR</w:t>
            </w:r>
            <w:r w:rsidR="006B493C" w:rsidRPr="00887511">
              <w:rPr>
                <w:lang w:val="fr-CH"/>
              </w:rPr>
              <w:t xml:space="preserve">-19) </w:t>
            </w:r>
            <w:r w:rsidR="00727371" w:rsidRPr="00887511">
              <w:rPr>
                <w:lang w:val="fr-CH"/>
              </w:rPr>
              <w:t>et de l'Assemblée des r</w:t>
            </w:r>
            <w:r w:rsidR="006B493C" w:rsidRPr="00887511">
              <w:rPr>
                <w:lang w:val="fr-CH"/>
              </w:rPr>
              <w:t>adiocommunication</w:t>
            </w:r>
            <w:r w:rsidR="00727371" w:rsidRPr="00887511">
              <w:rPr>
                <w:lang w:val="fr-CH"/>
              </w:rPr>
              <w:t>s</w:t>
            </w:r>
            <w:r w:rsidR="006B493C" w:rsidRPr="00887511">
              <w:rPr>
                <w:lang w:val="fr-CH"/>
              </w:rPr>
              <w:t xml:space="preserve"> (</w:t>
            </w:r>
            <w:r w:rsidR="00727371" w:rsidRPr="00887511">
              <w:rPr>
                <w:lang w:val="fr-CH"/>
              </w:rPr>
              <w:t>AR</w:t>
            </w:r>
            <w:r w:rsidR="006B493C" w:rsidRPr="00887511">
              <w:rPr>
                <w:lang w:val="fr-CH"/>
              </w:rPr>
              <w:t xml:space="preserve">-19), </w:t>
            </w:r>
            <w:r w:rsidR="00727371" w:rsidRPr="00887511">
              <w:rPr>
                <w:lang w:val="fr-CH"/>
              </w:rPr>
              <w:t xml:space="preserve">a </w:t>
            </w:r>
            <w:r w:rsidR="00292891" w:rsidRPr="00887511">
              <w:rPr>
                <w:lang w:val="fr-CH"/>
              </w:rPr>
              <w:t xml:space="preserve">donné lieu à </w:t>
            </w:r>
            <w:r w:rsidR="00727371" w:rsidRPr="00887511">
              <w:rPr>
                <w:lang w:val="fr-CH"/>
              </w:rPr>
              <w:t xml:space="preserve">une </w:t>
            </w:r>
            <w:r w:rsidR="006B493C" w:rsidRPr="00887511">
              <w:rPr>
                <w:lang w:val="fr-CH"/>
              </w:rPr>
              <w:t>consultation</w:t>
            </w:r>
            <w:r w:rsidR="00E4425B" w:rsidRPr="00887511">
              <w:rPr>
                <w:lang w:val="fr-CH"/>
              </w:rPr>
              <w:t>,</w:t>
            </w:r>
            <w:r w:rsidR="00727371" w:rsidRPr="00887511">
              <w:rPr>
                <w:lang w:val="fr-CH"/>
              </w:rPr>
              <w:t xml:space="preserve"> </w:t>
            </w:r>
            <w:r w:rsidR="00E4425B" w:rsidRPr="00887511">
              <w:rPr>
                <w:lang w:val="fr-CH"/>
              </w:rPr>
              <w:t xml:space="preserve">et la majorité des </w:t>
            </w:r>
            <w:r w:rsidR="00B50EED">
              <w:rPr>
                <w:lang w:val="fr-CH"/>
              </w:rPr>
              <w:t>E</w:t>
            </w:r>
            <w:r w:rsidR="00E4425B" w:rsidRPr="00887511">
              <w:rPr>
                <w:lang w:val="fr-CH"/>
              </w:rPr>
              <w:t>tats Membres de l'UIT ont donné leur accord</w:t>
            </w:r>
            <w:r w:rsidR="006B493C" w:rsidRPr="00887511">
              <w:rPr>
                <w:lang w:val="fr-CH"/>
              </w:rPr>
              <w:t>.</w:t>
            </w:r>
          </w:p>
          <w:p w:rsidR="00E4425B" w:rsidRPr="00887511" w:rsidRDefault="00497C3C" w:rsidP="00B50EED">
            <w:pPr>
              <w:rPr>
                <w:lang w:val="fr-CH"/>
              </w:rPr>
            </w:pPr>
            <w:r w:rsidRPr="00887511">
              <w:rPr>
                <w:rFonts w:eastAsia="SimSun"/>
                <w:lang w:val="fr-CH"/>
              </w:rPr>
              <w:t>Compte tenu de l'intérêt manifesté par la République arabe d'</w:t>
            </w:r>
            <w:r w:rsidR="00B50EED">
              <w:rPr>
                <w:rFonts w:eastAsia="SimSun"/>
                <w:lang w:val="fr-CH"/>
              </w:rPr>
              <w:t>E</w:t>
            </w:r>
            <w:r w:rsidR="00886AB6" w:rsidRPr="00887511">
              <w:rPr>
                <w:rFonts w:eastAsia="SimSun"/>
                <w:lang w:val="fr-CH"/>
              </w:rPr>
              <w:t>gypte</w:t>
            </w:r>
            <w:r w:rsidRPr="00887511">
              <w:rPr>
                <w:rFonts w:eastAsia="SimSun"/>
                <w:lang w:val="fr-CH"/>
              </w:rPr>
              <w:t xml:space="preserve"> pour accueillir la CMR-19 aux dates proposées dans la Résolution 1380, </w:t>
            </w:r>
            <w:r w:rsidRPr="00887511">
              <w:rPr>
                <w:lang w:val="fr-CH"/>
              </w:rPr>
              <w:t xml:space="preserve">le </w:t>
            </w:r>
            <w:r w:rsidR="006B493C" w:rsidRPr="00887511">
              <w:rPr>
                <w:lang w:val="fr-CH"/>
              </w:rPr>
              <w:t xml:space="preserve">BR </w:t>
            </w:r>
            <w:r w:rsidR="00E4425B" w:rsidRPr="00887511">
              <w:rPr>
                <w:lang w:val="fr-CH"/>
              </w:rPr>
              <w:t>a communiqué à l'Administration de l'</w:t>
            </w:r>
            <w:r w:rsidR="00B50EED">
              <w:rPr>
                <w:lang w:val="fr-CH"/>
              </w:rPr>
              <w:t>E</w:t>
            </w:r>
            <w:r w:rsidR="00E4425B" w:rsidRPr="00887511">
              <w:rPr>
                <w:lang w:val="fr-CH"/>
              </w:rPr>
              <w:t>gypte les exigences de l'UIT pour l'accueil de l'AR-19 et de la CMR-19. L'Administration de l'</w:t>
            </w:r>
            <w:r w:rsidR="00B50EED">
              <w:rPr>
                <w:lang w:val="fr-CH"/>
              </w:rPr>
              <w:t>E</w:t>
            </w:r>
            <w:r w:rsidR="00E4425B" w:rsidRPr="00887511">
              <w:rPr>
                <w:lang w:val="fr-CH"/>
              </w:rPr>
              <w:t xml:space="preserve">gypte a fait part de son engagement à respecter les exigences minimales de l'UIT pour </w:t>
            </w:r>
            <w:r w:rsidR="00DF71B0" w:rsidRPr="00887511">
              <w:rPr>
                <w:lang w:val="fr-CH"/>
              </w:rPr>
              <w:t xml:space="preserve">l'organisation de </w:t>
            </w:r>
            <w:r w:rsidR="00E4425B" w:rsidRPr="00887511">
              <w:rPr>
                <w:lang w:val="fr-CH"/>
              </w:rPr>
              <w:t xml:space="preserve">l'AR-19 et </w:t>
            </w:r>
            <w:r w:rsidR="00DF71B0" w:rsidRPr="00887511">
              <w:rPr>
                <w:lang w:val="fr-CH"/>
              </w:rPr>
              <w:t xml:space="preserve">de </w:t>
            </w:r>
            <w:r w:rsidR="00E4425B" w:rsidRPr="00887511">
              <w:rPr>
                <w:lang w:val="fr-CH"/>
              </w:rPr>
              <w:t>la CMR-19 à Charm</w:t>
            </w:r>
            <w:r w:rsidR="00DF71B0" w:rsidRPr="00887511">
              <w:rPr>
                <w:lang w:val="fr-CH"/>
              </w:rPr>
              <w:t>-</w:t>
            </w:r>
            <w:r w:rsidR="00E4425B" w:rsidRPr="00887511">
              <w:rPr>
                <w:lang w:val="fr-CH"/>
              </w:rPr>
              <w:t>El-</w:t>
            </w:r>
            <w:r w:rsidR="00DF71B0" w:rsidRPr="00887511">
              <w:rPr>
                <w:lang w:val="fr-CH"/>
              </w:rPr>
              <w:t>C</w:t>
            </w:r>
            <w:r w:rsidR="00E4425B" w:rsidRPr="00887511">
              <w:rPr>
                <w:lang w:val="fr-CH"/>
              </w:rPr>
              <w:t>heikh, aux dates indiquées dans la Résolution 1380.</w:t>
            </w:r>
          </w:p>
          <w:p w:rsidR="006B493C" w:rsidRPr="00887511" w:rsidRDefault="00DF71B0" w:rsidP="00E51202">
            <w:pPr>
              <w:rPr>
                <w:lang w:val="fr-CH"/>
              </w:rPr>
            </w:pPr>
            <w:r w:rsidRPr="00887511">
              <w:rPr>
                <w:lang w:val="fr-CH"/>
              </w:rPr>
              <w:t xml:space="preserve">En outre, le présent </w:t>
            </w:r>
            <w:r w:rsidR="006B493C" w:rsidRPr="00887511">
              <w:rPr>
                <w:lang w:val="fr-CH"/>
              </w:rPr>
              <w:t xml:space="preserve">document </w:t>
            </w:r>
            <w:r w:rsidRPr="00887511">
              <w:rPr>
                <w:lang w:val="fr-CH"/>
              </w:rPr>
              <w:t>rend compte brièvement de l'avancement des travaux préparatoires de l'UIT</w:t>
            </w:r>
            <w:r w:rsidRPr="00887511">
              <w:rPr>
                <w:lang w:val="fr-CH"/>
              </w:rPr>
              <w:noBreakHyphen/>
              <w:t>R en vue de la CMR</w:t>
            </w:r>
            <w:r w:rsidR="006B493C" w:rsidRPr="00887511">
              <w:rPr>
                <w:lang w:val="fr-CH"/>
              </w:rPr>
              <w:t>-19.</w:t>
            </w:r>
          </w:p>
          <w:p w:rsidR="00BA011A" w:rsidRPr="00887511" w:rsidRDefault="00BA011A" w:rsidP="00E51202">
            <w:pPr>
              <w:pStyle w:val="Headingb"/>
              <w:rPr>
                <w:lang w:val="fr-CH"/>
              </w:rPr>
            </w:pPr>
            <w:r w:rsidRPr="00887511">
              <w:rPr>
                <w:lang w:val="fr-CH"/>
              </w:rPr>
              <w:t>Suite à donner</w:t>
            </w:r>
          </w:p>
          <w:p w:rsidR="00DF71B0" w:rsidRPr="00887511" w:rsidRDefault="00DF71B0" w:rsidP="00B50EED">
            <w:pPr>
              <w:rPr>
                <w:lang w:val="fr-CH"/>
              </w:rPr>
            </w:pPr>
            <w:r w:rsidRPr="00887511">
              <w:rPr>
                <w:lang w:val="fr-CH"/>
              </w:rPr>
              <w:t xml:space="preserve">Le Conseil est invité à </w:t>
            </w:r>
            <w:r w:rsidRPr="00887511">
              <w:rPr>
                <w:b/>
                <w:bCs/>
                <w:lang w:val="fr-CH"/>
              </w:rPr>
              <w:t>réexaminer la Résolution 1380</w:t>
            </w:r>
            <w:r w:rsidRPr="00887511">
              <w:rPr>
                <w:lang w:val="fr-CH"/>
              </w:rPr>
              <w:t xml:space="preserve"> compte tenu de l'engagement de la République arabe d'</w:t>
            </w:r>
            <w:r w:rsidR="00B50EED">
              <w:rPr>
                <w:lang w:val="fr-CH"/>
              </w:rPr>
              <w:t>E</w:t>
            </w:r>
            <w:r w:rsidR="00886AB6" w:rsidRPr="00887511">
              <w:rPr>
                <w:lang w:val="fr-CH"/>
              </w:rPr>
              <w:t>gypte</w:t>
            </w:r>
            <w:r w:rsidRPr="00887511">
              <w:rPr>
                <w:lang w:val="fr-CH"/>
              </w:rPr>
              <w:t xml:space="preserve"> à respecter les exigences minimales de l'UIT pour l'organisation de l'AR-19 et de la CMR-19 à Charm-El-Cheikh aux dates indiquées dans la Résolution 1380.</w:t>
            </w:r>
          </w:p>
          <w:p w:rsidR="006B493C" w:rsidRPr="00887511" w:rsidRDefault="006B493C" w:rsidP="00E51202">
            <w:pPr>
              <w:jc w:val="center"/>
              <w:rPr>
                <w:caps/>
                <w:lang w:val="fr-CH"/>
              </w:rPr>
            </w:pPr>
            <w:r w:rsidRPr="00887511">
              <w:rPr>
                <w:lang w:val="fr-CH"/>
              </w:rPr>
              <w:t>____________</w:t>
            </w:r>
          </w:p>
          <w:p w:rsidR="006B493C" w:rsidRPr="00887511" w:rsidRDefault="006B493C" w:rsidP="00E51202">
            <w:pPr>
              <w:pStyle w:val="Headingb"/>
              <w:rPr>
                <w:lang w:val="fr-CH"/>
              </w:rPr>
            </w:pPr>
            <w:r w:rsidRPr="0059022F">
              <w:rPr>
                <w:lang w:val="fr-CH"/>
              </w:rPr>
              <w:t>Références</w:t>
            </w:r>
          </w:p>
          <w:p w:rsidR="006B493C" w:rsidRPr="00887511" w:rsidRDefault="00D62D7B" w:rsidP="00E51202">
            <w:pPr>
              <w:rPr>
                <w:rFonts w:asciiTheme="minorHAnsi" w:hAnsiTheme="minorHAnsi"/>
                <w:szCs w:val="24"/>
                <w:lang w:val="fr-CH"/>
              </w:rPr>
            </w:pPr>
            <w:r w:rsidRPr="00887511">
              <w:rPr>
                <w:i/>
                <w:iCs/>
                <w:lang w:val="fr-CH"/>
              </w:rPr>
              <w:t>Numéros</w:t>
            </w:r>
            <w:r w:rsidRPr="00887511">
              <w:rPr>
                <w:lang w:val="fr-CH"/>
              </w:rPr>
              <w:t xml:space="preserve"> </w:t>
            </w:r>
            <w:hyperlink r:id="rId8" w:history="1">
              <w:r w:rsidR="006B493C" w:rsidRPr="00887511">
                <w:rPr>
                  <w:rStyle w:val="Hyperlink"/>
                  <w:i/>
                  <w:iCs/>
                  <w:szCs w:val="24"/>
                  <w:lang w:val="fr-CH"/>
                </w:rPr>
                <w:t>42, 47, 75, 118, 126</w:t>
              </w:r>
            </w:hyperlink>
            <w:r w:rsidRPr="00887511">
              <w:rPr>
                <w:lang w:val="fr-CH"/>
              </w:rPr>
              <w:t xml:space="preserve"> </w:t>
            </w:r>
            <w:r w:rsidRPr="00887511">
              <w:rPr>
                <w:i/>
                <w:iCs/>
                <w:lang w:val="fr-CH"/>
              </w:rPr>
              <w:t xml:space="preserve">de la </w:t>
            </w:r>
            <w:proofErr w:type="gramStart"/>
            <w:r w:rsidRPr="00887511">
              <w:rPr>
                <w:i/>
                <w:iCs/>
                <w:lang w:val="fr-CH"/>
              </w:rPr>
              <w:t>Convention</w:t>
            </w:r>
            <w:r w:rsidR="006B493C" w:rsidRPr="00887511">
              <w:rPr>
                <w:i/>
                <w:iCs/>
                <w:szCs w:val="24"/>
                <w:lang w:val="fr-CH"/>
              </w:rPr>
              <w:t>;</w:t>
            </w:r>
            <w:proofErr w:type="gramEnd"/>
            <w:r w:rsidR="006B493C" w:rsidRPr="00887511">
              <w:rPr>
                <w:i/>
                <w:iCs/>
                <w:szCs w:val="24"/>
                <w:lang w:val="fr-CH"/>
              </w:rPr>
              <w:t xml:space="preserve"> </w:t>
            </w:r>
            <w:hyperlink r:id="rId9" w:history="1">
              <w:r w:rsidR="006B493C" w:rsidRPr="00887511">
                <w:rPr>
                  <w:rStyle w:val="Hyperlink"/>
                  <w:i/>
                  <w:iCs/>
                  <w:szCs w:val="24"/>
                  <w:lang w:val="fr-CH"/>
                </w:rPr>
                <w:t>R</w:t>
              </w:r>
              <w:r w:rsidR="00DF71B0" w:rsidRPr="00887511">
                <w:rPr>
                  <w:rStyle w:val="Hyperlink"/>
                  <w:i/>
                  <w:iCs/>
                  <w:szCs w:val="24"/>
                  <w:lang w:val="fr-CH"/>
                </w:rPr>
                <w:t>é</w:t>
              </w:r>
              <w:r w:rsidR="006B493C" w:rsidRPr="00887511">
                <w:rPr>
                  <w:rStyle w:val="Hyperlink"/>
                  <w:i/>
                  <w:iCs/>
                  <w:szCs w:val="24"/>
                  <w:lang w:val="fr-CH"/>
                </w:rPr>
                <w:t>solution 1380</w:t>
              </w:r>
            </w:hyperlink>
            <w:r w:rsidR="006B493C" w:rsidRPr="00887511">
              <w:rPr>
                <w:i/>
                <w:iCs/>
                <w:szCs w:val="24"/>
                <w:lang w:val="fr-CH"/>
              </w:rPr>
              <w:t xml:space="preserve">; CL </w:t>
            </w:r>
            <w:hyperlink r:id="rId10" w:history="1">
              <w:r w:rsidR="006B493C" w:rsidRPr="00887511">
                <w:rPr>
                  <w:rStyle w:val="Hyperlink"/>
                  <w:i/>
                  <w:iCs/>
                  <w:szCs w:val="24"/>
                  <w:lang w:val="fr-CH"/>
                </w:rPr>
                <w:t>16/45</w:t>
              </w:r>
            </w:hyperlink>
            <w:r w:rsidR="006B493C" w:rsidRPr="00887511">
              <w:rPr>
                <w:i/>
                <w:iCs/>
                <w:szCs w:val="24"/>
                <w:lang w:val="fr-CH"/>
              </w:rPr>
              <w:t xml:space="preserve">, </w:t>
            </w:r>
            <w:hyperlink r:id="rId11" w:history="1">
              <w:r w:rsidR="006B493C" w:rsidRPr="00887511">
                <w:rPr>
                  <w:rStyle w:val="Hyperlink"/>
                  <w:i/>
                  <w:iCs/>
                  <w:szCs w:val="24"/>
                  <w:lang w:val="fr-CH"/>
                </w:rPr>
                <w:t>16/49</w:t>
              </w:r>
            </w:hyperlink>
            <w:r w:rsidR="006B493C" w:rsidRPr="00887511">
              <w:rPr>
                <w:i/>
                <w:iCs/>
                <w:szCs w:val="24"/>
                <w:lang w:val="fr-CH"/>
              </w:rPr>
              <w:t xml:space="preserve">, </w:t>
            </w:r>
            <w:hyperlink r:id="rId12" w:history="1">
              <w:r w:rsidR="006B493C" w:rsidRPr="00887511">
                <w:rPr>
                  <w:rStyle w:val="Hyperlink"/>
                  <w:i/>
                  <w:iCs/>
                  <w:szCs w:val="24"/>
                  <w:lang w:val="fr-CH"/>
                </w:rPr>
                <w:t>16/57</w:t>
              </w:r>
            </w:hyperlink>
          </w:p>
        </w:tc>
      </w:tr>
    </w:tbl>
    <w:p w:rsidR="009751E5" w:rsidRPr="00887511" w:rsidRDefault="009751E5" w:rsidP="00887511">
      <w:pPr>
        <w:tabs>
          <w:tab w:val="clear" w:pos="567"/>
          <w:tab w:val="clear" w:pos="1134"/>
          <w:tab w:val="clear" w:pos="1701"/>
          <w:tab w:val="clear" w:pos="2268"/>
          <w:tab w:val="clear" w:pos="2835"/>
        </w:tabs>
        <w:overflowPunct/>
        <w:autoSpaceDE/>
        <w:autoSpaceDN/>
        <w:adjustRightInd/>
        <w:spacing w:before="0" w:line="480" w:lineRule="auto"/>
        <w:textAlignment w:val="auto"/>
        <w:rPr>
          <w:b/>
          <w:sz w:val="28"/>
          <w:lang w:val="fr-CH"/>
        </w:rPr>
      </w:pPr>
      <w:bookmarkStart w:id="9" w:name="_Toc466550106"/>
      <w:bookmarkStart w:id="10" w:name="_Toc473010170"/>
    </w:p>
    <w:p w:rsidR="006B493C" w:rsidRPr="00887511" w:rsidRDefault="00DF71B0" w:rsidP="00E51202">
      <w:pPr>
        <w:pStyle w:val="Heading1"/>
        <w:rPr>
          <w:lang w:val="fr-CH"/>
        </w:rPr>
      </w:pPr>
      <w:r w:rsidRPr="00887511">
        <w:rPr>
          <w:lang w:val="fr-CH"/>
        </w:rPr>
        <w:lastRenderedPageBreak/>
        <w:t>1</w:t>
      </w:r>
      <w:r w:rsidRPr="00887511">
        <w:rPr>
          <w:lang w:val="fr-CH"/>
        </w:rPr>
        <w:tab/>
        <w:t>Lieu</w:t>
      </w:r>
      <w:r w:rsidR="006B493C" w:rsidRPr="00887511">
        <w:rPr>
          <w:lang w:val="fr-CH"/>
        </w:rPr>
        <w:t xml:space="preserve">, </w:t>
      </w:r>
      <w:r w:rsidR="006B493C" w:rsidRPr="0059022F">
        <w:rPr>
          <w:lang w:val="fr-CH"/>
        </w:rPr>
        <w:t>dates</w:t>
      </w:r>
      <w:r w:rsidRPr="00887511">
        <w:rPr>
          <w:lang w:val="fr-CH"/>
        </w:rPr>
        <w:t xml:space="preserve"> et ordre du jour de la CMR</w:t>
      </w:r>
      <w:r w:rsidR="006B493C" w:rsidRPr="00887511">
        <w:rPr>
          <w:lang w:val="fr-CH"/>
        </w:rPr>
        <w:t>-</w:t>
      </w:r>
      <w:proofErr w:type="gramStart"/>
      <w:r w:rsidR="006B493C" w:rsidRPr="00887511">
        <w:rPr>
          <w:lang w:val="fr-CH"/>
        </w:rPr>
        <w:t>19;</w:t>
      </w:r>
      <w:proofErr w:type="gramEnd"/>
      <w:r w:rsidR="006B493C" w:rsidRPr="00887511">
        <w:rPr>
          <w:lang w:val="fr-CH"/>
        </w:rPr>
        <w:t xml:space="preserve"> </w:t>
      </w:r>
      <w:r w:rsidRPr="00887511">
        <w:rPr>
          <w:lang w:val="fr-CH"/>
        </w:rPr>
        <w:t xml:space="preserve">lieu et </w:t>
      </w:r>
      <w:r w:rsidR="006B493C" w:rsidRPr="00887511">
        <w:rPr>
          <w:lang w:val="fr-CH"/>
        </w:rPr>
        <w:t xml:space="preserve">dates </w:t>
      </w:r>
      <w:r w:rsidRPr="00887511">
        <w:rPr>
          <w:lang w:val="fr-CH"/>
        </w:rPr>
        <w:t>de l'AR</w:t>
      </w:r>
      <w:r w:rsidR="006B493C" w:rsidRPr="00887511">
        <w:rPr>
          <w:lang w:val="fr-CH"/>
        </w:rPr>
        <w:t>-19</w:t>
      </w:r>
    </w:p>
    <w:p w:rsidR="00DF71B0" w:rsidRPr="00887511" w:rsidRDefault="00E51202" w:rsidP="00E51202">
      <w:pPr>
        <w:rPr>
          <w:rFonts w:eastAsia="SimSun"/>
          <w:lang w:val="fr-CH"/>
        </w:rPr>
      </w:pPr>
      <w:r>
        <w:rPr>
          <w:rFonts w:eastAsia="SimSun"/>
          <w:lang w:val="fr-CH"/>
        </w:rPr>
        <w:t>A</w:t>
      </w:r>
      <w:r w:rsidR="00DF71B0" w:rsidRPr="00887511">
        <w:rPr>
          <w:rFonts w:eastAsia="SimSun"/>
          <w:lang w:val="fr-CH"/>
        </w:rPr>
        <w:t xml:space="preserve"> sa session de 2016, le Conseil a examiné l'ordre du jour de la Conférence mondiale des radiocommunications (CMR-19) figurant dans la Résolution 809 (CMR-15) et a </w:t>
      </w:r>
      <w:r>
        <w:rPr>
          <w:rFonts w:eastAsia="SimSun"/>
          <w:lang w:val="fr-CH"/>
        </w:rPr>
        <w:t>adopté</w:t>
      </w:r>
      <w:r w:rsidR="00DF71B0" w:rsidRPr="00887511">
        <w:rPr>
          <w:rFonts w:eastAsia="SimSun"/>
          <w:lang w:val="fr-CH"/>
        </w:rPr>
        <w:t xml:space="preserve"> la Résolution 1380 (voir le </w:t>
      </w:r>
      <w:r w:rsidR="00D62D7B" w:rsidRPr="00887511">
        <w:rPr>
          <w:rFonts w:eastAsia="SimSun"/>
          <w:lang w:val="fr-CH"/>
        </w:rPr>
        <w:t>D</w:t>
      </w:r>
      <w:r w:rsidR="00DF71B0" w:rsidRPr="00887511">
        <w:rPr>
          <w:rFonts w:eastAsia="SimSun"/>
          <w:lang w:val="fr-CH"/>
        </w:rPr>
        <w:t xml:space="preserve">ocument </w:t>
      </w:r>
      <w:hyperlink r:id="rId13" w:history="1">
        <w:r w:rsidR="00D62D7B" w:rsidRPr="00887511">
          <w:rPr>
            <w:rStyle w:val="Hyperlink"/>
            <w:rFonts w:asciiTheme="minorHAnsi" w:eastAsia="SimSun" w:hAnsiTheme="minorHAnsi"/>
            <w:szCs w:val="24"/>
            <w:lang w:val="fr-CH"/>
          </w:rPr>
          <w:t>C16/130</w:t>
        </w:r>
      </w:hyperlink>
      <w:r w:rsidR="00DF71B0" w:rsidRPr="00887511">
        <w:rPr>
          <w:rFonts w:eastAsia="SimSun"/>
          <w:lang w:val="fr-CH"/>
        </w:rPr>
        <w:t xml:space="preserve">) contenant l'ordre du jour de la CMR-19 ainsi que les dates </w:t>
      </w:r>
      <w:r w:rsidR="00D62D7B" w:rsidRPr="00887511">
        <w:rPr>
          <w:rFonts w:eastAsia="SimSun"/>
          <w:lang w:val="fr-CH"/>
        </w:rPr>
        <w:t>e</w:t>
      </w:r>
      <w:r w:rsidR="00DF71B0" w:rsidRPr="00887511">
        <w:rPr>
          <w:rFonts w:eastAsia="SimSun"/>
          <w:lang w:val="fr-CH"/>
        </w:rPr>
        <w:t xml:space="preserve">t </w:t>
      </w:r>
      <w:r w:rsidR="00D62D7B" w:rsidRPr="00887511">
        <w:rPr>
          <w:rFonts w:eastAsia="SimSun"/>
          <w:lang w:val="fr-CH"/>
        </w:rPr>
        <w:t xml:space="preserve">le </w:t>
      </w:r>
      <w:r w:rsidR="00DF71B0" w:rsidRPr="00887511">
        <w:rPr>
          <w:rFonts w:eastAsia="SimSun"/>
          <w:lang w:val="fr-CH"/>
        </w:rPr>
        <w:t>lieu de la CMR-19 (Genève, 28 octobre-22 novembre 2019) et de l'Assemblée des radiocommunications (</w:t>
      </w:r>
      <w:r w:rsidR="00D62D7B" w:rsidRPr="00887511">
        <w:rPr>
          <w:rFonts w:eastAsia="SimSun"/>
          <w:lang w:val="fr-CH"/>
        </w:rPr>
        <w:t>AR</w:t>
      </w:r>
      <w:r w:rsidR="00DF71B0" w:rsidRPr="00887511">
        <w:rPr>
          <w:rFonts w:eastAsia="SimSun"/>
          <w:lang w:val="fr-CH"/>
        </w:rPr>
        <w:t>-19) (Genève, 21</w:t>
      </w:r>
      <w:r w:rsidR="00D62D7B" w:rsidRPr="00887511">
        <w:rPr>
          <w:rFonts w:eastAsia="SimSun"/>
          <w:lang w:val="fr-CH"/>
        </w:rPr>
        <w:t>-</w:t>
      </w:r>
      <w:r w:rsidR="00DF71B0" w:rsidRPr="00887511">
        <w:rPr>
          <w:rFonts w:eastAsia="SimSun"/>
          <w:lang w:val="fr-CH"/>
        </w:rPr>
        <w:t>25 octobre 2019).</w:t>
      </w:r>
    </w:p>
    <w:p w:rsidR="006B493C" w:rsidRPr="00887511" w:rsidRDefault="00292891" w:rsidP="00E51202">
      <w:pPr>
        <w:rPr>
          <w:rFonts w:eastAsia="SimSun"/>
          <w:lang w:val="fr-CH"/>
        </w:rPr>
      </w:pPr>
      <w:r w:rsidRPr="00887511">
        <w:rPr>
          <w:rFonts w:eastAsia="SimSun"/>
          <w:lang w:val="fr-CH"/>
        </w:rPr>
        <w:t xml:space="preserve">Conformément aux numéros </w:t>
      </w:r>
      <w:r w:rsidR="006B493C" w:rsidRPr="00887511">
        <w:rPr>
          <w:rFonts w:eastAsia="SimSun"/>
          <w:lang w:val="fr-CH"/>
        </w:rPr>
        <w:t xml:space="preserve">42 </w:t>
      </w:r>
      <w:r w:rsidRPr="00887511">
        <w:rPr>
          <w:rFonts w:eastAsia="SimSun"/>
          <w:lang w:val="fr-CH"/>
        </w:rPr>
        <w:t xml:space="preserve">et </w:t>
      </w:r>
      <w:r w:rsidR="006B493C" w:rsidRPr="00887511">
        <w:rPr>
          <w:rFonts w:eastAsia="SimSun"/>
          <w:lang w:val="fr-CH"/>
        </w:rPr>
        <w:t>118</w:t>
      </w:r>
      <w:r w:rsidRPr="00887511">
        <w:rPr>
          <w:rFonts w:eastAsia="SimSun"/>
          <w:lang w:val="fr-CH"/>
        </w:rPr>
        <w:t xml:space="preserve"> de la Convention</w:t>
      </w:r>
      <w:r w:rsidR="006B493C" w:rsidRPr="00887511">
        <w:rPr>
          <w:rFonts w:eastAsia="SimSun"/>
          <w:lang w:val="fr-CH"/>
        </w:rPr>
        <w:t xml:space="preserve">, </w:t>
      </w:r>
      <w:r w:rsidRPr="00887511">
        <w:rPr>
          <w:rFonts w:eastAsia="SimSun"/>
          <w:lang w:val="fr-CH"/>
        </w:rPr>
        <w:t xml:space="preserve">la </w:t>
      </w:r>
      <w:r w:rsidR="006B493C" w:rsidRPr="00887511">
        <w:rPr>
          <w:rFonts w:eastAsia="SimSun"/>
          <w:lang w:val="fr-CH"/>
        </w:rPr>
        <w:t>R</w:t>
      </w:r>
      <w:r w:rsidRPr="00887511">
        <w:rPr>
          <w:rFonts w:eastAsia="SimSun"/>
          <w:lang w:val="fr-CH"/>
        </w:rPr>
        <w:t>é</w:t>
      </w:r>
      <w:r w:rsidR="006B493C" w:rsidRPr="00887511">
        <w:rPr>
          <w:rFonts w:eastAsia="SimSun"/>
          <w:lang w:val="fr-CH"/>
        </w:rPr>
        <w:t xml:space="preserve">solution 1380 </w:t>
      </w:r>
      <w:r w:rsidRPr="00887511">
        <w:rPr>
          <w:rFonts w:eastAsia="SimSun"/>
          <w:lang w:val="fr-CH"/>
        </w:rPr>
        <w:t xml:space="preserve">a donné lieu à une consultation des </w:t>
      </w:r>
      <w:r w:rsidR="00E51202">
        <w:rPr>
          <w:rFonts w:eastAsia="SimSun"/>
          <w:lang w:val="fr-CH"/>
        </w:rPr>
        <w:t>E</w:t>
      </w:r>
      <w:r w:rsidRPr="00887511">
        <w:rPr>
          <w:rFonts w:eastAsia="SimSun"/>
          <w:lang w:val="fr-CH"/>
        </w:rPr>
        <w:t xml:space="preserve">tats Membres par le biais des Lettres circulaires </w:t>
      </w:r>
      <w:hyperlink r:id="rId14" w:history="1">
        <w:r w:rsidR="006B493C" w:rsidRPr="00887511">
          <w:rPr>
            <w:rStyle w:val="Hyperlink"/>
            <w:rFonts w:asciiTheme="minorHAnsi" w:eastAsia="SimSun" w:hAnsiTheme="minorHAnsi"/>
            <w:szCs w:val="24"/>
            <w:lang w:val="fr-CH"/>
          </w:rPr>
          <w:t>CL‐16/45</w:t>
        </w:r>
      </w:hyperlink>
      <w:r w:rsidR="006B493C" w:rsidRPr="00887511">
        <w:rPr>
          <w:rFonts w:eastAsia="SimSun"/>
          <w:lang w:val="fr-CH"/>
        </w:rPr>
        <w:t xml:space="preserve"> </w:t>
      </w:r>
      <w:r w:rsidRPr="00887511">
        <w:rPr>
          <w:rFonts w:eastAsia="SimSun"/>
          <w:lang w:val="fr-CH"/>
        </w:rPr>
        <w:t>en date du 1er septembre</w:t>
      </w:r>
      <w:r w:rsidR="00E51202">
        <w:rPr>
          <w:rFonts w:eastAsia="SimSun"/>
          <w:lang w:val="fr-CH"/>
        </w:rPr>
        <w:t xml:space="preserve"> 2016</w:t>
      </w:r>
      <w:r w:rsidRPr="00887511">
        <w:rPr>
          <w:rFonts w:eastAsia="SimSun"/>
          <w:lang w:val="fr-CH"/>
        </w:rPr>
        <w:t xml:space="preserve"> et </w:t>
      </w:r>
      <w:hyperlink r:id="rId15" w:history="1">
        <w:r w:rsidR="006B493C" w:rsidRPr="00887511">
          <w:rPr>
            <w:rStyle w:val="Hyperlink"/>
            <w:rFonts w:asciiTheme="minorHAnsi" w:eastAsia="SimSun" w:hAnsiTheme="minorHAnsi"/>
            <w:szCs w:val="24"/>
            <w:lang w:val="fr-CH"/>
          </w:rPr>
          <w:t>CL‐16/49</w:t>
        </w:r>
      </w:hyperlink>
      <w:r w:rsidR="006B493C" w:rsidRPr="00887511">
        <w:rPr>
          <w:rFonts w:eastAsia="SimSun"/>
          <w:lang w:val="fr-CH"/>
        </w:rPr>
        <w:t xml:space="preserve"> </w:t>
      </w:r>
      <w:r w:rsidRPr="00887511">
        <w:rPr>
          <w:rFonts w:eastAsia="SimSun"/>
          <w:lang w:val="fr-CH"/>
        </w:rPr>
        <w:t xml:space="preserve">en date du </w:t>
      </w:r>
      <w:r w:rsidR="006B493C" w:rsidRPr="00887511">
        <w:rPr>
          <w:rFonts w:eastAsia="SimSun"/>
          <w:lang w:val="fr-CH"/>
        </w:rPr>
        <w:t xml:space="preserve">3 </w:t>
      </w:r>
      <w:r w:rsidRPr="00887511">
        <w:rPr>
          <w:rFonts w:eastAsia="SimSun"/>
          <w:lang w:val="fr-CH"/>
        </w:rPr>
        <w:t xml:space="preserve">octobre </w:t>
      </w:r>
      <w:r w:rsidR="006B493C" w:rsidRPr="00887511">
        <w:rPr>
          <w:rFonts w:eastAsia="SimSun"/>
          <w:lang w:val="fr-CH"/>
        </w:rPr>
        <w:t>2016.</w:t>
      </w:r>
    </w:p>
    <w:p w:rsidR="00292891" w:rsidRPr="00887511" w:rsidRDefault="00292891" w:rsidP="00E51202">
      <w:pPr>
        <w:rPr>
          <w:rFonts w:eastAsia="SimSun"/>
          <w:lang w:val="fr-CH"/>
        </w:rPr>
      </w:pPr>
      <w:r w:rsidRPr="00887511">
        <w:rPr>
          <w:rFonts w:eastAsia="SimSun"/>
          <w:lang w:val="fr-CH"/>
        </w:rPr>
        <w:t xml:space="preserve">Ainsi que les membres en ont été informés par la Lettre circulaire </w:t>
      </w:r>
      <w:hyperlink r:id="rId16" w:history="1">
        <w:r w:rsidRPr="00887511">
          <w:rPr>
            <w:rStyle w:val="Hyperlink"/>
            <w:rFonts w:asciiTheme="minorHAnsi" w:eastAsia="SimSun" w:hAnsiTheme="minorHAnsi"/>
            <w:szCs w:val="24"/>
            <w:lang w:val="fr-CH"/>
          </w:rPr>
          <w:t>CL-16/57</w:t>
        </w:r>
      </w:hyperlink>
      <w:r w:rsidRPr="00887511">
        <w:rPr>
          <w:rFonts w:eastAsia="SimSun"/>
          <w:lang w:val="fr-CH"/>
        </w:rPr>
        <w:t xml:space="preserve"> en date du 8 décembre 2016, le lieu, les dates et l'ordre du jour proposés pour la CMR-19 et le lieu et les dates proposés pour l'AR-19, tels qu'ils figurent dans la Résolution 1380, ont reçu l'accord de la majorité des </w:t>
      </w:r>
      <w:r w:rsidR="00E51202">
        <w:rPr>
          <w:rFonts w:eastAsia="SimSun"/>
          <w:lang w:val="fr-CH"/>
        </w:rPr>
        <w:t>E</w:t>
      </w:r>
      <w:r w:rsidRPr="00887511">
        <w:rPr>
          <w:rFonts w:eastAsia="SimSun"/>
          <w:lang w:val="fr-CH"/>
        </w:rPr>
        <w:t xml:space="preserve">tats </w:t>
      </w:r>
      <w:r w:rsidR="009709C3" w:rsidRPr="00887511">
        <w:rPr>
          <w:rFonts w:eastAsia="SimSun"/>
          <w:lang w:val="fr-CH"/>
        </w:rPr>
        <w:t>M</w:t>
      </w:r>
      <w:r w:rsidRPr="00887511">
        <w:rPr>
          <w:rFonts w:eastAsia="SimSun"/>
          <w:lang w:val="fr-CH"/>
        </w:rPr>
        <w:t>embres de l'UIT.</w:t>
      </w:r>
    </w:p>
    <w:p w:rsidR="009709C3" w:rsidRPr="00887511" w:rsidRDefault="006B493C" w:rsidP="00E51202">
      <w:pPr>
        <w:rPr>
          <w:lang w:val="fr-CH"/>
        </w:rPr>
      </w:pPr>
      <w:r w:rsidRPr="00887511">
        <w:rPr>
          <w:rFonts w:eastAsia="SimSun"/>
          <w:lang w:val="fr-CH"/>
        </w:rPr>
        <w:t>Compte tenu de l'intérêt manifesté par la République arabe d'</w:t>
      </w:r>
      <w:r w:rsidR="00E51202">
        <w:rPr>
          <w:rFonts w:eastAsia="SimSun"/>
          <w:lang w:val="fr-CH"/>
        </w:rPr>
        <w:t>E</w:t>
      </w:r>
      <w:r w:rsidR="00886AB6" w:rsidRPr="00887511">
        <w:rPr>
          <w:rFonts w:eastAsia="SimSun"/>
          <w:lang w:val="fr-CH"/>
        </w:rPr>
        <w:t>gypte</w:t>
      </w:r>
      <w:r w:rsidRPr="00887511">
        <w:rPr>
          <w:rFonts w:eastAsia="SimSun"/>
          <w:lang w:val="fr-CH"/>
        </w:rPr>
        <w:t xml:space="preserve"> pour accueillir la CMR-19 aux dates proposées dans la Résolution 1380, le Conseil a chargé en outre le Secrétaire général de poursuivre les consultations avec l'</w:t>
      </w:r>
      <w:r w:rsidR="00E51202">
        <w:rPr>
          <w:rFonts w:eastAsia="SimSun"/>
          <w:lang w:val="fr-CH"/>
        </w:rPr>
        <w:t>E</w:t>
      </w:r>
      <w:r w:rsidR="00886AB6" w:rsidRPr="00887511">
        <w:rPr>
          <w:rFonts w:eastAsia="SimSun"/>
          <w:lang w:val="fr-CH"/>
        </w:rPr>
        <w:t>gypte</w:t>
      </w:r>
      <w:r w:rsidRPr="00887511">
        <w:rPr>
          <w:rFonts w:eastAsia="SimSun"/>
          <w:lang w:val="fr-CH"/>
        </w:rPr>
        <w:t xml:space="preserve"> afin d'examiner la possibilité d'organiser la CMR-19 dans un autre lieu. </w:t>
      </w:r>
      <w:r w:rsidR="00E51202">
        <w:rPr>
          <w:rFonts w:eastAsia="SimSun"/>
          <w:lang w:val="fr-CH"/>
        </w:rPr>
        <w:t>A</w:t>
      </w:r>
      <w:r w:rsidR="009709C3" w:rsidRPr="00887511">
        <w:rPr>
          <w:rFonts w:eastAsia="SimSun"/>
          <w:lang w:val="fr-CH"/>
        </w:rPr>
        <w:t xml:space="preserve"> cette fin</w:t>
      </w:r>
      <w:r w:rsidRPr="00887511">
        <w:rPr>
          <w:rFonts w:eastAsia="SimSun"/>
          <w:lang w:val="fr-CH"/>
        </w:rPr>
        <w:t xml:space="preserve">, </w:t>
      </w:r>
      <w:r w:rsidR="009709C3" w:rsidRPr="00887511">
        <w:rPr>
          <w:rFonts w:eastAsia="SimSun"/>
          <w:lang w:val="fr-CH"/>
        </w:rPr>
        <w:t xml:space="preserve">le </w:t>
      </w:r>
      <w:r w:rsidRPr="00887511">
        <w:rPr>
          <w:lang w:val="fr-CH"/>
        </w:rPr>
        <w:t xml:space="preserve">15 </w:t>
      </w:r>
      <w:r w:rsidR="009709C3" w:rsidRPr="00887511">
        <w:rPr>
          <w:lang w:val="fr-CH"/>
        </w:rPr>
        <w:t xml:space="preserve">juin </w:t>
      </w:r>
      <w:r w:rsidRPr="00887511">
        <w:rPr>
          <w:lang w:val="fr-CH"/>
        </w:rPr>
        <w:t xml:space="preserve">2016, </w:t>
      </w:r>
      <w:r w:rsidR="009709C3" w:rsidRPr="00887511">
        <w:rPr>
          <w:lang w:val="fr-CH"/>
        </w:rPr>
        <w:t xml:space="preserve">le </w:t>
      </w:r>
      <w:r w:rsidRPr="00887511">
        <w:rPr>
          <w:lang w:val="fr-CH"/>
        </w:rPr>
        <w:t xml:space="preserve">BR </w:t>
      </w:r>
      <w:r w:rsidR="009709C3" w:rsidRPr="00887511">
        <w:rPr>
          <w:lang w:val="fr-CH"/>
        </w:rPr>
        <w:t>a communiqué à l'Administration de l'</w:t>
      </w:r>
      <w:r w:rsidR="00E51202">
        <w:rPr>
          <w:lang w:val="fr-CH"/>
        </w:rPr>
        <w:t>E</w:t>
      </w:r>
      <w:r w:rsidR="009709C3" w:rsidRPr="00887511">
        <w:rPr>
          <w:lang w:val="fr-CH"/>
        </w:rPr>
        <w:t xml:space="preserve">gypte les exigences de l'UIT pour l'accueil de l'AR-19 et de la CMR-19. </w:t>
      </w:r>
    </w:p>
    <w:p w:rsidR="009709C3" w:rsidRPr="00887511" w:rsidRDefault="009709C3" w:rsidP="00E51202">
      <w:pPr>
        <w:rPr>
          <w:lang w:val="fr-CH"/>
        </w:rPr>
      </w:pPr>
      <w:r w:rsidRPr="00887511">
        <w:rPr>
          <w:lang w:val="fr-CH"/>
        </w:rPr>
        <w:t>L'Administration de l'</w:t>
      </w:r>
      <w:r w:rsidR="00E51202">
        <w:rPr>
          <w:lang w:val="fr-CH"/>
        </w:rPr>
        <w:t>E</w:t>
      </w:r>
      <w:r w:rsidRPr="00887511">
        <w:rPr>
          <w:lang w:val="fr-CH"/>
        </w:rPr>
        <w:t>gypte a fait part récemment de son engagement à respecter les exigences minimales de l'UIT pour l'organisation de l'AR-19 et de la CMR-19 à Charm-El-Cheikh aux dates indiquées dans la Résolution 1380.</w:t>
      </w:r>
    </w:p>
    <w:p w:rsidR="009709C3" w:rsidRPr="00887511" w:rsidRDefault="009709C3" w:rsidP="00E51202">
      <w:pPr>
        <w:rPr>
          <w:lang w:val="fr-CH"/>
        </w:rPr>
      </w:pPr>
      <w:r w:rsidRPr="00887511">
        <w:rPr>
          <w:lang w:val="fr-CH"/>
        </w:rPr>
        <w:t xml:space="preserve">Le Conseil est invité à </w:t>
      </w:r>
      <w:r w:rsidRPr="00887511">
        <w:rPr>
          <w:b/>
          <w:bCs/>
          <w:lang w:val="fr-CH"/>
        </w:rPr>
        <w:t>réexaminer la Résolution 1380</w:t>
      </w:r>
      <w:r w:rsidRPr="00887511">
        <w:rPr>
          <w:lang w:val="fr-CH"/>
        </w:rPr>
        <w:t xml:space="preserve"> compte tenu de l'engagement de la République arabe d'</w:t>
      </w:r>
      <w:r w:rsidR="00E51202">
        <w:rPr>
          <w:lang w:val="fr-CH"/>
        </w:rPr>
        <w:t>E</w:t>
      </w:r>
      <w:r w:rsidR="00886AB6" w:rsidRPr="00887511">
        <w:rPr>
          <w:lang w:val="fr-CH"/>
        </w:rPr>
        <w:t>gypte</w:t>
      </w:r>
      <w:r w:rsidRPr="00887511">
        <w:rPr>
          <w:lang w:val="fr-CH"/>
        </w:rPr>
        <w:t xml:space="preserve"> à respecter les exigences minimales de l'UIT pour l'organisation de l'AR-19 et de la CMR-19 à Charm-El-Cheikh aux dates indiquées dans la Résolution 1380.</w:t>
      </w:r>
    </w:p>
    <w:p w:rsidR="006B493C" w:rsidRPr="00887511" w:rsidRDefault="00DF71B0" w:rsidP="00E51202">
      <w:pPr>
        <w:pStyle w:val="Heading1"/>
        <w:rPr>
          <w:lang w:val="fr-CH"/>
        </w:rPr>
      </w:pPr>
      <w:r w:rsidRPr="00887511">
        <w:rPr>
          <w:lang w:val="fr-CH"/>
        </w:rPr>
        <w:t>2</w:t>
      </w:r>
      <w:r w:rsidRPr="00887511">
        <w:rPr>
          <w:lang w:val="fr-CH"/>
        </w:rPr>
        <w:tab/>
      </w:r>
      <w:r w:rsidR="006B493C" w:rsidRPr="0059022F">
        <w:rPr>
          <w:lang w:val="fr-CH"/>
        </w:rPr>
        <w:t>Préparation</w:t>
      </w:r>
      <w:r w:rsidR="006B493C" w:rsidRPr="00887511">
        <w:rPr>
          <w:lang w:val="fr-CH"/>
        </w:rPr>
        <w:t xml:space="preserve"> de la CMR-19 </w:t>
      </w:r>
    </w:p>
    <w:p w:rsidR="009709C3" w:rsidRPr="00887511" w:rsidRDefault="00E51202" w:rsidP="00B50EED">
      <w:pPr>
        <w:rPr>
          <w:lang w:val="fr-CH"/>
        </w:rPr>
      </w:pPr>
      <w:r>
        <w:rPr>
          <w:lang w:val="fr-CH"/>
        </w:rPr>
        <w:t>A</w:t>
      </w:r>
      <w:r w:rsidR="009709C3" w:rsidRPr="00887511">
        <w:rPr>
          <w:lang w:val="fr-CH"/>
        </w:rPr>
        <w:t xml:space="preserve"> la suite de l'adoption par le Conseil de la Résolution 1380, la Commission de direction de la RPC</w:t>
      </w:r>
      <w:r w:rsidR="00B50EED">
        <w:rPr>
          <w:lang w:val="fr-CH"/>
        </w:rPr>
        <w:noBreakHyphen/>
      </w:r>
      <w:r w:rsidR="009709C3" w:rsidRPr="00887511">
        <w:rPr>
          <w:lang w:val="fr-CH"/>
        </w:rPr>
        <w:t xml:space="preserve">19 s'est réunie en septembre 2016 pour examiner l'élaboration du projet de Rapport de la RPC à la CMR-19, ainsi que pour </w:t>
      </w:r>
      <w:r w:rsidR="002560B4" w:rsidRPr="00887511">
        <w:rPr>
          <w:lang w:val="fr-CH"/>
        </w:rPr>
        <w:t xml:space="preserve">se mettre d'accord sur le lieu </w:t>
      </w:r>
      <w:r w:rsidR="009709C3" w:rsidRPr="00887511">
        <w:rPr>
          <w:lang w:val="fr-CH"/>
        </w:rPr>
        <w:t xml:space="preserve">et </w:t>
      </w:r>
      <w:r w:rsidR="002560B4" w:rsidRPr="00887511">
        <w:rPr>
          <w:lang w:val="fr-CH"/>
        </w:rPr>
        <w:t>l</w:t>
      </w:r>
      <w:r w:rsidR="009709C3" w:rsidRPr="00887511">
        <w:rPr>
          <w:lang w:val="fr-CH"/>
        </w:rPr>
        <w:t xml:space="preserve">es dates de la </w:t>
      </w:r>
      <w:r w:rsidR="002560B4" w:rsidRPr="00887511">
        <w:rPr>
          <w:lang w:val="fr-CH"/>
        </w:rPr>
        <w:t>RPC19-2 (Genève, 18-</w:t>
      </w:r>
      <w:r w:rsidR="009709C3" w:rsidRPr="00887511">
        <w:rPr>
          <w:lang w:val="fr-CH"/>
        </w:rPr>
        <w:t xml:space="preserve">28 février 2019) et </w:t>
      </w:r>
      <w:r w:rsidR="008941EC" w:rsidRPr="00887511">
        <w:rPr>
          <w:lang w:val="fr-CH"/>
        </w:rPr>
        <w:t>mettre à jour, dans l'attribution des travaux préparatoires de l'UIT-R pour la CMR</w:t>
      </w:r>
      <w:r>
        <w:rPr>
          <w:lang w:val="fr-CH"/>
        </w:rPr>
        <w:noBreakHyphen/>
      </w:r>
      <w:r w:rsidR="008941EC" w:rsidRPr="00887511">
        <w:rPr>
          <w:lang w:val="fr-CH"/>
        </w:rPr>
        <w:t xml:space="preserve">19, </w:t>
      </w:r>
      <w:r w:rsidR="009709C3" w:rsidRPr="00887511">
        <w:rPr>
          <w:lang w:val="fr-CH"/>
        </w:rPr>
        <w:t>la liste des groupes de travail de l'UIT-R</w:t>
      </w:r>
      <w:r w:rsidR="008941EC" w:rsidRPr="00887511">
        <w:rPr>
          <w:lang w:val="fr-CH"/>
        </w:rPr>
        <w:t xml:space="preserve"> concernés</w:t>
      </w:r>
      <w:r w:rsidR="009709C3" w:rsidRPr="00887511">
        <w:rPr>
          <w:lang w:val="fr-CH"/>
        </w:rPr>
        <w:t>.</w:t>
      </w:r>
    </w:p>
    <w:p w:rsidR="001B36BD" w:rsidRPr="00887511" w:rsidRDefault="00E51202" w:rsidP="00E51202">
      <w:pPr>
        <w:rPr>
          <w:lang w:val="fr-CH"/>
        </w:rPr>
      </w:pPr>
      <w:r>
        <w:rPr>
          <w:lang w:val="fr-CH"/>
        </w:rPr>
        <w:t>Par ailleurs</w:t>
      </w:r>
      <w:r w:rsidR="006B493C" w:rsidRPr="00887511">
        <w:rPr>
          <w:lang w:val="fr-CH"/>
        </w:rPr>
        <w:t xml:space="preserve">, </w:t>
      </w:r>
      <w:r w:rsidR="001B36BD" w:rsidRPr="00887511">
        <w:rPr>
          <w:lang w:val="fr-CH"/>
        </w:rPr>
        <w:t>et compte tenu de la Résolution 80 (Rév. Marrakech, 2002) de la Conférence de plénipotentiaires, les travaux préparatoires en vue de la CMR-19 ont d</w:t>
      </w:r>
      <w:r w:rsidR="008941EC" w:rsidRPr="00887511">
        <w:rPr>
          <w:lang w:val="fr-CH"/>
        </w:rPr>
        <w:t>émarré,</w:t>
      </w:r>
      <w:r w:rsidR="001B36BD" w:rsidRPr="00887511">
        <w:rPr>
          <w:lang w:val="fr-CH"/>
        </w:rPr>
        <w:t xml:space="preserve"> avec la participation active du BR aux réunions préparatoires des groupes régionaux (APT, ASMG, UAT, CEPT, CITEL et RCC). Chaque fois que possible, l'UIT fournit une assistance pour ces travaux préparatoires, compte tenu en particulier de la </w:t>
      </w:r>
      <w:r w:rsidR="001B36BD" w:rsidRPr="00887511">
        <w:rPr>
          <w:b/>
          <w:bCs/>
          <w:lang w:val="fr-CH"/>
        </w:rPr>
        <w:t>Résolution 72 (Rév.CMR-07)</w:t>
      </w:r>
      <w:r w:rsidR="001B36BD" w:rsidRPr="00887511">
        <w:rPr>
          <w:lang w:val="fr-CH"/>
        </w:rPr>
        <w:t>.</w:t>
      </w:r>
    </w:p>
    <w:p w:rsidR="008941EC" w:rsidRPr="00887511" w:rsidRDefault="008941EC" w:rsidP="00E51202">
      <w:pPr>
        <w:pageBreakBefore/>
        <w:rPr>
          <w:lang w:val="fr-CH"/>
        </w:rPr>
      </w:pPr>
      <w:r w:rsidRPr="00887511">
        <w:rPr>
          <w:lang w:val="fr-CH"/>
        </w:rPr>
        <w:lastRenderedPageBreak/>
        <w:t xml:space="preserve">Le Bureau prévoit d'organiser trois ateliers interrégionaux de l'UIT sur les travaux préparatoires en vue de la CMR-19. </w:t>
      </w:r>
      <w:proofErr w:type="gramStart"/>
      <w:r w:rsidRPr="00887511">
        <w:rPr>
          <w:lang w:val="fr-CH"/>
        </w:rPr>
        <w:t xml:space="preserve">Le premier se tiendra à Genève les 21 et 22 novembre 2017 et sera l'occasion de faire le point des progrès accomplis à mi-parcours du processus préparatoire concernant les études de l'UIT-R au titre des points de l'ordre du jour de la CMR-19 </w:t>
      </w:r>
      <w:r w:rsidR="00E51202">
        <w:rPr>
          <w:lang w:val="fr-CH"/>
        </w:rPr>
        <w:t>ainsi que</w:t>
      </w:r>
      <w:r w:rsidRPr="00887511">
        <w:rPr>
          <w:lang w:val="fr-CH"/>
        </w:rPr>
        <w:t xml:space="preserve"> d'offrir la possibilité d'échanger des renseignements et de mieux comprendre les avant-projets de propositions communes, les positions ou les points de vue des entités concernées, par exemple des principaux groupes régionaux et des principales organisations internationales, sur les questions qui seront traitées par la CMR-19.</w:t>
      </w:r>
      <w:proofErr w:type="gramEnd"/>
      <w:r w:rsidRPr="00887511">
        <w:rPr>
          <w:lang w:val="fr-CH"/>
        </w:rPr>
        <w:t xml:space="preserve"> </w:t>
      </w:r>
    </w:p>
    <w:p w:rsidR="00FB3A4E" w:rsidRPr="00887511" w:rsidRDefault="006B493C" w:rsidP="0059022F">
      <w:pPr>
        <w:spacing w:before="840"/>
        <w:jc w:val="center"/>
        <w:rPr>
          <w:lang w:val="fr-CH"/>
        </w:rPr>
      </w:pPr>
      <w:r w:rsidRPr="00887511">
        <w:rPr>
          <w:rFonts w:asciiTheme="minorHAnsi" w:hAnsiTheme="minorHAnsi"/>
          <w:szCs w:val="24"/>
          <w:lang w:val="fr-CH"/>
        </w:rPr>
        <w:t>_____________________</w:t>
      </w:r>
      <w:bookmarkEnd w:id="9"/>
      <w:bookmarkEnd w:id="10"/>
    </w:p>
    <w:sectPr w:rsidR="00FB3A4E" w:rsidRPr="00887511"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1A" w:rsidRDefault="00BA011A">
      <w:r>
        <w:separator/>
      </w:r>
    </w:p>
  </w:endnote>
  <w:endnote w:type="continuationSeparator" w:id="0">
    <w:p w:rsidR="00BA011A" w:rsidRDefault="00B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9022F">
    <w:pPr>
      <w:pStyle w:val="Footer"/>
    </w:pPr>
    <w:r>
      <w:fldChar w:fldCharType="begin"/>
    </w:r>
    <w:r>
      <w:instrText xml:space="preserve"> FILENAME \p \* MERGEFORMAT </w:instrText>
    </w:r>
    <w:r>
      <w:fldChar w:fldCharType="separate"/>
    </w:r>
    <w:r w:rsidR="00F65889">
      <w:t>P:\TRAD\F\LING\Bouchard\409470f_c17-20.docx</w:t>
    </w:r>
    <w:r>
      <w:fldChar w:fldCharType="end"/>
    </w:r>
    <w:r w:rsidR="00732045">
      <w:tab/>
    </w:r>
    <w:r w:rsidR="002F1B76">
      <w:fldChar w:fldCharType="begin"/>
    </w:r>
    <w:r w:rsidR="00732045">
      <w:instrText xml:space="preserve"> savedate \@ dd.MM.yy </w:instrText>
    </w:r>
    <w:r w:rsidR="002F1B76">
      <w:fldChar w:fldCharType="separate"/>
    </w:r>
    <w:r>
      <w:t>01.05.17</w:t>
    </w:r>
    <w:r w:rsidR="002F1B76">
      <w:fldChar w:fldCharType="end"/>
    </w:r>
    <w:r w:rsidR="00732045">
      <w:tab/>
    </w:r>
    <w:r w:rsidR="002F1B76">
      <w:fldChar w:fldCharType="begin"/>
    </w:r>
    <w:r w:rsidR="00732045">
      <w:instrText xml:space="preserve"> printdate \@ dd.MM.yy </w:instrText>
    </w:r>
    <w:r w:rsidR="002F1B76">
      <w:fldChar w:fldCharType="separate"/>
    </w:r>
    <w:r w:rsidR="00F65889">
      <w:t>23.03.17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59022F" w:rsidRDefault="006F0B9D" w:rsidP="00E242EA">
    <w:pPr>
      <w:pStyle w:val="Footer"/>
      <w:rPr>
        <w:color w:val="D9D9D9" w:themeColor="background1" w:themeShade="D9"/>
        <w:lang w:val="fr-CH"/>
      </w:rPr>
    </w:pPr>
    <w:r w:rsidRPr="0059022F">
      <w:rPr>
        <w:color w:val="D9D9D9" w:themeColor="background1" w:themeShade="D9"/>
      </w:rPr>
      <w:fldChar w:fldCharType="begin"/>
    </w:r>
    <w:r w:rsidRPr="0059022F">
      <w:rPr>
        <w:color w:val="D9D9D9" w:themeColor="background1" w:themeShade="D9"/>
        <w:lang w:val="fr-CH"/>
      </w:rPr>
      <w:instrText xml:space="preserve"> FILENAME \p  \* MERGEFORMAT </w:instrText>
    </w:r>
    <w:r w:rsidRPr="0059022F">
      <w:rPr>
        <w:color w:val="D9D9D9" w:themeColor="background1" w:themeShade="D9"/>
      </w:rPr>
      <w:fldChar w:fldCharType="separate"/>
    </w:r>
    <w:r w:rsidR="00E242EA" w:rsidRPr="0059022F">
      <w:rPr>
        <w:color w:val="D9D9D9" w:themeColor="background1" w:themeShade="D9"/>
        <w:lang w:val="fr-CH"/>
      </w:rPr>
      <w:t>P:\FRA\SG\CONSEIL\C17\000\027F.docx</w:t>
    </w:r>
    <w:r w:rsidRPr="0059022F">
      <w:rPr>
        <w:color w:val="D9D9D9" w:themeColor="background1" w:themeShade="D9"/>
      </w:rPr>
      <w:fldChar w:fldCharType="end"/>
    </w:r>
    <w:r w:rsidRPr="0059022F">
      <w:rPr>
        <w:color w:val="D9D9D9" w:themeColor="background1" w:themeShade="D9"/>
        <w:lang w:val="fr-CH"/>
      </w:rPr>
      <w:t xml:space="preserve"> (</w:t>
    </w:r>
    <w:r w:rsidR="00E242EA" w:rsidRPr="0059022F">
      <w:rPr>
        <w:color w:val="D9D9D9" w:themeColor="background1" w:themeShade="D9"/>
        <w:lang w:val="fr-CH"/>
      </w:rPr>
      <w:t>409477</w:t>
    </w:r>
    <w:r w:rsidRPr="0059022F">
      <w:rPr>
        <w:color w:val="D9D9D9" w:themeColor="background1" w:themeShade="D9"/>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1A" w:rsidRDefault="00BA011A">
      <w:r>
        <w:t>____________________</w:t>
      </w:r>
    </w:p>
  </w:footnote>
  <w:footnote w:type="continuationSeparator" w:id="0">
    <w:p w:rsidR="00BA011A" w:rsidRDefault="00BA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9022F">
      <w:rPr>
        <w:noProof/>
      </w:rPr>
      <w:t>2</w:t>
    </w:r>
    <w:r>
      <w:rPr>
        <w:noProof/>
      </w:rPr>
      <w:fldChar w:fldCharType="end"/>
    </w:r>
  </w:p>
  <w:p w:rsidR="00732045" w:rsidRDefault="00732045" w:rsidP="00E242EA">
    <w:pPr>
      <w:pStyle w:val="Header"/>
    </w:pPr>
    <w:r>
      <w:t>C1</w:t>
    </w:r>
    <w:r w:rsidR="00F45686">
      <w:t>7</w:t>
    </w:r>
    <w:r>
      <w:t>/</w:t>
    </w:r>
    <w:r w:rsidR="00E242EA">
      <w:t>27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607749"/>
    <w:multiLevelType w:val="hybridMultilevel"/>
    <w:tmpl w:val="E8742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0047"/>
    <w:multiLevelType w:val="hybridMultilevel"/>
    <w:tmpl w:val="BFCA28F6"/>
    <w:lvl w:ilvl="0" w:tplc="91889084">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37392"/>
    <w:multiLevelType w:val="hybridMultilevel"/>
    <w:tmpl w:val="F9BEB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87D96"/>
    <w:multiLevelType w:val="hybridMultilevel"/>
    <w:tmpl w:val="415A9EDE"/>
    <w:lvl w:ilvl="0" w:tplc="D612E6D6">
      <w:start w:val="201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37E0B"/>
    <w:multiLevelType w:val="hybridMultilevel"/>
    <w:tmpl w:val="7E620C0A"/>
    <w:lvl w:ilvl="0" w:tplc="D612E6D6">
      <w:start w:val="201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1A"/>
    <w:rsid w:val="0000454B"/>
    <w:rsid w:val="000228DE"/>
    <w:rsid w:val="00057C31"/>
    <w:rsid w:val="000A4CDB"/>
    <w:rsid w:val="000D0D0A"/>
    <w:rsid w:val="00103163"/>
    <w:rsid w:val="00115D93"/>
    <w:rsid w:val="001247A8"/>
    <w:rsid w:val="001378C0"/>
    <w:rsid w:val="00140ECE"/>
    <w:rsid w:val="00153667"/>
    <w:rsid w:val="00170C93"/>
    <w:rsid w:val="00182AF9"/>
    <w:rsid w:val="00192BE5"/>
    <w:rsid w:val="001A3287"/>
    <w:rsid w:val="001B36BD"/>
    <w:rsid w:val="001C7A75"/>
    <w:rsid w:val="001D4C31"/>
    <w:rsid w:val="001E4D21"/>
    <w:rsid w:val="00207CD1"/>
    <w:rsid w:val="00211330"/>
    <w:rsid w:val="00221A3B"/>
    <w:rsid w:val="002300CC"/>
    <w:rsid w:val="002477A2"/>
    <w:rsid w:val="002560B4"/>
    <w:rsid w:val="00263A51"/>
    <w:rsid w:val="00275DCF"/>
    <w:rsid w:val="00285676"/>
    <w:rsid w:val="00292891"/>
    <w:rsid w:val="002A5D44"/>
    <w:rsid w:val="002C22BB"/>
    <w:rsid w:val="002F1968"/>
    <w:rsid w:val="002F1B76"/>
    <w:rsid w:val="00300176"/>
    <w:rsid w:val="0031650C"/>
    <w:rsid w:val="003224FD"/>
    <w:rsid w:val="00355FF5"/>
    <w:rsid w:val="00361350"/>
    <w:rsid w:val="00384E15"/>
    <w:rsid w:val="004038CB"/>
    <w:rsid w:val="0040546F"/>
    <w:rsid w:val="0042404A"/>
    <w:rsid w:val="0044618F"/>
    <w:rsid w:val="0046769A"/>
    <w:rsid w:val="00471C49"/>
    <w:rsid w:val="00475FB3"/>
    <w:rsid w:val="00484DD7"/>
    <w:rsid w:val="0049038B"/>
    <w:rsid w:val="00490F55"/>
    <w:rsid w:val="00497C3C"/>
    <w:rsid w:val="004C37A9"/>
    <w:rsid w:val="004D3F4F"/>
    <w:rsid w:val="004F259E"/>
    <w:rsid w:val="004F6B12"/>
    <w:rsid w:val="00511F1D"/>
    <w:rsid w:val="00540615"/>
    <w:rsid w:val="00540A6D"/>
    <w:rsid w:val="005559B5"/>
    <w:rsid w:val="00571EEA"/>
    <w:rsid w:val="00575417"/>
    <w:rsid w:val="005768E1"/>
    <w:rsid w:val="0059022F"/>
    <w:rsid w:val="005C3890"/>
    <w:rsid w:val="005D64BF"/>
    <w:rsid w:val="005F7BFE"/>
    <w:rsid w:val="00600017"/>
    <w:rsid w:val="006643AB"/>
    <w:rsid w:val="006B493C"/>
    <w:rsid w:val="006C4AE4"/>
    <w:rsid w:val="006C604A"/>
    <w:rsid w:val="006F0B9D"/>
    <w:rsid w:val="00702064"/>
    <w:rsid w:val="007210CD"/>
    <w:rsid w:val="00727371"/>
    <w:rsid w:val="00732045"/>
    <w:rsid w:val="007369DB"/>
    <w:rsid w:val="00770BB9"/>
    <w:rsid w:val="007956C2"/>
    <w:rsid w:val="007A187E"/>
    <w:rsid w:val="007B18BB"/>
    <w:rsid w:val="007C72C2"/>
    <w:rsid w:val="007D4436"/>
    <w:rsid w:val="007E5ECF"/>
    <w:rsid w:val="007F257A"/>
    <w:rsid w:val="007F2DCB"/>
    <w:rsid w:val="007F3665"/>
    <w:rsid w:val="00800037"/>
    <w:rsid w:val="00814394"/>
    <w:rsid w:val="00833AFB"/>
    <w:rsid w:val="0084563E"/>
    <w:rsid w:val="00861D73"/>
    <w:rsid w:val="00886AB6"/>
    <w:rsid w:val="00887511"/>
    <w:rsid w:val="008941EC"/>
    <w:rsid w:val="008A4E87"/>
    <w:rsid w:val="008D76E6"/>
    <w:rsid w:val="008E3D37"/>
    <w:rsid w:val="0092392D"/>
    <w:rsid w:val="00943F1D"/>
    <w:rsid w:val="009709C3"/>
    <w:rsid w:val="009751E5"/>
    <w:rsid w:val="009C307F"/>
    <w:rsid w:val="009C6EAF"/>
    <w:rsid w:val="009D6B3B"/>
    <w:rsid w:val="009E2174"/>
    <w:rsid w:val="00A2113E"/>
    <w:rsid w:val="00A23A51"/>
    <w:rsid w:val="00A24607"/>
    <w:rsid w:val="00A25CD3"/>
    <w:rsid w:val="00A47349"/>
    <w:rsid w:val="00A82767"/>
    <w:rsid w:val="00AA332F"/>
    <w:rsid w:val="00AA7BBB"/>
    <w:rsid w:val="00AB64A8"/>
    <w:rsid w:val="00AC0266"/>
    <w:rsid w:val="00AC2154"/>
    <w:rsid w:val="00AD01F5"/>
    <w:rsid w:val="00AD24EC"/>
    <w:rsid w:val="00AE2D35"/>
    <w:rsid w:val="00AF0DDE"/>
    <w:rsid w:val="00AF30C9"/>
    <w:rsid w:val="00B11FB2"/>
    <w:rsid w:val="00B309F9"/>
    <w:rsid w:val="00B32B60"/>
    <w:rsid w:val="00B50EED"/>
    <w:rsid w:val="00B61619"/>
    <w:rsid w:val="00B97ADF"/>
    <w:rsid w:val="00BA011A"/>
    <w:rsid w:val="00BB4545"/>
    <w:rsid w:val="00BD5873"/>
    <w:rsid w:val="00BE4191"/>
    <w:rsid w:val="00C04BE3"/>
    <w:rsid w:val="00C25D29"/>
    <w:rsid w:val="00C27A7C"/>
    <w:rsid w:val="00C440B2"/>
    <w:rsid w:val="00CA08ED"/>
    <w:rsid w:val="00CA4BF0"/>
    <w:rsid w:val="00CF183B"/>
    <w:rsid w:val="00CF66A1"/>
    <w:rsid w:val="00D05BE6"/>
    <w:rsid w:val="00D375CD"/>
    <w:rsid w:val="00D62D7B"/>
    <w:rsid w:val="00D774D3"/>
    <w:rsid w:val="00D904E8"/>
    <w:rsid w:val="00DA08C3"/>
    <w:rsid w:val="00DB7AAB"/>
    <w:rsid w:val="00DC22AA"/>
    <w:rsid w:val="00DF71B0"/>
    <w:rsid w:val="00DF74DD"/>
    <w:rsid w:val="00E00513"/>
    <w:rsid w:val="00E242EA"/>
    <w:rsid w:val="00E25AD0"/>
    <w:rsid w:val="00E26F2C"/>
    <w:rsid w:val="00E4425B"/>
    <w:rsid w:val="00E51202"/>
    <w:rsid w:val="00E77E19"/>
    <w:rsid w:val="00EA659E"/>
    <w:rsid w:val="00EB487A"/>
    <w:rsid w:val="00EB6350"/>
    <w:rsid w:val="00ED1372"/>
    <w:rsid w:val="00EF19AC"/>
    <w:rsid w:val="00F15B57"/>
    <w:rsid w:val="00F427DB"/>
    <w:rsid w:val="00F45686"/>
    <w:rsid w:val="00F65889"/>
    <w:rsid w:val="00FA5EB1"/>
    <w:rsid w:val="00FA7439"/>
    <w:rsid w:val="00FB1B55"/>
    <w:rsid w:val="00FB3A4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BCFE5E1-F5D8-4B1A-BD9A-3043020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1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4F6B12"/>
    <w:pPr>
      <w:keepNext/>
      <w:keepLines/>
      <w:spacing w:before="480"/>
      <w:ind w:left="567" w:hanging="567"/>
      <w:outlineLvl w:val="0"/>
    </w:pPr>
    <w:rPr>
      <w:b/>
      <w:sz w:val="28"/>
    </w:rPr>
  </w:style>
  <w:style w:type="paragraph" w:styleId="Heading2">
    <w:name w:val="heading 2"/>
    <w:basedOn w:val="Heading1"/>
    <w:next w:val="Normal"/>
    <w:qFormat/>
    <w:rsid w:val="004F6B12"/>
    <w:pPr>
      <w:spacing w:before="320"/>
      <w:outlineLvl w:val="1"/>
    </w:pPr>
    <w:rPr>
      <w:sz w:val="24"/>
    </w:rPr>
  </w:style>
  <w:style w:type="paragraph" w:styleId="Heading3">
    <w:name w:val="heading 3"/>
    <w:basedOn w:val="Heading1"/>
    <w:next w:val="Normal"/>
    <w:qFormat/>
    <w:rsid w:val="004F6B12"/>
    <w:pPr>
      <w:spacing w:before="200"/>
      <w:outlineLvl w:val="2"/>
    </w:pPr>
    <w:rPr>
      <w:sz w:val="24"/>
    </w:rPr>
  </w:style>
  <w:style w:type="paragraph" w:styleId="Heading4">
    <w:name w:val="heading 4"/>
    <w:basedOn w:val="Heading3"/>
    <w:next w:val="Normal"/>
    <w:qFormat/>
    <w:rsid w:val="004F6B12"/>
    <w:pPr>
      <w:ind w:left="1134" w:hanging="1134"/>
      <w:outlineLvl w:val="3"/>
    </w:pPr>
  </w:style>
  <w:style w:type="paragraph" w:styleId="Heading5">
    <w:name w:val="heading 5"/>
    <w:basedOn w:val="Heading4"/>
    <w:next w:val="Normal"/>
    <w:qFormat/>
    <w:rsid w:val="004F6B12"/>
    <w:pPr>
      <w:outlineLvl w:val="4"/>
    </w:pPr>
  </w:style>
  <w:style w:type="paragraph" w:styleId="Heading6">
    <w:name w:val="heading 6"/>
    <w:basedOn w:val="Heading4"/>
    <w:next w:val="Normal"/>
    <w:qFormat/>
    <w:rsid w:val="004F6B12"/>
    <w:pPr>
      <w:outlineLvl w:val="5"/>
    </w:pPr>
  </w:style>
  <w:style w:type="paragraph" w:styleId="Heading7">
    <w:name w:val="heading 7"/>
    <w:basedOn w:val="Heading4"/>
    <w:next w:val="Normal"/>
    <w:qFormat/>
    <w:rsid w:val="004F6B12"/>
    <w:pPr>
      <w:ind w:left="1701" w:hanging="1701"/>
      <w:outlineLvl w:val="6"/>
    </w:pPr>
  </w:style>
  <w:style w:type="paragraph" w:styleId="Heading8">
    <w:name w:val="heading 8"/>
    <w:basedOn w:val="Heading4"/>
    <w:next w:val="Normal"/>
    <w:qFormat/>
    <w:rsid w:val="004F6B12"/>
    <w:pPr>
      <w:ind w:left="1701" w:hanging="1701"/>
      <w:outlineLvl w:val="7"/>
    </w:pPr>
  </w:style>
  <w:style w:type="paragraph" w:styleId="Heading9">
    <w:name w:val="heading 9"/>
    <w:basedOn w:val="Heading4"/>
    <w:next w:val="Normal"/>
    <w:qFormat/>
    <w:rsid w:val="004F6B12"/>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4F6B12"/>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4F6B1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F6B12"/>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4F6B12"/>
    <w:pPr>
      <w:ind w:left="1698"/>
    </w:pPr>
  </w:style>
  <w:style w:type="paragraph" w:styleId="Index6">
    <w:name w:val="index 6"/>
    <w:basedOn w:val="Normal"/>
    <w:next w:val="Normal"/>
    <w:rsid w:val="004F6B12"/>
    <w:pPr>
      <w:ind w:left="1415"/>
    </w:pPr>
  </w:style>
  <w:style w:type="paragraph" w:styleId="Index5">
    <w:name w:val="index 5"/>
    <w:basedOn w:val="Normal"/>
    <w:next w:val="Normal"/>
    <w:rsid w:val="004F6B12"/>
    <w:pPr>
      <w:ind w:left="1132"/>
    </w:pPr>
  </w:style>
  <w:style w:type="paragraph" w:styleId="Index4">
    <w:name w:val="index 4"/>
    <w:basedOn w:val="Normal"/>
    <w:next w:val="Normal"/>
    <w:rsid w:val="004F6B12"/>
    <w:pPr>
      <w:ind w:left="849"/>
    </w:pPr>
  </w:style>
  <w:style w:type="paragraph" w:styleId="Index3">
    <w:name w:val="index 3"/>
    <w:basedOn w:val="Normal"/>
    <w:next w:val="Normal"/>
    <w:rsid w:val="004F6B12"/>
    <w:pPr>
      <w:ind w:left="566"/>
    </w:pPr>
  </w:style>
  <w:style w:type="paragraph" w:styleId="Index2">
    <w:name w:val="index 2"/>
    <w:basedOn w:val="Normal"/>
    <w:next w:val="Normal"/>
    <w:rsid w:val="004F6B12"/>
    <w:pPr>
      <w:ind w:left="283"/>
    </w:pPr>
  </w:style>
  <w:style w:type="paragraph" w:styleId="Index1">
    <w:name w:val="index 1"/>
    <w:basedOn w:val="Normal"/>
    <w:next w:val="Normal"/>
    <w:rsid w:val="004F6B12"/>
  </w:style>
  <w:style w:type="character" w:styleId="LineNumber">
    <w:name w:val="line number"/>
    <w:basedOn w:val="DefaultParagraphFont"/>
    <w:rsid w:val="004F6B12"/>
  </w:style>
  <w:style w:type="paragraph" w:styleId="IndexHeading">
    <w:name w:val="index heading"/>
    <w:basedOn w:val="Normal"/>
    <w:next w:val="Index1"/>
    <w:rsid w:val="004F6B12"/>
  </w:style>
  <w:style w:type="paragraph" w:styleId="Footer">
    <w:name w:val="footer"/>
    <w:basedOn w:val="Normal"/>
    <w:rsid w:val="004F6B12"/>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4F6B12"/>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4F6B12"/>
    <w:rPr>
      <w:rFonts w:ascii="Calibri" w:hAnsi="Calibri"/>
      <w:position w:val="6"/>
      <w:sz w:val="16"/>
    </w:rPr>
  </w:style>
  <w:style w:type="paragraph" w:styleId="FootnoteText">
    <w:name w:val="footnote text"/>
    <w:basedOn w:val="Normal"/>
    <w:link w:val="FootnoteTextChar"/>
    <w:uiPriority w:val="99"/>
    <w:rsid w:val="004F6B12"/>
    <w:pPr>
      <w:keepLines/>
      <w:tabs>
        <w:tab w:val="left" w:pos="256"/>
      </w:tabs>
      <w:ind w:left="256" w:hanging="256"/>
    </w:pPr>
  </w:style>
  <w:style w:type="paragraph" w:styleId="NormalIndent">
    <w:name w:val="Normal Indent"/>
    <w:basedOn w:val="Normal"/>
    <w:rsid w:val="004F6B12"/>
    <w:pPr>
      <w:ind w:left="567"/>
    </w:pPr>
  </w:style>
  <w:style w:type="paragraph" w:customStyle="1" w:styleId="enumlev1">
    <w:name w:val="enumlev1"/>
    <w:basedOn w:val="Normal"/>
    <w:rsid w:val="004F6B12"/>
    <w:pPr>
      <w:spacing w:before="86"/>
      <w:ind w:left="567" w:hanging="567"/>
    </w:pPr>
  </w:style>
  <w:style w:type="paragraph" w:customStyle="1" w:styleId="enumlev2">
    <w:name w:val="enumlev2"/>
    <w:basedOn w:val="enumlev1"/>
    <w:rsid w:val="004F6B12"/>
    <w:pPr>
      <w:ind w:left="1134"/>
    </w:pPr>
  </w:style>
  <w:style w:type="paragraph" w:customStyle="1" w:styleId="enumlev3">
    <w:name w:val="enumlev3"/>
    <w:basedOn w:val="enumlev2"/>
    <w:rsid w:val="004F6B12"/>
    <w:pPr>
      <w:ind w:left="1701"/>
    </w:pPr>
  </w:style>
  <w:style w:type="paragraph" w:customStyle="1" w:styleId="Equation">
    <w:name w:val="Equation"/>
    <w:basedOn w:val="Normal"/>
    <w:rsid w:val="004F6B12"/>
    <w:pPr>
      <w:tabs>
        <w:tab w:val="center" w:pos="4820"/>
        <w:tab w:val="right" w:pos="9639"/>
      </w:tabs>
    </w:pPr>
  </w:style>
  <w:style w:type="paragraph" w:customStyle="1" w:styleId="Head">
    <w:name w:val="Head"/>
    <w:basedOn w:val="Normal"/>
    <w:rsid w:val="004F6B12"/>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4F6B12"/>
    <w:pPr>
      <w:spacing w:before="240"/>
    </w:pPr>
  </w:style>
  <w:style w:type="paragraph" w:customStyle="1" w:styleId="Call">
    <w:name w:val="Call"/>
    <w:basedOn w:val="Normal"/>
    <w:next w:val="Normal"/>
    <w:rsid w:val="004F6B12"/>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4F6B12"/>
    <w:pPr>
      <w:tabs>
        <w:tab w:val="clear" w:pos="567"/>
        <w:tab w:val="clear" w:pos="1134"/>
        <w:tab w:val="clear" w:pos="1701"/>
        <w:tab w:val="clear" w:pos="2268"/>
        <w:tab w:val="clear" w:pos="2835"/>
        <w:tab w:val="right" w:pos="9781"/>
      </w:tabs>
    </w:pPr>
    <w:rPr>
      <w:b/>
    </w:rPr>
  </w:style>
  <w:style w:type="paragraph" w:styleId="List">
    <w:name w:val="List"/>
    <w:basedOn w:val="Normal"/>
    <w:rsid w:val="004F6B12"/>
    <w:pPr>
      <w:tabs>
        <w:tab w:val="left" w:pos="2127"/>
      </w:tabs>
      <w:ind w:left="2127" w:hanging="2127"/>
    </w:pPr>
  </w:style>
  <w:style w:type="paragraph" w:customStyle="1" w:styleId="docnoted">
    <w:name w:val="docnoted"/>
    <w:basedOn w:val="Normal"/>
    <w:rsid w:val="00EA659E"/>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next w:val="Normal"/>
    <w:rsid w:val="004F6B12"/>
    <w:pPr>
      <w:tabs>
        <w:tab w:val="clear" w:pos="567"/>
        <w:tab w:val="clear" w:pos="1134"/>
        <w:tab w:val="clear" w:pos="1701"/>
        <w:tab w:val="clear" w:pos="2268"/>
        <w:tab w:val="clear" w:pos="2835"/>
      </w:tabs>
      <w:spacing w:before="600"/>
      <w:jc w:val="center"/>
    </w:pPr>
    <w:rPr>
      <w:caps/>
      <w:sz w:val="28"/>
    </w:rPr>
  </w:style>
  <w:style w:type="paragraph" w:customStyle="1" w:styleId="Reasons">
    <w:name w:val="Reasons"/>
    <w:basedOn w:val="Normal"/>
    <w:rsid w:val="004F6B12"/>
  </w:style>
  <w:style w:type="paragraph" w:customStyle="1" w:styleId="meeting">
    <w:name w:val="meeting"/>
    <w:basedOn w:val="Head"/>
    <w:next w:val="Head"/>
    <w:rsid w:val="004F6B12"/>
    <w:pPr>
      <w:tabs>
        <w:tab w:val="left" w:pos="7371"/>
      </w:tabs>
      <w:spacing w:after="567"/>
    </w:pPr>
  </w:style>
  <w:style w:type="paragraph" w:customStyle="1" w:styleId="Subject">
    <w:name w:val="Subject"/>
    <w:basedOn w:val="Normal"/>
    <w:next w:val="Source"/>
    <w:rsid w:val="004F6B12"/>
    <w:pPr>
      <w:spacing w:before="0"/>
      <w:ind w:left="1134" w:hanging="1134"/>
    </w:pPr>
  </w:style>
  <w:style w:type="paragraph" w:customStyle="1" w:styleId="Source">
    <w:name w:val="Source"/>
    <w:basedOn w:val="Normal"/>
    <w:next w:val="Title1"/>
    <w:autoRedefine/>
    <w:rsid w:val="004F6B12"/>
    <w:pPr>
      <w:spacing w:before="840"/>
      <w:jc w:val="center"/>
    </w:pPr>
    <w:rPr>
      <w:b/>
      <w:sz w:val="28"/>
    </w:rPr>
  </w:style>
  <w:style w:type="paragraph" w:customStyle="1" w:styleId="Object">
    <w:name w:val="Object"/>
    <w:basedOn w:val="Subject"/>
    <w:next w:val="Subject"/>
    <w:rsid w:val="004F6B12"/>
  </w:style>
  <w:style w:type="paragraph" w:customStyle="1" w:styleId="Data">
    <w:name w:val="Data"/>
    <w:basedOn w:val="Subject"/>
    <w:next w:val="Subject"/>
    <w:rsid w:val="004F6B12"/>
  </w:style>
  <w:style w:type="paragraph" w:customStyle="1" w:styleId="Headingb">
    <w:name w:val="Heading_b"/>
    <w:basedOn w:val="Heading3"/>
    <w:next w:val="Normal"/>
    <w:rsid w:val="004F6B12"/>
    <w:pPr>
      <w:spacing w:before="160"/>
      <w:outlineLvl w:val="0"/>
    </w:pPr>
  </w:style>
  <w:style w:type="paragraph" w:customStyle="1" w:styleId="Title1">
    <w:name w:val="Title 1"/>
    <w:basedOn w:val="Source"/>
    <w:next w:val="Title2"/>
    <w:rsid w:val="004F6B12"/>
    <w:pPr>
      <w:spacing w:before="240"/>
    </w:pPr>
    <w:rPr>
      <w:b w:val="0"/>
      <w:caps/>
    </w:rPr>
  </w:style>
  <w:style w:type="paragraph" w:customStyle="1" w:styleId="dnum">
    <w:name w:val="dnum"/>
    <w:basedOn w:val="Normal"/>
    <w:rsid w:val="004F6B12"/>
    <w:pPr>
      <w:framePr w:hSpace="181" w:wrap="around" w:vAnchor="page" w:hAnchor="margin" w:y="852"/>
      <w:shd w:val="solid" w:color="FFFFFF" w:fill="FFFFFF"/>
      <w:tabs>
        <w:tab w:val="left" w:pos="1871"/>
      </w:tabs>
    </w:pPr>
    <w:rPr>
      <w:b/>
      <w:bCs/>
    </w:rPr>
  </w:style>
  <w:style w:type="paragraph" w:customStyle="1" w:styleId="FirstFooter">
    <w:name w:val="FirstFooter"/>
    <w:basedOn w:val="Footer"/>
    <w:rsid w:val="004F6B12"/>
    <w:rPr>
      <w:caps w:val="0"/>
    </w:rPr>
  </w:style>
  <w:style w:type="paragraph" w:customStyle="1" w:styleId="Note">
    <w:name w:val="Note"/>
    <w:basedOn w:val="Normal"/>
    <w:rsid w:val="004F6B12"/>
    <w:pPr>
      <w:tabs>
        <w:tab w:val="clear" w:pos="567"/>
        <w:tab w:val="left" w:pos="851"/>
      </w:tabs>
    </w:pPr>
  </w:style>
  <w:style w:type="paragraph" w:styleId="TOC9">
    <w:name w:val="toc 9"/>
    <w:basedOn w:val="TOC4"/>
    <w:rsid w:val="004F6B12"/>
  </w:style>
  <w:style w:type="paragraph" w:customStyle="1" w:styleId="ddate">
    <w:name w:val="ddate"/>
    <w:basedOn w:val="Normal"/>
    <w:rsid w:val="004F6B12"/>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F6B12"/>
    <w:pPr>
      <w:framePr w:hSpace="181" w:wrap="around" w:vAnchor="page" w:hAnchor="margin" w:y="852"/>
      <w:shd w:val="solid" w:color="FFFFFF" w:fill="FFFFFF"/>
      <w:tabs>
        <w:tab w:val="left" w:pos="1871"/>
      </w:tabs>
      <w:spacing w:before="0"/>
    </w:pPr>
    <w:rPr>
      <w:b/>
      <w:bCs/>
    </w:rPr>
  </w:style>
  <w:style w:type="character" w:styleId="Hyperlink">
    <w:name w:val="Hyperlink"/>
    <w:aliases w:val="超级链接,CEO_Hyperlink"/>
    <w:basedOn w:val="DefaultParagraphFont"/>
    <w:rsid w:val="004F6B12"/>
    <w:rPr>
      <w:color w:val="0000FF"/>
      <w:u w:val="single"/>
    </w:rPr>
  </w:style>
  <w:style w:type="character" w:styleId="FollowedHyperlink">
    <w:name w:val="FollowedHyperlink"/>
    <w:basedOn w:val="DefaultParagraphFont"/>
    <w:rsid w:val="004F6B12"/>
    <w:rPr>
      <w:color w:val="800080"/>
      <w:u w:val="single"/>
    </w:rPr>
  </w:style>
  <w:style w:type="paragraph" w:customStyle="1" w:styleId="AnnexNo">
    <w:name w:val="Annex_No"/>
    <w:basedOn w:val="Normal"/>
    <w:next w:val="Annexref"/>
    <w:rsid w:val="004F6B12"/>
    <w:pPr>
      <w:spacing w:before="720"/>
      <w:jc w:val="center"/>
    </w:pPr>
    <w:rPr>
      <w:caps/>
      <w:sz w:val="28"/>
    </w:rPr>
  </w:style>
  <w:style w:type="paragraph" w:customStyle="1" w:styleId="Annexref">
    <w:name w:val="Annex_ref"/>
    <w:basedOn w:val="Normal"/>
    <w:next w:val="Annextitle"/>
    <w:rsid w:val="004F6B12"/>
    <w:pPr>
      <w:jc w:val="center"/>
    </w:pPr>
  </w:style>
  <w:style w:type="paragraph" w:customStyle="1" w:styleId="Annextitle">
    <w:name w:val="Annex_title"/>
    <w:basedOn w:val="Normal"/>
    <w:next w:val="Normal"/>
    <w:rsid w:val="004F6B12"/>
    <w:pPr>
      <w:spacing w:before="240" w:after="240"/>
      <w:jc w:val="center"/>
    </w:pPr>
    <w:rPr>
      <w:b/>
      <w:sz w:val="28"/>
    </w:rPr>
  </w:style>
  <w:style w:type="paragraph" w:customStyle="1" w:styleId="AppendixNo">
    <w:name w:val="Appendix_No"/>
    <w:basedOn w:val="AnnexNo"/>
    <w:next w:val="Appendixref"/>
    <w:rsid w:val="004F6B12"/>
  </w:style>
  <w:style w:type="paragraph" w:customStyle="1" w:styleId="Appendixref">
    <w:name w:val="Appendix_ref"/>
    <w:basedOn w:val="Annexref"/>
    <w:next w:val="Appendixtitle"/>
    <w:rsid w:val="004F6B12"/>
  </w:style>
  <w:style w:type="paragraph" w:customStyle="1" w:styleId="Appendixtitle">
    <w:name w:val="Appendix_title"/>
    <w:basedOn w:val="Annextitle"/>
    <w:next w:val="Normal"/>
    <w:rsid w:val="004F6B12"/>
  </w:style>
  <w:style w:type="paragraph" w:customStyle="1" w:styleId="Artheading">
    <w:name w:val="Art_heading"/>
    <w:basedOn w:val="Normal"/>
    <w:next w:val="Normalaftertitle"/>
    <w:rsid w:val="004F6B12"/>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4F6B12"/>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4F6B12"/>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4F6B12"/>
  </w:style>
  <w:style w:type="paragraph" w:customStyle="1" w:styleId="Chaptitle">
    <w:name w:val="Chap_title"/>
    <w:basedOn w:val="Arttitle"/>
    <w:next w:val="Normal"/>
    <w:rsid w:val="004F6B12"/>
  </w:style>
  <w:style w:type="character" w:styleId="EndnoteReference">
    <w:name w:val="endnote reference"/>
    <w:basedOn w:val="DefaultParagraphFont"/>
    <w:rsid w:val="00EA659E"/>
    <w:rPr>
      <w:vertAlign w:val="superscript"/>
    </w:rPr>
  </w:style>
  <w:style w:type="paragraph" w:customStyle="1" w:styleId="Equationlegend">
    <w:name w:val="Equation_legend"/>
    <w:basedOn w:val="Normal"/>
    <w:rsid w:val="004F6B12"/>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F6B12"/>
    <w:pPr>
      <w:keepNext/>
      <w:keepLines/>
      <w:spacing w:after="120"/>
      <w:jc w:val="center"/>
    </w:pPr>
  </w:style>
  <w:style w:type="paragraph" w:customStyle="1" w:styleId="Figurelegend">
    <w:name w:val="Figure_legend"/>
    <w:basedOn w:val="Normal"/>
    <w:rsid w:val="004F6B12"/>
    <w:pPr>
      <w:keepNext/>
      <w:keepLines/>
      <w:spacing w:before="20" w:after="20"/>
    </w:pPr>
    <w:rPr>
      <w:sz w:val="18"/>
    </w:rPr>
  </w:style>
  <w:style w:type="paragraph" w:customStyle="1" w:styleId="TableNo">
    <w:name w:val="Table_No"/>
    <w:basedOn w:val="Normal"/>
    <w:next w:val="Tabletitle"/>
    <w:rsid w:val="004F6B12"/>
    <w:pPr>
      <w:keepNext/>
      <w:spacing w:before="560" w:after="120"/>
      <w:jc w:val="center"/>
    </w:pPr>
    <w:rPr>
      <w:caps/>
    </w:rPr>
  </w:style>
  <w:style w:type="paragraph" w:customStyle="1" w:styleId="Tabletitle">
    <w:name w:val="Table_title"/>
    <w:basedOn w:val="TableNo"/>
    <w:next w:val="Tabletext"/>
    <w:rsid w:val="004F6B1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4F6B12"/>
    <w:pPr>
      <w:spacing w:before="240" w:after="480"/>
    </w:pPr>
  </w:style>
  <w:style w:type="paragraph" w:customStyle="1" w:styleId="Figurewithouttitle">
    <w:name w:val="Figure_without_title"/>
    <w:basedOn w:val="Figure"/>
    <w:next w:val="Normalaftertitle"/>
    <w:rsid w:val="004F6B12"/>
    <w:pPr>
      <w:keepNext w:val="0"/>
      <w:spacing w:after="240"/>
    </w:pPr>
  </w:style>
  <w:style w:type="paragraph" w:customStyle="1" w:styleId="Headingi">
    <w:name w:val="Heading_i"/>
    <w:basedOn w:val="Heading3"/>
    <w:next w:val="Normal"/>
    <w:rsid w:val="004F6B12"/>
    <w:pPr>
      <w:spacing w:before="160"/>
      <w:outlineLvl w:val="0"/>
    </w:pPr>
    <w:rPr>
      <w:rFonts w:asciiTheme="minorHAnsi" w:hAnsiTheme="minorHAnsi"/>
      <w:b w:val="0"/>
      <w:i/>
    </w:rPr>
  </w:style>
  <w:style w:type="character" w:styleId="PageNumber">
    <w:name w:val="page number"/>
    <w:basedOn w:val="DefaultParagraphFont"/>
    <w:rsid w:val="004F6B12"/>
    <w:rPr>
      <w:rFonts w:ascii="Calibri" w:hAnsi="Calibri"/>
    </w:rPr>
  </w:style>
  <w:style w:type="paragraph" w:customStyle="1" w:styleId="PartNo">
    <w:name w:val="Part_No"/>
    <w:basedOn w:val="AnnexNo"/>
    <w:next w:val="Parttitle"/>
    <w:rsid w:val="004F6B12"/>
  </w:style>
  <w:style w:type="paragraph" w:customStyle="1" w:styleId="Partref">
    <w:name w:val="Part_ref"/>
    <w:basedOn w:val="Annexref"/>
    <w:next w:val="Normalaftertitle"/>
    <w:rsid w:val="004F6B12"/>
  </w:style>
  <w:style w:type="paragraph" w:customStyle="1" w:styleId="Parttitle">
    <w:name w:val="Part_title"/>
    <w:basedOn w:val="Annextitle"/>
    <w:next w:val="Partref"/>
    <w:rsid w:val="004F6B12"/>
  </w:style>
  <w:style w:type="paragraph" w:customStyle="1" w:styleId="RecNo">
    <w:name w:val="Rec_No"/>
    <w:basedOn w:val="Normal"/>
    <w:next w:val="Rectitle"/>
    <w:rsid w:val="004F6B12"/>
    <w:pPr>
      <w:spacing w:before="720"/>
      <w:jc w:val="center"/>
    </w:pPr>
    <w:rPr>
      <w:caps/>
      <w:sz w:val="28"/>
    </w:rPr>
  </w:style>
  <w:style w:type="paragraph" w:customStyle="1" w:styleId="Rectitle">
    <w:name w:val="Rec_title"/>
    <w:basedOn w:val="Normal"/>
    <w:next w:val="Heading1"/>
    <w:rsid w:val="004F6B12"/>
    <w:pPr>
      <w:spacing w:before="240"/>
      <w:jc w:val="center"/>
    </w:pPr>
    <w:rPr>
      <w:b/>
      <w:sz w:val="28"/>
    </w:rPr>
  </w:style>
  <w:style w:type="paragraph" w:customStyle="1" w:styleId="Recref">
    <w:name w:val="Rec_ref"/>
    <w:basedOn w:val="Rectitle"/>
    <w:next w:val="Recdate"/>
    <w:rsid w:val="004F6B12"/>
    <w:pPr>
      <w:spacing w:before="120"/>
    </w:pPr>
    <w:rPr>
      <w:rFonts w:ascii="Times New Roman" w:hAnsi="Times New Roman"/>
      <w:b w:val="0"/>
      <w:sz w:val="24"/>
    </w:rPr>
  </w:style>
  <w:style w:type="paragraph" w:customStyle="1" w:styleId="Recdate">
    <w:name w:val="Rec_date"/>
    <w:basedOn w:val="Recref"/>
    <w:next w:val="Normalaftertitle"/>
    <w:rsid w:val="004F6B12"/>
    <w:pPr>
      <w:jc w:val="right"/>
    </w:pPr>
    <w:rPr>
      <w:sz w:val="22"/>
    </w:rPr>
  </w:style>
  <w:style w:type="paragraph" w:customStyle="1" w:styleId="Questiondate">
    <w:name w:val="Question_date"/>
    <w:basedOn w:val="Recdate"/>
    <w:next w:val="Normalaftertitle"/>
    <w:rsid w:val="004F6B12"/>
  </w:style>
  <w:style w:type="paragraph" w:customStyle="1" w:styleId="QuestionNo">
    <w:name w:val="Question_No"/>
    <w:basedOn w:val="RecNo"/>
    <w:next w:val="Questiontitle"/>
    <w:rsid w:val="004F6B12"/>
  </w:style>
  <w:style w:type="paragraph" w:customStyle="1" w:styleId="Questionref">
    <w:name w:val="Question_ref"/>
    <w:basedOn w:val="Recref"/>
    <w:next w:val="Questiondate"/>
    <w:rsid w:val="004F6B12"/>
  </w:style>
  <w:style w:type="paragraph" w:customStyle="1" w:styleId="Questiontitle">
    <w:name w:val="Question_title"/>
    <w:basedOn w:val="Rectitle"/>
    <w:next w:val="Questionref"/>
    <w:rsid w:val="004F6B12"/>
  </w:style>
  <w:style w:type="paragraph" w:customStyle="1" w:styleId="Reftext">
    <w:name w:val="Ref_text"/>
    <w:basedOn w:val="Normal"/>
    <w:rsid w:val="004F6B12"/>
    <w:pPr>
      <w:ind w:left="567" w:hanging="567"/>
    </w:pPr>
  </w:style>
  <w:style w:type="paragraph" w:customStyle="1" w:styleId="Reftitle">
    <w:name w:val="Ref_title"/>
    <w:basedOn w:val="Normal"/>
    <w:next w:val="Reftext"/>
    <w:rsid w:val="004F6B12"/>
    <w:pPr>
      <w:spacing w:before="480"/>
      <w:jc w:val="center"/>
    </w:pPr>
    <w:rPr>
      <w:caps/>
      <w:sz w:val="28"/>
    </w:rPr>
  </w:style>
  <w:style w:type="paragraph" w:customStyle="1" w:styleId="Repdate">
    <w:name w:val="Rep_date"/>
    <w:basedOn w:val="Recdate"/>
    <w:next w:val="Normalaftertitle"/>
    <w:rsid w:val="004F6B12"/>
  </w:style>
  <w:style w:type="paragraph" w:customStyle="1" w:styleId="RepNo">
    <w:name w:val="Rep_No"/>
    <w:basedOn w:val="RecNo"/>
    <w:next w:val="Reptitle"/>
    <w:rsid w:val="004F6B12"/>
  </w:style>
  <w:style w:type="paragraph" w:customStyle="1" w:styleId="Repref">
    <w:name w:val="Rep_ref"/>
    <w:basedOn w:val="Recref"/>
    <w:next w:val="Repdate"/>
    <w:rsid w:val="004F6B12"/>
  </w:style>
  <w:style w:type="paragraph" w:customStyle="1" w:styleId="Reptitle">
    <w:name w:val="Rep_title"/>
    <w:basedOn w:val="Rectitle"/>
    <w:next w:val="Repref"/>
    <w:rsid w:val="004F6B12"/>
  </w:style>
  <w:style w:type="paragraph" w:customStyle="1" w:styleId="Resdate">
    <w:name w:val="Res_date"/>
    <w:basedOn w:val="Recdate"/>
    <w:next w:val="Normalaftertitle"/>
    <w:rsid w:val="004F6B12"/>
  </w:style>
  <w:style w:type="paragraph" w:customStyle="1" w:styleId="ResNo">
    <w:name w:val="Res_No"/>
    <w:basedOn w:val="AnnexNo"/>
    <w:next w:val="Restitle"/>
    <w:rsid w:val="004F6B12"/>
  </w:style>
  <w:style w:type="paragraph" w:customStyle="1" w:styleId="Resref">
    <w:name w:val="Res_ref"/>
    <w:basedOn w:val="Recref"/>
    <w:next w:val="Resdate"/>
    <w:rsid w:val="004F6B12"/>
  </w:style>
  <w:style w:type="paragraph" w:customStyle="1" w:styleId="Restitle">
    <w:name w:val="Res_title"/>
    <w:basedOn w:val="Annextitle"/>
    <w:next w:val="Normal"/>
    <w:rsid w:val="004F6B12"/>
  </w:style>
  <w:style w:type="paragraph" w:customStyle="1" w:styleId="SectionNo">
    <w:name w:val="Section_No"/>
    <w:basedOn w:val="AnnexNo"/>
    <w:next w:val="Sectiontitle"/>
    <w:rsid w:val="004F6B12"/>
  </w:style>
  <w:style w:type="paragraph" w:customStyle="1" w:styleId="Sectiontitle">
    <w:name w:val="Section_title"/>
    <w:basedOn w:val="Normal"/>
    <w:next w:val="Normalaftertitle"/>
    <w:rsid w:val="004F6B12"/>
    <w:rPr>
      <w:sz w:val="28"/>
    </w:rPr>
  </w:style>
  <w:style w:type="paragraph" w:customStyle="1" w:styleId="SpecialFooter">
    <w:name w:val="Special Footer"/>
    <w:basedOn w:val="Footer"/>
    <w:rsid w:val="004F6B12"/>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4F6B12"/>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4F6B12"/>
    <w:pPr>
      <w:spacing w:before="120" w:after="120"/>
      <w:jc w:val="center"/>
    </w:pPr>
    <w:rPr>
      <w:b/>
    </w:rPr>
  </w:style>
  <w:style w:type="paragraph" w:customStyle="1" w:styleId="Tablelegend">
    <w:name w:val="Table_legend"/>
    <w:basedOn w:val="Tabletext"/>
    <w:rsid w:val="004F6B12"/>
    <w:pPr>
      <w:spacing w:before="120"/>
    </w:pPr>
  </w:style>
  <w:style w:type="paragraph" w:customStyle="1" w:styleId="Tableref">
    <w:name w:val="Table_ref"/>
    <w:basedOn w:val="Normal"/>
    <w:next w:val="Tabletitle"/>
    <w:rsid w:val="004F6B12"/>
    <w:pPr>
      <w:keepNext/>
      <w:spacing w:before="567"/>
      <w:jc w:val="center"/>
    </w:pPr>
  </w:style>
  <w:style w:type="paragraph" w:customStyle="1" w:styleId="Title2">
    <w:name w:val="Title 2"/>
    <w:basedOn w:val="Source"/>
    <w:next w:val="Title3"/>
    <w:rsid w:val="004F6B12"/>
    <w:pPr>
      <w:spacing w:before="240"/>
    </w:pPr>
    <w:rPr>
      <w:b w:val="0"/>
      <w:caps/>
    </w:rPr>
  </w:style>
  <w:style w:type="paragraph" w:customStyle="1" w:styleId="Title3">
    <w:name w:val="Title 3"/>
    <w:basedOn w:val="Title2"/>
    <w:next w:val="Normalaftertitle"/>
    <w:rsid w:val="004F6B12"/>
    <w:rPr>
      <w:caps w:val="0"/>
    </w:rPr>
  </w:style>
  <w:style w:type="paragraph" w:customStyle="1" w:styleId="Title4">
    <w:name w:val="Title 4"/>
    <w:basedOn w:val="Title3"/>
    <w:next w:val="Heading1"/>
    <w:rsid w:val="004F6B12"/>
    <w:rPr>
      <w:b/>
    </w:rPr>
  </w:style>
  <w:style w:type="paragraph" w:customStyle="1" w:styleId="FigureNo">
    <w:name w:val="Figure_No"/>
    <w:basedOn w:val="Normal"/>
    <w:next w:val="Figuretitle"/>
    <w:rsid w:val="004F6B12"/>
    <w:pPr>
      <w:keepNext/>
      <w:keepLines/>
      <w:spacing w:before="240" w:after="120"/>
      <w:jc w:val="center"/>
    </w:pPr>
    <w:rPr>
      <w:caps/>
    </w:rPr>
  </w:style>
  <w:style w:type="paragraph" w:customStyle="1" w:styleId="firstfooter0">
    <w:name w:val="firstfooter"/>
    <w:basedOn w:val="Normal"/>
    <w:rsid w:val="00EA659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EA659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0228DE"/>
    <w:pPr>
      <w:ind w:left="720"/>
      <w:contextualSpacing/>
    </w:pPr>
  </w:style>
  <w:style w:type="character" w:customStyle="1" w:styleId="Heading1Char">
    <w:name w:val="Heading 1 Char"/>
    <w:basedOn w:val="DefaultParagraphFont"/>
    <w:link w:val="Heading1"/>
    <w:rsid w:val="000228DE"/>
    <w:rPr>
      <w:rFonts w:ascii="Calibri" w:hAnsi="Calibri"/>
      <w:b/>
      <w:sz w:val="28"/>
      <w:lang w:val="en-GB" w:eastAsia="en-US"/>
    </w:rPr>
  </w:style>
  <w:style w:type="paragraph" w:styleId="BalloonText">
    <w:name w:val="Balloon Text"/>
    <w:basedOn w:val="Normal"/>
    <w:link w:val="BalloonTextChar"/>
    <w:semiHidden/>
    <w:unhideWhenUsed/>
    <w:rsid w:val="00EF19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F19AC"/>
    <w:rPr>
      <w:rFonts w:ascii="Segoe UI" w:hAnsi="Segoe UI" w:cs="Segoe UI"/>
      <w:sz w:val="18"/>
      <w:szCs w:val="18"/>
      <w:lang w:val="fr-FR" w:eastAsia="en-US"/>
    </w:rPr>
  </w:style>
  <w:style w:type="paragraph" w:customStyle="1" w:styleId="Default">
    <w:name w:val="Default"/>
    <w:rsid w:val="008E3D37"/>
    <w:pPr>
      <w:autoSpaceDE w:val="0"/>
      <w:autoSpaceDN w:val="0"/>
      <w:adjustRightInd w:val="0"/>
    </w:pPr>
    <w:rPr>
      <w:rFonts w:ascii="Times New Roman" w:eastAsiaTheme="minorHAnsi" w:hAnsi="Times New Roman"/>
      <w:color w:val="000000"/>
      <w:sz w:val="24"/>
      <w:szCs w:val="24"/>
      <w:lang w:eastAsia="en-US"/>
    </w:rPr>
  </w:style>
  <w:style w:type="character" w:customStyle="1" w:styleId="FootnoteTextChar">
    <w:name w:val="Footnote Text Char"/>
    <w:basedOn w:val="DefaultParagraphFont"/>
    <w:link w:val="FootnoteText"/>
    <w:uiPriority w:val="99"/>
    <w:rsid w:val="008E3D37"/>
    <w:rPr>
      <w:rFonts w:ascii="Calibri" w:hAnsi="Calibri"/>
      <w:sz w:val="24"/>
      <w:lang w:val="en-GB" w:eastAsia="en-US"/>
    </w:rPr>
  </w:style>
  <w:style w:type="paragraph" w:customStyle="1" w:styleId="Pa34">
    <w:name w:val="Pa34"/>
    <w:basedOn w:val="Default"/>
    <w:next w:val="Default"/>
    <w:uiPriority w:val="99"/>
    <w:rsid w:val="008E3D37"/>
    <w:pPr>
      <w:spacing w:line="201" w:lineRule="atLeast"/>
    </w:pPr>
    <w:rPr>
      <w:rFonts w:ascii="Myriad Pro" w:eastAsiaTheme="minorEastAsia" w:hAnsi="Myriad Pro"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1107">
      <w:bodyDiv w:val="1"/>
      <w:marLeft w:val="0"/>
      <w:marRight w:val="0"/>
      <w:marTop w:val="0"/>
      <w:marBottom w:val="0"/>
      <w:divBdr>
        <w:top w:val="none" w:sz="0" w:space="0" w:color="auto"/>
        <w:left w:val="none" w:sz="0" w:space="0" w:color="auto"/>
        <w:bottom w:val="none" w:sz="0" w:space="0" w:color="auto"/>
        <w:right w:val="none" w:sz="0" w:space="0" w:color="auto"/>
      </w:divBdr>
    </w:div>
    <w:div w:id="225839551">
      <w:bodyDiv w:val="1"/>
      <w:marLeft w:val="0"/>
      <w:marRight w:val="0"/>
      <w:marTop w:val="0"/>
      <w:marBottom w:val="0"/>
      <w:divBdr>
        <w:top w:val="none" w:sz="0" w:space="0" w:color="auto"/>
        <w:left w:val="none" w:sz="0" w:space="0" w:color="auto"/>
        <w:bottom w:val="none" w:sz="0" w:space="0" w:color="auto"/>
        <w:right w:val="none" w:sz="0" w:space="0" w:color="auto"/>
      </w:divBdr>
    </w:div>
    <w:div w:id="574894484">
      <w:bodyDiv w:val="1"/>
      <w:marLeft w:val="0"/>
      <w:marRight w:val="0"/>
      <w:marTop w:val="0"/>
      <w:marBottom w:val="0"/>
      <w:divBdr>
        <w:top w:val="none" w:sz="0" w:space="0" w:color="auto"/>
        <w:left w:val="none" w:sz="0" w:space="0" w:color="auto"/>
        <w:bottom w:val="none" w:sz="0" w:space="0" w:color="auto"/>
        <w:right w:val="none" w:sz="0" w:space="0" w:color="auto"/>
      </w:divBdr>
    </w:div>
    <w:div w:id="593587563">
      <w:bodyDiv w:val="1"/>
      <w:marLeft w:val="0"/>
      <w:marRight w:val="0"/>
      <w:marTop w:val="0"/>
      <w:marBottom w:val="0"/>
      <w:divBdr>
        <w:top w:val="none" w:sz="0" w:space="0" w:color="auto"/>
        <w:left w:val="none" w:sz="0" w:space="0" w:color="auto"/>
        <w:bottom w:val="none" w:sz="0" w:space="0" w:color="auto"/>
        <w:right w:val="none" w:sz="0" w:space="0" w:color="auto"/>
      </w:divBdr>
    </w:div>
    <w:div w:id="777211809">
      <w:bodyDiv w:val="1"/>
      <w:marLeft w:val="0"/>
      <w:marRight w:val="0"/>
      <w:marTop w:val="0"/>
      <w:marBottom w:val="0"/>
      <w:divBdr>
        <w:top w:val="none" w:sz="0" w:space="0" w:color="auto"/>
        <w:left w:val="none" w:sz="0" w:space="0" w:color="auto"/>
        <w:bottom w:val="none" w:sz="0" w:space="0" w:color="auto"/>
        <w:right w:val="none" w:sz="0" w:space="0" w:color="auto"/>
      </w:divBdr>
    </w:div>
    <w:div w:id="824009678">
      <w:bodyDiv w:val="1"/>
      <w:marLeft w:val="0"/>
      <w:marRight w:val="0"/>
      <w:marTop w:val="0"/>
      <w:marBottom w:val="0"/>
      <w:divBdr>
        <w:top w:val="none" w:sz="0" w:space="0" w:color="auto"/>
        <w:left w:val="none" w:sz="0" w:space="0" w:color="auto"/>
        <w:bottom w:val="none" w:sz="0" w:space="0" w:color="auto"/>
        <w:right w:val="none" w:sz="0" w:space="0" w:color="auto"/>
      </w:divBdr>
    </w:div>
    <w:div w:id="953026089">
      <w:bodyDiv w:val="1"/>
      <w:marLeft w:val="0"/>
      <w:marRight w:val="0"/>
      <w:marTop w:val="0"/>
      <w:marBottom w:val="0"/>
      <w:divBdr>
        <w:top w:val="none" w:sz="0" w:space="0" w:color="auto"/>
        <w:left w:val="none" w:sz="0" w:space="0" w:color="auto"/>
        <w:bottom w:val="none" w:sz="0" w:space="0" w:color="auto"/>
        <w:right w:val="none" w:sz="0" w:space="0" w:color="auto"/>
      </w:divBdr>
    </w:div>
    <w:div w:id="988830670">
      <w:bodyDiv w:val="1"/>
      <w:marLeft w:val="0"/>
      <w:marRight w:val="0"/>
      <w:marTop w:val="0"/>
      <w:marBottom w:val="0"/>
      <w:divBdr>
        <w:top w:val="none" w:sz="0" w:space="0" w:color="auto"/>
        <w:left w:val="none" w:sz="0" w:space="0" w:color="auto"/>
        <w:bottom w:val="none" w:sz="0" w:space="0" w:color="auto"/>
        <w:right w:val="none" w:sz="0" w:space="0" w:color="auto"/>
      </w:divBdr>
    </w:div>
    <w:div w:id="1133136776">
      <w:bodyDiv w:val="1"/>
      <w:marLeft w:val="0"/>
      <w:marRight w:val="0"/>
      <w:marTop w:val="0"/>
      <w:marBottom w:val="0"/>
      <w:divBdr>
        <w:top w:val="none" w:sz="0" w:space="0" w:color="auto"/>
        <w:left w:val="none" w:sz="0" w:space="0" w:color="auto"/>
        <w:bottom w:val="none" w:sz="0" w:space="0" w:color="auto"/>
        <w:right w:val="none" w:sz="0" w:space="0" w:color="auto"/>
      </w:divBdr>
    </w:div>
    <w:div w:id="1230966594">
      <w:bodyDiv w:val="1"/>
      <w:marLeft w:val="0"/>
      <w:marRight w:val="0"/>
      <w:marTop w:val="0"/>
      <w:marBottom w:val="0"/>
      <w:divBdr>
        <w:top w:val="none" w:sz="0" w:space="0" w:color="auto"/>
        <w:left w:val="none" w:sz="0" w:space="0" w:color="auto"/>
        <w:bottom w:val="none" w:sz="0" w:space="0" w:color="auto"/>
        <w:right w:val="none" w:sz="0" w:space="0" w:color="auto"/>
      </w:divBdr>
    </w:div>
    <w:div w:id="1358774992">
      <w:bodyDiv w:val="1"/>
      <w:marLeft w:val="0"/>
      <w:marRight w:val="0"/>
      <w:marTop w:val="0"/>
      <w:marBottom w:val="0"/>
      <w:divBdr>
        <w:top w:val="none" w:sz="0" w:space="0" w:color="auto"/>
        <w:left w:val="none" w:sz="0" w:space="0" w:color="auto"/>
        <w:bottom w:val="none" w:sz="0" w:space="0" w:color="auto"/>
        <w:right w:val="none" w:sz="0" w:space="0" w:color="auto"/>
      </w:divBdr>
    </w:div>
    <w:div w:id="1397510800">
      <w:bodyDiv w:val="1"/>
      <w:marLeft w:val="0"/>
      <w:marRight w:val="0"/>
      <w:marTop w:val="0"/>
      <w:marBottom w:val="0"/>
      <w:divBdr>
        <w:top w:val="none" w:sz="0" w:space="0" w:color="auto"/>
        <w:left w:val="none" w:sz="0" w:space="0" w:color="auto"/>
        <w:bottom w:val="none" w:sz="0" w:space="0" w:color="auto"/>
        <w:right w:val="none" w:sz="0" w:space="0" w:color="auto"/>
      </w:divBdr>
    </w:div>
    <w:div w:id="1731266848">
      <w:bodyDiv w:val="1"/>
      <w:marLeft w:val="0"/>
      <w:marRight w:val="0"/>
      <w:marTop w:val="0"/>
      <w:marBottom w:val="0"/>
      <w:divBdr>
        <w:top w:val="none" w:sz="0" w:space="0" w:color="auto"/>
        <w:left w:val="none" w:sz="0" w:space="0" w:color="auto"/>
        <w:bottom w:val="none" w:sz="0" w:space="0" w:color="auto"/>
        <w:right w:val="none" w:sz="0" w:space="0" w:color="auto"/>
      </w:divBdr>
    </w:div>
    <w:div w:id="1963687045">
      <w:bodyDiv w:val="1"/>
      <w:marLeft w:val="0"/>
      <w:marRight w:val="0"/>
      <w:marTop w:val="0"/>
      <w:marBottom w:val="0"/>
      <w:divBdr>
        <w:top w:val="none" w:sz="0" w:space="0" w:color="auto"/>
        <w:left w:val="none" w:sz="0" w:space="0" w:color="auto"/>
        <w:bottom w:val="none" w:sz="0" w:space="0" w:color="auto"/>
        <w:right w:val="none" w:sz="0" w:space="0" w:color="auto"/>
      </w:divBdr>
    </w:div>
    <w:div w:id="2024701503">
      <w:bodyDiv w:val="1"/>
      <w:marLeft w:val="0"/>
      <w:marRight w:val="0"/>
      <w:marTop w:val="0"/>
      <w:marBottom w:val="0"/>
      <w:divBdr>
        <w:top w:val="none" w:sz="0" w:space="0" w:color="auto"/>
        <w:left w:val="none" w:sz="0" w:space="0" w:color="auto"/>
        <w:bottom w:val="none" w:sz="0" w:space="0" w:color="auto"/>
        <w:right w:val="none" w:sz="0" w:space="0" w:color="auto"/>
      </w:divBdr>
    </w:div>
    <w:div w:id="21079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s://www.itu.int/md/S16-CL-C-0130/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md/S16-SG-CIR-0057/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6-SG-CIR-0057/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SG-CIR-0049/en" TargetMode="External"/><Relationship Id="rId5" Type="http://schemas.openxmlformats.org/officeDocument/2006/relationships/footnotes" Target="footnotes.xml"/><Relationship Id="rId15" Type="http://schemas.openxmlformats.org/officeDocument/2006/relationships/hyperlink" Target="https://www.itu.int/md/S16-SG-CIR-0049/en" TargetMode="External"/><Relationship Id="rId23" Type="http://schemas.openxmlformats.org/officeDocument/2006/relationships/theme" Target="theme/theme1.xml"/><Relationship Id="rId10" Type="http://schemas.openxmlformats.org/officeDocument/2006/relationships/hyperlink" Target="https://www.itu.int/md/S16-SG-CIR-0045/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6-CL-C-0130/en" TargetMode="External"/><Relationship Id="rId14" Type="http://schemas.openxmlformats.org/officeDocument/2006/relationships/hyperlink" Target="https://www.itu.int/md/S16-SG-CIR-0045/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MESURES D'EFFICACITÉ</vt:lpstr>
    </vt:vector>
  </TitlesOfParts>
  <Manager>Secrétariat général - Pool</Manager>
  <Company>Union internationale des télécommunications (UIT)</Company>
  <LinksUpToDate>false</LinksUpToDate>
  <CharactersWithSpaces>5676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mondiale des radiocommunications (CRM-17)</dc:title>
  <dc:subject>Conseil 2017</dc:subject>
  <dc:creator>Rapport du Secrétaire général</dc:creator>
  <cp:keywords>C2017, C17</cp:keywords>
  <dc:description/>
  <cp:lastModifiedBy>Brouard, Ricarda</cp:lastModifiedBy>
  <cp:revision>2</cp:revision>
  <cp:lastPrinted>2017-03-23T10:16:00Z</cp:lastPrinted>
  <dcterms:created xsi:type="dcterms:W3CDTF">2017-05-01T12:55:00Z</dcterms:created>
  <dcterms:modified xsi:type="dcterms:W3CDTF">2017-05-01T12:55:00Z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C16/45-F</vt:lpwstr>
  </property>
  <property fmtid="{D5CDD505-2E9C-101B-9397-08002B2CF9AE}" pid="3" name="Docdate">
    <vt:lpwstr>7 avril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vt:lpwstr>
  </property>
  <property fmtid="{D5CDD505-2E9C-101B-9397-08002B2CF9AE}" pid="7" name="Docauthor">
    <vt:lpwstr>Rapport du Secrétaire général</vt:lpwstr>
  </property>
</Properties>
</file>