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23336" w:rsidRPr="00813E5E">
        <w:trPr>
          <w:cantSplit/>
        </w:trPr>
        <w:tc>
          <w:tcPr>
            <w:tcW w:w="6911" w:type="dxa"/>
          </w:tcPr>
          <w:p w:rsidR="00A23336" w:rsidRPr="00813E5E" w:rsidRDefault="00A23336" w:rsidP="00A23336">
            <w:pPr>
              <w:spacing w:before="360" w:after="48" w:line="240" w:lineRule="atLeast"/>
              <w:rPr>
                <w:position w:val="6"/>
              </w:rPr>
            </w:pPr>
            <w:bookmarkStart w:id="0" w:name="dc06"/>
            <w:bookmarkEnd w:id="0"/>
            <w:r w:rsidRPr="00A23336">
              <w:rPr>
                <w:b/>
                <w:bCs/>
                <w:position w:val="6"/>
                <w:sz w:val="30"/>
                <w:szCs w:val="30"/>
                <w:lang w:val="fr-CH"/>
              </w:rPr>
              <w:t>Council 2017</w:t>
            </w:r>
            <w:r w:rsidRPr="00A23336">
              <w:rPr>
                <w:rFonts w:cs="Times"/>
                <w:b/>
                <w:position w:val="6"/>
                <w:sz w:val="26"/>
                <w:szCs w:val="26"/>
                <w:lang w:val="en-US"/>
              </w:rPr>
              <w:br/>
            </w:r>
            <w:r w:rsidRPr="00A23336">
              <w:rPr>
                <w:b/>
                <w:bCs/>
                <w:position w:val="6"/>
                <w:szCs w:val="24"/>
                <w:lang w:val="fr-CH"/>
              </w:rPr>
              <w:t>Geneva, 15-25 May 2017</w:t>
            </w:r>
          </w:p>
        </w:tc>
        <w:tc>
          <w:tcPr>
            <w:tcW w:w="3120" w:type="dxa"/>
          </w:tcPr>
          <w:p w:rsidR="00A23336" w:rsidRPr="00813E5E" w:rsidRDefault="00A23336" w:rsidP="00A23336">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23336" w:rsidRPr="00813E5E">
        <w:trPr>
          <w:cantSplit/>
        </w:trPr>
        <w:tc>
          <w:tcPr>
            <w:tcW w:w="6911" w:type="dxa"/>
            <w:tcBorders>
              <w:bottom w:val="single" w:sz="12" w:space="0" w:color="auto"/>
            </w:tcBorders>
          </w:tcPr>
          <w:p w:rsidR="00A23336" w:rsidRPr="00813E5E" w:rsidRDefault="00A23336">
            <w:pPr>
              <w:spacing w:before="0" w:after="48" w:line="240" w:lineRule="atLeast"/>
              <w:rPr>
                <w:b/>
                <w:smallCaps/>
                <w:szCs w:val="24"/>
              </w:rPr>
            </w:pPr>
          </w:p>
        </w:tc>
        <w:tc>
          <w:tcPr>
            <w:tcW w:w="3120" w:type="dxa"/>
            <w:tcBorders>
              <w:bottom w:val="single" w:sz="12" w:space="0" w:color="auto"/>
            </w:tcBorders>
          </w:tcPr>
          <w:p w:rsidR="00A23336" w:rsidRPr="00813E5E" w:rsidRDefault="00A23336">
            <w:pPr>
              <w:spacing w:before="0" w:line="240" w:lineRule="atLeast"/>
              <w:rPr>
                <w:szCs w:val="24"/>
              </w:rPr>
            </w:pPr>
          </w:p>
        </w:tc>
      </w:tr>
      <w:tr w:rsidR="00A23336" w:rsidRPr="00813E5E">
        <w:trPr>
          <w:cantSplit/>
        </w:trPr>
        <w:tc>
          <w:tcPr>
            <w:tcW w:w="6911" w:type="dxa"/>
            <w:tcBorders>
              <w:top w:val="single" w:sz="12" w:space="0" w:color="auto"/>
            </w:tcBorders>
          </w:tcPr>
          <w:p w:rsidR="00A23336" w:rsidRPr="00813E5E" w:rsidRDefault="00A23336">
            <w:pPr>
              <w:spacing w:before="0" w:after="48" w:line="240" w:lineRule="atLeast"/>
              <w:rPr>
                <w:b/>
                <w:smallCaps/>
                <w:szCs w:val="24"/>
              </w:rPr>
            </w:pPr>
          </w:p>
        </w:tc>
        <w:tc>
          <w:tcPr>
            <w:tcW w:w="3120" w:type="dxa"/>
            <w:tcBorders>
              <w:top w:val="single" w:sz="12" w:space="0" w:color="auto"/>
            </w:tcBorders>
          </w:tcPr>
          <w:p w:rsidR="00A23336" w:rsidRPr="00813E5E" w:rsidRDefault="00A23336">
            <w:pPr>
              <w:spacing w:before="0" w:line="240" w:lineRule="atLeast"/>
              <w:rPr>
                <w:szCs w:val="24"/>
              </w:rPr>
            </w:pPr>
          </w:p>
        </w:tc>
      </w:tr>
      <w:tr w:rsidR="00A23336" w:rsidRPr="00813E5E">
        <w:trPr>
          <w:cantSplit/>
          <w:trHeight w:val="23"/>
        </w:trPr>
        <w:tc>
          <w:tcPr>
            <w:tcW w:w="6911" w:type="dxa"/>
            <w:vMerge w:val="restart"/>
          </w:tcPr>
          <w:p w:rsidR="00A23336" w:rsidRPr="00A23336" w:rsidRDefault="00A23336" w:rsidP="00A23336">
            <w:pPr>
              <w:tabs>
                <w:tab w:val="left" w:pos="851"/>
              </w:tabs>
              <w:spacing w:before="0" w:line="240" w:lineRule="atLeast"/>
              <w:rPr>
                <w:b/>
              </w:rPr>
            </w:pPr>
            <w:bookmarkStart w:id="2" w:name="dmeeting" w:colFirst="0" w:colLast="0"/>
            <w:bookmarkStart w:id="3" w:name="dnum" w:colFirst="1" w:colLast="1"/>
            <w:r>
              <w:rPr>
                <w:b/>
              </w:rPr>
              <w:t>Agenda item: ADM 7</w:t>
            </w:r>
          </w:p>
        </w:tc>
        <w:tc>
          <w:tcPr>
            <w:tcW w:w="3120" w:type="dxa"/>
          </w:tcPr>
          <w:p w:rsidR="00A23336" w:rsidRPr="00A23336" w:rsidRDefault="00A23336" w:rsidP="00A23336">
            <w:pPr>
              <w:tabs>
                <w:tab w:val="left" w:pos="851"/>
              </w:tabs>
              <w:spacing w:before="0" w:line="240" w:lineRule="atLeast"/>
              <w:rPr>
                <w:b/>
              </w:rPr>
            </w:pPr>
            <w:r>
              <w:rPr>
                <w:b/>
              </w:rPr>
              <w:t>Document C17/34-E</w:t>
            </w:r>
          </w:p>
        </w:tc>
      </w:tr>
      <w:tr w:rsidR="00A23336" w:rsidRPr="00813E5E">
        <w:trPr>
          <w:cantSplit/>
          <w:trHeight w:val="23"/>
        </w:trPr>
        <w:tc>
          <w:tcPr>
            <w:tcW w:w="6911" w:type="dxa"/>
            <w:vMerge/>
          </w:tcPr>
          <w:p w:rsidR="00A23336" w:rsidRPr="00813E5E" w:rsidRDefault="00A23336">
            <w:pPr>
              <w:tabs>
                <w:tab w:val="left" w:pos="851"/>
              </w:tabs>
              <w:spacing w:line="240" w:lineRule="atLeast"/>
              <w:rPr>
                <w:b/>
              </w:rPr>
            </w:pPr>
            <w:bookmarkStart w:id="4" w:name="ddate" w:colFirst="1" w:colLast="1"/>
            <w:bookmarkEnd w:id="2"/>
            <w:bookmarkEnd w:id="3"/>
          </w:p>
        </w:tc>
        <w:tc>
          <w:tcPr>
            <w:tcW w:w="3120" w:type="dxa"/>
          </w:tcPr>
          <w:p w:rsidR="00A23336" w:rsidRPr="00A23336" w:rsidRDefault="00A23336" w:rsidP="00A23336">
            <w:pPr>
              <w:tabs>
                <w:tab w:val="left" w:pos="993"/>
              </w:tabs>
              <w:spacing w:before="0"/>
              <w:rPr>
                <w:b/>
              </w:rPr>
            </w:pPr>
            <w:r>
              <w:rPr>
                <w:b/>
              </w:rPr>
              <w:t>31 March 2017</w:t>
            </w:r>
          </w:p>
        </w:tc>
      </w:tr>
      <w:tr w:rsidR="00A23336" w:rsidRPr="00813E5E">
        <w:trPr>
          <w:cantSplit/>
          <w:trHeight w:val="23"/>
        </w:trPr>
        <w:tc>
          <w:tcPr>
            <w:tcW w:w="6911" w:type="dxa"/>
            <w:vMerge/>
          </w:tcPr>
          <w:p w:rsidR="00A23336" w:rsidRPr="00813E5E" w:rsidRDefault="00A23336">
            <w:pPr>
              <w:tabs>
                <w:tab w:val="left" w:pos="851"/>
              </w:tabs>
              <w:spacing w:line="240" w:lineRule="atLeast"/>
              <w:rPr>
                <w:b/>
              </w:rPr>
            </w:pPr>
            <w:bookmarkStart w:id="5" w:name="dorlang" w:colFirst="1" w:colLast="1"/>
            <w:bookmarkEnd w:id="4"/>
          </w:p>
        </w:tc>
        <w:tc>
          <w:tcPr>
            <w:tcW w:w="3120" w:type="dxa"/>
          </w:tcPr>
          <w:p w:rsidR="00A23336" w:rsidRPr="00A23336" w:rsidRDefault="00A23336" w:rsidP="00A23336">
            <w:pPr>
              <w:tabs>
                <w:tab w:val="left" w:pos="993"/>
              </w:tabs>
              <w:spacing w:before="0"/>
              <w:rPr>
                <w:b/>
              </w:rPr>
            </w:pPr>
            <w:r>
              <w:rPr>
                <w:b/>
              </w:rPr>
              <w:t>Original: English</w:t>
            </w:r>
          </w:p>
        </w:tc>
      </w:tr>
      <w:tr w:rsidR="00A23336" w:rsidRPr="00813E5E">
        <w:trPr>
          <w:cantSplit/>
        </w:trPr>
        <w:tc>
          <w:tcPr>
            <w:tcW w:w="10031" w:type="dxa"/>
            <w:gridSpan w:val="2"/>
          </w:tcPr>
          <w:p w:rsidR="00A23336" w:rsidRPr="00813E5E" w:rsidRDefault="00A23336">
            <w:pPr>
              <w:pStyle w:val="Source"/>
            </w:pPr>
            <w:bookmarkStart w:id="6" w:name="dsource" w:colFirst="0" w:colLast="0"/>
            <w:bookmarkEnd w:id="5"/>
            <w:r>
              <w:t>Report by the Secretary-General</w:t>
            </w:r>
          </w:p>
        </w:tc>
      </w:tr>
      <w:tr w:rsidR="00A23336" w:rsidRPr="00813E5E">
        <w:trPr>
          <w:cantSplit/>
        </w:trPr>
        <w:tc>
          <w:tcPr>
            <w:tcW w:w="10031" w:type="dxa"/>
            <w:gridSpan w:val="2"/>
          </w:tcPr>
          <w:p w:rsidR="00A23336" w:rsidRPr="00813E5E" w:rsidRDefault="00A23336" w:rsidP="00A23336">
            <w:pPr>
              <w:pStyle w:val="Title1"/>
            </w:pPr>
            <w:bookmarkStart w:id="7" w:name="dtitle1" w:colFirst="0" w:colLast="0"/>
            <w:bookmarkEnd w:id="6"/>
            <w:r>
              <w:t xml:space="preserve">INFORMATION AND COMMUNICATION TECHNOLOGIES DEVELOPMENT FUND </w:t>
            </w:r>
            <w:r>
              <w:br/>
              <w:t>(ICT-DF)</w:t>
            </w:r>
          </w:p>
        </w:tc>
      </w:tr>
      <w:bookmarkEnd w:id="7"/>
    </w:tbl>
    <w:p w:rsidR="00A23336" w:rsidRPr="00813E5E" w:rsidRDefault="00A233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23336"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A23336" w:rsidRPr="00813E5E" w:rsidRDefault="00A23336">
            <w:pPr>
              <w:pStyle w:val="Headingb"/>
            </w:pPr>
            <w:r w:rsidRPr="00813E5E">
              <w:t>Summary</w:t>
            </w:r>
          </w:p>
          <w:p w:rsidR="00A23336" w:rsidRPr="00813E5E" w:rsidRDefault="00A23336" w:rsidP="005F541A">
            <w:pPr>
              <w:jc w:val="both"/>
            </w:pPr>
            <w:r w:rsidRPr="00A23336">
              <w:t>This document reports on the situation regarding the Information and Communication Technologies Development Fund (ICT-DF) and its use in the implementation of development projects.</w:t>
            </w:r>
          </w:p>
          <w:p w:rsidR="00A23336" w:rsidRPr="00813E5E" w:rsidRDefault="00A23336" w:rsidP="005F541A">
            <w:pPr>
              <w:pStyle w:val="Headingb"/>
              <w:jc w:val="both"/>
            </w:pPr>
            <w:r w:rsidRPr="00813E5E">
              <w:t>Action required</w:t>
            </w:r>
          </w:p>
          <w:p w:rsidR="00A23336" w:rsidRPr="00813E5E" w:rsidRDefault="00A23336" w:rsidP="005F541A">
            <w:pPr>
              <w:jc w:val="both"/>
            </w:pPr>
            <w:r w:rsidRPr="00A23336">
              <w:t xml:space="preserve">The Council is invited to </w:t>
            </w:r>
            <w:r w:rsidRPr="00A23336">
              <w:rPr>
                <w:b/>
                <w:bCs/>
              </w:rPr>
              <w:t>take note</w:t>
            </w:r>
            <w:r w:rsidRPr="00A23336">
              <w:t xml:space="preserve"> of the report and </w:t>
            </w:r>
            <w:r w:rsidRPr="00A23336">
              <w:rPr>
                <w:b/>
                <w:bCs/>
              </w:rPr>
              <w:t>approve</w:t>
            </w:r>
            <w:r w:rsidRPr="00A23336">
              <w:t xml:space="preserve"> the transfer of USD 2 million from the Exhibition Working Capital to ICT-DF Capital Account.</w:t>
            </w:r>
          </w:p>
          <w:p w:rsidR="00A23336" w:rsidRPr="00813E5E" w:rsidRDefault="00A23336">
            <w:pPr>
              <w:pStyle w:val="Table"/>
              <w:keepNext w:val="0"/>
              <w:spacing w:before="0" w:after="0"/>
              <w:rPr>
                <w:rFonts w:ascii="Calibri" w:hAnsi="Calibri"/>
                <w:caps w:val="0"/>
                <w:sz w:val="22"/>
              </w:rPr>
            </w:pPr>
            <w:r w:rsidRPr="00813E5E">
              <w:rPr>
                <w:rFonts w:ascii="Calibri" w:hAnsi="Calibri"/>
                <w:caps w:val="0"/>
                <w:sz w:val="22"/>
              </w:rPr>
              <w:t>____________</w:t>
            </w:r>
          </w:p>
          <w:p w:rsidR="00A23336" w:rsidRPr="00813E5E" w:rsidRDefault="00A23336">
            <w:pPr>
              <w:pStyle w:val="Headingb"/>
            </w:pPr>
            <w:r w:rsidRPr="00813E5E">
              <w:t>References</w:t>
            </w:r>
          </w:p>
          <w:p w:rsidR="00A23336" w:rsidRPr="00813E5E" w:rsidRDefault="00A23336" w:rsidP="00A23336">
            <w:pPr>
              <w:spacing w:after="120"/>
              <w:rPr>
                <w:i/>
                <w:iCs/>
              </w:rPr>
            </w:pPr>
            <w:r w:rsidRPr="006C077C">
              <w:t xml:space="preserve">PP </w:t>
            </w:r>
            <w:hyperlink r:id="rId9" w:history="1">
              <w:r w:rsidRPr="006C077C">
                <w:rPr>
                  <w:rStyle w:val="Hyperlink"/>
                  <w:i/>
                </w:rPr>
                <w:t>Resolution 11 (Rev. Busan, 2014)</w:t>
              </w:r>
              <w:r w:rsidRPr="00A23336">
                <w:rPr>
                  <w:rStyle w:val="Hyperlink"/>
                  <w:i/>
                  <w:color w:val="auto"/>
                  <w:u w:val="none"/>
                </w:rPr>
                <w:t xml:space="preserve">; </w:t>
              </w:r>
            </w:hyperlink>
            <w:r w:rsidRPr="006C077C">
              <w:rPr>
                <w:i/>
              </w:rPr>
              <w:t xml:space="preserve">Council Resolutions </w:t>
            </w:r>
            <w:hyperlink r:id="rId10" w:history="1">
              <w:r w:rsidRPr="006C077C">
                <w:rPr>
                  <w:rStyle w:val="Hyperlink"/>
                  <w:i/>
                </w:rPr>
                <w:t>1111</w:t>
              </w:r>
            </w:hyperlink>
            <w:r w:rsidRPr="006C077C">
              <w:rPr>
                <w:i/>
              </w:rPr>
              <w:t xml:space="preserve">, </w:t>
            </w:r>
            <w:hyperlink r:id="rId11" w:history="1">
              <w:r w:rsidRPr="006C077C">
                <w:rPr>
                  <w:rStyle w:val="Hyperlink"/>
                  <w:i/>
                </w:rPr>
                <w:t>1114</w:t>
              </w:r>
            </w:hyperlink>
            <w:r w:rsidRPr="006C077C">
              <w:rPr>
                <w:i/>
              </w:rPr>
              <w:t xml:space="preserve"> and </w:t>
            </w:r>
            <w:hyperlink r:id="rId12" w:history="1">
              <w:r w:rsidRPr="00A23336">
                <w:rPr>
                  <w:rStyle w:val="Hyperlink"/>
                  <w:i/>
                </w:rPr>
                <w:t>1338</w:t>
              </w:r>
            </w:hyperlink>
            <w:r w:rsidRPr="00A23336">
              <w:rPr>
                <w:i/>
              </w:rPr>
              <w:t>.</w:t>
            </w:r>
          </w:p>
        </w:tc>
      </w:tr>
    </w:tbl>
    <w:p w:rsidR="00A23336" w:rsidRPr="006C077C" w:rsidRDefault="00A23336" w:rsidP="00A23336">
      <w:pPr>
        <w:tabs>
          <w:tab w:val="clear" w:pos="567"/>
          <w:tab w:val="clear" w:pos="1134"/>
          <w:tab w:val="clear" w:pos="1701"/>
          <w:tab w:val="clear" w:pos="2268"/>
          <w:tab w:val="clear" w:pos="2835"/>
        </w:tabs>
        <w:snapToGrid w:val="0"/>
        <w:spacing w:before="600" w:after="120"/>
        <w:rPr>
          <w:b/>
        </w:rPr>
      </w:pPr>
      <w:bookmarkStart w:id="8" w:name="dstart"/>
      <w:bookmarkStart w:id="9" w:name="dbreak"/>
      <w:bookmarkEnd w:id="8"/>
      <w:bookmarkEnd w:id="9"/>
      <w:r w:rsidRPr="006C077C">
        <w:rPr>
          <w:b/>
        </w:rPr>
        <w:t>1</w:t>
      </w:r>
      <w:r w:rsidRPr="006C077C">
        <w:rPr>
          <w:b/>
        </w:rPr>
        <w:tab/>
        <w:t>Introduction</w:t>
      </w:r>
    </w:p>
    <w:p w:rsidR="00A23336" w:rsidRPr="00C41C46" w:rsidRDefault="00A23336" w:rsidP="00A23336">
      <w:pPr>
        <w:tabs>
          <w:tab w:val="clear" w:pos="567"/>
          <w:tab w:val="clear" w:pos="1134"/>
          <w:tab w:val="clear" w:pos="1701"/>
          <w:tab w:val="clear" w:pos="2268"/>
          <w:tab w:val="clear" w:pos="2835"/>
        </w:tabs>
        <w:snapToGrid w:val="0"/>
        <w:spacing w:after="120"/>
        <w:jc w:val="both"/>
        <w:rPr>
          <w:rFonts w:cstheme="minorHAnsi"/>
        </w:rPr>
      </w:pPr>
      <w:r w:rsidRPr="006C077C">
        <w:rPr>
          <w:rFonts w:cstheme="minorHAnsi"/>
        </w:rPr>
        <w:t>1.</w:t>
      </w:r>
      <w:r>
        <w:rPr>
          <w:rFonts w:cstheme="minorHAnsi"/>
        </w:rPr>
        <w:t>1</w:t>
      </w:r>
      <w:r w:rsidRPr="006C077C">
        <w:rPr>
          <w:rFonts w:cstheme="minorHAnsi"/>
        </w:rPr>
        <w:tab/>
        <w:t>As stipulated by the ITU Constitution, one of the functions of the ITU Telecommunication Development Sector is to discharge the Union</w:t>
      </w:r>
      <w:r w:rsidR="005F541A">
        <w:rPr>
          <w:rFonts w:cstheme="minorHAnsi"/>
        </w:rPr>
        <w:t>’</w:t>
      </w:r>
      <w:r w:rsidRPr="006C077C">
        <w:rPr>
          <w:rFonts w:cstheme="minorHAnsi"/>
        </w:rPr>
        <w:t xml:space="preserve">s dual responsibility as a United Nations specialized agency and as </w:t>
      </w:r>
      <w:r>
        <w:rPr>
          <w:rFonts w:cstheme="minorHAnsi"/>
        </w:rPr>
        <w:t xml:space="preserve">an </w:t>
      </w:r>
      <w:r w:rsidRPr="00C41C46">
        <w:rPr>
          <w:rFonts w:cstheme="minorHAnsi"/>
        </w:rPr>
        <w:t xml:space="preserve">executing agency for implementing projects. </w:t>
      </w:r>
    </w:p>
    <w:p w:rsidR="00A23336" w:rsidRPr="006C077C" w:rsidRDefault="00A23336" w:rsidP="00A23336">
      <w:pPr>
        <w:tabs>
          <w:tab w:val="clear" w:pos="567"/>
          <w:tab w:val="clear" w:pos="1134"/>
          <w:tab w:val="clear" w:pos="1701"/>
          <w:tab w:val="clear" w:pos="2268"/>
          <w:tab w:val="clear" w:pos="2835"/>
        </w:tabs>
        <w:snapToGrid w:val="0"/>
        <w:spacing w:after="120"/>
        <w:jc w:val="both"/>
        <w:rPr>
          <w:rFonts w:cstheme="minorHAnsi"/>
        </w:rPr>
      </w:pPr>
      <w:r w:rsidRPr="00C41C46">
        <w:rPr>
          <w:rFonts w:cstheme="minorHAnsi"/>
        </w:rPr>
        <w:t>1.2</w:t>
      </w:r>
      <w:r w:rsidRPr="00C41C46">
        <w:rPr>
          <w:rFonts w:cstheme="minorHAnsi"/>
        </w:rPr>
        <w:tab/>
        <w:t xml:space="preserve">The </w:t>
      </w:r>
      <w:hyperlink r:id="rId13" w:history="1">
        <w:r w:rsidRPr="00C41C46">
          <w:rPr>
            <w:rStyle w:val="Hyperlink"/>
            <w:rFonts w:cstheme="minorHAnsi"/>
          </w:rPr>
          <w:t>ICT-DF</w:t>
        </w:r>
      </w:hyperlink>
      <w:r w:rsidRPr="00C41C46">
        <w:rPr>
          <w:rFonts w:cstheme="minorHAnsi"/>
        </w:rPr>
        <w:t xml:space="preserve"> is a special initiative launched in 1997 aiming to develop partnerships and generate commitments (financial</w:t>
      </w:r>
      <w:r w:rsidRPr="006C077C">
        <w:rPr>
          <w:rFonts w:cstheme="minorHAnsi"/>
        </w:rPr>
        <w:t xml:space="preserve"> and othe</w:t>
      </w:r>
      <w:r>
        <w:rPr>
          <w:rFonts w:cstheme="minorHAnsi"/>
        </w:rPr>
        <w:t xml:space="preserve">rwise) from the Member States, </w:t>
      </w:r>
      <w:r w:rsidR="005F541A">
        <w:rPr>
          <w:rFonts w:cstheme="minorHAnsi"/>
        </w:rPr>
        <w:t>Sector M</w:t>
      </w:r>
      <w:r w:rsidR="005F541A" w:rsidRPr="006C077C">
        <w:rPr>
          <w:rFonts w:cstheme="minorHAnsi"/>
        </w:rPr>
        <w:t>embers</w:t>
      </w:r>
      <w:r w:rsidRPr="006C077C">
        <w:rPr>
          <w:rFonts w:cstheme="minorHAnsi"/>
        </w:rPr>
        <w:t>, public and private sector, multilateral organizations, financing institutions, development agencies, etc. in order to ensure that national, regional, and global projects are implemented, leading to sustainable development. It is used as seed funding with a view to mobilize substantial resources from members</w:t>
      </w:r>
      <w:r>
        <w:rPr>
          <w:rFonts w:cstheme="minorHAnsi"/>
        </w:rPr>
        <w:t>hip</w:t>
      </w:r>
      <w:r w:rsidRPr="006C077C">
        <w:rPr>
          <w:rFonts w:cstheme="minorHAnsi"/>
        </w:rPr>
        <w:t xml:space="preserve"> and partners to cover the total projects</w:t>
      </w:r>
      <w:r w:rsidR="005F541A">
        <w:rPr>
          <w:rFonts w:cstheme="minorHAnsi"/>
        </w:rPr>
        <w:t>’</w:t>
      </w:r>
      <w:r w:rsidRPr="006C077C">
        <w:rPr>
          <w:rFonts w:cstheme="minorHAnsi"/>
        </w:rPr>
        <w:t xml:space="preserve"> funding needs. </w:t>
      </w:r>
    </w:p>
    <w:p w:rsidR="00A23336" w:rsidRPr="00F460AB" w:rsidRDefault="00A23336" w:rsidP="00F460AB">
      <w:pPr>
        <w:keepNext/>
        <w:keepLines/>
        <w:tabs>
          <w:tab w:val="clear" w:pos="567"/>
          <w:tab w:val="clear" w:pos="1134"/>
          <w:tab w:val="clear" w:pos="1701"/>
          <w:tab w:val="clear" w:pos="2268"/>
          <w:tab w:val="clear" w:pos="2835"/>
        </w:tabs>
        <w:snapToGrid w:val="0"/>
        <w:spacing w:after="120"/>
        <w:jc w:val="both"/>
        <w:rPr>
          <w:szCs w:val="24"/>
        </w:rPr>
      </w:pPr>
      <w:r w:rsidRPr="00F460AB">
        <w:rPr>
          <w:szCs w:val="24"/>
        </w:rPr>
        <w:lastRenderedPageBreak/>
        <w:t>1.3</w:t>
      </w:r>
      <w:r w:rsidRPr="00F460AB">
        <w:rPr>
          <w:szCs w:val="24"/>
        </w:rPr>
        <w:tab/>
        <w:t>The ICT-DF Steering Committee (ICT-DF SC)</w:t>
      </w:r>
      <w:r w:rsidRPr="00F460AB">
        <w:rPr>
          <w:rStyle w:val="FootnoteReference"/>
          <w:sz w:val="20"/>
        </w:rPr>
        <w:footnoteReference w:id="1"/>
      </w:r>
      <w:r w:rsidRPr="00F460AB">
        <w:rPr>
          <w:szCs w:val="24"/>
        </w:rPr>
        <w:t xml:space="preserve"> aims to a) review and approve the projects submitted for funding from the ICT-DF, b) approve the amount of funding from the ICT-DF to be allocated to the approved projects, and c) monitor the implementation and budgetary performance of the projects supported by the ICT-DF.</w:t>
      </w:r>
    </w:p>
    <w:p w:rsidR="00A23336" w:rsidRPr="00F460AB" w:rsidRDefault="00A23336" w:rsidP="00F460AB">
      <w:pPr>
        <w:tabs>
          <w:tab w:val="clear" w:pos="567"/>
          <w:tab w:val="clear" w:pos="1134"/>
          <w:tab w:val="clear" w:pos="1701"/>
          <w:tab w:val="clear" w:pos="2268"/>
          <w:tab w:val="clear" w:pos="2835"/>
        </w:tabs>
        <w:snapToGrid w:val="0"/>
        <w:spacing w:before="480" w:after="120"/>
        <w:rPr>
          <w:rFonts w:cstheme="minorHAnsi"/>
          <w:b/>
          <w:szCs w:val="24"/>
        </w:rPr>
      </w:pPr>
      <w:r w:rsidRPr="00F460AB">
        <w:rPr>
          <w:rFonts w:cstheme="minorHAnsi"/>
          <w:b/>
          <w:szCs w:val="24"/>
        </w:rPr>
        <w:t>2</w:t>
      </w:r>
      <w:r w:rsidRPr="00F460AB">
        <w:rPr>
          <w:rFonts w:cstheme="minorHAnsi"/>
          <w:b/>
          <w:szCs w:val="24"/>
        </w:rPr>
        <w:tab/>
        <w:t>Main Activities and Progress of ICT-DF</w:t>
      </w:r>
    </w:p>
    <w:p w:rsidR="00A23336" w:rsidRPr="00F460AB" w:rsidRDefault="00A23336" w:rsidP="005F541A">
      <w:pPr>
        <w:tabs>
          <w:tab w:val="clear" w:pos="567"/>
          <w:tab w:val="clear" w:pos="1134"/>
          <w:tab w:val="clear" w:pos="1701"/>
          <w:tab w:val="clear" w:pos="2268"/>
          <w:tab w:val="clear" w:pos="2835"/>
        </w:tabs>
        <w:snapToGrid w:val="0"/>
        <w:spacing w:after="120"/>
        <w:jc w:val="both"/>
        <w:rPr>
          <w:rFonts w:cstheme="minorHAnsi"/>
          <w:bCs/>
          <w:color w:val="000000" w:themeColor="text1"/>
          <w:szCs w:val="24"/>
        </w:rPr>
      </w:pPr>
      <w:r w:rsidRPr="00F460AB">
        <w:rPr>
          <w:rFonts w:cstheme="minorHAnsi"/>
          <w:color w:val="000000" w:themeColor="text1"/>
          <w:szCs w:val="24"/>
        </w:rPr>
        <w:t>2.1</w:t>
      </w:r>
      <w:r w:rsidRPr="00F460AB">
        <w:rPr>
          <w:rFonts w:cstheme="minorHAnsi"/>
          <w:color w:val="000000" w:themeColor="text1"/>
          <w:szCs w:val="24"/>
        </w:rPr>
        <w:tab/>
        <w:t>Members of the ICT-DF Steering Committee met on 1 September 2016 (</w:t>
      </w:r>
      <w:r w:rsidRPr="00F460AB">
        <w:rPr>
          <w:rFonts w:cstheme="minorHAnsi"/>
          <w:bCs/>
          <w:color w:val="000000" w:themeColor="text1"/>
          <w:szCs w:val="24"/>
        </w:rPr>
        <w:t>50th</w:t>
      </w:r>
      <w:r w:rsidRPr="00F460AB">
        <w:rPr>
          <w:rFonts w:cstheme="minorHAnsi"/>
          <w:bCs/>
          <w:color w:val="000000" w:themeColor="text1"/>
          <w:szCs w:val="24"/>
          <w:vertAlign w:val="superscript"/>
        </w:rPr>
        <w:t> </w:t>
      </w:r>
      <w:r w:rsidRPr="00F460AB">
        <w:rPr>
          <w:rFonts w:cstheme="minorHAnsi"/>
          <w:bCs/>
          <w:color w:val="000000" w:themeColor="text1"/>
          <w:szCs w:val="24"/>
        </w:rPr>
        <w:t>ICT</w:t>
      </w:r>
      <w:r w:rsidRPr="00F460AB">
        <w:rPr>
          <w:rFonts w:cstheme="minorHAnsi"/>
          <w:bCs/>
          <w:color w:val="000000" w:themeColor="text1"/>
          <w:szCs w:val="24"/>
        </w:rPr>
        <w:noBreakHyphen/>
        <w:t>DF SC meeting) and 14 March 2017 (51</w:t>
      </w:r>
      <w:r w:rsidR="005F541A">
        <w:rPr>
          <w:rFonts w:cstheme="minorHAnsi"/>
          <w:bCs/>
          <w:color w:val="000000" w:themeColor="text1"/>
          <w:szCs w:val="24"/>
        </w:rPr>
        <w:t>s</w:t>
      </w:r>
      <w:r w:rsidRPr="00F460AB">
        <w:rPr>
          <w:rFonts w:cstheme="minorHAnsi"/>
          <w:bCs/>
          <w:color w:val="000000" w:themeColor="text1"/>
          <w:szCs w:val="24"/>
        </w:rPr>
        <w:t>t ICT-DF SC meeting)</w:t>
      </w:r>
      <w:r w:rsidR="005F541A">
        <w:rPr>
          <w:rFonts w:cstheme="minorHAnsi"/>
          <w:bCs/>
          <w:color w:val="000000" w:themeColor="text1"/>
          <w:szCs w:val="24"/>
        </w:rPr>
        <w:t>.</w:t>
      </w:r>
    </w:p>
    <w:p w:rsidR="00A23336" w:rsidRPr="00F460AB" w:rsidRDefault="00A23336" w:rsidP="005F541A">
      <w:pPr>
        <w:tabs>
          <w:tab w:val="clear" w:pos="567"/>
          <w:tab w:val="clear" w:pos="1134"/>
          <w:tab w:val="clear" w:pos="1701"/>
          <w:tab w:val="clear" w:pos="2268"/>
          <w:tab w:val="clear" w:pos="2835"/>
        </w:tabs>
        <w:snapToGrid w:val="0"/>
        <w:spacing w:after="120"/>
        <w:jc w:val="both"/>
        <w:rPr>
          <w:color w:val="000000" w:themeColor="text1"/>
          <w:szCs w:val="24"/>
          <w:lang w:val="en-US"/>
        </w:rPr>
      </w:pPr>
      <w:r w:rsidRPr="00F460AB">
        <w:rPr>
          <w:color w:val="000000" w:themeColor="text1"/>
          <w:szCs w:val="24"/>
          <w:lang w:val="en-US"/>
        </w:rPr>
        <w:t>2.2</w:t>
      </w:r>
      <w:r w:rsidRPr="00F460AB">
        <w:rPr>
          <w:color w:val="000000" w:themeColor="text1"/>
          <w:szCs w:val="24"/>
          <w:lang w:val="en-US"/>
        </w:rPr>
        <w:tab/>
        <w:t>The 50th ICT-DF SC reviewed and approved to fund the following two projects</w:t>
      </w:r>
      <w:r w:rsidR="005F541A">
        <w:rPr>
          <w:color w:val="000000" w:themeColor="text1"/>
          <w:szCs w:val="24"/>
          <w:lang w:val="en-US"/>
        </w:rPr>
        <w:t>,</w:t>
      </w:r>
      <w:r w:rsidRPr="00F460AB">
        <w:rPr>
          <w:color w:val="000000" w:themeColor="text1"/>
          <w:szCs w:val="24"/>
          <w:lang w:val="en-US"/>
        </w:rPr>
        <w:t xml:space="preserve"> e.g.</w:t>
      </w:r>
      <w:r w:rsidR="005F541A">
        <w:rPr>
          <w:color w:val="000000" w:themeColor="text1"/>
          <w:szCs w:val="24"/>
          <w:lang w:val="en-US"/>
        </w:rPr>
        <w:t>:</w:t>
      </w:r>
    </w:p>
    <w:p w:rsidR="00A23336" w:rsidRPr="00F460AB" w:rsidRDefault="00A23336" w:rsidP="005F541A">
      <w:pPr>
        <w:pStyle w:val="ListParagraph"/>
        <w:numPr>
          <w:ilvl w:val="0"/>
          <w:numId w:val="2"/>
        </w:numPr>
        <w:snapToGrid w:val="0"/>
        <w:spacing w:before="120" w:after="120" w:line="240" w:lineRule="auto"/>
        <w:ind w:left="714" w:hanging="357"/>
        <w:contextualSpacing w:val="0"/>
        <w:jc w:val="both"/>
        <w:rPr>
          <w:rFonts w:asciiTheme="minorHAnsi" w:hAnsiTheme="minorHAnsi"/>
          <w:sz w:val="24"/>
          <w:szCs w:val="24"/>
          <w:lang w:val="en-US"/>
        </w:rPr>
      </w:pPr>
      <w:r w:rsidRPr="00F460AB">
        <w:rPr>
          <w:rFonts w:asciiTheme="minorHAnsi" w:hAnsiTheme="minorHAnsi"/>
          <w:b/>
          <w:bCs/>
          <w:i/>
          <w:iCs/>
          <w:color w:val="000000"/>
          <w:sz w:val="24"/>
          <w:szCs w:val="24"/>
          <w:lang w:val="en-US"/>
        </w:rPr>
        <w:t xml:space="preserve">Establishment of an Arab Regional Information and Communications Technology (ICT) Center for Persons with </w:t>
      </w:r>
      <w:r w:rsidRPr="00F460AB">
        <w:rPr>
          <w:rFonts w:asciiTheme="minorHAnsi" w:hAnsiTheme="minorHAnsi"/>
          <w:b/>
          <w:bCs/>
          <w:i/>
          <w:iCs/>
          <w:sz w:val="24"/>
          <w:szCs w:val="24"/>
          <w:lang w:val="en-US"/>
        </w:rPr>
        <w:t>disabilities (</w:t>
      </w:r>
      <w:proofErr w:type="spellStart"/>
      <w:r w:rsidRPr="00F460AB">
        <w:rPr>
          <w:rFonts w:asciiTheme="minorHAnsi" w:hAnsiTheme="minorHAnsi"/>
          <w:b/>
          <w:bCs/>
          <w:i/>
          <w:iCs/>
          <w:sz w:val="24"/>
          <w:szCs w:val="24"/>
          <w:lang w:val="en-US"/>
        </w:rPr>
        <w:t>PwDs</w:t>
      </w:r>
      <w:proofErr w:type="spellEnd"/>
      <w:r w:rsidRPr="00F460AB">
        <w:rPr>
          <w:rFonts w:asciiTheme="minorHAnsi" w:hAnsiTheme="minorHAnsi"/>
          <w:b/>
          <w:bCs/>
          <w:i/>
          <w:iCs/>
          <w:sz w:val="24"/>
          <w:szCs w:val="24"/>
          <w:lang w:val="en-US"/>
        </w:rPr>
        <w:t>)</w:t>
      </w:r>
      <w:r w:rsidRPr="00F460AB">
        <w:rPr>
          <w:rFonts w:asciiTheme="minorHAnsi" w:hAnsiTheme="minorHAnsi"/>
          <w:b/>
          <w:bCs/>
          <w:sz w:val="24"/>
          <w:szCs w:val="24"/>
          <w:lang w:val="en-US"/>
        </w:rPr>
        <w:t>:</w:t>
      </w:r>
      <w:r w:rsidRPr="00F460AB">
        <w:rPr>
          <w:rFonts w:asciiTheme="minorHAnsi" w:hAnsiTheme="minorHAnsi"/>
          <w:sz w:val="24"/>
          <w:szCs w:val="24"/>
          <w:lang w:val="en-US"/>
        </w:rPr>
        <w:t xml:space="preserve"> This project relates to the implementation of the WTDC-14 Arab States Regional Initiative titled </w:t>
      </w:r>
      <w:r w:rsidR="005F541A">
        <w:rPr>
          <w:rFonts w:asciiTheme="minorHAnsi" w:hAnsiTheme="minorHAnsi"/>
          <w:sz w:val="24"/>
          <w:szCs w:val="24"/>
          <w:lang w:val="en-US"/>
        </w:rPr>
        <w:t>“</w:t>
      </w:r>
      <w:r w:rsidRPr="00F460AB">
        <w:rPr>
          <w:rFonts w:asciiTheme="minorHAnsi" w:hAnsiTheme="minorHAnsi"/>
          <w:sz w:val="24"/>
          <w:szCs w:val="24"/>
          <w:lang w:val="en-US"/>
        </w:rPr>
        <w:t>Ensuring access to telecommunications/ICTs, in particular for persons with disabilities</w:t>
      </w:r>
      <w:r w:rsidR="005F541A">
        <w:rPr>
          <w:rFonts w:asciiTheme="minorHAnsi" w:hAnsiTheme="minorHAnsi"/>
          <w:sz w:val="24"/>
          <w:szCs w:val="24"/>
          <w:lang w:val="en-US"/>
        </w:rPr>
        <w:t>”</w:t>
      </w:r>
      <w:r w:rsidRPr="00F460AB">
        <w:rPr>
          <w:rFonts w:asciiTheme="minorHAnsi" w:hAnsiTheme="minorHAnsi"/>
          <w:sz w:val="24"/>
          <w:szCs w:val="24"/>
          <w:lang w:val="en-US"/>
        </w:rPr>
        <w:t>. It aims to establish a Regional ICT Center for Persons with Disabilities (</w:t>
      </w:r>
      <w:proofErr w:type="spellStart"/>
      <w:r w:rsidRPr="00F460AB">
        <w:rPr>
          <w:rFonts w:asciiTheme="minorHAnsi" w:hAnsiTheme="minorHAnsi"/>
          <w:sz w:val="24"/>
          <w:szCs w:val="24"/>
          <w:lang w:val="en-US"/>
        </w:rPr>
        <w:t>PwDs</w:t>
      </w:r>
      <w:proofErr w:type="spellEnd"/>
      <w:r w:rsidRPr="00F460AB">
        <w:rPr>
          <w:rFonts w:asciiTheme="minorHAnsi" w:hAnsiTheme="minorHAnsi"/>
          <w:sz w:val="24"/>
          <w:szCs w:val="24"/>
          <w:lang w:val="en-US"/>
        </w:rPr>
        <w:t xml:space="preserve">) for the Arab region to promote ICT Accessibility with the aim of supporting regional stakeholders in their efforts towards the inclusion and empowerment of </w:t>
      </w:r>
      <w:proofErr w:type="spellStart"/>
      <w:r w:rsidRPr="00F460AB">
        <w:rPr>
          <w:rFonts w:asciiTheme="minorHAnsi" w:hAnsiTheme="minorHAnsi"/>
          <w:sz w:val="24"/>
          <w:szCs w:val="24"/>
          <w:lang w:val="en-US"/>
        </w:rPr>
        <w:t>PwDs</w:t>
      </w:r>
      <w:proofErr w:type="spellEnd"/>
      <w:r w:rsidRPr="00F460AB">
        <w:rPr>
          <w:rFonts w:asciiTheme="minorHAnsi" w:hAnsiTheme="minorHAnsi"/>
          <w:sz w:val="24"/>
          <w:szCs w:val="24"/>
          <w:lang w:val="en-US"/>
        </w:rPr>
        <w:t xml:space="preserve"> in the Arab region through the development and provision of affordable and customized accessible ICT tools. This three</w:t>
      </w:r>
      <w:r w:rsidR="005F541A">
        <w:rPr>
          <w:rFonts w:asciiTheme="minorHAnsi" w:hAnsiTheme="minorHAnsi"/>
          <w:sz w:val="24"/>
          <w:szCs w:val="24"/>
          <w:lang w:val="en-US"/>
        </w:rPr>
        <w:t>-</w:t>
      </w:r>
      <w:r w:rsidRPr="00F460AB">
        <w:rPr>
          <w:rFonts w:asciiTheme="minorHAnsi" w:hAnsiTheme="minorHAnsi"/>
          <w:sz w:val="24"/>
          <w:szCs w:val="24"/>
          <w:lang w:val="en-US"/>
        </w:rPr>
        <w:t xml:space="preserve">year project was signed on </w:t>
      </w:r>
      <w:r w:rsidR="005F541A">
        <w:rPr>
          <w:rFonts w:asciiTheme="minorHAnsi" w:hAnsiTheme="minorHAnsi"/>
          <w:sz w:val="24"/>
          <w:szCs w:val="24"/>
          <w:lang w:val="en-US"/>
        </w:rPr>
        <w:t>27 November</w:t>
      </w:r>
      <w:r w:rsidRPr="00F460AB">
        <w:rPr>
          <w:rFonts w:asciiTheme="minorHAnsi" w:hAnsiTheme="minorHAnsi"/>
          <w:sz w:val="24"/>
          <w:szCs w:val="24"/>
          <w:lang w:val="en-US"/>
        </w:rPr>
        <w:t xml:space="preserve"> 2016 between ITU and the Ministry of Communications and Information Technology of Egypt.</w:t>
      </w:r>
    </w:p>
    <w:p w:rsidR="00A23336" w:rsidRPr="00F460AB" w:rsidRDefault="00A23336" w:rsidP="005F541A">
      <w:pPr>
        <w:pStyle w:val="ListParagraph"/>
        <w:numPr>
          <w:ilvl w:val="0"/>
          <w:numId w:val="2"/>
        </w:numPr>
        <w:snapToGrid w:val="0"/>
        <w:spacing w:before="120" w:after="120" w:line="240" w:lineRule="auto"/>
        <w:ind w:left="714" w:hanging="357"/>
        <w:contextualSpacing w:val="0"/>
        <w:jc w:val="both"/>
        <w:rPr>
          <w:rFonts w:asciiTheme="minorHAnsi" w:hAnsiTheme="minorHAnsi"/>
          <w:color w:val="000000" w:themeColor="text1"/>
          <w:sz w:val="24"/>
          <w:szCs w:val="24"/>
          <w:lang w:val="en-US"/>
        </w:rPr>
      </w:pPr>
      <w:r w:rsidRPr="0049228E">
        <w:rPr>
          <w:rFonts w:asciiTheme="minorHAnsi" w:hAnsiTheme="minorHAnsi"/>
          <w:b/>
          <w:bCs/>
          <w:i/>
          <w:iCs/>
          <w:spacing w:val="2"/>
          <w:sz w:val="24"/>
          <w:szCs w:val="24"/>
          <w:lang w:val="en-US"/>
        </w:rPr>
        <w:t>Implementation of a Wireless Broadband Network in Madagascar</w:t>
      </w:r>
      <w:r w:rsidRPr="0049228E">
        <w:rPr>
          <w:rFonts w:asciiTheme="minorHAnsi" w:hAnsiTheme="minorHAnsi"/>
          <w:b/>
          <w:bCs/>
          <w:color w:val="000000" w:themeColor="text1"/>
          <w:spacing w:val="2"/>
          <w:sz w:val="24"/>
          <w:szCs w:val="24"/>
          <w:lang w:val="en-US"/>
        </w:rPr>
        <w:t>:</w:t>
      </w:r>
      <w:r w:rsidRPr="0049228E">
        <w:rPr>
          <w:rFonts w:asciiTheme="minorHAnsi" w:hAnsiTheme="minorHAnsi"/>
          <w:i/>
          <w:iCs/>
          <w:color w:val="000000" w:themeColor="text1"/>
          <w:spacing w:val="2"/>
          <w:sz w:val="24"/>
          <w:szCs w:val="24"/>
          <w:lang w:val="en-US"/>
        </w:rPr>
        <w:t xml:space="preserve"> </w:t>
      </w:r>
      <w:r w:rsidRPr="0049228E">
        <w:rPr>
          <w:rFonts w:asciiTheme="minorHAnsi" w:hAnsiTheme="minorHAnsi"/>
          <w:color w:val="000000" w:themeColor="text1"/>
          <w:spacing w:val="2"/>
          <w:sz w:val="24"/>
          <w:szCs w:val="24"/>
          <w:lang w:val="en-US"/>
        </w:rPr>
        <w:t>Taking into account</w:t>
      </w:r>
      <w:r w:rsidRPr="00F460AB">
        <w:rPr>
          <w:rFonts w:asciiTheme="minorHAnsi" w:hAnsiTheme="minorHAnsi"/>
          <w:color w:val="000000" w:themeColor="text1"/>
          <w:sz w:val="24"/>
          <w:szCs w:val="24"/>
          <w:lang w:val="en-US"/>
        </w:rPr>
        <w:t xml:space="preserve"> PP-14 Resolution 124</w:t>
      </w:r>
      <w:r w:rsidR="005F541A">
        <w:rPr>
          <w:rFonts w:asciiTheme="minorHAnsi" w:hAnsiTheme="minorHAnsi"/>
          <w:color w:val="000000" w:themeColor="text1"/>
          <w:sz w:val="24"/>
          <w:szCs w:val="24"/>
          <w:lang w:val="en-US"/>
        </w:rPr>
        <w:t>,</w:t>
      </w:r>
      <w:r w:rsidRPr="00F460AB">
        <w:rPr>
          <w:rFonts w:asciiTheme="minorHAnsi" w:hAnsiTheme="minorHAnsi"/>
          <w:color w:val="000000" w:themeColor="text1"/>
          <w:sz w:val="24"/>
          <w:szCs w:val="24"/>
          <w:lang w:val="en-US"/>
        </w:rPr>
        <w:t xml:space="preserve"> </w:t>
      </w:r>
      <w:r w:rsidRPr="00F460AB">
        <w:rPr>
          <w:rFonts w:asciiTheme="minorHAnsi" w:hAnsiTheme="minorHAnsi"/>
          <w:i/>
          <w:iCs/>
          <w:color w:val="000000" w:themeColor="text1"/>
          <w:sz w:val="24"/>
          <w:szCs w:val="24"/>
          <w:lang w:val="en-US"/>
        </w:rPr>
        <w:t>Support the New Partnership for Africa</w:t>
      </w:r>
      <w:r w:rsidR="005F541A">
        <w:rPr>
          <w:rFonts w:asciiTheme="minorHAnsi" w:hAnsiTheme="minorHAnsi"/>
          <w:i/>
          <w:iCs/>
          <w:color w:val="000000" w:themeColor="text1"/>
          <w:sz w:val="24"/>
          <w:szCs w:val="24"/>
          <w:lang w:val="en-US"/>
        </w:rPr>
        <w:t>’</w:t>
      </w:r>
      <w:r w:rsidRPr="00F460AB">
        <w:rPr>
          <w:rFonts w:asciiTheme="minorHAnsi" w:hAnsiTheme="minorHAnsi"/>
          <w:i/>
          <w:iCs/>
          <w:color w:val="000000" w:themeColor="text1"/>
          <w:sz w:val="24"/>
          <w:szCs w:val="24"/>
          <w:lang w:val="en-US"/>
        </w:rPr>
        <w:t>s Development</w:t>
      </w:r>
      <w:r w:rsidRPr="00F460AB">
        <w:rPr>
          <w:rFonts w:asciiTheme="minorHAnsi" w:hAnsiTheme="minorHAnsi"/>
          <w:color w:val="000000" w:themeColor="text1"/>
          <w:sz w:val="24"/>
          <w:szCs w:val="24"/>
          <w:lang w:val="en-US"/>
        </w:rPr>
        <w:t xml:space="preserve">, this project aims to improve connectivity through installing a Wireless Broadband Network to connect schools, hospitals and public facilities with developing ICT applications and </w:t>
      </w:r>
      <w:bookmarkStart w:id="10" w:name="_GoBack"/>
      <w:bookmarkEnd w:id="10"/>
      <w:r w:rsidRPr="00F460AB">
        <w:rPr>
          <w:rFonts w:asciiTheme="minorHAnsi" w:hAnsiTheme="minorHAnsi"/>
          <w:color w:val="000000" w:themeColor="text1"/>
          <w:sz w:val="24"/>
          <w:szCs w:val="24"/>
          <w:lang w:val="en-US"/>
        </w:rPr>
        <w:t>building human capacity. Similar projects have been implemented in other African countries such as Burundi, Djibouti, Mali, Burkina Faso, Rwanda, Lesotho</w:t>
      </w:r>
      <w:r w:rsidR="005F541A">
        <w:rPr>
          <w:rFonts w:asciiTheme="minorHAnsi" w:hAnsiTheme="minorHAnsi"/>
          <w:color w:val="000000" w:themeColor="text1"/>
          <w:sz w:val="24"/>
          <w:szCs w:val="24"/>
          <w:lang w:val="en-US"/>
        </w:rPr>
        <w:t>,</w:t>
      </w:r>
      <w:r w:rsidRPr="00F460AB">
        <w:rPr>
          <w:rFonts w:asciiTheme="minorHAnsi" w:hAnsiTheme="minorHAnsi"/>
          <w:color w:val="000000" w:themeColor="text1"/>
          <w:sz w:val="24"/>
          <w:szCs w:val="24"/>
          <w:lang w:val="en-US"/>
        </w:rPr>
        <w:t xml:space="preserve"> and Swaziland. </w:t>
      </w:r>
    </w:p>
    <w:p w:rsidR="00A23336" w:rsidRPr="00F460AB" w:rsidRDefault="0049228E" w:rsidP="005F541A">
      <w:pPr>
        <w:tabs>
          <w:tab w:val="clear" w:pos="567"/>
          <w:tab w:val="clear" w:pos="1134"/>
          <w:tab w:val="clear" w:pos="1701"/>
          <w:tab w:val="clear" w:pos="2268"/>
          <w:tab w:val="clear" w:pos="2835"/>
        </w:tabs>
        <w:snapToGrid w:val="0"/>
        <w:spacing w:after="120"/>
        <w:jc w:val="both"/>
        <w:rPr>
          <w:color w:val="000000" w:themeColor="text1"/>
          <w:szCs w:val="24"/>
          <w:lang w:val="en-US"/>
        </w:rPr>
      </w:pPr>
      <w:r>
        <w:rPr>
          <w:color w:val="000000" w:themeColor="text1"/>
          <w:szCs w:val="24"/>
          <w:lang w:val="en-US"/>
        </w:rPr>
        <w:t>2.3</w:t>
      </w:r>
      <w:r w:rsidR="00A23336" w:rsidRPr="00F460AB">
        <w:rPr>
          <w:color w:val="000000" w:themeColor="text1"/>
          <w:szCs w:val="24"/>
          <w:lang w:val="en-US"/>
        </w:rPr>
        <w:tab/>
        <w:t>The 51</w:t>
      </w:r>
      <w:r w:rsidR="005F541A">
        <w:rPr>
          <w:color w:val="000000" w:themeColor="text1"/>
          <w:szCs w:val="24"/>
          <w:lang w:val="en-US"/>
        </w:rPr>
        <w:t>s</w:t>
      </w:r>
      <w:r w:rsidR="00A23336" w:rsidRPr="00F460AB">
        <w:rPr>
          <w:color w:val="000000" w:themeColor="text1"/>
          <w:szCs w:val="24"/>
          <w:lang w:val="en-US"/>
        </w:rPr>
        <w:t>t ICT-DF SC reviewed and approved the following three projects</w:t>
      </w:r>
      <w:r w:rsidR="005F541A">
        <w:rPr>
          <w:color w:val="000000" w:themeColor="text1"/>
          <w:szCs w:val="24"/>
          <w:lang w:val="en-US"/>
        </w:rPr>
        <w:t>,</w:t>
      </w:r>
      <w:r w:rsidR="00A23336" w:rsidRPr="00F460AB">
        <w:rPr>
          <w:color w:val="000000" w:themeColor="text1"/>
          <w:szCs w:val="24"/>
          <w:lang w:val="en-US"/>
        </w:rPr>
        <w:t xml:space="preserve"> e.g.</w:t>
      </w:r>
      <w:r w:rsidR="005F541A">
        <w:rPr>
          <w:color w:val="000000" w:themeColor="text1"/>
          <w:szCs w:val="24"/>
          <w:lang w:val="en-US"/>
        </w:rPr>
        <w:t>:</w:t>
      </w:r>
      <w:r w:rsidR="00A23336" w:rsidRPr="00F460AB">
        <w:rPr>
          <w:color w:val="000000" w:themeColor="text1"/>
          <w:szCs w:val="24"/>
          <w:lang w:val="en-US"/>
        </w:rPr>
        <w:t xml:space="preserve"> </w:t>
      </w:r>
    </w:p>
    <w:p w:rsidR="00A23336" w:rsidRPr="00F460AB" w:rsidRDefault="00A23336" w:rsidP="00A23336">
      <w:pPr>
        <w:pStyle w:val="ListParagraph"/>
        <w:widowControl/>
        <w:numPr>
          <w:ilvl w:val="0"/>
          <w:numId w:val="3"/>
        </w:numPr>
        <w:kinsoku/>
        <w:snapToGrid w:val="0"/>
        <w:spacing w:before="120" w:after="120" w:line="240" w:lineRule="auto"/>
        <w:ind w:left="714" w:hanging="357"/>
        <w:contextualSpacing w:val="0"/>
        <w:jc w:val="both"/>
        <w:rPr>
          <w:rFonts w:asciiTheme="minorHAnsi" w:hAnsiTheme="minorHAnsi"/>
          <w:color w:val="000000" w:themeColor="text1"/>
          <w:sz w:val="24"/>
          <w:szCs w:val="24"/>
          <w:lang w:val="en-US"/>
        </w:rPr>
      </w:pPr>
      <w:r w:rsidRPr="00F460AB">
        <w:rPr>
          <w:rFonts w:asciiTheme="minorHAnsi" w:hAnsiTheme="minorHAnsi"/>
          <w:b/>
          <w:bCs/>
          <w:i/>
          <w:iCs/>
          <w:color w:val="000000" w:themeColor="text1"/>
          <w:sz w:val="24"/>
          <w:szCs w:val="24"/>
          <w:lang w:val="en-US"/>
        </w:rPr>
        <w:t>Support for Development of a Bahamas Smart Island - Smart Bahamas</w:t>
      </w:r>
      <w:r w:rsidRPr="00F460AB">
        <w:rPr>
          <w:rFonts w:asciiTheme="minorHAnsi" w:hAnsiTheme="minorHAnsi"/>
          <w:i/>
          <w:iCs/>
          <w:color w:val="000000" w:themeColor="text1"/>
          <w:sz w:val="24"/>
          <w:szCs w:val="24"/>
          <w:lang w:val="en-US"/>
        </w:rPr>
        <w:t xml:space="preserve">: </w:t>
      </w:r>
      <w:r w:rsidRPr="00F460AB">
        <w:rPr>
          <w:rFonts w:asciiTheme="minorHAnsi" w:hAnsiTheme="minorHAnsi"/>
          <w:color w:val="000000" w:themeColor="text1"/>
          <w:sz w:val="24"/>
          <w:szCs w:val="24"/>
          <w:lang w:val="en-US"/>
        </w:rPr>
        <w:t xml:space="preserve">This project aims to support the Bahamas, as a case for other small islands developing states (SIDS), to build one of the first </w:t>
      </w:r>
      <w:r w:rsidR="005F541A">
        <w:rPr>
          <w:rFonts w:asciiTheme="minorHAnsi" w:hAnsiTheme="minorHAnsi"/>
          <w:color w:val="000000" w:themeColor="text1"/>
          <w:sz w:val="24"/>
          <w:szCs w:val="24"/>
          <w:lang w:val="en-US"/>
        </w:rPr>
        <w:t>“</w:t>
      </w:r>
      <w:r w:rsidRPr="00F460AB">
        <w:rPr>
          <w:rFonts w:asciiTheme="minorHAnsi" w:hAnsiTheme="minorHAnsi"/>
          <w:color w:val="000000" w:themeColor="text1"/>
          <w:sz w:val="24"/>
          <w:szCs w:val="24"/>
          <w:lang w:val="en-US"/>
        </w:rPr>
        <w:t>Smart Islands</w:t>
      </w:r>
      <w:r w:rsidR="005F541A">
        <w:rPr>
          <w:rFonts w:asciiTheme="minorHAnsi" w:hAnsiTheme="minorHAnsi"/>
          <w:color w:val="000000" w:themeColor="text1"/>
          <w:sz w:val="24"/>
          <w:szCs w:val="24"/>
          <w:lang w:val="en-US"/>
        </w:rPr>
        <w:t>”</w:t>
      </w:r>
      <w:r w:rsidRPr="00F460AB">
        <w:rPr>
          <w:rFonts w:asciiTheme="minorHAnsi" w:hAnsiTheme="minorHAnsi"/>
          <w:color w:val="000000" w:themeColor="text1"/>
          <w:sz w:val="24"/>
          <w:szCs w:val="24"/>
          <w:lang w:val="en-US"/>
        </w:rPr>
        <w:t xml:space="preserve"> in the Americas region through developing and making use of ICTs to improve the quality of life of citizens, encourage more efficient and competitive enterprises in the country and provide more and better public services in a sustainable manner. It has a potential to replicate its success, if so, to other </w:t>
      </w:r>
      <w:r w:rsidR="005F541A" w:rsidRPr="00F460AB">
        <w:rPr>
          <w:rFonts w:asciiTheme="minorHAnsi" w:hAnsiTheme="minorHAnsi"/>
          <w:color w:val="000000" w:themeColor="text1"/>
          <w:sz w:val="24"/>
          <w:szCs w:val="24"/>
          <w:lang w:val="en-US"/>
        </w:rPr>
        <w:t xml:space="preserve">island states </w:t>
      </w:r>
      <w:r w:rsidRPr="00F460AB">
        <w:rPr>
          <w:rFonts w:asciiTheme="minorHAnsi" w:hAnsiTheme="minorHAnsi"/>
          <w:color w:val="000000" w:themeColor="text1"/>
          <w:sz w:val="24"/>
          <w:szCs w:val="24"/>
          <w:lang w:val="en-US"/>
        </w:rPr>
        <w:t xml:space="preserve">in the Caribbean and beyond. </w:t>
      </w:r>
    </w:p>
    <w:p w:rsidR="00A23336" w:rsidRPr="00F460AB" w:rsidRDefault="00A23336" w:rsidP="00A23336">
      <w:pPr>
        <w:pStyle w:val="ListParagraph"/>
        <w:widowControl/>
        <w:numPr>
          <w:ilvl w:val="0"/>
          <w:numId w:val="3"/>
        </w:numPr>
        <w:kinsoku/>
        <w:snapToGrid w:val="0"/>
        <w:spacing w:before="120" w:after="120" w:line="240" w:lineRule="auto"/>
        <w:ind w:left="714" w:hanging="357"/>
        <w:contextualSpacing w:val="0"/>
        <w:jc w:val="both"/>
        <w:rPr>
          <w:rFonts w:asciiTheme="minorHAnsi" w:hAnsiTheme="minorHAnsi"/>
          <w:color w:val="000000" w:themeColor="text1"/>
          <w:sz w:val="24"/>
          <w:szCs w:val="24"/>
          <w:lang w:val="en-US"/>
        </w:rPr>
      </w:pPr>
      <w:r w:rsidRPr="00F460AB">
        <w:rPr>
          <w:rFonts w:asciiTheme="minorHAnsi" w:hAnsiTheme="minorHAnsi"/>
          <w:b/>
          <w:bCs/>
          <w:i/>
          <w:iCs/>
          <w:color w:val="000000" w:themeColor="text1"/>
          <w:sz w:val="24"/>
          <w:szCs w:val="24"/>
          <w:lang w:val="en-US"/>
        </w:rPr>
        <w:t>Monitoring of the Radio Spectrum in Cuba</w:t>
      </w:r>
      <w:r w:rsidRPr="00F460AB">
        <w:rPr>
          <w:rFonts w:asciiTheme="minorHAnsi" w:hAnsiTheme="minorHAnsi"/>
          <w:color w:val="000000" w:themeColor="text1"/>
          <w:sz w:val="24"/>
          <w:szCs w:val="24"/>
          <w:lang w:val="en-US"/>
        </w:rPr>
        <w:t>: This project aims to modernize the spectrum monitoring system currently in place at the fixed monitoring station in Havana, Cuba, and thus strengthen the monitoring spectrum. The modernized fixed monitoring station is expected to increase the capacity and capability to monitor and measure the technical parameters of radio stations, radio direction-finding</w:t>
      </w:r>
      <w:r w:rsidR="005F541A">
        <w:rPr>
          <w:rFonts w:asciiTheme="minorHAnsi" w:hAnsiTheme="minorHAnsi"/>
          <w:color w:val="000000" w:themeColor="text1"/>
          <w:sz w:val="24"/>
          <w:szCs w:val="24"/>
          <w:lang w:val="en-US"/>
        </w:rPr>
        <w:t>,</w:t>
      </w:r>
      <w:r w:rsidRPr="00F460AB">
        <w:rPr>
          <w:rFonts w:asciiTheme="minorHAnsi" w:hAnsiTheme="minorHAnsi"/>
          <w:color w:val="000000" w:themeColor="text1"/>
          <w:sz w:val="24"/>
          <w:szCs w:val="24"/>
          <w:lang w:val="en-US"/>
        </w:rPr>
        <w:t xml:space="preserve"> and the detection of sources of interference and unauthorized radio stations, especially in VHF and UHF. In addition, it </w:t>
      </w:r>
      <w:r w:rsidRPr="00F460AB">
        <w:rPr>
          <w:rFonts w:asciiTheme="minorHAnsi" w:hAnsiTheme="minorHAnsi"/>
          <w:color w:val="000000" w:themeColor="text1"/>
          <w:sz w:val="24"/>
          <w:szCs w:val="24"/>
          <w:lang w:val="en-US"/>
        </w:rPr>
        <w:lastRenderedPageBreak/>
        <w:t xml:space="preserve">intends to train the related professionals of the Cuban Government and improve their knowledge and skills, particularly in aspects related to </w:t>
      </w:r>
      <w:proofErr w:type="spellStart"/>
      <w:r w:rsidRPr="00F460AB">
        <w:rPr>
          <w:rFonts w:asciiTheme="minorHAnsi" w:hAnsiTheme="minorHAnsi"/>
          <w:color w:val="000000" w:themeColor="text1"/>
          <w:sz w:val="24"/>
          <w:szCs w:val="24"/>
          <w:lang w:val="en-US"/>
        </w:rPr>
        <w:t>Radioelectric</w:t>
      </w:r>
      <w:proofErr w:type="spellEnd"/>
      <w:r w:rsidRPr="00F460AB">
        <w:rPr>
          <w:rFonts w:asciiTheme="minorHAnsi" w:hAnsiTheme="minorHAnsi"/>
          <w:color w:val="000000" w:themeColor="text1"/>
          <w:sz w:val="24"/>
          <w:szCs w:val="24"/>
          <w:lang w:val="en-US"/>
        </w:rPr>
        <w:t xml:space="preserve"> Spectrum Management.</w:t>
      </w:r>
    </w:p>
    <w:p w:rsidR="00A23336" w:rsidRPr="00F460AB" w:rsidRDefault="00A23336" w:rsidP="005F541A">
      <w:pPr>
        <w:pStyle w:val="ListParagraph"/>
        <w:widowControl/>
        <w:numPr>
          <w:ilvl w:val="0"/>
          <w:numId w:val="3"/>
        </w:numPr>
        <w:kinsoku/>
        <w:snapToGrid w:val="0"/>
        <w:spacing w:before="120" w:after="120" w:line="240" w:lineRule="auto"/>
        <w:contextualSpacing w:val="0"/>
        <w:jc w:val="both"/>
        <w:rPr>
          <w:color w:val="000000" w:themeColor="text1"/>
          <w:sz w:val="24"/>
          <w:szCs w:val="24"/>
          <w:lang w:val="en-US"/>
        </w:rPr>
      </w:pPr>
      <w:r w:rsidRPr="00F460AB">
        <w:rPr>
          <w:rFonts w:asciiTheme="minorHAnsi" w:hAnsiTheme="minorHAnsi"/>
          <w:b/>
          <w:bCs/>
          <w:i/>
          <w:iCs/>
          <w:color w:val="000000" w:themeColor="text1"/>
          <w:sz w:val="24"/>
          <w:szCs w:val="24"/>
          <w:lang w:val="en-US"/>
        </w:rPr>
        <w:t>Accessing the Digital Dividend in Africa</w:t>
      </w:r>
      <w:r w:rsidR="005F541A">
        <w:rPr>
          <w:rFonts w:asciiTheme="minorHAnsi" w:hAnsiTheme="minorHAnsi"/>
          <w:color w:val="000000" w:themeColor="text1"/>
          <w:sz w:val="24"/>
          <w:szCs w:val="24"/>
          <w:lang w:val="en-US"/>
        </w:rPr>
        <w:t>: This project, as a multistakeholder</w:t>
      </w:r>
      <w:r w:rsidRPr="00F460AB">
        <w:rPr>
          <w:rFonts w:asciiTheme="minorHAnsi" w:hAnsiTheme="minorHAnsi"/>
          <w:color w:val="000000" w:themeColor="text1"/>
          <w:sz w:val="24"/>
          <w:szCs w:val="24"/>
          <w:lang w:val="en-US"/>
        </w:rPr>
        <w:t xml:space="preserve"> partnership led by ITU, EC</w:t>
      </w:r>
      <w:r w:rsidR="005F541A">
        <w:rPr>
          <w:rFonts w:asciiTheme="minorHAnsi" w:hAnsiTheme="minorHAnsi"/>
          <w:color w:val="000000" w:themeColor="text1"/>
          <w:sz w:val="24"/>
          <w:szCs w:val="24"/>
          <w:lang w:val="en-US"/>
        </w:rPr>
        <w:t>,</w:t>
      </w:r>
      <w:r w:rsidRPr="00F460AB">
        <w:rPr>
          <w:rFonts w:asciiTheme="minorHAnsi" w:hAnsiTheme="minorHAnsi"/>
          <w:color w:val="000000" w:themeColor="text1"/>
          <w:sz w:val="24"/>
          <w:szCs w:val="24"/>
          <w:lang w:val="en-US"/>
        </w:rPr>
        <w:t xml:space="preserve"> and AUC, aims to foster universally accessible, affordable</w:t>
      </w:r>
      <w:r w:rsidR="005F541A">
        <w:rPr>
          <w:rFonts w:asciiTheme="minorHAnsi" w:hAnsiTheme="minorHAnsi"/>
          <w:color w:val="000000" w:themeColor="text1"/>
          <w:sz w:val="24"/>
          <w:szCs w:val="24"/>
          <w:lang w:val="en-US"/>
        </w:rPr>
        <w:t>,</w:t>
      </w:r>
      <w:r w:rsidRPr="00F460AB">
        <w:rPr>
          <w:rFonts w:asciiTheme="minorHAnsi" w:hAnsiTheme="minorHAnsi"/>
          <w:color w:val="000000" w:themeColor="text1"/>
          <w:sz w:val="24"/>
          <w:szCs w:val="24"/>
          <w:lang w:val="en-US"/>
        </w:rPr>
        <w:t xml:space="preserve"> and effective wireless broadband across the African continent through improved and harmonized spectrum utilization. It is expected to address the issues of spectrum at national, regional</w:t>
      </w:r>
      <w:r w:rsidR="005F541A">
        <w:rPr>
          <w:rFonts w:asciiTheme="minorHAnsi" w:hAnsiTheme="minorHAnsi"/>
          <w:color w:val="000000" w:themeColor="text1"/>
          <w:sz w:val="24"/>
          <w:szCs w:val="24"/>
          <w:lang w:val="en-US"/>
        </w:rPr>
        <w:t>,</w:t>
      </w:r>
      <w:r w:rsidRPr="00F460AB">
        <w:rPr>
          <w:rFonts w:asciiTheme="minorHAnsi" w:hAnsiTheme="minorHAnsi"/>
          <w:color w:val="000000" w:themeColor="text1"/>
          <w:sz w:val="24"/>
          <w:szCs w:val="24"/>
          <w:lang w:val="en-US"/>
        </w:rPr>
        <w:t xml:space="preserve"> and Pan-African levels to generate significant social and economic benefits for the end beneficiaries (citizens of the </w:t>
      </w:r>
      <w:r w:rsidR="005F541A" w:rsidRPr="00F460AB">
        <w:rPr>
          <w:rFonts w:asciiTheme="minorHAnsi" w:hAnsiTheme="minorHAnsi"/>
          <w:color w:val="000000" w:themeColor="text1"/>
          <w:sz w:val="24"/>
          <w:szCs w:val="24"/>
          <w:lang w:val="en-US"/>
        </w:rPr>
        <w:t>African states</w:t>
      </w:r>
      <w:r w:rsidRPr="00F460AB">
        <w:rPr>
          <w:rFonts w:asciiTheme="minorHAnsi" w:hAnsiTheme="minorHAnsi"/>
          <w:color w:val="000000" w:themeColor="text1"/>
          <w:sz w:val="24"/>
          <w:szCs w:val="24"/>
          <w:lang w:val="en-US"/>
        </w:rPr>
        <w:t xml:space="preserve">) and provide opportunities for the private sector through public-private partnerships (PPPs) to contribute to the development of services and generate sustainable growth. </w:t>
      </w:r>
    </w:p>
    <w:p w:rsidR="00A23336" w:rsidRPr="00F460AB" w:rsidRDefault="005F541A" w:rsidP="005F541A">
      <w:pPr>
        <w:tabs>
          <w:tab w:val="clear" w:pos="567"/>
          <w:tab w:val="clear" w:pos="1134"/>
          <w:tab w:val="clear" w:pos="1701"/>
          <w:tab w:val="clear" w:pos="2268"/>
          <w:tab w:val="clear" w:pos="2835"/>
        </w:tabs>
        <w:snapToGrid w:val="0"/>
        <w:spacing w:after="120"/>
        <w:ind w:left="709"/>
        <w:jc w:val="both"/>
        <w:rPr>
          <w:color w:val="000000" w:themeColor="text1"/>
          <w:szCs w:val="24"/>
        </w:rPr>
      </w:pPr>
      <w:r>
        <w:rPr>
          <w:color w:val="000000" w:themeColor="text1"/>
          <w:szCs w:val="24"/>
        </w:rPr>
        <w:t xml:space="preserve">The </w:t>
      </w:r>
      <w:r w:rsidR="00A23336" w:rsidRPr="00F460AB">
        <w:rPr>
          <w:color w:val="000000" w:themeColor="text1"/>
          <w:szCs w:val="24"/>
        </w:rPr>
        <w:t>51</w:t>
      </w:r>
      <w:r>
        <w:rPr>
          <w:color w:val="000000" w:themeColor="text1"/>
          <w:szCs w:val="24"/>
        </w:rPr>
        <w:t>st</w:t>
      </w:r>
      <w:r w:rsidR="00A23336" w:rsidRPr="00F460AB">
        <w:rPr>
          <w:color w:val="000000" w:themeColor="text1"/>
          <w:szCs w:val="24"/>
        </w:rPr>
        <w:t xml:space="preserve"> ICT-DF Steering Committee decided to check the status of funds relating to projects funded by ICT-DF</w:t>
      </w:r>
      <w:r>
        <w:rPr>
          <w:color w:val="000000" w:themeColor="text1"/>
          <w:szCs w:val="24"/>
        </w:rPr>
        <w:t>,</w:t>
      </w:r>
      <w:r w:rsidR="00A23336" w:rsidRPr="00F460AB">
        <w:rPr>
          <w:color w:val="000000" w:themeColor="text1"/>
          <w:szCs w:val="24"/>
        </w:rPr>
        <w:t xml:space="preserve"> e.g.</w:t>
      </w:r>
      <w:r>
        <w:rPr>
          <w:color w:val="000000" w:themeColor="text1"/>
          <w:szCs w:val="24"/>
        </w:rPr>
        <w:t>:</w:t>
      </w:r>
      <w:r w:rsidR="00A23336" w:rsidRPr="00F460AB">
        <w:rPr>
          <w:color w:val="000000" w:themeColor="text1"/>
          <w:szCs w:val="24"/>
        </w:rPr>
        <w:t xml:space="preserve"> whether the approved funds have been fully implemented and spent; and, if not, the remaining funds should be returned back to the ICT-DF when possible. The Steering Committee will continue to regularly review project proposals and support selected projects in the various Areas of Action with special attention to regional initiatives approved by WTDC based on the criteria and themes set by the ICT-DF rules and procedures within the limit of the ICT-DF Capital Account.</w:t>
      </w:r>
    </w:p>
    <w:p w:rsidR="00A23336" w:rsidRPr="00F460AB" w:rsidRDefault="00A23336" w:rsidP="00F460AB">
      <w:pPr>
        <w:tabs>
          <w:tab w:val="clear" w:pos="567"/>
          <w:tab w:val="clear" w:pos="1134"/>
          <w:tab w:val="clear" w:pos="1701"/>
          <w:tab w:val="clear" w:pos="2268"/>
          <w:tab w:val="clear" w:pos="2835"/>
        </w:tabs>
        <w:snapToGrid w:val="0"/>
        <w:spacing w:before="480" w:after="120"/>
        <w:jc w:val="both"/>
        <w:rPr>
          <w:color w:val="000000" w:themeColor="text1"/>
          <w:szCs w:val="24"/>
        </w:rPr>
      </w:pPr>
      <w:r w:rsidRPr="00F460AB">
        <w:rPr>
          <w:rFonts w:cstheme="minorHAnsi"/>
          <w:b/>
          <w:szCs w:val="24"/>
        </w:rPr>
        <w:t>3.</w:t>
      </w:r>
      <w:r w:rsidRPr="00F460AB">
        <w:rPr>
          <w:rFonts w:cstheme="minorHAnsi"/>
          <w:b/>
          <w:szCs w:val="24"/>
        </w:rPr>
        <w:tab/>
        <w:t>Status of ICT-DF Projects</w:t>
      </w:r>
      <w:r w:rsidRPr="00F460AB">
        <w:rPr>
          <w:szCs w:val="24"/>
        </w:rPr>
        <w:t xml:space="preserve"> </w:t>
      </w:r>
    </w:p>
    <w:p w:rsidR="00A23336" w:rsidRPr="00F460AB" w:rsidRDefault="00A23336" w:rsidP="00827551">
      <w:pPr>
        <w:tabs>
          <w:tab w:val="clear" w:pos="567"/>
          <w:tab w:val="clear" w:pos="1134"/>
          <w:tab w:val="clear" w:pos="1701"/>
          <w:tab w:val="clear" w:pos="2268"/>
          <w:tab w:val="clear" w:pos="2835"/>
        </w:tabs>
        <w:snapToGrid w:val="0"/>
        <w:spacing w:after="600"/>
        <w:jc w:val="both"/>
        <w:rPr>
          <w:color w:val="000000" w:themeColor="text1"/>
          <w:szCs w:val="24"/>
        </w:rPr>
      </w:pPr>
      <w:r w:rsidRPr="00F460AB">
        <w:rPr>
          <w:rFonts w:cstheme="minorHAnsi"/>
          <w:bCs/>
          <w:szCs w:val="24"/>
        </w:rPr>
        <w:t>3.1</w:t>
      </w:r>
      <w:r w:rsidRPr="00F460AB">
        <w:rPr>
          <w:rFonts w:cstheme="minorHAnsi"/>
          <w:bCs/>
          <w:szCs w:val="24"/>
        </w:rPr>
        <w:tab/>
      </w:r>
      <w:r w:rsidRPr="00F460AB">
        <w:rPr>
          <w:rFonts w:cstheme="minorHAnsi"/>
          <w:szCs w:val="24"/>
        </w:rPr>
        <w:t>As of mid-March 2017, ICT-DF portfolio was composed of 17 projects</w:t>
      </w:r>
      <w:r w:rsidR="00827551">
        <w:rPr>
          <w:rFonts w:cstheme="minorHAnsi"/>
          <w:szCs w:val="24"/>
        </w:rPr>
        <w:t>;</w:t>
      </w:r>
      <w:r w:rsidRPr="00F460AB">
        <w:rPr>
          <w:rFonts w:cstheme="minorHAnsi"/>
          <w:szCs w:val="24"/>
        </w:rPr>
        <w:t xml:space="preserve"> e.g. </w:t>
      </w:r>
      <w:hyperlink r:id="rId14" w:history="1">
        <w:r w:rsidRPr="00F460AB">
          <w:rPr>
            <w:rStyle w:val="Hyperlink"/>
            <w:rFonts w:cstheme="minorHAnsi"/>
            <w:szCs w:val="24"/>
          </w:rPr>
          <w:t>13 ongoing projects</w:t>
        </w:r>
      </w:hyperlink>
      <w:r w:rsidR="00827551">
        <w:rPr>
          <w:rFonts w:cstheme="minorHAnsi"/>
          <w:szCs w:val="24"/>
        </w:rPr>
        <w:t xml:space="preserve"> and four</w:t>
      </w:r>
      <w:r w:rsidRPr="00F460AB">
        <w:rPr>
          <w:rFonts w:cstheme="minorHAnsi"/>
          <w:szCs w:val="24"/>
        </w:rPr>
        <w:t xml:space="preserve"> projects approved by </w:t>
      </w:r>
      <w:r w:rsidR="00827551">
        <w:rPr>
          <w:rFonts w:cstheme="minorHAnsi"/>
          <w:szCs w:val="24"/>
        </w:rPr>
        <w:t xml:space="preserve">the </w:t>
      </w:r>
      <w:r w:rsidRPr="00F460AB">
        <w:rPr>
          <w:rFonts w:cstheme="minorHAnsi"/>
          <w:szCs w:val="24"/>
        </w:rPr>
        <w:t>50t</w:t>
      </w:r>
      <w:r w:rsidR="00827551">
        <w:rPr>
          <w:rFonts w:cstheme="minorHAnsi"/>
          <w:szCs w:val="24"/>
        </w:rPr>
        <w:t>h</w:t>
      </w:r>
      <w:r w:rsidRPr="00F460AB">
        <w:rPr>
          <w:rFonts w:cstheme="minorHAnsi"/>
          <w:szCs w:val="24"/>
        </w:rPr>
        <w:t xml:space="preserve"> and 51</w:t>
      </w:r>
      <w:r w:rsidR="00827551">
        <w:rPr>
          <w:rFonts w:cstheme="minorHAnsi"/>
          <w:szCs w:val="24"/>
        </w:rPr>
        <w:t>s</w:t>
      </w:r>
      <w:r w:rsidRPr="00F460AB">
        <w:rPr>
          <w:rFonts w:cstheme="minorHAnsi"/>
          <w:szCs w:val="24"/>
        </w:rPr>
        <w:t>t ICT-DF meetings (refer to Sections 2.2</w:t>
      </w:r>
      <w:r w:rsidRPr="00F460AB">
        <w:rPr>
          <w:rStyle w:val="FootnoteReference"/>
          <w:rFonts w:cstheme="minorHAnsi"/>
          <w:sz w:val="20"/>
        </w:rPr>
        <w:footnoteReference w:id="2"/>
      </w:r>
      <w:r w:rsidRPr="00F460AB">
        <w:rPr>
          <w:rFonts w:cstheme="minorHAnsi"/>
          <w:szCs w:val="24"/>
        </w:rPr>
        <w:t xml:space="preserve"> and 2.3). These projects are distributed as follows per regions and per areas of action (Figures 1 and 2)</w:t>
      </w:r>
      <w:r w:rsidR="00827551">
        <w:rPr>
          <w:rFonts w:cstheme="minorHAnsi"/>
          <w:szCs w:val="24"/>
        </w:rPr>
        <w:t>.</w:t>
      </w:r>
    </w:p>
    <w:p w:rsidR="00A23336" w:rsidRDefault="00A23336" w:rsidP="00A23336">
      <w:pPr>
        <w:snapToGrid w:val="0"/>
        <w:spacing w:after="120"/>
        <w:jc w:val="center"/>
        <w:rPr>
          <w:color w:val="000000" w:themeColor="text1"/>
        </w:rPr>
      </w:pPr>
      <w:r>
        <w:rPr>
          <w:noProof/>
          <w:lang w:val="en-US" w:eastAsia="zh-CN"/>
        </w:rPr>
        <w:drawing>
          <wp:inline distT="0" distB="0" distL="0" distR="0" wp14:anchorId="6841AAF2" wp14:editId="3A47F076">
            <wp:extent cx="4924425" cy="20574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3336" w:rsidRDefault="00A23336" w:rsidP="00A23336">
      <w:pPr>
        <w:snapToGrid w:val="0"/>
        <w:spacing w:before="240" w:after="120"/>
        <w:jc w:val="center"/>
        <w:rPr>
          <w:color w:val="000000" w:themeColor="text1"/>
        </w:rPr>
      </w:pPr>
    </w:p>
    <w:p w:rsidR="00A23336" w:rsidRDefault="00A23336" w:rsidP="00A23336">
      <w:pPr>
        <w:snapToGrid w:val="0"/>
        <w:spacing w:after="120"/>
        <w:jc w:val="center"/>
        <w:rPr>
          <w:color w:val="000000" w:themeColor="text1"/>
        </w:rPr>
      </w:pPr>
      <w:r>
        <w:rPr>
          <w:noProof/>
          <w:lang w:val="en-US" w:eastAsia="zh-CN"/>
        </w:rPr>
        <w:lastRenderedPageBreak/>
        <w:drawing>
          <wp:inline distT="0" distB="0" distL="0" distR="0" wp14:anchorId="74E0C3F1" wp14:editId="6DC9F606">
            <wp:extent cx="5057775" cy="219075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3336" w:rsidRDefault="00A23336" w:rsidP="00F460AB">
      <w:pPr>
        <w:tabs>
          <w:tab w:val="clear" w:pos="567"/>
          <w:tab w:val="clear" w:pos="1134"/>
          <w:tab w:val="clear" w:pos="1701"/>
          <w:tab w:val="clear" w:pos="2268"/>
          <w:tab w:val="clear" w:pos="2835"/>
        </w:tabs>
        <w:snapToGrid w:val="0"/>
        <w:spacing w:before="360" w:after="360"/>
        <w:jc w:val="both"/>
        <w:rPr>
          <w:rFonts w:cstheme="minorHAnsi"/>
          <w:highlight w:val="yellow"/>
        </w:rPr>
      </w:pPr>
      <w:r w:rsidRPr="006C077C">
        <w:rPr>
          <w:rFonts w:cstheme="minorHAnsi"/>
        </w:rPr>
        <w:t>3.2</w:t>
      </w:r>
      <w:r w:rsidRPr="006C077C">
        <w:rPr>
          <w:rFonts w:cstheme="minorHAnsi"/>
        </w:rPr>
        <w:tab/>
      </w:r>
      <w:r w:rsidRPr="0002768B">
        <w:rPr>
          <w:rFonts w:cstheme="minorHAnsi"/>
        </w:rPr>
        <w:t xml:space="preserve">For the same period, </w:t>
      </w:r>
      <w:r>
        <w:rPr>
          <w:rFonts w:cstheme="minorHAnsi"/>
        </w:rPr>
        <w:t xml:space="preserve">some </w:t>
      </w:r>
      <w:r w:rsidRPr="0002768B">
        <w:rPr>
          <w:rFonts w:cstheme="minorHAnsi"/>
        </w:rPr>
        <w:t xml:space="preserve">30.7% of the ICT-DF portfolio amounting to approximately CHF 19.7 million </w:t>
      </w:r>
      <w:r>
        <w:rPr>
          <w:rFonts w:cstheme="minorHAnsi"/>
        </w:rPr>
        <w:t xml:space="preserve">is being </w:t>
      </w:r>
      <w:r w:rsidRPr="0002768B">
        <w:rPr>
          <w:rFonts w:cstheme="minorHAnsi"/>
        </w:rPr>
        <w:t xml:space="preserve">supported by ICT-DF contributions, which is corresponding to approximately CHF 6.1 million. Distribution of the contributions </w:t>
      </w:r>
      <w:r>
        <w:rPr>
          <w:rFonts w:cstheme="minorHAnsi"/>
        </w:rPr>
        <w:t xml:space="preserve">to the </w:t>
      </w:r>
      <w:r w:rsidRPr="0002768B">
        <w:rPr>
          <w:rFonts w:cstheme="minorHAnsi"/>
        </w:rPr>
        <w:t>ICT-DF</w:t>
      </w:r>
      <w:r>
        <w:rPr>
          <w:rFonts w:cstheme="minorHAnsi"/>
        </w:rPr>
        <w:t xml:space="preserve"> portfolio between ICT-DF</w:t>
      </w:r>
      <w:r w:rsidRPr="0002768B">
        <w:rPr>
          <w:rFonts w:cstheme="minorHAnsi"/>
        </w:rPr>
        <w:t>, other in</w:t>
      </w:r>
      <w:r w:rsidRPr="0002768B">
        <w:rPr>
          <w:rFonts w:cstheme="minorHAnsi"/>
        </w:rPr>
        <w:noBreakHyphen/>
        <w:t xml:space="preserve">cash and in-kind </w:t>
      </w:r>
      <w:r>
        <w:rPr>
          <w:rFonts w:cstheme="minorHAnsi"/>
        </w:rPr>
        <w:t xml:space="preserve">contributions </w:t>
      </w:r>
      <w:r w:rsidR="00827551">
        <w:rPr>
          <w:rFonts w:cstheme="minorHAnsi"/>
        </w:rPr>
        <w:t>is showcased in Figure 3.</w:t>
      </w:r>
    </w:p>
    <w:p w:rsidR="00A23336" w:rsidRDefault="00A23336" w:rsidP="00A23336">
      <w:pPr>
        <w:snapToGrid w:val="0"/>
        <w:spacing w:after="120"/>
        <w:rPr>
          <w:rFonts w:cstheme="minorHAnsi"/>
          <w:highlight w:val="yellow"/>
        </w:rPr>
      </w:pPr>
      <w:r>
        <w:rPr>
          <w:noProof/>
          <w:lang w:val="en-US" w:eastAsia="zh-CN"/>
        </w:rPr>
        <w:drawing>
          <wp:anchor distT="0" distB="0" distL="114300" distR="114300" simplePos="0" relativeHeight="251659264" behindDoc="0" locked="0" layoutInCell="1" allowOverlap="1" wp14:anchorId="77F03F95" wp14:editId="56C43DA0">
            <wp:simplePos x="0" y="0"/>
            <wp:positionH relativeFrom="column">
              <wp:posOffset>722630</wp:posOffset>
            </wp:positionH>
            <wp:positionV relativeFrom="paragraph">
              <wp:posOffset>0</wp:posOffset>
            </wp:positionV>
            <wp:extent cx="4749800" cy="2085975"/>
            <wp:effectExtent l="0" t="0" r="12700" b="952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r>
        <w:rPr>
          <w:rFonts w:cstheme="minorHAnsi"/>
          <w:highlight w:val="yellow"/>
        </w:rPr>
        <w:br w:type="textWrapping" w:clear="all"/>
      </w:r>
    </w:p>
    <w:p w:rsidR="00A23336" w:rsidRDefault="00A23336" w:rsidP="00F460AB">
      <w:pPr>
        <w:tabs>
          <w:tab w:val="clear" w:pos="567"/>
          <w:tab w:val="clear" w:pos="1134"/>
          <w:tab w:val="clear" w:pos="1701"/>
          <w:tab w:val="clear" w:pos="2268"/>
          <w:tab w:val="clear" w:pos="2835"/>
        </w:tabs>
        <w:snapToGrid w:val="0"/>
        <w:spacing w:before="240" w:after="360"/>
        <w:rPr>
          <w:rFonts w:cstheme="minorHAnsi"/>
          <w:highlight w:val="yellow"/>
        </w:rPr>
      </w:pPr>
      <w:r w:rsidRPr="0002768B">
        <w:rPr>
          <w:rFonts w:cstheme="minorHAnsi"/>
        </w:rPr>
        <w:t xml:space="preserve">3.3 </w:t>
      </w:r>
      <w:r w:rsidRPr="0002768B">
        <w:rPr>
          <w:rFonts w:cstheme="minorHAnsi"/>
        </w:rPr>
        <w:tab/>
        <w:t xml:space="preserve">Taking into </w:t>
      </w:r>
      <w:r w:rsidRPr="00C41C46">
        <w:rPr>
          <w:rFonts w:cstheme="minorHAnsi"/>
        </w:rPr>
        <w:t>account the approved projects by the 50</w:t>
      </w:r>
      <w:r w:rsidRPr="00F460AB">
        <w:rPr>
          <w:rFonts w:cstheme="minorHAnsi"/>
        </w:rPr>
        <w:t>th</w:t>
      </w:r>
      <w:r w:rsidRPr="00C41C46">
        <w:rPr>
          <w:rFonts w:cstheme="minorHAnsi"/>
        </w:rPr>
        <w:t xml:space="preserve"> and 51</w:t>
      </w:r>
      <w:r w:rsidR="00827551">
        <w:rPr>
          <w:rFonts w:cstheme="minorHAnsi"/>
        </w:rPr>
        <w:t>st</w:t>
      </w:r>
      <w:r w:rsidRPr="00C41C46">
        <w:rPr>
          <w:rFonts w:cstheme="minorHAnsi"/>
        </w:rPr>
        <w:t xml:space="preserve"> ICT-DF SC meetings, by the mid-March 2017, the overall ITU development projects portfolio (</w:t>
      </w:r>
      <w:hyperlink r:id="rId18" w:history="1">
        <w:r w:rsidRPr="00C41C46">
          <w:rPr>
            <w:rStyle w:val="Hyperlink"/>
            <w:rFonts w:cstheme="minorHAnsi"/>
          </w:rPr>
          <w:t>here</w:t>
        </w:r>
      </w:hyperlink>
      <w:r w:rsidRPr="00C41C46">
        <w:rPr>
          <w:rFonts w:cstheme="minorHAnsi"/>
        </w:rPr>
        <w:t>) is 59 which is distributed as follows in terms of number as well as contributions (Figures 4 and 5).</w:t>
      </w:r>
    </w:p>
    <w:p w:rsidR="00A23336" w:rsidRDefault="00A23336" w:rsidP="00A23336">
      <w:pPr>
        <w:tabs>
          <w:tab w:val="left" w:pos="709"/>
          <w:tab w:val="left" w:pos="4820"/>
        </w:tabs>
        <w:jc w:val="center"/>
        <w:rPr>
          <w:rFonts w:cstheme="minorHAnsi"/>
        </w:rPr>
      </w:pPr>
      <w:r>
        <w:rPr>
          <w:noProof/>
          <w:lang w:val="en-US" w:eastAsia="zh-CN"/>
        </w:rPr>
        <w:drawing>
          <wp:inline distT="0" distB="0" distL="0" distR="0" wp14:anchorId="417CFEC3" wp14:editId="73465E4C">
            <wp:extent cx="2895600" cy="2247900"/>
            <wp:effectExtent l="3810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cstheme="minorHAnsi"/>
        </w:rPr>
        <w:t xml:space="preserve">    </w:t>
      </w:r>
      <w:r>
        <w:rPr>
          <w:noProof/>
          <w:lang w:val="en-US" w:eastAsia="zh-CN"/>
        </w:rPr>
        <w:drawing>
          <wp:inline distT="0" distB="0" distL="0" distR="0" wp14:anchorId="6D9C732E" wp14:editId="25FBA95E">
            <wp:extent cx="2905125" cy="22479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23336" w:rsidRPr="00D209C5" w:rsidRDefault="00A23336" w:rsidP="00A23336">
      <w:pPr>
        <w:tabs>
          <w:tab w:val="clear" w:pos="567"/>
          <w:tab w:val="clear" w:pos="1134"/>
          <w:tab w:val="clear" w:pos="1701"/>
          <w:tab w:val="clear" w:pos="2268"/>
          <w:tab w:val="clear" w:pos="2835"/>
        </w:tabs>
        <w:snapToGrid w:val="0"/>
        <w:spacing w:before="600" w:after="120"/>
        <w:rPr>
          <w:rFonts w:cstheme="minorHAnsi"/>
          <w:b/>
        </w:rPr>
      </w:pPr>
      <w:r w:rsidRPr="006C077C">
        <w:rPr>
          <w:rFonts w:cstheme="minorHAnsi"/>
          <w:b/>
        </w:rPr>
        <w:lastRenderedPageBreak/>
        <w:t>4.</w:t>
      </w:r>
      <w:r w:rsidRPr="006C077C">
        <w:rPr>
          <w:rFonts w:cstheme="minorHAnsi"/>
          <w:b/>
        </w:rPr>
        <w:tab/>
      </w:r>
      <w:r w:rsidRPr="00D209C5">
        <w:rPr>
          <w:rFonts w:cstheme="minorHAnsi"/>
          <w:b/>
        </w:rPr>
        <w:t>Evolution of the ICT-DF Capital Accounts</w:t>
      </w:r>
    </w:p>
    <w:p w:rsidR="00A23336" w:rsidRPr="00D209C5" w:rsidRDefault="00A23336" w:rsidP="00827551">
      <w:pPr>
        <w:tabs>
          <w:tab w:val="clear" w:pos="567"/>
          <w:tab w:val="clear" w:pos="1134"/>
          <w:tab w:val="clear" w:pos="1701"/>
          <w:tab w:val="clear" w:pos="2268"/>
          <w:tab w:val="clear" w:pos="2835"/>
        </w:tabs>
        <w:snapToGrid w:val="0"/>
        <w:spacing w:after="120"/>
        <w:jc w:val="both"/>
        <w:rPr>
          <w:color w:val="000000"/>
        </w:rPr>
      </w:pPr>
      <w:r w:rsidRPr="00D209C5">
        <w:rPr>
          <w:rFonts w:cstheme="minorHAnsi"/>
        </w:rPr>
        <w:t>4.1</w:t>
      </w:r>
      <w:r w:rsidRPr="00D209C5">
        <w:rPr>
          <w:rFonts w:cstheme="minorHAnsi"/>
        </w:rPr>
        <w:tab/>
      </w:r>
      <w:r w:rsidRPr="00D209C5">
        <w:t>T</w:t>
      </w:r>
      <w:r w:rsidRPr="00D209C5">
        <w:rPr>
          <w:color w:val="000000"/>
        </w:rPr>
        <w:t>otal interest income of ICT-DF Capital Account in 2016 was USD 36,507, which was composed of interest on ICT-DF Capital (USD 1,015) and interests on projects (USD 35,492).</w:t>
      </w:r>
    </w:p>
    <w:p w:rsidR="00A23336" w:rsidRPr="00B60861" w:rsidRDefault="00A23336" w:rsidP="00A23336">
      <w:pPr>
        <w:tabs>
          <w:tab w:val="clear" w:pos="567"/>
          <w:tab w:val="clear" w:pos="1134"/>
          <w:tab w:val="clear" w:pos="1701"/>
          <w:tab w:val="clear" w:pos="2268"/>
          <w:tab w:val="clear" w:pos="2835"/>
        </w:tabs>
        <w:snapToGrid w:val="0"/>
        <w:spacing w:after="120"/>
        <w:jc w:val="both"/>
        <w:rPr>
          <w:color w:val="000000"/>
        </w:rPr>
      </w:pPr>
      <w:r w:rsidRPr="00D209C5">
        <w:rPr>
          <w:color w:val="000000"/>
        </w:rPr>
        <w:t>4.2</w:t>
      </w:r>
      <w:r>
        <w:rPr>
          <w:color w:val="000000"/>
        </w:rPr>
        <w:tab/>
      </w:r>
      <w:r w:rsidRPr="00D209C5">
        <w:rPr>
          <w:color w:val="000000"/>
        </w:rPr>
        <w:t xml:space="preserve">As of 31 December 2016, </w:t>
      </w:r>
      <w:r w:rsidRPr="00D209C5">
        <w:t xml:space="preserve">after funding projects concerned by ICT-DF, </w:t>
      </w:r>
      <w:r w:rsidRPr="00D209C5">
        <w:rPr>
          <w:color w:val="000000"/>
        </w:rPr>
        <w:t xml:space="preserve">ICT-DF Capital Account remained with an amount of </w:t>
      </w:r>
      <w:r w:rsidRPr="004A5E21">
        <w:rPr>
          <w:color w:val="000000"/>
        </w:rPr>
        <w:t>USD 2,587,177</w:t>
      </w:r>
      <w:r w:rsidRPr="00D209C5">
        <w:rPr>
          <w:color w:val="000000"/>
        </w:rPr>
        <w:t>, as of 31 December 2016</w:t>
      </w:r>
      <w:r>
        <w:rPr>
          <w:color w:val="000000"/>
        </w:rPr>
        <w:t>,</w:t>
      </w:r>
      <w:r w:rsidRPr="00D209C5">
        <w:rPr>
          <w:color w:val="000000"/>
        </w:rPr>
        <w:t xml:space="preserve"> while</w:t>
      </w:r>
      <w:r w:rsidRPr="004A5E21">
        <w:rPr>
          <w:color w:val="000000"/>
        </w:rPr>
        <w:t xml:space="preserve"> the Exhibition Working Capital Fund </w:t>
      </w:r>
      <w:r>
        <w:rPr>
          <w:color w:val="000000"/>
        </w:rPr>
        <w:t xml:space="preserve">is </w:t>
      </w:r>
      <w:r w:rsidRPr="004A5E21">
        <w:rPr>
          <w:color w:val="000000"/>
        </w:rPr>
        <w:t>amounted to CHF 10,075,816.4</w:t>
      </w:r>
      <w:r>
        <w:rPr>
          <w:color w:val="000000"/>
        </w:rPr>
        <w:t>6</w:t>
      </w:r>
      <w:r w:rsidRPr="00B60861">
        <w:rPr>
          <w:color w:val="000000"/>
        </w:rPr>
        <w:t>.</w:t>
      </w:r>
    </w:p>
    <w:p w:rsidR="00A23336" w:rsidRDefault="00A23336" w:rsidP="00F460AB">
      <w:pPr>
        <w:keepNext/>
        <w:keepLines/>
        <w:tabs>
          <w:tab w:val="clear" w:pos="567"/>
          <w:tab w:val="clear" w:pos="1134"/>
          <w:tab w:val="clear" w:pos="1701"/>
          <w:tab w:val="clear" w:pos="2268"/>
          <w:tab w:val="clear" w:pos="2835"/>
        </w:tabs>
        <w:snapToGrid w:val="0"/>
        <w:spacing w:after="120"/>
        <w:jc w:val="both"/>
        <w:rPr>
          <w:color w:val="000000"/>
        </w:rPr>
      </w:pPr>
      <w:r>
        <w:rPr>
          <w:color w:val="000000"/>
        </w:rPr>
        <w:t>4.3</w:t>
      </w:r>
      <w:r>
        <w:rPr>
          <w:color w:val="000000"/>
        </w:rPr>
        <w:tab/>
        <w:t>As indicated in Figure 6</w:t>
      </w:r>
      <w:r w:rsidRPr="00D209C5">
        <w:rPr>
          <w:color w:val="000000"/>
        </w:rPr>
        <w:t>, between 31 December 2012 and 31 December 2016, the ICT-DF Capital Account has gone from 3.7 million USD to 2.6 million</w:t>
      </w:r>
      <w:r>
        <w:rPr>
          <w:color w:val="000000"/>
        </w:rPr>
        <w:t>.</w:t>
      </w:r>
    </w:p>
    <w:p w:rsidR="00A23336" w:rsidRDefault="00A23336" w:rsidP="00827551">
      <w:pPr>
        <w:keepNext/>
        <w:keepLines/>
        <w:tabs>
          <w:tab w:val="clear" w:pos="567"/>
          <w:tab w:val="clear" w:pos="1134"/>
          <w:tab w:val="clear" w:pos="1701"/>
          <w:tab w:val="clear" w:pos="2268"/>
          <w:tab w:val="clear" w:pos="2835"/>
        </w:tabs>
        <w:snapToGrid w:val="0"/>
        <w:spacing w:after="240"/>
        <w:jc w:val="both"/>
        <w:rPr>
          <w:color w:val="000000"/>
        </w:rPr>
      </w:pPr>
      <w:r>
        <w:rPr>
          <w:color w:val="000000"/>
        </w:rPr>
        <w:t>4.4</w:t>
      </w:r>
      <w:r>
        <w:rPr>
          <w:color w:val="000000"/>
        </w:rPr>
        <w:tab/>
        <w:t>Following approval by the 51</w:t>
      </w:r>
      <w:r w:rsidR="00827551">
        <w:rPr>
          <w:color w:val="000000"/>
        </w:rPr>
        <w:t>s</w:t>
      </w:r>
      <w:r w:rsidRPr="00F460AB">
        <w:rPr>
          <w:color w:val="000000"/>
        </w:rPr>
        <w:t>t</w:t>
      </w:r>
      <w:r>
        <w:rPr>
          <w:color w:val="000000"/>
        </w:rPr>
        <w:t xml:space="preserve"> ICT-DF SC meeting (March 2017) of three projects (</w:t>
      </w:r>
      <w:r w:rsidR="00827551">
        <w:rPr>
          <w:color w:val="000000"/>
        </w:rPr>
        <w:t>r</w:t>
      </w:r>
      <w:r>
        <w:rPr>
          <w:color w:val="000000"/>
        </w:rPr>
        <w:t>efer to Section 2.3), it is expected that ICT-DF Account will stand at around USD 1.69 million.</w:t>
      </w:r>
    </w:p>
    <w:p w:rsidR="00A23336" w:rsidRPr="00D209C5" w:rsidRDefault="00A23336" w:rsidP="00A23336">
      <w:pPr>
        <w:snapToGrid w:val="0"/>
        <w:spacing w:after="120"/>
        <w:jc w:val="both"/>
        <w:rPr>
          <w:color w:val="000000"/>
          <w:sz w:val="6"/>
          <w:szCs w:val="6"/>
        </w:rPr>
      </w:pPr>
    </w:p>
    <w:p w:rsidR="00A23336" w:rsidRDefault="00A23336" w:rsidP="00A23336">
      <w:pPr>
        <w:snapToGrid w:val="0"/>
        <w:spacing w:after="120"/>
        <w:jc w:val="center"/>
        <w:rPr>
          <w:color w:val="1F497D"/>
        </w:rPr>
      </w:pPr>
      <w:r>
        <w:rPr>
          <w:noProof/>
          <w:lang w:val="en-US" w:eastAsia="zh-CN"/>
        </w:rPr>
        <w:drawing>
          <wp:inline distT="0" distB="0" distL="0" distR="0" wp14:anchorId="429D4627" wp14:editId="26991931">
            <wp:extent cx="5238750" cy="21145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23336" w:rsidRDefault="00A23336" w:rsidP="00F460AB">
      <w:pPr>
        <w:tabs>
          <w:tab w:val="clear" w:pos="567"/>
          <w:tab w:val="clear" w:pos="1134"/>
          <w:tab w:val="clear" w:pos="1701"/>
          <w:tab w:val="clear" w:pos="2268"/>
          <w:tab w:val="clear" w:pos="2835"/>
        </w:tabs>
        <w:snapToGrid w:val="0"/>
        <w:spacing w:before="480" w:after="120"/>
        <w:jc w:val="both"/>
        <w:rPr>
          <w:rFonts w:cstheme="minorHAnsi"/>
          <w:b/>
          <w:bCs/>
        </w:rPr>
      </w:pPr>
      <w:r w:rsidRPr="006C077C">
        <w:rPr>
          <w:rFonts w:cstheme="minorHAnsi"/>
          <w:b/>
          <w:bCs/>
        </w:rPr>
        <w:t>5.</w:t>
      </w:r>
      <w:r w:rsidRPr="006C077C">
        <w:rPr>
          <w:rFonts w:cstheme="minorHAnsi"/>
          <w:b/>
          <w:bCs/>
        </w:rPr>
        <w:tab/>
        <w:t>Ways forward</w:t>
      </w:r>
    </w:p>
    <w:p w:rsidR="00A23336" w:rsidRPr="006C077C" w:rsidRDefault="00A23336" w:rsidP="00F460AB">
      <w:pPr>
        <w:tabs>
          <w:tab w:val="clear" w:pos="567"/>
          <w:tab w:val="clear" w:pos="1134"/>
          <w:tab w:val="clear" w:pos="1701"/>
          <w:tab w:val="clear" w:pos="2268"/>
          <w:tab w:val="clear" w:pos="2835"/>
        </w:tabs>
        <w:snapToGrid w:val="0"/>
        <w:spacing w:after="120"/>
        <w:jc w:val="both"/>
        <w:rPr>
          <w:color w:val="000000" w:themeColor="text1"/>
          <w:kern w:val="24"/>
        </w:rPr>
      </w:pPr>
      <w:r w:rsidRPr="006269A8">
        <w:rPr>
          <w:rFonts w:cstheme="minorHAnsi"/>
        </w:rPr>
        <w:t>Taking</w:t>
      </w:r>
      <w:r w:rsidR="00827551">
        <w:rPr>
          <w:rFonts w:cstheme="minorHAnsi"/>
        </w:rPr>
        <w:t xml:space="preserve"> into account the demands from m</w:t>
      </w:r>
      <w:r w:rsidRPr="006269A8">
        <w:rPr>
          <w:rFonts w:cstheme="minorHAnsi"/>
        </w:rPr>
        <w:t xml:space="preserve">embership for supporting various projects, the high level of contributions from partners/donors, as well as the level of the ICT-DF Capital Account of which </w:t>
      </w:r>
      <w:r w:rsidR="00827551">
        <w:rPr>
          <w:rFonts w:cstheme="minorHAnsi"/>
        </w:rPr>
        <w:t xml:space="preserve">the </w:t>
      </w:r>
      <w:r w:rsidRPr="006269A8">
        <w:rPr>
          <w:rFonts w:cstheme="minorHAnsi"/>
        </w:rPr>
        <w:t>amount is around USD 1.69 million (a</w:t>
      </w:r>
      <w:r w:rsidR="00827551">
        <w:rPr>
          <w:rFonts w:cstheme="minorHAnsi"/>
        </w:rPr>
        <w:t>s of March 2017), the Secretary-</w:t>
      </w:r>
      <w:r w:rsidRPr="006269A8">
        <w:rPr>
          <w:rFonts w:cstheme="minorHAnsi"/>
        </w:rPr>
        <w:t>General recommends that Council</w:t>
      </w:r>
      <w:r w:rsidR="00F460AB">
        <w:rPr>
          <w:rFonts w:cstheme="minorHAnsi"/>
        </w:rPr>
        <w:t>-17</w:t>
      </w:r>
      <w:r w:rsidRPr="006269A8">
        <w:rPr>
          <w:rFonts w:cstheme="minorHAnsi"/>
        </w:rPr>
        <w:t xml:space="preserve"> approve</w:t>
      </w:r>
      <w:r w:rsidR="00F460AB">
        <w:rPr>
          <w:rFonts w:cstheme="minorHAnsi"/>
        </w:rPr>
        <w:t>s</w:t>
      </w:r>
      <w:r w:rsidRPr="006269A8">
        <w:rPr>
          <w:rFonts w:cstheme="minorHAnsi"/>
        </w:rPr>
        <w:t xml:space="preserve"> the transfer USD 2 million from the Exhibition Working Capital to ICT-DF Capital Account with continued efforts for resource mobilization.</w:t>
      </w:r>
    </w:p>
    <w:p w:rsidR="00264425" w:rsidRPr="00A23336" w:rsidRDefault="00A23336" w:rsidP="00A23336">
      <w:pPr>
        <w:pStyle w:val="ListParagraph"/>
        <w:tabs>
          <w:tab w:val="left" w:pos="794"/>
          <w:tab w:val="left" w:pos="1191"/>
          <w:tab w:val="left" w:pos="1588"/>
          <w:tab w:val="left" w:pos="1985"/>
        </w:tabs>
        <w:snapToGrid w:val="0"/>
        <w:spacing w:before="840" w:after="0"/>
        <w:ind w:left="0"/>
        <w:contextualSpacing w:val="0"/>
        <w:jc w:val="center"/>
        <w:rPr>
          <w:rFonts w:asciiTheme="minorHAnsi" w:hAnsiTheme="minorHAnsi"/>
        </w:rPr>
      </w:pPr>
      <w:r>
        <w:rPr>
          <w:rFonts w:asciiTheme="minorHAnsi" w:hAnsiTheme="minorHAnsi"/>
        </w:rPr>
        <w:t>__________________</w:t>
      </w:r>
    </w:p>
    <w:sectPr w:rsidR="00264425" w:rsidRPr="00A23336" w:rsidSect="004D1851">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336" w:rsidRDefault="00A23336">
      <w:r>
        <w:separator/>
      </w:r>
    </w:p>
  </w:endnote>
  <w:endnote w:type="continuationSeparator" w:id="0">
    <w:p w:rsidR="00A23336" w:rsidRDefault="00A2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F460AB" w:rsidRDefault="002921F3">
    <w:pPr>
      <w:pStyle w:val="Footer"/>
      <w:rPr>
        <w:color w:val="D9D9D9" w:themeColor="background1" w:themeShade="D9"/>
      </w:rPr>
    </w:pPr>
    <w:r w:rsidRPr="00F460AB">
      <w:rPr>
        <w:color w:val="D9D9D9" w:themeColor="background1" w:themeShade="D9"/>
      </w:rPr>
      <w:fldChar w:fldCharType="begin"/>
    </w:r>
    <w:r w:rsidRPr="00F460AB">
      <w:rPr>
        <w:color w:val="D9D9D9" w:themeColor="background1" w:themeShade="D9"/>
      </w:rPr>
      <w:instrText xml:space="preserve"> FILENAME \p  \* MERGEFORMAT </w:instrText>
    </w:r>
    <w:r w:rsidRPr="00F460AB">
      <w:rPr>
        <w:color w:val="D9D9D9" w:themeColor="background1" w:themeShade="D9"/>
      </w:rPr>
      <w:fldChar w:fldCharType="separate"/>
    </w:r>
    <w:r w:rsidR="00A23336" w:rsidRPr="00F460AB">
      <w:rPr>
        <w:color w:val="D9D9D9" w:themeColor="background1" w:themeShade="D9"/>
      </w:rPr>
      <w:t>Document1</w:t>
    </w:r>
    <w:r w:rsidRPr="00F460AB">
      <w:rPr>
        <w:color w:val="D9D9D9" w:themeColor="background1" w:themeShade="D9"/>
      </w:rPr>
      <w:fldChar w:fldCharType="end"/>
    </w:r>
    <w:r w:rsidR="00CB18FF" w:rsidRPr="00F460AB">
      <w:rPr>
        <w:color w:val="D9D9D9" w:themeColor="background1" w:themeShade="D9"/>
      </w:rPr>
      <w:tab/>
    </w:r>
    <w:r w:rsidR="00864AFF" w:rsidRPr="00F460AB">
      <w:rPr>
        <w:color w:val="D9D9D9" w:themeColor="background1" w:themeShade="D9"/>
      </w:rPr>
      <w:fldChar w:fldCharType="begin"/>
    </w:r>
    <w:r w:rsidR="00CB18FF" w:rsidRPr="00F460AB">
      <w:rPr>
        <w:color w:val="D9D9D9" w:themeColor="background1" w:themeShade="D9"/>
      </w:rPr>
      <w:instrText xml:space="preserve"> SAVEDATE \@ DD.MM.YY </w:instrText>
    </w:r>
    <w:r w:rsidR="00864AFF" w:rsidRPr="00F460AB">
      <w:rPr>
        <w:color w:val="D9D9D9" w:themeColor="background1" w:themeShade="D9"/>
      </w:rPr>
      <w:fldChar w:fldCharType="separate"/>
    </w:r>
    <w:r w:rsidR="0049228E">
      <w:rPr>
        <w:color w:val="D9D9D9" w:themeColor="background1" w:themeShade="D9"/>
      </w:rPr>
      <w:t>29.03.17</w:t>
    </w:r>
    <w:r w:rsidR="00864AFF" w:rsidRPr="00F460AB">
      <w:rPr>
        <w:color w:val="D9D9D9" w:themeColor="background1" w:themeShade="D9"/>
      </w:rPr>
      <w:fldChar w:fldCharType="end"/>
    </w:r>
    <w:r w:rsidR="00CB18FF" w:rsidRPr="00F460AB">
      <w:rPr>
        <w:color w:val="D9D9D9" w:themeColor="background1" w:themeShade="D9"/>
      </w:rPr>
      <w:tab/>
    </w:r>
    <w:r w:rsidR="00864AFF" w:rsidRPr="00F460AB">
      <w:rPr>
        <w:color w:val="D9D9D9" w:themeColor="background1" w:themeShade="D9"/>
      </w:rPr>
      <w:fldChar w:fldCharType="begin"/>
    </w:r>
    <w:r w:rsidR="00CB18FF" w:rsidRPr="00F460AB">
      <w:rPr>
        <w:color w:val="D9D9D9" w:themeColor="background1" w:themeShade="D9"/>
      </w:rPr>
      <w:instrText xml:space="preserve"> PRINTDATE \@ DD.MM.YY </w:instrText>
    </w:r>
    <w:r w:rsidR="00864AFF" w:rsidRPr="00F460AB">
      <w:rPr>
        <w:color w:val="D9D9D9" w:themeColor="background1" w:themeShade="D9"/>
      </w:rPr>
      <w:fldChar w:fldCharType="separate"/>
    </w:r>
    <w:r w:rsidR="00A23336" w:rsidRPr="00F460AB">
      <w:rPr>
        <w:color w:val="D9D9D9" w:themeColor="background1" w:themeShade="D9"/>
      </w:rPr>
      <w:t>18.07.00</w:t>
    </w:r>
    <w:r w:rsidR="00864AFF" w:rsidRPr="00F460A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F460AB" w:rsidRDefault="002921F3">
    <w:pPr>
      <w:pStyle w:val="Footer"/>
      <w:rPr>
        <w:color w:val="D9D9D9" w:themeColor="background1" w:themeShade="D9"/>
      </w:rPr>
    </w:pPr>
    <w:r w:rsidRPr="00F460AB">
      <w:rPr>
        <w:color w:val="D9D9D9" w:themeColor="background1" w:themeShade="D9"/>
      </w:rPr>
      <w:fldChar w:fldCharType="begin"/>
    </w:r>
    <w:r w:rsidRPr="00F460AB">
      <w:rPr>
        <w:color w:val="D9D9D9" w:themeColor="background1" w:themeShade="D9"/>
      </w:rPr>
      <w:instrText xml:space="preserve"> FILENAME \p  \* MERGEFORMAT </w:instrText>
    </w:r>
    <w:r w:rsidRPr="00F460AB">
      <w:rPr>
        <w:color w:val="D9D9D9" w:themeColor="background1" w:themeShade="D9"/>
      </w:rPr>
      <w:fldChar w:fldCharType="separate"/>
    </w:r>
    <w:r w:rsidR="00A23336" w:rsidRPr="00F460AB">
      <w:rPr>
        <w:color w:val="D9D9D9" w:themeColor="background1" w:themeShade="D9"/>
      </w:rPr>
      <w:t>Document1</w:t>
    </w:r>
    <w:r w:rsidRPr="00F460AB">
      <w:rPr>
        <w:color w:val="D9D9D9" w:themeColor="background1" w:themeShade="D9"/>
      </w:rPr>
      <w:fldChar w:fldCharType="end"/>
    </w:r>
    <w:r w:rsidR="00322D0D" w:rsidRPr="00F460AB">
      <w:rPr>
        <w:color w:val="D9D9D9" w:themeColor="background1" w:themeShade="D9"/>
      </w:rPr>
      <w:tab/>
    </w:r>
    <w:r w:rsidR="00864AFF" w:rsidRPr="00F460AB">
      <w:rPr>
        <w:color w:val="D9D9D9" w:themeColor="background1" w:themeShade="D9"/>
      </w:rPr>
      <w:fldChar w:fldCharType="begin"/>
    </w:r>
    <w:r w:rsidR="00322D0D" w:rsidRPr="00F460AB">
      <w:rPr>
        <w:color w:val="D9D9D9" w:themeColor="background1" w:themeShade="D9"/>
      </w:rPr>
      <w:instrText xml:space="preserve"> SAVEDATE \@ DD.MM.YY </w:instrText>
    </w:r>
    <w:r w:rsidR="00864AFF" w:rsidRPr="00F460AB">
      <w:rPr>
        <w:color w:val="D9D9D9" w:themeColor="background1" w:themeShade="D9"/>
      </w:rPr>
      <w:fldChar w:fldCharType="separate"/>
    </w:r>
    <w:r w:rsidR="0049228E">
      <w:rPr>
        <w:color w:val="D9D9D9" w:themeColor="background1" w:themeShade="D9"/>
      </w:rPr>
      <w:t>29.03.17</w:t>
    </w:r>
    <w:r w:rsidR="00864AFF" w:rsidRPr="00F460AB">
      <w:rPr>
        <w:color w:val="D9D9D9" w:themeColor="background1" w:themeShade="D9"/>
      </w:rPr>
      <w:fldChar w:fldCharType="end"/>
    </w:r>
    <w:r w:rsidR="00322D0D" w:rsidRPr="00F460AB">
      <w:rPr>
        <w:color w:val="D9D9D9" w:themeColor="background1" w:themeShade="D9"/>
      </w:rPr>
      <w:tab/>
    </w:r>
    <w:r w:rsidR="00864AFF" w:rsidRPr="00F460AB">
      <w:rPr>
        <w:color w:val="D9D9D9" w:themeColor="background1" w:themeShade="D9"/>
      </w:rPr>
      <w:fldChar w:fldCharType="begin"/>
    </w:r>
    <w:r w:rsidR="00322D0D" w:rsidRPr="00F460AB">
      <w:rPr>
        <w:color w:val="D9D9D9" w:themeColor="background1" w:themeShade="D9"/>
      </w:rPr>
      <w:instrText xml:space="preserve"> PRINTDATE \@ DD.MM.YY </w:instrText>
    </w:r>
    <w:r w:rsidR="00864AFF" w:rsidRPr="00F460AB">
      <w:rPr>
        <w:color w:val="D9D9D9" w:themeColor="background1" w:themeShade="D9"/>
      </w:rPr>
      <w:fldChar w:fldCharType="separate"/>
    </w:r>
    <w:r w:rsidR="00A23336" w:rsidRPr="00F460AB">
      <w:rPr>
        <w:color w:val="D9D9D9" w:themeColor="background1" w:themeShade="D9"/>
      </w:rPr>
      <w:t>18.07.00</w:t>
    </w:r>
    <w:r w:rsidR="00864AFF" w:rsidRPr="00F460AB">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336" w:rsidRDefault="00A23336">
      <w:r>
        <w:t>____________________</w:t>
      </w:r>
    </w:p>
  </w:footnote>
  <w:footnote w:type="continuationSeparator" w:id="0">
    <w:p w:rsidR="00A23336" w:rsidRDefault="00A23336" w:rsidP="00F460AB">
      <w:pPr>
        <w:spacing w:before="0"/>
      </w:pPr>
      <w:r>
        <w:continuationSeparator/>
      </w:r>
    </w:p>
  </w:footnote>
  <w:footnote w:id="1">
    <w:p w:rsidR="00A23336" w:rsidRPr="00A015CB" w:rsidRDefault="00A23336" w:rsidP="00F460AB">
      <w:pPr>
        <w:pStyle w:val="FootnoteText"/>
        <w:tabs>
          <w:tab w:val="clear" w:pos="256"/>
        </w:tabs>
        <w:spacing w:before="40"/>
        <w:ind w:left="142" w:hanging="142"/>
        <w:rPr>
          <w:sz w:val="20"/>
        </w:rPr>
      </w:pPr>
      <w:r>
        <w:rPr>
          <w:rStyle w:val="FootnoteReference"/>
        </w:rPr>
        <w:footnoteRef/>
      </w:r>
      <w:r>
        <w:t xml:space="preserve"> </w:t>
      </w:r>
      <w:r w:rsidRPr="00A015CB">
        <w:rPr>
          <w:sz w:val="20"/>
        </w:rPr>
        <w:t xml:space="preserve">ICT-DF </w:t>
      </w:r>
      <w:r>
        <w:rPr>
          <w:sz w:val="20"/>
        </w:rPr>
        <w:t xml:space="preserve">SC </w:t>
      </w:r>
      <w:r w:rsidRPr="00A015CB">
        <w:rPr>
          <w:sz w:val="20"/>
        </w:rPr>
        <w:t>is composed of the ITU Secretary-General (Chairman), the ITU Deputy Secretary-General, and the Director of the BDT. The ICT-DF Administrator acts as Secretary of the ICT-DF Steering Committee.</w:t>
      </w:r>
    </w:p>
  </w:footnote>
  <w:footnote w:id="2">
    <w:p w:rsidR="00A23336" w:rsidRPr="00556D45" w:rsidRDefault="00A23336" w:rsidP="00F460AB">
      <w:pPr>
        <w:pStyle w:val="FootnoteText"/>
        <w:tabs>
          <w:tab w:val="clear" w:pos="256"/>
          <w:tab w:val="clear" w:pos="567"/>
          <w:tab w:val="clear" w:pos="1134"/>
          <w:tab w:val="clear" w:pos="1701"/>
          <w:tab w:val="clear" w:pos="2268"/>
          <w:tab w:val="clear" w:pos="2835"/>
        </w:tabs>
        <w:spacing w:before="40"/>
        <w:ind w:left="255" w:hanging="255"/>
        <w:rPr>
          <w:sz w:val="20"/>
        </w:rPr>
      </w:pPr>
      <w:r>
        <w:rPr>
          <w:rStyle w:val="FootnoteReference"/>
        </w:rPr>
        <w:footnoteRef/>
      </w:r>
      <w:r>
        <w:rPr>
          <w:color w:val="000000"/>
          <w:sz w:val="20"/>
        </w:rPr>
        <w:tab/>
      </w:r>
      <w:r w:rsidRPr="0002768B">
        <w:rPr>
          <w:color w:val="000000"/>
          <w:sz w:val="20"/>
        </w:rPr>
        <w:t xml:space="preserve">Establishment of an Arab Regional Information and Communications Technology (ICT) Center for Persons with </w:t>
      </w:r>
      <w:r w:rsidRPr="0002768B">
        <w:rPr>
          <w:sz w:val="20"/>
        </w:rPr>
        <w:t>disabilities (</w:t>
      </w:r>
      <w:proofErr w:type="spellStart"/>
      <w:r w:rsidRPr="0002768B">
        <w:rPr>
          <w:sz w:val="20"/>
        </w:rPr>
        <w:t>PwDs</w:t>
      </w:r>
      <w:proofErr w:type="spellEnd"/>
      <w:r w:rsidRPr="0002768B">
        <w:rPr>
          <w:sz w:val="20"/>
        </w:rPr>
        <w:t xml:space="preserve">) signed in </w:t>
      </w:r>
      <w:r w:rsidR="00827551">
        <w:rPr>
          <w:sz w:val="20"/>
        </w:rPr>
        <w:t>November 2016 is part of the on</w:t>
      </w:r>
      <w:r w:rsidRPr="0002768B">
        <w:rPr>
          <w:sz w:val="20"/>
        </w:rPr>
        <w:t>going projects.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49228E">
      <w:rPr>
        <w:noProof/>
      </w:rPr>
      <w:t>5</w:t>
    </w:r>
    <w:r>
      <w:rPr>
        <w:noProof/>
      </w:rPr>
      <w:fldChar w:fldCharType="end"/>
    </w:r>
  </w:p>
  <w:p w:rsidR="00322D0D" w:rsidRPr="00F460AB" w:rsidRDefault="00A23336" w:rsidP="005243FF">
    <w:pPr>
      <w:pStyle w:val="Header"/>
    </w:pPr>
    <w:r w:rsidRPr="00F460AB">
      <w:t>C17/34-E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2E5ECF"/>
    <w:multiLevelType w:val="hybridMultilevel"/>
    <w:tmpl w:val="02B89476"/>
    <w:lvl w:ilvl="0" w:tplc="B338FA1A">
      <w:start w:val="1"/>
      <w:numFmt w:val="bullet"/>
      <w:lvlText w:val=""/>
      <w:lvlJc w:val="left"/>
      <w:pPr>
        <w:ind w:left="720" w:hanging="360"/>
      </w:pPr>
      <w:rPr>
        <w:rFonts w:ascii="Symbol" w:hAnsi="Symbol" w:hint="default"/>
      </w:rPr>
    </w:lvl>
    <w:lvl w:ilvl="1" w:tplc="16867FC6">
      <w:numFmt w:val="bullet"/>
      <w:lvlText w:val="•"/>
      <w:lvlJc w:val="left"/>
      <w:pPr>
        <w:ind w:left="1780" w:hanging="700"/>
      </w:pPr>
      <w:rPr>
        <w:rFonts w:ascii="Calibri" w:eastAsiaTheme="minorEastAsia"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F5DA8"/>
    <w:multiLevelType w:val="hybridMultilevel"/>
    <w:tmpl w:val="A44EB3F2"/>
    <w:lvl w:ilvl="0" w:tplc="B338F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36"/>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921F3"/>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9228E"/>
    <w:rsid w:val="004D1851"/>
    <w:rsid w:val="004D599D"/>
    <w:rsid w:val="004E2EA5"/>
    <w:rsid w:val="004E3AEB"/>
    <w:rsid w:val="0050223C"/>
    <w:rsid w:val="005243FF"/>
    <w:rsid w:val="00564FBC"/>
    <w:rsid w:val="00582442"/>
    <w:rsid w:val="005F541A"/>
    <w:rsid w:val="0064737F"/>
    <w:rsid w:val="006535F1"/>
    <w:rsid w:val="0065557D"/>
    <w:rsid w:val="00662984"/>
    <w:rsid w:val="006716BB"/>
    <w:rsid w:val="006B6680"/>
    <w:rsid w:val="006B6DCC"/>
    <w:rsid w:val="00702DEF"/>
    <w:rsid w:val="00706861"/>
    <w:rsid w:val="0075051B"/>
    <w:rsid w:val="00794D34"/>
    <w:rsid w:val="00813E5E"/>
    <w:rsid w:val="00827551"/>
    <w:rsid w:val="0083581B"/>
    <w:rsid w:val="00864AFF"/>
    <w:rsid w:val="008B4A6A"/>
    <w:rsid w:val="008C7E27"/>
    <w:rsid w:val="009173EF"/>
    <w:rsid w:val="00932906"/>
    <w:rsid w:val="00961B0B"/>
    <w:rsid w:val="009B38C3"/>
    <w:rsid w:val="009E17BD"/>
    <w:rsid w:val="00A04CEC"/>
    <w:rsid w:val="00A23336"/>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0AB"/>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0B7673-7463-467F-BBA8-77DFB5D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A233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rsid w:val="00A23336"/>
    <w:rPr>
      <w:rFonts w:ascii="Calibri" w:hAnsi="Calibri"/>
      <w:sz w:val="24"/>
      <w:lang w:val="en-GB" w:eastAsia="en-US"/>
    </w:rPr>
  </w:style>
  <w:style w:type="paragraph" w:styleId="ListParagraph">
    <w:name w:val="List Paragraph"/>
    <w:basedOn w:val="Normal"/>
    <w:link w:val="ListParagraphChar"/>
    <w:uiPriority w:val="34"/>
    <w:qFormat/>
    <w:rsid w:val="00A23336"/>
    <w:pPr>
      <w:widowControl w:val="0"/>
      <w:tabs>
        <w:tab w:val="clear" w:pos="567"/>
        <w:tab w:val="clear" w:pos="1134"/>
        <w:tab w:val="clear" w:pos="1701"/>
        <w:tab w:val="clear" w:pos="2268"/>
        <w:tab w:val="clear" w:pos="2835"/>
      </w:tabs>
      <w:kinsoku w:val="0"/>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A23336"/>
    <w:rPr>
      <w:rFonts w:ascii="Times New Roman" w:eastAsiaTheme="minorEastAsia" w:hAnsi="Times New Roman" w:cstheme="minorBidi"/>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D/Partners/Pages/ICT-DF/default.aspx" TargetMode="External"/><Relationship Id="rId18" Type="http://schemas.openxmlformats.org/officeDocument/2006/relationships/hyperlink" Target="http://www.itu.int/en/ITU-D/Projects/Pages/defaul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www.itu.int/md/S11-CL-C-0106/en"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index97/1997/134/134.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hyperlink" Target="http://www.itu.int/council/index97/1997/131/131.html"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itu.int/dms_pub/itu-s/opb/conf/S-CONF-ACTF-2014-PDF-E.pdf" TargetMode="External"/><Relationship Id="rId14" Type="http://schemas.openxmlformats.org/officeDocument/2006/relationships/hyperlink" Target="http://www.itu.int/en/ITU-D/Projects/Pages/Portfolio.aspx?Status=Ongoing&amp;Theme=&amp;Region=&amp;Country=&amp;ICTDF=1&amp;Keyword="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r>
              <a:rPr lang="en-US" sz="950" b="1"/>
              <a:t>Fig. 1 - ICT-DF</a:t>
            </a:r>
            <a:r>
              <a:rPr lang="en-US" sz="950" b="1" baseline="0"/>
              <a:t> portfolio per region</a:t>
            </a:r>
          </a:p>
          <a:p>
            <a:pPr>
              <a:defRPr sz="950" b="1"/>
            </a:pPr>
            <a:r>
              <a:rPr lang="en-US" sz="950" b="1" baseline="0"/>
              <a:t>(mid-March 2017)</a:t>
            </a:r>
            <a:endParaRPr lang="en-US" sz="950" b="1"/>
          </a:p>
        </c:rich>
      </c:tx>
      <c:layout>
        <c:manualLayout>
          <c:xMode val="edge"/>
          <c:yMode val="edge"/>
          <c:x val="0.377918006728032"/>
          <c:y val="4.9786392085604703E-2"/>
        </c:manualLayout>
      </c:layout>
      <c:overlay val="0"/>
      <c:spPr>
        <a:noFill/>
        <a:ln>
          <a:noFill/>
        </a:ln>
        <a:effectLst/>
      </c:spPr>
      <c:txPr>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cat>
            <c:strRef>
              <c:f>Sheet1!$B$72:$B$78</c:f>
              <c:strCache>
                <c:ptCount val="7"/>
                <c:pt idx="0">
                  <c:v>Africa</c:v>
                </c:pt>
                <c:pt idx="1">
                  <c:v>Arab States</c:v>
                </c:pt>
                <c:pt idx="2">
                  <c:v>Asia &amp; Pacific</c:v>
                </c:pt>
                <c:pt idx="3">
                  <c:v>Americas</c:v>
                </c:pt>
                <c:pt idx="4">
                  <c:v>CIS</c:v>
                </c:pt>
                <c:pt idx="5">
                  <c:v>Europe</c:v>
                </c:pt>
                <c:pt idx="6">
                  <c:v>Global</c:v>
                </c:pt>
              </c:strCache>
            </c:strRef>
          </c:cat>
          <c:val>
            <c:numRef>
              <c:f>Sheet1!$C$72:$C$78</c:f>
              <c:numCache>
                <c:formatCode>General</c:formatCode>
                <c:ptCount val="7"/>
                <c:pt idx="0">
                  <c:v>9.5</c:v>
                </c:pt>
                <c:pt idx="1">
                  <c:v>3.5</c:v>
                </c:pt>
                <c:pt idx="2">
                  <c:v>1</c:v>
                </c:pt>
                <c:pt idx="3">
                  <c:v>2</c:v>
                </c:pt>
                <c:pt idx="6">
                  <c:v>1</c:v>
                </c:pt>
              </c:numCache>
            </c:numRef>
          </c:val>
        </c:ser>
        <c:dLbls>
          <c:showLegendKey val="0"/>
          <c:showVal val="0"/>
          <c:showCatName val="0"/>
          <c:showSerName val="0"/>
          <c:showPercent val="0"/>
          <c:showBubbleSize val="0"/>
        </c:dLbls>
        <c:gapWidth val="150"/>
        <c:shape val="box"/>
        <c:axId val="140903184"/>
        <c:axId val="140903576"/>
        <c:axId val="298917904"/>
      </c:bar3DChart>
      <c:catAx>
        <c:axId val="140903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03576"/>
        <c:crosses val="autoZero"/>
        <c:auto val="1"/>
        <c:lblAlgn val="ctr"/>
        <c:lblOffset val="100"/>
        <c:noMultiLvlLbl val="0"/>
      </c:catAx>
      <c:valAx>
        <c:axId val="140903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03184"/>
        <c:crosses val="autoZero"/>
        <c:crossBetween val="between"/>
      </c:valAx>
      <c:serAx>
        <c:axId val="298917904"/>
        <c:scaling>
          <c:orientation val="minMax"/>
        </c:scaling>
        <c:delete val="1"/>
        <c:axPos val="b"/>
        <c:majorTickMark val="none"/>
        <c:minorTickMark val="none"/>
        <c:tickLblPos val="nextTo"/>
        <c:crossAx val="14090357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r>
              <a:rPr lang="en-US" sz="950" b="1"/>
              <a:t>Fig.</a:t>
            </a:r>
            <a:r>
              <a:rPr lang="en-US" sz="950" b="1" baseline="0"/>
              <a:t> 2 - </a:t>
            </a:r>
            <a:r>
              <a:rPr lang="en-US" sz="950" b="1"/>
              <a:t>ICT-DF</a:t>
            </a:r>
            <a:r>
              <a:rPr lang="en-US" sz="950" b="1" baseline="0"/>
              <a:t> portfolio per areas of action</a:t>
            </a:r>
          </a:p>
          <a:p>
            <a:pPr>
              <a:defRPr sz="950" b="1"/>
            </a:pPr>
            <a:r>
              <a:rPr lang="en-US" sz="950" b="1" baseline="0"/>
              <a:t>(mid-March 2017)</a:t>
            </a:r>
            <a:endParaRPr lang="en-US" sz="950" b="1"/>
          </a:p>
        </c:rich>
      </c:tx>
      <c:layout>
        <c:manualLayout>
          <c:xMode val="edge"/>
          <c:yMode val="edge"/>
          <c:x val="0.368223097112861"/>
          <c:y val="4.4799017144133597E-2"/>
        </c:manualLayout>
      </c:layout>
      <c:overlay val="0"/>
      <c:spPr>
        <a:noFill/>
        <a:ln>
          <a:noFill/>
        </a:ln>
        <a:effectLst/>
      </c:spPr>
      <c:txPr>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55080614923098E-2"/>
          <c:y val="0.24504964539007101"/>
          <c:w val="0.76317472815898002"/>
          <c:h val="0.31056100966102601"/>
        </c:manualLayout>
      </c:layout>
      <c:bar3DChart>
        <c:barDir val="bar"/>
        <c:grouping val="percentStacked"/>
        <c:varyColors val="0"/>
        <c:ser>
          <c:idx val="0"/>
          <c:order val="0"/>
          <c:tx>
            <c:strRef>
              <c:f>Sheet1!$B$82</c:f>
              <c:strCache>
                <c:ptCount val="1"/>
                <c:pt idx="0">
                  <c:v>Technology &amp; Network Development</c:v>
                </c:pt>
              </c:strCache>
            </c:strRef>
          </c:tx>
          <c:spPr>
            <a:solidFill>
              <a:schemeClr val="accent6"/>
            </a:solidFill>
            <a:ln>
              <a:noFill/>
            </a:ln>
            <a:effectLst/>
            <a:sp3d/>
          </c:spPr>
          <c:invertIfNegative val="0"/>
          <c:val>
            <c:numRef>
              <c:f>Sheet1!$C$82</c:f>
              <c:numCache>
                <c:formatCode>General</c:formatCode>
                <c:ptCount val="1"/>
                <c:pt idx="0">
                  <c:v>9</c:v>
                </c:pt>
              </c:numCache>
            </c:numRef>
          </c:val>
        </c:ser>
        <c:ser>
          <c:idx val="1"/>
          <c:order val="1"/>
          <c:tx>
            <c:strRef>
              <c:f>Sheet1!$B$83</c:f>
              <c:strCache>
                <c:ptCount val="1"/>
                <c:pt idx="0">
                  <c:v>ICT Applications</c:v>
                </c:pt>
              </c:strCache>
            </c:strRef>
          </c:tx>
          <c:spPr>
            <a:solidFill>
              <a:schemeClr val="accent5"/>
            </a:solidFill>
            <a:ln>
              <a:noFill/>
            </a:ln>
            <a:effectLst/>
            <a:sp3d/>
          </c:spPr>
          <c:invertIfNegative val="0"/>
          <c:val>
            <c:numRef>
              <c:f>Sheet1!$C$83</c:f>
              <c:numCache>
                <c:formatCode>General</c:formatCode>
                <c:ptCount val="1"/>
                <c:pt idx="0">
                  <c:v>3</c:v>
                </c:pt>
              </c:numCache>
            </c:numRef>
          </c:val>
        </c:ser>
        <c:ser>
          <c:idx val="2"/>
          <c:order val="2"/>
          <c:tx>
            <c:strRef>
              <c:f>Sheet1!$B$84</c:f>
              <c:strCache>
                <c:ptCount val="1"/>
                <c:pt idx="0">
                  <c:v>Emergency Telecom, LDCs &amp; SIDS</c:v>
                </c:pt>
              </c:strCache>
            </c:strRef>
          </c:tx>
          <c:spPr>
            <a:solidFill>
              <a:schemeClr val="accent4"/>
            </a:solidFill>
            <a:ln>
              <a:noFill/>
            </a:ln>
            <a:effectLst/>
            <a:sp3d/>
          </c:spPr>
          <c:invertIfNegative val="0"/>
          <c:val>
            <c:numRef>
              <c:f>Sheet1!$C$84</c:f>
              <c:numCache>
                <c:formatCode>General</c:formatCode>
                <c:ptCount val="1"/>
                <c:pt idx="0">
                  <c:v>2</c:v>
                </c:pt>
              </c:numCache>
            </c:numRef>
          </c:val>
        </c:ser>
        <c:ser>
          <c:idx val="3"/>
          <c:order val="3"/>
          <c:tx>
            <c:strRef>
              <c:f>Sheet1!$B$85</c:f>
              <c:strCache>
                <c:ptCount val="1"/>
                <c:pt idx="0">
                  <c:v>Digital Inclusion</c:v>
                </c:pt>
              </c:strCache>
            </c:strRef>
          </c:tx>
          <c:spPr>
            <a:solidFill>
              <a:schemeClr val="accent6">
                <a:lumMod val="60000"/>
              </a:schemeClr>
            </a:solidFill>
            <a:ln>
              <a:noFill/>
            </a:ln>
            <a:effectLst/>
            <a:sp3d/>
          </c:spPr>
          <c:invertIfNegative val="0"/>
          <c:val>
            <c:numRef>
              <c:f>Sheet1!$C$85</c:f>
              <c:numCache>
                <c:formatCode>General</c:formatCode>
                <c:ptCount val="1"/>
                <c:pt idx="0">
                  <c:v>1</c:v>
                </c:pt>
              </c:numCache>
            </c:numRef>
          </c:val>
        </c:ser>
        <c:ser>
          <c:idx val="4"/>
          <c:order val="4"/>
          <c:tx>
            <c:strRef>
              <c:f>Sheet1!$B$86</c:f>
              <c:strCache>
                <c:ptCount val="1"/>
                <c:pt idx="0">
                  <c:v>Spectrum Management &amp; Digital Broadcasting</c:v>
                </c:pt>
              </c:strCache>
            </c:strRef>
          </c:tx>
          <c:spPr>
            <a:solidFill>
              <a:schemeClr val="accent5">
                <a:lumMod val="60000"/>
              </a:schemeClr>
            </a:solidFill>
            <a:ln>
              <a:noFill/>
            </a:ln>
            <a:effectLst/>
            <a:sp3d/>
          </c:spPr>
          <c:invertIfNegative val="0"/>
          <c:val>
            <c:numRef>
              <c:f>Sheet1!$C$86</c:f>
              <c:numCache>
                <c:formatCode>General</c:formatCode>
                <c:ptCount val="1"/>
                <c:pt idx="0">
                  <c:v>2</c:v>
                </c:pt>
              </c:numCache>
            </c:numRef>
          </c:val>
        </c:ser>
        <c:dLbls>
          <c:showLegendKey val="0"/>
          <c:showVal val="0"/>
          <c:showCatName val="0"/>
          <c:showSerName val="0"/>
          <c:showPercent val="0"/>
          <c:showBubbleSize val="0"/>
        </c:dLbls>
        <c:gapWidth val="150"/>
        <c:shape val="box"/>
        <c:axId val="140904360"/>
        <c:axId val="140904752"/>
        <c:axId val="0"/>
      </c:bar3DChart>
      <c:catAx>
        <c:axId val="140904360"/>
        <c:scaling>
          <c:orientation val="minMax"/>
        </c:scaling>
        <c:delete val="1"/>
        <c:axPos val="l"/>
        <c:numFmt formatCode="General" sourceLinked="1"/>
        <c:majorTickMark val="none"/>
        <c:minorTickMark val="none"/>
        <c:tickLblPos val="nextTo"/>
        <c:crossAx val="140904752"/>
        <c:crosses val="autoZero"/>
        <c:auto val="1"/>
        <c:lblAlgn val="ctr"/>
        <c:lblOffset val="100"/>
        <c:noMultiLvlLbl val="0"/>
      </c:catAx>
      <c:valAx>
        <c:axId val="140904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04360"/>
        <c:crosses val="autoZero"/>
        <c:crossBetween val="between"/>
      </c:valAx>
      <c:spPr>
        <a:noFill/>
        <a:ln>
          <a:noFill/>
        </a:ln>
        <a:effectLst/>
      </c:spPr>
    </c:plotArea>
    <c:legend>
      <c:legendPos val="b"/>
      <c:layout>
        <c:manualLayout>
          <c:xMode val="edge"/>
          <c:yMode val="edge"/>
          <c:x val="0.59216216722909598"/>
          <c:y val="0.69334584240799702"/>
          <c:w val="0.405357892763405"/>
          <c:h val="0.253186798458703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baseline="0">
                <a:solidFill>
                  <a:schemeClr val="dk1">
                    <a:lumMod val="75000"/>
                    <a:lumOff val="25000"/>
                  </a:schemeClr>
                </a:solidFill>
                <a:latin typeface="+mn-lt"/>
                <a:ea typeface="+mn-ea"/>
                <a:cs typeface="+mn-cs"/>
              </a:defRPr>
            </a:pPr>
            <a:r>
              <a:rPr lang="en-US" sz="950"/>
              <a:t>Fig. 3 ICT-DF portfolio</a:t>
            </a:r>
            <a:r>
              <a:rPr lang="en-US" sz="950" baseline="0"/>
              <a:t> contributions</a:t>
            </a:r>
            <a:r>
              <a:rPr lang="en-US" sz="950" b="1" i="0" u="none" strike="noStrike" kern="1200" baseline="0">
                <a:solidFill>
                  <a:sysClr val="windowText" lastClr="000000">
                    <a:lumMod val="75000"/>
                    <a:lumOff val="25000"/>
                  </a:sysClr>
                </a:solidFill>
                <a:latin typeface="+mn-lt"/>
                <a:ea typeface="+mn-ea"/>
                <a:cs typeface="+mn-cs"/>
              </a:rPr>
              <a:t>’</a:t>
            </a:r>
            <a:r>
              <a:rPr lang="en-US" sz="950" baseline="0"/>
              <a:t> distribution (mid-March 2017) </a:t>
            </a:r>
            <a:endParaRPr lang="en-US" sz="950"/>
          </a:p>
        </c:rich>
      </c:tx>
      <c:layout>
        <c:manualLayout>
          <c:xMode val="edge"/>
          <c:yMode val="edge"/>
          <c:x val="0.164165498730135"/>
          <c:y val="3.7186521039708702E-2"/>
        </c:manualLayout>
      </c:layout>
      <c:overlay val="0"/>
      <c:spPr>
        <a:noFill/>
        <a:ln>
          <a:noFill/>
        </a:ln>
        <a:effectLst/>
      </c:spPr>
      <c:txPr>
        <a:bodyPr rot="0" spcFirstLastPara="1" vertOverflow="ellipsis" vert="horz" wrap="square" anchor="ctr" anchorCtr="1"/>
        <a:lstStyle/>
        <a:p>
          <a:pPr>
            <a:defRPr sz="95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7024807382948102"/>
          <c:w val="1"/>
          <c:h val="0.68373507747015505"/>
        </c:manualLayout>
      </c:layout>
      <c:pie3DChart>
        <c:varyColors val="1"/>
        <c:ser>
          <c:idx val="0"/>
          <c:order val="0"/>
          <c:dPt>
            <c:idx val="0"/>
            <c:bubble3D val="0"/>
            <c:explosion val="14"/>
            <c:spPr>
              <a:solidFill>
                <a:schemeClr val="accent1"/>
              </a:solidFill>
              <a:ln>
                <a:noFill/>
              </a:ln>
              <a:effectLst>
                <a:outerShdw blurRad="254000" sx="102000" sy="102000" algn="ctr" rotWithShape="0">
                  <a:prstClr val="black">
                    <a:alpha val="20000"/>
                  </a:prstClr>
                </a:outerShdw>
              </a:effectLst>
              <a:sp3d/>
            </c:spPr>
          </c:dPt>
          <c:dPt>
            <c:idx val="1"/>
            <c:bubble3D val="0"/>
            <c:explosion val="3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manualLayout>
                  <c:x val="-7.0193182373942495E-2"/>
                  <c:y val="4.3147489628312601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57EFF01-4150-4FA1-9A9B-66B9F1D774EE}" type="CATEGORYNAME">
                      <a:rPr lang="en-US" sz="900"/>
                      <a:pPr>
                        <a:defRPr sz="900"/>
                      </a:pPr>
                      <a:t>[CATEGORY NAME]</a:t>
                    </a:fld>
                    <a:r>
                      <a:rPr lang="en-US" sz="900"/>
                      <a:t>: </a:t>
                    </a:r>
                    <a:r>
                      <a:rPr lang="en-US" sz="900" baseline="0"/>
                      <a:t>30.7%</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5931660716323501"/>
                      <c:h val="8.2849462365591403E-2"/>
                    </c:manualLayout>
                  </c15:layout>
                  <c15:dlblFieldTable/>
                  <c15:showDataLabelsRange val="0"/>
                </c:ext>
              </c:extLst>
            </c:dLbl>
            <c:dLbl>
              <c:idx val="1"/>
              <c:layout>
                <c:manualLayout>
                  <c:x val="4.35343408160936E-2"/>
                  <c:y val="-6.5873338413343599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5142B2CF-4552-43AC-8E70-6BFFAE0A4696}" type="CATEGORYNAME">
                      <a:rPr lang="en-US" sz="900"/>
                      <a:pPr>
                        <a:defRPr sz="900"/>
                      </a:pPr>
                      <a:t>[CATEGORY NAME]</a:t>
                    </a:fld>
                    <a:r>
                      <a:rPr lang="en-US" sz="900"/>
                      <a:t>:</a:t>
                    </a:r>
                    <a:r>
                      <a:rPr lang="en-US" sz="900" baseline="0"/>
                      <a:t> 59.8%</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41227726968911499"/>
                      <c:h val="8.3951824570315803E-2"/>
                    </c:manualLayout>
                  </c15:layout>
                  <c15:dlblFieldTable/>
                  <c15:showDataLabelsRange val="0"/>
                </c:ext>
              </c:extLst>
            </c:dLbl>
            <c:dLbl>
              <c:idx val="2"/>
              <c:layout>
                <c:manualLayout>
                  <c:x val="1.6498124555082799E-2"/>
                  <c:y val="-7.5909992097762001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1683E31F-B610-44A9-9870-9BB8129FDC2E}" type="CATEGORYNAME">
                      <a:rPr lang="en-US" sz="900"/>
                      <a:pPr>
                        <a:defRPr sz="900"/>
                      </a:pPr>
                      <a:t>[CATEGORY NAME]</a:t>
                    </a:fld>
                    <a:r>
                      <a:rPr lang="en-US" sz="900"/>
                      <a:t>: </a:t>
                    </a:r>
                    <a:r>
                      <a:rPr lang="en-US" sz="900" baseline="0"/>
                      <a:t>9.5%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9957287947702199"/>
                      <c:h val="8.4484802302937895E-2"/>
                    </c:manualLayout>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Sheet1!$M$72:$M$74</c:f>
              <c:strCache>
                <c:ptCount val="3"/>
                <c:pt idx="0">
                  <c:v>ICT-DF</c:v>
                </c:pt>
                <c:pt idx="1">
                  <c:v>In-cash other</c:v>
                </c:pt>
                <c:pt idx="2">
                  <c:v>In-kind</c:v>
                </c:pt>
              </c:strCache>
            </c:strRef>
          </c:cat>
          <c:val>
            <c:numRef>
              <c:f>Sheet1!$N$72:$N$74</c:f>
              <c:numCache>
                <c:formatCode>0</c:formatCode>
                <c:ptCount val="3"/>
                <c:pt idx="0">
                  <c:v>30.996877377912309</c:v>
                </c:pt>
                <c:pt idx="1">
                  <c:v>59.334964501407093</c:v>
                </c:pt>
                <c:pt idx="2">
                  <c:v>9.6681581206805607</c:v>
                </c:pt>
              </c:numCache>
            </c:numRef>
          </c:val>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r>
              <a:rPr lang="en-US" sz="950"/>
              <a:t>Fig. 4 - ITU development projects</a:t>
            </a:r>
            <a:r>
              <a:rPr lang="en-US" sz="950" b="1" i="0" u="none" strike="noStrike" kern="1200" baseline="0">
                <a:solidFill>
                  <a:sysClr val="windowText" lastClr="000000">
                    <a:lumMod val="65000"/>
                    <a:lumOff val="35000"/>
                  </a:sysClr>
                </a:solidFill>
                <a:latin typeface="+mn-lt"/>
                <a:ea typeface="+mn-ea"/>
                <a:cs typeface="+mn-cs"/>
              </a:rPr>
              <a:t>’</a:t>
            </a:r>
            <a:r>
              <a:rPr lang="en-US" sz="950"/>
              <a:t> portfolio</a:t>
            </a:r>
          </a:p>
          <a:p>
            <a:pPr>
              <a:defRPr sz="950"/>
            </a:pPr>
            <a:r>
              <a:rPr lang="en-US" sz="950"/>
              <a:t>(mid-March 2017)</a:t>
            </a:r>
          </a:p>
        </c:rich>
      </c:tx>
      <c:layout>
        <c:manualLayout>
          <c:xMode val="edge"/>
          <c:yMode val="edge"/>
          <c:x val="0.156313291964332"/>
          <c:y val="2.7432130685156899E-2"/>
        </c:manualLayout>
      </c:layout>
      <c:overlay val="0"/>
      <c:spPr>
        <a:noFill/>
        <a:ln>
          <a:noFill/>
        </a:ln>
        <a:effectLst/>
      </c:spPr>
      <c:txPr>
        <a:bodyPr rot="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342105263157902E-2"/>
          <c:y val="0.31711717005523599"/>
          <c:w val="0.77850877192982504"/>
          <c:h val="0.62541740118306099"/>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14912297969332799"/>
                  <c:y val="-2.5887265925809401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fld id="{1F85BC27-ADAE-4624-9B52-E5625B06A52D}" type="CATEGORYNAME">
                      <a:rPr lang="en-US"/>
                      <a:pPr>
                        <a:defRPr b="1"/>
                      </a:pPr>
                      <a:t>[CATEGORY NAME]</a:t>
                    </a:fld>
                    <a:r>
                      <a:rPr lang="en-US"/>
                      <a:t>: 13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88037367039646"/>
                      <c:h val="0.164137639574714"/>
                    </c:manualLayout>
                  </c15:layout>
                  <c15:dlblFieldTable/>
                  <c15:showDataLabelsRange val="0"/>
                </c:ext>
              </c:extLst>
            </c:dLbl>
            <c:dLbl>
              <c:idx val="1"/>
              <c:layout>
                <c:manualLayout>
                  <c:x val="-3.4999654648433598E-3"/>
                  <c:y val="-4.0349022271533003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fld id="{262034C9-7306-4CC0-BDFE-D0191F90D79B}" type="CATEGORYNAME">
                      <a:rPr lang="en-US"/>
                      <a:pPr>
                        <a:defRPr b="1"/>
                      </a:pPr>
                      <a:t>[CATEGORY NAME]</a:t>
                    </a:fld>
                    <a:r>
                      <a:rPr lang="en-US"/>
                      <a:t>:</a:t>
                    </a:r>
                    <a:r>
                      <a:rPr lang="en-US" baseline="0"/>
                      <a:t> 4</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0428443155131901"/>
                      <c:h val="0.240151252279906"/>
                    </c:manualLayout>
                  </c15:layout>
                  <c15:dlblFieldTable/>
                  <c15:showDataLabelsRange val="0"/>
                </c:ext>
              </c:extLst>
            </c:dLbl>
            <c:dLbl>
              <c:idx val="2"/>
              <c:layout>
                <c:manualLayout>
                  <c:x val="0.118421052631579"/>
                  <c:y val="-7.0789848302860406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fld id="{88FB6D6B-1AD5-4C8A-BF35-3F9C809F790F}" type="CATEGORYNAME">
                      <a:rPr lang="en-US"/>
                      <a:pPr>
                        <a:defRPr b="1"/>
                      </a:pPr>
                      <a:t>[CATEGORY NAME]</a:t>
                    </a:fld>
                    <a:r>
                      <a:rPr lang="en-US" baseline="0"/>
                      <a:t>: 42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1043859649122801"/>
                      <c:h val="0.18066506517193801"/>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Sheet1!$B$126:$B$128</c:f>
              <c:strCache>
                <c:ptCount val="3"/>
                <c:pt idx="0">
                  <c:v>ICT-DF on-going projects</c:v>
                </c:pt>
                <c:pt idx="1">
                  <c:v>ICT-DF approved projects</c:v>
                </c:pt>
                <c:pt idx="2">
                  <c:v>Other on-going projects</c:v>
                </c:pt>
              </c:strCache>
            </c:strRef>
          </c:cat>
          <c:val>
            <c:numRef>
              <c:f>Sheet1!$C$126:$C$128</c:f>
              <c:numCache>
                <c:formatCode>0</c:formatCode>
                <c:ptCount val="3"/>
                <c:pt idx="0">
                  <c:v>22.033898305084751</c:v>
                </c:pt>
                <c:pt idx="1">
                  <c:v>6.7796610169491531</c:v>
                </c:pt>
                <c:pt idx="2" formatCode="General">
                  <c:v>71.186440677966075</c:v>
                </c:pt>
              </c:numCache>
            </c:numRef>
          </c:val>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baseline="0">
                <a:solidFill>
                  <a:schemeClr val="dk1">
                    <a:lumMod val="75000"/>
                    <a:lumOff val="25000"/>
                  </a:schemeClr>
                </a:solidFill>
                <a:latin typeface="+mn-lt"/>
                <a:ea typeface="+mn-ea"/>
                <a:cs typeface="+mn-cs"/>
              </a:defRPr>
            </a:pPr>
            <a:r>
              <a:rPr lang="en-US" sz="950"/>
              <a:t>Fig. 5 - ITU development projects</a:t>
            </a:r>
            <a:r>
              <a:rPr lang="en-US" sz="950" b="1" i="0" u="none" strike="noStrike" kern="1200" baseline="0">
                <a:solidFill>
                  <a:sysClr val="windowText" lastClr="000000">
                    <a:lumMod val="75000"/>
                    <a:lumOff val="25000"/>
                  </a:sysClr>
                </a:solidFill>
                <a:latin typeface="+mn-lt"/>
                <a:ea typeface="+mn-ea"/>
                <a:cs typeface="+mn-cs"/>
              </a:rPr>
              <a:t>’</a:t>
            </a:r>
            <a:r>
              <a:rPr lang="en-US" sz="950"/>
              <a:t> portfolio</a:t>
            </a:r>
          </a:p>
          <a:p>
            <a:pPr>
              <a:defRPr sz="950"/>
            </a:pPr>
            <a:r>
              <a:rPr lang="en-US" sz="950"/>
              <a:t>contributions</a:t>
            </a:r>
            <a:r>
              <a:rPr lang="en-US" sz="950" b="1" i="0" u="none" strike="noStrike" kern="1200" baseline="0">
                <a:solidFill>
                  <a:sysClr val="windowText" lastClr="000000">
                    <a:lumMod val="75000"/>
                    <a:lumOff val="25000"/>
                  </a:sysClr>
                </a:solidFill>
                <a:latin typeface="+mn-lt"/>
                <a:ea typeface="+mn-ea"/>
                <a:cs typeface="+mn-cs"/>
              </a:rPr>
              <a:t>’</a:t>
            </a:r>
            <a:r>
              <a:rPr lang="en-US" sz="950"/>
              <a:t> distribution (mid-March 2017)</a:t>
            </a:r>
          </a:p>
        </c:rich>
      </c:tx>
      <c:layout>
        <c:manualLayout>
          <c:xMode val="edge"/>
          <c:yMode val="edge"/>
          <c:x val="0.145850522783013"/>
          <c:y val="2.5264469060011601E-2"/>
        </c:manualLayout>
      </c:layout>
      <c:overlay val="0"/>
      <c:spPr>
        <a:noFill/>
        <a:ln>
          <a:noFill/>
        </a:ln>
        <a:effectLst/>
      </c:spPr>
      <c:txPr>
        <a:bodyPr rot="0" spcFirstLastPara="1" vertOverflow="ellipsis" vert="horz" wrap="square" anchor="ctr" anchorCtr="1"/>
        <a:lstStyle/>
        <a:p>
          <a:pPr>
            <a:defRPr sz="95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304962546348373"/>
          <c:y val="0.27822792312251299"/>
          <c:w val="0.53981085697621101"/>
          <c:h val="0.685646854627043"/>
        </c:manualLayout>
      </c:layout>
      <c:doughnutChart>
        <c:varyColors val="1"/>
        <c:ser>
          <c:idx val="0"/>
          <c:order val="0"/>
          <c:explosion val="7"/>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manualLayout>
                  <c:x val="3.3862433862433899E-2"/>
                  <c:y val="-8.0645161290322606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1.6931216931216998E-2"/>
                  <c:y val="-0.10752688172043"/>
                </c:manualLayout>
              </c:layou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Sheet1!$M$77:$M$79</c:f>
              <c:strCache>
                <c:ptCount val="3"/>
                <c:pt idx="0">
                  <c:v>ICT-DF</c:v>
                </c:pt>
                <c:pt idx="1">
                  <c:v>In-cash other</c:v>
                </c:pt>
                <c:pt idx="2">
                  <c:v>In-kind</c:v>
                </c:pt>
              </c:strCache>
            </c:strRef>
          </c:cat>
          <c:val>
            <c:numRef>
              <c:f>Sheet1!$N$77:$N$79</c:f>
              <c:numCache>
                <c:formatCode>0</c:formatCode>
                <c:ptCount val="3"/>
                <c:pt idx="0">
                  <c:v>9</c:v>
                </c:pt>
                <c:pt idx="1">
                  <c:v>88</c:v>
                </c:pt>
                <c:pt idx="2">
                  <c:v>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0"/>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2.9923615317316101E-2"/>
          <c:y val="0.70109896182005604"/>
          <c:w val="0.27537224513602498"/>
          <c:h val="0.27217932435864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r>
              <a:rPr lang="en-US" sz="950" b="1"/>
              <a:t>Fig. 6 - Evolution ICT-DF</a:t>
            </a:r>
            <a:r>
              <a:rPr lang="en-US" sz="950" b="1" baseline="0"/>
              <a:t> Capital Account </a:t>
            </a:r>
          </a:p>
          <a:p>
            <a:pPr>
              <a:defRPr sz="950" b="1"/>
            </a:pPr>
            <a:r>
              <a:rPr lang="en-US" sz="950" b="1" baseline="0"/>
              <a:t>(million USD)</a:t>
            </a:r>
            <a:endParaRPr lang="en-US" sz="950" b="1"/>
          </a:p>
        </c:rich>
      </c:tx>
      <c:layout>
        <c:manualLayout>
          <c:xMode val="edge"/>
          <c:yMode val="edge"/>
          <c:x val="0.30491154514776603"/>
          <c:y val="4.1666666666666699E-2"/>
        </c:manualLayout>
      </c:layout>
      <c:overlay val="0"/>
      <c:spPr>
        <a:noFill/>
        <a:ln>
          <a:noFill/>
        </a:ln>
        <a:effectLst/>
      </c:spPr>
      <c:txPr>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504618740839202E-2"/>
          <c:y val="0.22620370370370399"/>
          <c:w val="0.93417936394314405"/>
          <c:h val="0.67565616797900296"/>
        </c:manualLayout>
      </c:layout>
      <c:line3DChart>
        <c:grouping val="standard"/>
        <c:varyColors val="0"/>
        <c:ser>
          <c:idx val="0"/>
          <c:order val="0"/>
          <c:spPr>
            <a:solidFill>
              <a:schemeClr val="accent1"/>
            </a:solidFill>
            <a:ln>
              <a:noFill/>
            </a:ln>
            <a:effectLst/>
            <a:sp3d/>
          </c:spPr>
          <c:dPt>
            <c:idx val="5"/>
            <c:bubble3D val="0"/>
            <c:spPr>
              <a:noFill/>
              <a:ln>
                <a:solidFill>
                  <a:schemeClr val="accent2"/>
                </a:solidFill>
              </a:ln>
              <a:effectLst/>
              <a:sp3d>
                <a:contourClr>
                  <a:schemeClr val="accent2"/>
                </a:contourClr>
              </a:sp3d>
            </c:spPr>
          </c:dPt>
          <c:dLbls>
            <c:dLbl>
              <c:idx val="0"/>
              <c:layout>
                <c:manualLayout>
                  <c:x val="-8.3333333333333297E-3"/>
                  <c:y val="-5.55555555555556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497E-3"/>
                  <c:y val="2.31481481481480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297E-3"/>
                  <c:y val="-4.16666666666666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333333333332291E-3"/>
                  <c:y val="-4.1666666666666699E-2"/>
                </c:manualLayout>
              </c:layout>
              <c:tx>
                <c:rich>
                  <a:bodyPr/>
                  <a:lstStyle/>
                  <a:p>
                    <a:fld id="{6F8A3BEF-2FFB-43F8-BEE7-8503BDBDDF13}" type="VALUE">
                      <a:rPr lang="en-US"/>
                      <a:pPr/>
                      <a:t>[VALUE]</a:t>
                    </a:fld>
                    <a:r>
                      <a:rPr lang="en-US"/>
                      <a:t>0</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1.0185067526416E-16"/>
                  <c:y val="-6.94444444444445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5454545454545497E-2"/>
                  <c:y val="4.6296296296296197E-2"/>
                </c:manualLayout>
              </c:layout>
              <c:tx>
                <c:rich>
                  <a:bodyPr/>
                  <a:lstStyle/>
                  <a:p>
                    <a:r>
                      <a:rPr lang="en-US"/>
                      <a:t>around </a:t>
                    </a:r>
                    <a:fld id="{3F57B4BC-3909-467D-ABD0-287DB5B4593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layout>
                    <c:manualLayout>
                      <c:w val="0.184366158775608"/>
                      <c:h val="0.11560185185185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Sheet1!$B$110:$B$115</c:f>
              <c:strCache>
                <c:ptCount val="6"/>
                <c:pt idx="0">
                  <c:v>31.12.2012</c:v>
                </c:pt>
                <c:pt idx="1">
                  <c:v>31.12.2013</c:v>
                </c:pt>
                <c:pt idx="2">
                  <c:v>31.12.2014</c:v>
                </c:pt>
                <c:pt idx="3">
                  <c:v>31.12.2015</c:v>
                </c:pt>
                <c:pt idx="4">
                  <c:v>31.12.2016</c:v>
                </c:pt>
                <c:pt idx="5">
                  <c:v>31.03.2017</c:v>
                </c:pt>
              </c:strCache>
            </c:strRef>
          </c:cat>
          <c:val>
            <c:numRef>
              <c:f>Sheet1!$C$110:$C$115</c:f>
              <c:numCache>
                <c:formatCode>General</c:formatCode>
                <c:ptCount val="6"/>
                <c:pt idx="0">
                  <c:v>3.74</c:v>
                </c:pt>
                <c:pt idx="1">
                  <c:v>1.67</c:v>
                </c:pt>
                <c:pt idx="2">
                  <c:v>2.77</c:v>
                </c:pt>
                <c:pt idx="3">
                  <c:v>2.7</c:v>
                </c:pt>
                <c:pt idx="4">
                  <c:v>2.59</c:v>
                </c:pt>
                <c:pt idx="5">
                  <c:v>1.69</c:v>
                </c:pt>
              </c:numCache>
            </c:numRef>
          </c:val>
          <c:smooth val="0"/>
        </c:ser>
        <c:dLbls>
          <c:showLegendKey val="0"/>
          <c:showVal val="1"/>
          <c:showCatName val="0"/>
          <c:showSerName val="0"/>
          <c:showPercent val="0"/>
          <c:showBubbleSize val="0"/>
        </c:dLbls>
        <c:axId val="299531136"/>
        <c:axId val="299531528"/>
        <c:axId val="299823856"/>
      </c:line3DChart>
      <c:catAx>
        <c:axId val="2995311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531528"/>
        <c:crosses val="autoZero"/>
        <c:auto val="1"/>
        <c:lblAlgn val="ctr"/>
        <c:lblOffset val="100"/>
        <c:noMultiLvlLbl val="0"/>
      </c:catAx>
      <c:valAx>
        <c:axId val="299531528"/>
        <c:scaling>
          <c:orientation val="minMax"/>
        </c:scaling>
        <c:delete val="0"/>
        <c:axPos val="l"/>
        <c:majorGridlines>
          <c:spPr>
            <a:ln w="190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531136"/>
        <c:crosses val="autoZero"/>
        <c:crossBetween val="between"/>
      </c:valAx>
      <c:serAx>
        <c:axId val="299823856"/>
        <c:scaling>
          <c:orientation val="minMax"/>
        </c:scaling>
        <c:delete val="1"/>
        <c:axPos val="b"/>
        <c:majorTickMark val="out"/>
        <c:minorTickMark val="none"/>
        <c:tickLblPos val="nextTo"/>
        <c:crossAx val="29953152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35016-94CE-4BC5-87B4-8DFE6EE2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41</TotalTime>
  <Pages>5</Pages>
  <Words>1246</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ICT-DF</vt:lpstr>
    </vt:vector>
  </TitlesOfParts>
  <Manager>General Secretariat - Pool</Manager>
  <Company>International Telecommunication Union (ITU)</Company>
  <LinksUpToDate>false</LinksUpToDate>
  <CharactersWithSpaces>8762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ICT-DF</dc:title>
  <dc:subject>Council 2017</dc:subject>
  <dc:creator>Brouard, Ricarda</dc:creator>
  <cp:keywords>C2017, C17</cp:keywords>
  <dc:description/>
  <cp:lastModifiedBy>Brouard, Ricarda</cp:lastModifiedBy>
  <cp:revision>3</cp:revision>
  <cp:lastPrinted>2000-07-18T13:30:00Z</cp:lastPrinted>
  <dcterms:created xsi:type="dcterms:W3CDTF">2017-03-29T11:40:00Z</dcterms:created>
  <dcterms:modified xsi:type="dcterms:W3CDTF">2017-04-03T12:51:00Z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