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>
        <w:trPr>
          <w:cantSplit/>
        </w:trPr>
        <w:tc>
          <w:tcPr>
            <w:tcW w:w="6912" w:type="dxa"/>
          </w:tcPr>
          <w:p w:rsidR="00093EEB" w:rsidRPr="000B0D00" w:rsidRDefault="00093EEB" w:rsidP="00093EEB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093EEB">
              <w:rPr>
                <w:b/>
                <w:bCs/>
                <w:sz w:val="30"/>
                <w:szCs w:val="30"/>
              </w:rPr>
              <w:t>Consejo 2017</w:t>
            </w:r>
            <w:r w:rsidRPr="00093EEB">
              <w:rPr>
                <w:b/>
                <w:bCs/>
                <w:sz w:val="26"/>
                <w:szCs w:val="26"/>
              </w:rPr>
              <w:br/>
            </w:r>
            <w:r w:rsidRPr="00093EEB">
              <w:rPr>
                <w:b/>
                <w:bCs/>
                <w:szCs w:val="24"/>
              </w:rPr>
              <w:t>Ginebra, 15-25 de mayo de 2017</w:t>
            </w:r>
          </w:p>
        </w:tc>
        <w:tc>
          <w:tcPr>
            <w:tcW w:w="3261" w:type="dxa"/>
          </w:tcPr>
          <w:p w:rsidR="00093EEB" w:rsidRPr="000B0D00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093EEB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EB121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93EEB" w:rsidRDefault="009A03B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 w:rsidRPr="00BD4FF1">
              <w:rPr>
                <w:b/>
              </w:rPr>
              <w:t xml:space="preserve">Punto del orden del día: PL </w:t>
            </w:r>
            <w:r>
              <w:rPr>
                <w:b/>
              </w:rPr>
              <w:t>1.12</w:t>
            </w:r>
          </w:p>
        </w:tc>
        <w:tc>
          <w:tcPr>
            <w:tcW w:w="3261" w:type="dxa"/>
          </w:tcPr>
          <w:p w:rsidR="00093EEB" w:rsidRPr="00093EEB" w:rsidRDefault="00093EEB" w:rsidP="00093EE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Documento C17/</w:t>
            </w:r>
            <w:r w:rsidR="009A03BB">
              <w:rPr>
                <w:b/>
                <w:bCs/>
                <w:szCs w:val="24"/>
              </w:rPr>
              <w:t>39</w:t>
            </w:r>
            <w:r>
              <w:rPr>
                <w:b/>
                <w:bCs/>
                <w:szCs w:val="24"/>
              </w:rPr>
              <w:t>-S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Start w:id="6" w:name="_GoBack"/>
            <w:bookmarkEnd w:id="3"/>
            <w:bookmarkEnd w:id="4"/>
            <w:bookmarkEnd w:id="6"/>
          </w:p>
        </w:tc>
        <w:tc>
          <w:tcPr>
            <w:tcW w:w="3261" w:type="dxa"/>
          </w:tcPr>
          <w:p w:rsidR="00093EEB" w:rsidRPr="00093EEB" w:rsidRDefault="009A03BB" w:rsidP="00093EE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</w:rPr>
              <w:t>31</w:t>
            </w:r>
            <w:r w:rsidRPr="00BD4FF1">
              <w:rPr>
                <w:b/>
              </w:rPr>
              <w:t xml:space="preserve"> de marzo de 2017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7" w:name="dorlang" w:colFirst="1" w:colLast="1"/>
            <w:bookmarkEnd w:id="5"/>
          </w:p>
        </w:tc>
        <w:tc>
          <w:tcPr>
            <w:tcW w:w="3261" w:type="dxa"/>
          </w:tcPr>
          <w:p w:rsidR="00093EEB" w:rsidRPr="00093EEB" w:rsidRDefault="00093EEB" w:rsidP="00093EE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0B0D00">
        <w:trPr>
          <w:cantSplit/>
        </w:trPr>
        <w:tc>
          <w:tcPr>
            <w:tcW w:w="10173" w:type="dxa"/>
            <w:gridSpan w:val="2"/>
          </w:tcPr>
          <w:p w:rsidR="00093EEB" w:rsidRPr="000B0D00" w:rsidRDefault="009A03BB">
            <w:pPr>
              <w:pStyle w:val="Source"/>
            </w:pPr>
            <w:bookmarkStart w:id="8" w:name="dsource" w:colFirst="0" w:colLast="0"/>
            <w:bookmarkEnd w:id="1"/>
            <w:bookmarkEnd w:id="7"/>
            <w:r w:rsidRPr="00BD4FF1">
              <w:t>Informe del Secretario General</w:t>
            </w:r>
          </w:p>
        </w:tc>
      </w:tr>
      <w:tr w:rsidR="00093EEB" w:rsidRPr="000B0D00">
        <w:trPr>
          <w:cantSplit/>
        </w:trPr>
        <w:tc>
          <w:tcPr>
            <w:tcW w:w="10173" w:type="dxa"/>
            <w:gridSpan w:val="2"/>
          </w:tcPr>
          <w:p w:rsidR="00093EEB" w:rsidRPr="000B0D00" w:rsidRDefault="009A03BB">
            <w:pPr>
              <w:pStyle w:val="Title1"/>
            </w:pPr>
            <w:bookmarkStart w:id="9" w:name="dtitle1" w:colFirst="0" w:colLast="0"/>
            <w:bookmarkEnd w:id="8"/>
            <w:r w:rsidRPr="008075C1">
              <w:t xml:space="preserve">Avances y HOJA DE RUTA PARA LA APLICACIÓN </w:t>
            </w:r>
            <w:r w:rsidRPr="008075C1">
              <w:br/>
              <w:t>DE LA AGENDA CONECTAR 2020</w:t>
            </w:r>
          </w:p>
        </w:tc>
      </w:tr>
      <w:bookmarkEnd w:id="9"/>
    </w:tbl>
    <w:p w:rsidR="00093EEB" w:rsidRPr="000B0D00" w:rsidRDefault="00093EEB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93EEB" w:rsidRPr="000B0D00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EEB" w:rsidRPr="000B0D00" w:rsidRDefault="00093EE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Resumen</w:t>
            </w:r>
          </w:p>
          <w:p w:rsidR="00093EEB" w:rsidRPr="000B0D00" w:rsidRDefault="009A03BB">
            <w:pPr>
              <w:rPr>
                <w:lang w:val="es-ES"/>
              </w:rPr>
            </w:pPr>
            <w:r w:rsidRPr="008075C1">
              <w:t>El presente documento presenta la hoja de ruta para la aplicación de la Agenda Conectar 2020.</w:t>
            </w:r>
          </w:p>
          <w:p w:rsidR="00093EEB" w:rsidRPr="000B0D00" w:rsidRDefault="00093EE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Acción solicitada</w:t>
            </w:r>
          </w:p>
          <w:p w:rsidR="00093EEB" w:rsidRPr="000B0D00" w:rsidRDefault="009A03BB">
            <w:pPr>
              <w:rPr>
                <w:lang w:val="es-ES"/>
              </w:rPr>
            </w:pPr>
            <w:r w:rsidRPr="008075C1">
              <w:t xml:space="preserve">Se invita al Consejo a </w:t>
            </w:r>
            <w:r w:rsidRPr="008075C1">
              <w:rPr>
                <w:b/>
                <w:bCs/>
              </w:rPr>
              <w:t>tomar nota</w:t>
            </w:r>
            <w:r w:rsidRPr="008075C1">
              <w:t xml:space="preserve"> del Informe.</w:t>
            </w:r>
          </w:p>
          <w:p w:rsidR="00093EEB" w:rsidRPr="000B0D00" w:rsidRDefault="00093EEB">
            <w:pPr>
              <w:pStyle w:val="Table"/>
              <w:keepNext w:val="0"/>
              <w:spacing w:before="0" w:after="0"/>
              <w:rPr>
                <w:caps w:val="0"/>
                <w:sz w:val="22"/>
                <w:lang w:val="es-ES"/>
              </w:rPr>
            </w:pPr>
            <w:r w:rsidRPr="000B0D00">
              <w:rPr>
                <w:caps w:val="0"/>
                <w:sz w:val="22"/>
                <w:lang w:val="es-ES"/>
              </w:rPr>
              <w:t>____________</w:t>
            </w:r>
          </w:p>
          <w:p w:rsidR="00093EEB" w:rsidRPr="000B0D00" w:rsidRDefault="00093EE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Referencia</w:t>
            </w:r>
          </w:p>
          <w:p w:rsidR="00093EEB" w:rsidRPr="000B0D00" w:rsidRDefault="00276346" w:rsidP="009A03BB">
            <w:pPr>
              <w:spacing w:after="120"/>
              <w:rPr>
                <w:i/>
                <w:iCs/>
                <w:lang w:val="es-ES"/>
              </w:rPr>
            </w:pPr>
            <w:hyperlink r:id="rId7" w:history="1">
              <w:r w:rsidR="009A03BB" w:rsidRPr="008075C1">
                <w:rPr>
                  <w:i/>
                  <w:iCs/>
                  <w:color w:val="0000FF"/>
                  <w:u w:val="single"/>
                </w:rPr>
                <w:t>Resolución 200 (Busán, 2014)</w:t>
              </w:r>
            </w:hyperlink>
          </w:p>
        </w:tc>
      </w:tr>
    </w:tbl>
    <w:p w:rsidR="009A03BB" w:rsidRPr="00C7591D" w:rsidRDefault="009A03BB" w:rsidP="00C7591D">
      <w:pPr>
        <w:pStyle w:val="Heading1"/>
      </w:pPr>
      <w:r w:rsidRPr="00C7591D">
        <w:t>1</w:t>
      </w:r>
      <w:r w:rsidRPr="00C7591D">
        <w:tab/>
        <w:t>Antecedentes</w:t>
      </w:r>
    </w:p>
    <w:p w:rsidR="009A03BB" w:rsidRPr="008075C1" w:rsidRDefault="009A03BB" w:rsidP="009A03BB">
      <w:pPr>
        <w:textAlignment w:val="auto"/>
      </w:pPr>
      <w:r w:rsidRPr="008075C1">
        <w:t>1.1</w:t>
      </w:r>
      <w:r w:rsidRPr="008075C1">
        <w:tab/>
        <w:t xml:space="preserve">En la Conferencia de Plenipotenciarios de 2014 (PP-14), los Estados Miembros de la UIT adoptaron la Resolución 200 (Busán, 2014), "Agenda Conectar 2020 para el desarrollo mundial de las telecomunicaciones/tecnologías de la información y la comunicación (TIC)", en la que se definen una serie de metas globales que la Unión habrá de alcanzar antes de 2020 en los ámbitos de </w:t>
      </w:r>
      <w:r w:rsidRPr="008075C1">
        <w:rPr>
          <w:i/>
          <w:iCs/>
        </w:rPr>
        <w:t>crecimiento, integración, sostenibilidad</w:t>
      </w:r>
      <w:r w:rsidRPr="008075C1">
        <w:t xml:space="preserve"> e </w:t>
      </w:r>
      <w:r w:rsidRPr="008075C1">
        <w:rPr>
          <w:i/>
          <w:iCs/>
        </w:rPr>
        <w:t>innovación, y asociaciones</w:t>
      </w:r>
      <w:r w:rsidRPr="008075C1">
        <w:t xml:space="preserve"> en el sector de las telecomunicaciones/TIC.</w:t>
      </w:r>
    </w:p>
    <w:p w:rsidR="009A03BB" w:rsidRPr="008075C1" w:rsidRDefault="009A03BB" w:rsidP="009A03BB">
      <w:pPr>
        <w:textAlignment w:val="auto"/>
      </w:pPr>
      <w:r w:rsidRPr="008075C1">
        <w:t>1.2</w:t>
      </w:r>
      <w:r w:rsidRPr="008075C1">
        <w:tab/>
        <w:t xml:space="preserve">En la Resolución 200 se invita a los Estados Miembros a participar activamente en la materialización de la </w:t>
      </w:r>
      <w:hyperlink r:id="rId8" w:history="1">
        <w:r w:rsidRPr="008075C1">
          <w:rPr>
            <w:color w:val="0000FF"/>
            <w:u w:val="single"/>
          </w:rPr>
          <w:t>Agenda Conectar 2020</w:t>
        </w:r>
      </w:hyperlink>
      <w:r w:rsidRPr="008075C1">
        <w:t xml:space="preserve"> y a contribuir con iniciativas nacionales, regionales e internacionales; a facilitar datos y estadísticas, según proceda, para supervisar los avances realizados hacia la consecución de la Agenda Conectar 2020; y a movilizar a todos los interesados mediante la concertación de asociaciones relativas a la Agenda Conectar 2020.</w:t>
      </w:r>
    </w:p>
    <w:p w:rsidR="009A03BB" w:rsidRPr="008075C1" w:rsidRDefault="009A03BB" w:rsidP="009A03BB">
      <w:pPr>
        <w:textAlignment w:val="auto"/>
      </w:pPr>
      <w:r w:rsidRPr="008075C1">
        <w:t>1.3</w:t>
      </w:r>
      <w:r w:rsidRPr="008075C1">
        <w:tab/>
        <w:t xml:space="preserve">En la PP-14, los Estados Miembros de la UIT adoptaron también la Resolución 71 (Rev. Busán, 2014), "Plan Estratégico de la Unión para 2016-2019", que incorpora metas y </w:t>
      </w:r>
      <w:proofErr w:type="gramStart"/>
      <w:r w:rsidRPr="008075C1">
        <w:t>objetivos</w:t>
      </w:r>
      <w:proofErr w:type="gramEnd"/>
      <w:r w:rsidRPr="008075C1">
        <w:t xml:space="preserve"> de la Agenda Conectar 2020 en el marco del Plan Estratégico de la UIT para 2016-2019.</w:t>
      </w:r>
    </w:p>
    <w:p w:rsidR="009A03BB" w:rsidRPr="00C7591D" w:rsidRDefault="009A03BB" w:rsidP="00C7591D">
      <w:pPr>
        <w:pStyle w:val="Heading1"/>
      </w:pPr>
      <w:r w:rsidRPr="00C7591D">
        <w:lastRenderedPageBreak/>
        <w:t>2</w:t>
      </w:r>
      <w:r w:rsidRPr="00C7591D">
        <w:tab/>
        <w:t>Avances hasta la fecha</w:t>
      </w:r>
    </w:p>
    <w:p w:rsidR="009A03BB" w:rsidRPr="008075C1" w:rsidRDefault="009A03BB" w:rsidP="00C7591D">
      <w:pPr>
        <w:pStyle w:val="Headingb"/>
      </w:pPr>
      <w:r w:rsidRPr="008075C1">
        <w:t xml:space="preserve">Medición, supervisión y rendición de informes </w:t>
      </w:r>
    </w:p>
    <w:p w:rsidR="009A03BB" w:rsidRPr="008075C1" w:rsidRDefault="009A03BB" w:rsidP="009A03BB">
      <w:pPr>
        <w:textAlignment w:val="auto"/>
      </w:pPr>
      <w:r w:rsidRPr="008075C1">
        <w:t>2.1.</w:t>
      </w:r>
      <w:r w:rsidRPr="008075C1">
        <w:tab/>
        <w:t>La cuatro metas de la Agenda Conectar 2020 comprenden 17 objetivos diseñados para servir de indicación de los avances hacia la consecución de las metas antes de 2020.</w:t>
      </w:r>
    </w:p>
    <w:p w:rsidR="009A03BB" w:rsidRPr="008075C1" w:rsidRDefault="009A03BB" w:rsidP="00F81739">
      <w:pPr>
        <w:textAlignment w:val="auto"/>
      </w:pPr>
      <w:r w:rsidRPr="008075C1">
        <w:t>2.2</w:t>
      </w:r>
      <w:r w:rsidRPr="008075C1">
        <w:tab/>
      </w:r>
      <w:r>
        <w:t>Los avances en relación con los objetivos de</w:t>
      </w:r>
      <w:r w:rsidRPr="008570F8">
        <w:t xml:space="preserve"> las telecomunicaciones/TIC de Conectar 2020</w:t>
      </w:r>
      <w:r>
        <w:t xml:space="preserve"> figuran en el Documento </w:t>
      </w:r>
      <w:hyperlink r:id="rId9" w:history="1">
        <w:r w:rsidRPr="008570F8">
          <w:rPr>
            <w:rStyle w:val="Hyperlink"/>
          </w:rPr>
          <w:t>C17/35</w:t>
        </w:r>
      </w:hyperlink>
      <w:r>
        <w:t xml:space="preserve"> sobre </w:t>
      </w:r>
      <w:r w:rsidRPr="008570F8">
        <w:t xml:space="preserve">la </w:t>
      </w:r>
      <w:r w:rsidR="00F81739">
        <w:t>"</w:t>
      </w:r>
      <w:r>
        <w:t>P</w:t>
      </w:r>
      <w:r w:rsidRPr="008570F8">
        <w:t>uesta en práctica del Plan Estratégico y las actividades de la Unión</w:t>
      </w:r>
      <w:r w:rsidR="00F81739">
        <w:t>"</w:t>
      </w:r>
      <w:r>
        <w:t>. En el capítulo 2 del documento se presentan los últimos estudios sobre los avances, basados en los indicadores y estadísticas recopilados por la Oficina de Desarrollo de las Telecomunicaciones.</w:t>
      </w:r>
    </w:p>
    <w:p w:rsidR="009A03BB" w:rsidRPr="008075C1" w:rsidRDefault="009A03BB" w:rsidP="009A03BB">
      <w:pPr>
        <w:textAlignment w:val="auto"/>
      </w:pPr>
      <w:r w:rsidRPr="008075C1">
        <w:t>2.3</w:t>
      </w:r>
      <w:r w:rsidRPr="008075C1">
        <w:tab/>
      </w:r>
      <w:r>
        <w:t xml:space="preserve">En lo que respecta a los Objetivos 3.2 y 3.3 sobre reducción de los residuos electrónicos y de las emisiones de GEI, se </w:t>
      </w:r>
      <w:r w:rsidR="00F90648">
        <w:t>están elaborando junto con los M</w:t>
      </w:r>
      <w:r>
        <w:t xml:space="preserve">iembros </w:t>
      </w:r>
      <w:r w:rsidR="00F90648">
        <w:t xml:space="preserve">de la UIT </w:t>
      </w:r>
      <w:r>
        <w:t xml:space="preserve">hojas de ruta y metodologías en el marco de la Comisión de Estudio 5 del UIT-T en colaboración con las organizaciones pertinentes.  </w:t>
      </w:r>
    </w:p>
    <w:p w:rsidR="009A03BB" w:rsidRPr="008075C1" w:rsidRDefault="009A03BB" w:rsidP="00C7591D">
      <w:pPr>
        <w:pStyle w:val="Headingb"/>
      </w:pPr>
      <w:r w:rsidRPr="008075C1">
        <w:t>Poner en marcha el Plan Estratégico para 2016-2019</w:t>
      </w:r>
    </w:p>
    <w:p w:rsidR="009A03BB" w:rsidRPr="008075C1" w:rsidRDefault="009A03BB" w:rsidP="009A03BB">
      <w:pPr>
        <w:textAlignment w:val="auto"/>
      </w:pPr>
      <w:r w:rsidRPr="008075C1">
        <w:t>2.4</w:t>
      </w:r>
      <w:r w:rsidRPr="008075C1">
        <w:tab/>
        <w:t>La Secretaría de la UIT contribuye a la materialización de la Agenda Conectar 2020 mediante la aplicación de los Planes Operacionales de los tres Sectores y de la Secretaría General.</w:t>
      </w:r>
      <w:r w:rsidRPr="008570F8">
        <w:t xml:space="preserve"> </w:t>
      </w:r>
      <w:r w:rsidRPr="005A169C">
        <w:t xml:space="preserve">Los objetivos y resultados de cada Sector y de la Secretaría General se detallan en el Documento </w:t>
      </w:r>
      <w:hyperlink r:id="rId10" w:history="1">
        <w:r w:rsidRPr="005A169C">
          <w:rPr>
            <w:rStyle w:val="Hyperlink"/>
          </w:rPr>
          <w:t>C17/35</w:t>
        </w:r>
      </w:hyperlink>
      <w:r>
        <w:t>.</w:t>
      </w:r>
    </w:p>
    <w:p w:rsidR="009A03BB" w:rsidRPr="008075C1" w:rsidRDefault="009A03BB" w:rsidP="00C7591D">
      <w:pPr>
        <w:pStyle w:val="Headingb"/>
      </w:pPr>
      <w:r w:rsidRPr="008075C1">
        <w:t>Dar a conocer la Agenda Conectar 2020</w:t>
      </w:r>
    </w:p>
    <w:p w:rsidR="009A03BB" w:rsidRPr="008075C1" w:rsidRDefault="009A03BB" w:rsidP="009A03BB">
      <w:pPr>
        <w:keepLines/>
        <w:textAlignment w:val="auto"/>
      </w:pPr>
      <w:r w:rsidRPr="008075C1">
        <w:t>2.</w:t>
      </w:r>
      <w:r>
        <w:t>5</w:t>
      </w:r>
      <w:r w:rsidRPr="008075C1">
        <w:tab/>
        <w:t xml:space="preserve">La Secretaría de la UIT se ha concentrado en dar a conocer la Agenda Conectar 2020 a todos los participantes del ecosistema de las TIC, fomentando así la adopción de los objetivos Conectar 2020, </w:t>
      </w:r>
      <w:r>
        <w:t xml:space="preserve">mejorando la comprensión de la importancia del marco </w:t>
      </w:r>
      <w:r w:rsidRPr="008075C1">
        <w:t>y su incorporación en la agenda global.</w:t>
      </w:r>
    </w:p>
    <w:p w:rsidR="009A03BB" w:rsidRDefault="009A03BB" w:rsidP="009A03BB">
      <w:pPr>
        <w:textAlignment w:val="auto"/>
      </w:pPr>
      <w:r w:rsidRPr="008075C1">
        <w:t>2.</w:t>
      </w:r>
      <w:r>
        <w:t>6</w:t>
      </w:r>
      <w:r w:rsidRPr="008075C1">
        <w:tab/>
      </w:r>
      <w:r>
        <w:t>En particular, la Secretaría de la UIT contribuyó a la Sesión Especial de la Comisión de la Banda Ancha con el World Economic Forum, durante la reunión anual celebrada en Davos en el mes de enero</w:t>
      </w:r>
      <w:r w:rsidR="00F90648">
        <w:t xml:space="preserve"> de 2017</w:t>
      </w:r>
      <w:r>
        <w:t>, mediante un documento para la discusión en el que se examinaba dónde debían centrarse o incrementarse los esfuerzos relativos a la conectividad en los próximos tres años para cumplir la Agenda Conectar 2020. En el documento se examinaba de maner</w:t>
      </w:r>
      <w:r w:rsidR="00F90648">
        <w:t>a más detallada quiénes son y dó</w:t>
      </w:r>
      <w:r>
        <w:t xml:space="preserve">nde se encuentran quienes no están conectados en la actualidad, cuáles son los desafíos a los que hay que responder, en particular los Objetivos </w:t>
      </w:r>
      <w:r w:rsidRPr="005A169C">
        <w:t xml:space="preserve">1.2, 2.2.A, 2.2.B </w:t>
      </w:r>
      <w:r>
        <w:t>y</w:t>
      </w:r>
      <w:r w:rsidRPr="005A169C">
        <w:t xml:space="preserve"> 2.5.A,</w:t>
      </w:r>
      <w:r>
        <w:t xml:space="preserve"> y qué posibles medidas podrían acelerar la conexión de quienes no están conectados. </w:t>
      </w:r>
    </w:p>
    <w:p w:rsidR="009A03BB" w:rsidRPr="008075C1" w:rsidRDefault="009A03BB" w:rsidP="00C7591D">
      <w:pPr>
        <w:pStyle w:val="Headingb"/>
      </w:pPr>
      <w:r>
        <w:t>Contribución de</w:t>
      </w:r>
      <w:r w:rsidRPr="008075C1">
        <w:t xml:space="preserve"> la Agenda Conectar 2020</w:t>
      </w:r>
      <w:r>
        <w:t xml:space="preserve"> a los Objetivos de Desarrollo Sostenible</w:t>
      </w:r>
    </w:p>
    <w:p w:rsidR="009A03BB" w:rsidRPr="008075C1" w:rsidRDefault="009A03BB" w:rsidP="00F81739">
      <w:pPr>
        <w:textAlignment w:val="auto"/>
      </w:pPr>
      <w:r>
        <w:t>2.7</w:t>
      </w:r>
      <w:r>
        <w:tab/>
        <w:t xml:space="preserve">Para que la UIT responda a las necesidades de sus mandantes respecto de la Agenda 2030 para el Desarrollo Sostenible, la Secretaría creó la </w:t>
      </w:r>
      <w:r w:rsidR="00F81739">
        <w:t>"</w:t>
      </w:r>
      <w:r>
        <w:t>Herramienta de c</w:t>
      </w:r>
      <w:r w:rsidR="00F81739">
        <w:t>artografía de los ODS de la UIT"</w:t>
      </w:r>
      <w:r>
        <w:t xml:space="preserve">, destinada a ofrecer una visión general exhaustiva de la manera en que el marco estratégico de la UIT y la Agenda Conectar 2020 contribuyen a los Objetivos de Desarrollo Sostenible (ODS). La herramienta permite visualizar la cartografía y los vínculos del marco estratégico de la UIT, la Agenda Conectar 2020 y las Líneas de Acción de la CMSI con los ODS y sus Metas. </w:t>
      </w:r>
      <w:r w:rsidRPr="005A169C">
        <w:t xml:space="preserve"> </w:t>
      </w:r>
    </w:p>
    <w:p w:rsidR="009A03BB" w:rsidRPr="008075C1" w:rsidRDefault="009A03BB" w:rsidP="00C7591D">
      <w:pPr>
        <w:pStyle w:val="Heading1"/>
      </w:pPr>
      <w:r w:rsidRPr="008075C1">
        <w:lastRenderedPageBreak/>
        <w:t>3</w:t>
      </w:r>
      <w:r w:rsidRPr="008075C1">
        <w:tab/>
        <w:t>Hoja de ruta para 201</w:t>
      </w:r>
      <w:r>
        <w:t>7</w:t>
      </w:r>
    </w:p>
    <w:p w:rsidR="009A03BB" w:rsidRPr="008075C1" w:rsidRDefault="009A03BB" w:rsidP="009A03BB">
      <w:pPr>
        <w:textAlignment w:val="auto"/>
      </w:pPr>
      <w:r w:rsidRPr="008075C1">
        <w:t>3.1</w:t>
      </w:r>
      <w:r w:rsidRPr="008075C1">
        <w:tab/>
        <w:t>A lo largo del año la UIT seguirá avanzando hacia la consecución de Conectar 2020 a través de las siguientes actividades:</w:t>
      </w:r>
    </w:p>
    <w:p w:rsidR="009A03BB" w:rsidRPr="008075C1" w:rsidRDefault="009A03BB" w:rsidP="00C7591D">
      <w:pPr>
        <w:pStyle w:val="enumlev1"/>
      </w:pPr>
      <w:bookmarkStart w:id="10" w:name="lt_pId049"/>
      <w:r w:rsidRPr="008075C1">
        <w:t>a)</w:t>
      </w:r>
      <w:r w:rsidRPr="008075C1">
        <w:rPr>
          <w:i/>
          <w:iCs/>
        </w:rPr>
        <w:tab/>
        <w:t>Medición</w:t>
      </w:r>
      <w:r>
        <w:rPr>
          <w:i/>
          <w:iCs/>
        </w:rPr>
        <w:t xml:space="preserve"> y seguimiento</w:t>
      </w:r>
      <w:r w:rsidRPr="008075C1">
        <w:t xml:space="preserve">: la medición efectiva y el análisis de los datos </w:t>
      </w:r>
      <w:r>
        <w:t>son claves para responder a</w:t>
      </w:r>
      <w:r w:rsidRPr="008075C1">
        <w:t xml:space="preserve"> las necesidades de los legisladores y los operadores. </w:t>
      </w:r>
      <w:bookmarkStart w:id="11" w:name="lt_pId051"/>
      <w:bookmarkEnd w:id="10"/>
      <w:r w:rsidRPr="008075C1">
        <w:t xml:space="preserve">Se proseguirán los trabajos necesarios </w:t>
      </w:r>
      <w:r>
        <w:t xml:space="preserve">en casos específicos </w:t>
      </w:r>
      <w:r w:rsidRPr="008075C1">
        <w:t>para la definición de metodologías de medición.</w:t>
      </w:r>
      <w:bookmarkEnd w:id="11"/>
    </w:p>
    <w:p w:rsidR="009A03BB" w:rsidRDefault="009A03BB" w:rsidP="00C7591D">
      <w:pPr>
        <w:pStyle w:val="enumlev1"/>
        <w:rPr>
          <w:i/>
          <w:iCs/>
        </w:rPr>
      </w:pPr>
      <w:bookmarkStart w:id="12" w:name="lt_pId052"/>
      <w:r w:rsidRPr="008075C1">
        <w:t>b)</w:t>
      </w:r>
      <w:r w:rsidRPr="008075C1">
        <w:rPr>
          <w:i/>
          <w:iCs/>
        </w:rPr>
        <w:tab/>
      </w:r>
      <w:r>
        <w:rPr>
          <w:i/>
          <w:iCs/>
        </w:rPr>
        <w:t>Examen de los avances en relación con la Agenda Conectar 2020 con miras a la Conferencia de Plenipotenciarios de 2018</w:t>
      </w:r>
      <w:r w:rsidRPr="001D1660">
        <w:t>:</w:t>
      </w:r>
      <w:r w:rsidR="00D3107C">
        <w:t xml:space="preserve"> s</w:t>
      </w:r>
      <w:r>
        <w:t>e llevará a cabo un examen detallado de la situación y los avances respecto de los objetivos y metas de la Agenda Conectar 2020, a fin de analizar estratégicamente dónde deben centrarse los esfuerzos de conectividad y de prepararse para la elaboración de los objetivos para el próximo plan estratégico de la Unión.</w:t>
      </w:r>
    </w:p>
    <w:p w:rsidR="009A03BB" w:rsidRPr="008075C1" w:rsidRDefault="009A03BB" w:rsidP="00C7591D">
      <w:pPr>
        <w:pStyle w:val="enumlev1"/>
      </w:pPr>
      <w:r w:rsidRPr="001D1660">
        <w:t>c)</w:t>
      </w:r>
      <w:r>
        <w:rPr>
          <w:i/>
          <w:iCs/>
        </w:rPr>
        <w:tab/>
      </w:r>
      <w:r w:rsidRPr="008075C1">
        <w:rPr>
          <w:i/>
          <w:iCs/>
        </w:rPr>
        <w:t>Aplicación coordinada de los Planes Estratégico y Operacional de la UIT</w:t>
      </w:r>
      <w:r>
        <w:rPr>
          <w:i/>
          <w:iCs/>
        </w:rPr>
        <w:t xml:space="preserve"> para la Agenda Conectar 2020</w:t>
      </w:r>
      <w:r w:rsidR="00CE5924">
        <w:t>: g</w:t>
      </w:r>
      <w:r w:rsidRPr="008075C1">
        <w:t xml:space="preserve">arantizar la coordinación intersectorial de los ámbitos temáticos comunes </w:t>
      </w:r>
      <w:r>
        <w:t>abarcados por</w:t>
      </w:r>
      <w:r w:rsidRPr="008075C1">
        <w:t xml:space="preserve"> las metas y </w:t>
      </w:r>
      <w:r>
        <w:t xml:space="preserve">los </w:t>
      </w:r>
      <w:r w:rsidRPr="008075C1">
        <w:t xml:space="preserve">objetivos de la Agenda Conectar 2020 asegurará que el trabajo de la UIT </w:t>
      </w:r>
      <w:r>
        <w:t>tenga la</w:t>
      </w:r>
      <w:r w:rsidRPr="008075C1">
        <w:t xml:space="preserve"> máxima repercusión.</w:t>
      </w:r>
      <w:bookmarkEnd w:id="12"/>
    </w:p>
    <w:p w:rsidR="009A03BB" w:rsidRPr="008075C1" w:rsidRDefault="009A03BB" w:rsidP="00C7591D">
      <w:pPr>
        <w:pStyle w:val="Heading1"/>
        <w:spacing w:after="120"/>
      </w:pPr>
      <w:r w:rsidRPr="008075C1">
        <w:t>4</w:t>
      </w:r>
      <w:r w:rsidRPr="008075C1">
        <w:tab/>
        <w:t>MEDICIÓN Y SITUACIÓN DE LAS METAS Y OBJETIVOS DE CONECTAR 2020</w:t>
      </w:r>
    </w:p>
    <w:tbl>
      <w:tblPr>
        <w:tblStyle w:val="ListTable3-Accent11"/>
        <w:tblW w:w="0" w:type="auto"/>
        <w:tblInd w:w="0" w:type="dxa"/>
        <w:tblLayout w:type="fixed"/>
        <w:tblLook w:val="0420" w:firstRow="1" w:lastRow="0" w:firstColumn="0" w:lastColumn="0" w:noHBand="0" w:noVBand="1"/>
      </w:tblPr>
      <w:tblGrid>
        <w:gridCol w:w="6232"/>
        <w:gridCol w:w="3397"/>
      </w:tblGrid>
      <w:tr w:rsidR="009A03BB" w:rsidRPr="008075C1" w:rsidTr="00745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232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nil"/>
            </w:tcBorders>
            <w:hideMark/>
          </w:tcPr>
          <w:p w:rsidR="009A03BB" w:rsidRPr="008075C1" w:rsidRDefault="009A03BB" w:rsidP="007453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jc w:val="center"/>
              <w:textAlignment w:val="auto"/>
              <w:rPr>
                <w:sz w:val="22"/>
              </w:rPr>
            </w:pPr>
            <w:r w:rsidRPr="008075C1">
              <w:rPr>
                <w:sz w:val="22"/>
              </w:rPr>
              <w:t>Meta/objetivo</w:t>
            </w:r>
          </w:p>
        </w:tc>
        <w:tc>
          <w:tcPr>
            <w:tcW w:w="3397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hideMark/>
          </w:tcPr>
          <w:p w:rsidR="009A03BB" w:rsidRPr="008075C1" w:rsidRDefault="009A03BB" w:rsidP="007453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jc w:val="center"/>
              <w:textAlignment w:val="auto"/>
              <w:rPr>
                <w:sz w:val="22"/>
              </w:rPr>
            </w:pPr>
            <w:bookmarkStart w:id="13" w:name="lt_pId060"/>
            <w:r w:rsidRPr="008075C1">
              <w:rPr>
                <w:sz w:val="22"/>
              </w:rPr>
              <w:t>Status</w:t>
            </w:r>
            <w:bookmarkEnd w:id="13"/>
          </w:p>
        </w:tc>
      </w:tr>
      <w:tr w:rsidR="009A03BB" w:rsidRPr="008075C1" w:rsidTr="00745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</w:trPr>
        <w:tc>
          <w:tcPr>
            <w:tcW w:w="9629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  <w:hideMark/>
          </w:tcPr>
          <w:p w:rsidR="009A03BB" w:rsidRPr="008075C1" w:rsidRDefault="009A03BB" w:rsidP="007453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textAlignment w:val="auto"/>
              <w:rPr>
                <w:b/>
                <w:bCs/>
                <w:sz w:val="22"/>
              </w:rPr>
            </w:pPr>
            <w:r w:rsidRPr="008075C1">
              <w:rPr>
                <w:b/>
                <w:bCs/>
                <w:sz w:val="22"/>
              </w:rPr>
              <w:t>META 1: CRECIMIENTO – Permitir y fomentar el acceso a las telecomunicaciones/TIC y aumentar su utilización</w:t>
            </w:r>
          </w:p>
        </w:tc>
      </w:tr>
      <w:tr w:rsidR="009A03BB" w:rsidRPr="008075C1" w:rsidTr="007453CA">
        <w:tc>
          <w:tcPr>
            <w:tcW w:w="6232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  <w:hideMark/>
          </w:tcPr>
          <w:p w:rsidR="009A03BB" w:rsidRPr="008075C1" w:rsidRDefault="009A03BB" w:rsidP="007453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54"/>
              </w:tabs>
              <w:spacing w:before="80" w:after="80" w:line="276" w:lineRule="auto"/>
              <w:ind w:left="454" w:hanging="454"/>
              <w:textAlignment w:val="auto"/>
              <w:rPr>
                <w:sz w:val="22"/>
              </w:rPr>
            </w:pPr>
            <w:bookmarkStart w:id="14" w:name="lt_pId062"/>
            <w:r w:rsidRPr="008075C1">
              <w:rPr>
                <w:sz w:val="22"/>
              </w:rPr>
              <w:t>•</w:t>
            </w:r>
            <w:r w:rsidRPr="008075C1">
              <w:rPr>
                <w:sz w:val="22"/>
              </w:rPr>
              <w:tab/>
              <w:t>Objetivo 1.1: Mundial, que el 55% de los hogares tengan acceso a Internet en 2020</w:t>
            </w:r>
            <w:bookmarkEnd w:id="14"/>
          </w:p>
          <w:p w:rsidR="009A03BB" w:rsidRPr="008075C1" w:rsidRDefault="009A03BB" w:rsidP="007453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54"/>
              </w:tabs>
              <w:spacing w:before="80" w:after="80" w:line="276" w:lineRule="auto"/>
              <w:ind w:left="454" w:hanging="454"/>
              <w:textAlignment w:val="auto"/>
              <w:rPr>
                <w:sz w:val="22"/>
              </w:rPr>
            </w:pPr>
            <w:r w:rsidRPr="008075C1">
              <w:rPr>
                <w:sz w:val="22"/>
              </w:rPr>
              <w:t>•</w:t>
            </w:r>
            <w:r w:rsidRPr="008075C1">
              <w:rPr>
                <w:sz w:val="22"/>
              </w:rPr>
              <w:tab/>
              <w:t>Objetivo 1.2: Mundial, que el 60% de las personas físicas puedan utilizar Internet en 2020</w:t>
            </w:r>
          </w:p>
          <w:p w:rsidR="009A03BB" w:rsidRPr="008075C1" w:rsidRDefault="009A03BB" w:rsidP="007453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54"/>
              </w:tabs>
              <w:spacing w:before="80" w:after="80" w:line="276" w:lineRule="auto"/>
              <w:ind w:left="454" w:hanging="454"/>
              <w:textAlignment w:val="auto"/>
              <w:rPr>
                <w:rFonts w:eastAsia="SimSun"/>
                <w:color w:val="000000" w:themeColor="text1"/>
                <w:sz w:val="22"/>
              </w:rPr>
            </w:pPr>
            <w:r w:rsidRPr="008075C1">
              <w:rPr>
                <w:sz w:val="22"/>
              </w:rPr>
              <w:t>•</w:t>
            </w:r>
            <w:r w:rsidRPr="008075C1">
              <w:rPr>
                <w:sz w:val="22"/>
              </w:rPr>
              <w:tab/>
              <w:t>Objetivo 1.3: Mundial, que en 2020 las telecomunicaciones/TIC sean el 40% más asequibles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  <w:hideMark/>
          </w:tcPr>
          <w:p w:rsidR="009A03BB" w:rsidRPr="008075C1" w:rsidRDefault="009A03BB" w:rsidP="007453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80" w:after="80"/>
              <w:jc w:val="center"/>
              <w:textAlignment w:val="auto"/>
              <w:rPr>
                <w:rFonts w:eastAsia="SimSun"/>
                <w:sz w:val="22"/>
                <w:szCs w:val="22"/>
              </w:rPr>
            </w:pPr>
            <w:r w:rsidRPr="008075C1">
              <w:rPr>
                <w:sz w:val="22"/>
                <w:szCs w:val="22"/>
              </w:rPr>
              <w:t>La evaluación se inclu</w:t>
            </w:r>
            <w:r>
              <w:rPr>
                <w:sz w:val="22"/>
                <w:szCs w:val="22"/>
              </w:rPr>
              <w:t xml:space="preserve">ye en el Documento </w:t>
            </w:r>
            <w:hyperlink r:id="rId11" w:history="1">
              <w:r w:rsidRPr="005A169C">
                <w:rPr>
                  <w:rStyle w:val="Hyperlink"/>
                </w:rPr>
                <w:t>C17/35</w:t>
              </w:r>
            </w:hyperlink>
            <w:r>
              <w:t>.</w:t>
            </w:r>
          </w:p>
        </w:tc>
      </w:tr>
      <w:tr w:rsidR="009A03BB" w:rsidRPr="008075C1" w:rsidTr="00745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29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  <w:hideMark/>
          </w:tcPr>
          <w:p w:rsidR="009A03BB" w:rsidRPr="008075C1" w:rsidRDefault="009A03BB" w:rsidP="007453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80" w:after="80"/>
              <w:textAlignment w:val="auto"/>
              <w:rPr>
                <w:b/>
                <w:bCs/>
                <w:sz w:val="22"/>
                <w:szCs w:val="22"/>
              </w:rPr>
            </w:pPr>
            <w:r w:rsidRPr="008075C1">
              <w:rPr>
                <w:b/>
                <w:bCs/>
                <w:sz w:val="22"/>
                <w:szCs w:val="22"/>
              </w:rPr>
              <w:t>META 2: INTEGRACIÓN – Reducir la brecha digital y lograr el acceso universal a la banda ancha</w:t>
            </w:r>
          </w:p>
        </w:tc>
      </w:tr>
      <w:tr w:rsidR="009A03BB" w:rsidRPr="008075C1" w:rsidTr="007453CA">
        <w:tc>
          <w:tcPr>
            <w:tcW w:w="6232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  <w:hideMark/>
          </w:tcPr>
          <w:p w:rsidR="009A03BB" w:rsidRPr="008075C1" w:rsidRDefault="009A03BB" w:rsidP="007453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54"/>
              </w:tabs>
              <w:spacing w:before="80" w:after="80" w:line="276" w:lineRule="auto"/>
              <w:ind w:left="454" w:hanging="454"/>
              <w:textAlignment w:val="auto"/>
              <w:rPr>
                <w:sz w:val="22"/>
              </w:rPr>
            </w:pPr>
            <w:bookmarkStart w:id="15" w:name="lt_pId067"/>
            <w:r w:rsidRPr="008075C1">
              <w:rPr>
                <w:sz w:val="22"/>
              </w:rPr>
              <w:t>•</w:t>
            </w:r>
            <w:r w:rsidRPr="008075C1">
              <w:rPr>
                <w:sz w:val="22"/>
              </w:rPr>
              <w:tab/>
              <w:t>Objetivo 2.1.A: En los países en desarrollo, que el 50% de los hogares tengan acceso a Internet en 2020</w:t>
            </w:r>
          </w:p>
          <w:p w:rsidR="009A03BB" w:rsidRPr="008075C1" w:rsidRDefault="009A03BB" w:rsidP="007453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54"/>
              </w:tabs>
              <w:spacing w:before="80" w:after="80" w:line="276" w:lineRule="auto"/>
              <w:ind w:left="454" w:hanging="454"/>
              <w:textAlignment w:val="auto"/>
              <w:rPr>
                <w:sz w:val="22"/>
              </w:rPr>
            </w:pPr>
            <w:r w:rsidRPr="008075C1">
              <w:rPr>
                <w:sz w:val="22"/>
              </w:rPr>
              <w:t>•</w:t>
            </w:r>
            <w:r w:rsidRPr="008075C1">
              <w:rPr>
                <w:sz w:val="22"/>
              </w:rPr>
              <w:tab/>
              <w:t>Objetivo 2.1.B: En los países menos adelantados (PMA), que el 15% de los hogares tengan acceso a Internet en 2020</w:t>
            </w:r>
          </w:p>
          <w:p w:rsidR="009A03BB" w:rsidRPr="008075C1" w:rsidRDefault="009A03BB" w:rsidP="007453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54"/>
              </w:tabs>
              <w:spacing w:before="80" w:after="80" w:line="276" w:lineRule="auto"/>
              <w:ind w:left="454" w:hanging="454"/>
              <w:textAlignment w:val="auto"/>
              <w:rPr>
                <w:sz w:val="22"/>
              </w:rPr>
            </w:pPr>
            <w:r w:rsidRPr="008075C1">
              <w:rPr>
                <w:sz w:val="22"/>
              </w:rPr>
              <w:t>•</w:t>
            </w:r>
            <w:r w:rsidRPr="008075C1">
              <w:rPr>
                <w:sz w:val="22"/>
              </w:rPr>
              <w:tab/>
              <w:t>Objetivo 2.2.A: En los países en desarrollo, que el 50% de las personas físicas utilicen Internet en 2020</w:t>
            </w:r>
          </w:p>
          <w:p w:rsidR="009A03BB" w:rsidRPr="008075C1" w:rsidRDefault="009A03BB" w:rsidP="007453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54"/>
              </w:tabs>
              <w:spacing w:before="80" w:after="80" w:line="276" w:lineRule="auto"/>
              <w:ind w:left="454" w:hanging="454"/>
              <w:textAlignment w:val="auto"/>
              <w:rPr>
                <w:sz w:val="22"/>
              </w:rPr>
            </w:pPr>
            <w:r w:rsidRPr="008075C1">
              <w:rPr>
                <w:sz w:val="22"/>
              </w:rPr>
              <w:t>•</w:t>
            </w:r>
            <w:r w:rsidRPr="008075C1">
              <w:rPr>
                <w:sz w:val="22"/>
              </w:rPr>
              <w:tab/>
              <w:t>Objetivo 2.2.B: En los países menos adelantados (PMA), que el 20% de las personas físicas utilicen Internet en 2020</w:t>
            </w:r>
          </w:p>
          <w:p w:rsidR="009A03BB" w:rsidRPr="008075C1" w:rsidRDefault="009A03BB" w:rsidP="007453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54"/>
              </w:tabs>
              <w:spacing w:before="80" w:after="80" w:line="276" w:lineRule="auto"/>
              <w:ind w:left="454" w:hanging="454"/>
              <w:textAlignment w:val="auto"/>
              <w:rPr>
                <w:sz w:val="22"/>
              </w:rPr>
            </w:pPr>
            <w:r w:rsidRPr="008075C1">
              <w:rPr>
                <w:sz w:val="22"/>
              </w:rPr>
              <w:t>•</w:t>
            </w:r>
            <w:r w:rsidRPr="008075C1">
              <w:rPr>
                <w:sz w:val="22"/>
              </w:rPr>
              <w:tab/>
              <w:t>Objetivo 2.3.A: que la brecha de la asequibilidad entre países desarrollados y en desarrollo se haya reducido un 40% en 2020</w:t>
            </w:r>
          </w:p>
          <w:p w:rsidR="009A03BB" w:rsidRPr="008075C1" w:rsidRDefault="009A03BB" w:rsidP="007453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54"/>
              </w:tabs>
              <w:spacing w:before="80" w:after="80" w:line="276" w:lineRule="auto"/>
              <w:ind w:left="454" w:hanging="454"/>
              <w:textAlignment w:val="auto"/>
              <w:rPr>
                <w:sz w:val="22"/>
              </w:rPr>
            </w:pPr>
            <w:r w:rsidRPr="008075C1">
              <w:rPr>
                <w:sz w:val="22"/>
              </w:rPr>
              <w:lastRenderedPageBreak/>
              <w:t>•</w:t>
            </w:r>
            <w:r w:rsidRPr="008075C1">
              <w:rPr>
                <w:sz w:val="22"/>
              </w:rPr>
              <w:tab/>
              <w:t>Objetivo 2.3.B: que en 2020 los servicios de banda ancha no cuesten más de 5% de la renta mensual media en los países en desarrollo</w:t>
            </w:r>
            <w:bookmarkEnd w:id="15"/>
          </w:p>
          <w:p w:rsidR="009A03BB" w:rsidRPr="008075C1" w:rsidRDefault="009A03BB" w:rsidP="007453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54"/>
              </w:tabs>
              <w:spacing w:before="80" w:after="80" w:line="276" w:lineRule="auto"/>
              <w:ind w:left="454" w:hanging="454"/>
              <w:textAlignment w:val="auto"/>
              <w:rPr>
                <w:sz w:val="22"/>
              </w:rPr>
            </w:pPr>
            <w:r w:rsidRPr="008075C1">
              <w:rPr>
                <w:sz w:val="22"/>
              </w:rPr>
              <w:t>•</w:t>
            </w:r>
            <w:r w:rsidRPr="008075C1">
              <w:rPr>
                <w:sz w:val="22"/>
              </w:rPr>
              <w:tab/>
              <w:t>Objetivo 2.4: Mundial, que en 2020 el 90% de la población rural tenga cobertura de servicios de banda ancha</w:t>
            </w:r>
          </w:p>
          <w:p w:rsidR="009A03BB" w:rsidRPr="008075C1" w:rsidRDefault="009A03BB" w:rsidP="007453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54"/>
              </w:tabs>
              <w:spacing w:before="80" w:after="80" w:line="276" w:lineRule="auto"/>
              <w:ind w:left="454" w:hanging="454"/>
              <w:textAlignment w:val="auto"/>
              <w:rPr>
                <w:sz w:val="22"/>
              </w:rPr>
            </w:pPr>
            <w:r w:rsidRPr="008075C1">
              <w:rPr>
                <w:sz w:val="22"/>
              </w:rPr>
              <w:t>•</w:t>
            </w:r>
            <w:r w:rsidRPr="008075C1">
              <w:rPr>
                <w:sz w:val="22"/>
              </w:rPr>
              <w:tab/>
              <w:t>Objetivo 2.5.A: que en 2020 se haya alcanzado la igualdad de género entre los usuarios de Internet</w:t>
            </w:r>
          </w:p>
          <w:p w:rsidR="009A03BB" w:rsidRPr="008075C1" w:rsidRDefault="009A03BB" w:rsidP="007453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54"/>
              </w:tabs>
              <w:spacing w:before="80" w:after="80" w:line="276" w:lineRule="auto"/>
              <w:ind w:left="454" w:hanging="454"/>
              <w:textAlignment w:val="auto"/>
              <w:rPr>
                <w:rFonts w:eastAsia="SimSun"/>
                <w:color w:val="000000" w:themeColor="text1"/>
                <w:sz w:val="22"/>
              </w:rPr>
            </w:pPr>
            <w:r w:rsidRPr="008075C1">
              <w:rPr>
                <w:sz w:val="22"/>
              </w:rPr>
              <w:t>•</w:t>
            </w:r>
            <w:r w:rsidRPr="008075C1">
              <w:rPr>
                <w:sz w:val="22"/>
              </w:rPr>
              <w:tab/>
              <w:t>Objetivo 2.5.B: que en 2020 existan entornos propicios que garanticen unas telecomunicaciones/TIC accesibles para las personas con discapacidad en todos los países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  <w:hideMark/>
          </w:tcPr>
          <w:p w:rsidR="009A03BB" w:rsidRPr="008075C1" w:rsidRDefault="009A03BB" w:rsidP="007453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960" w:after="80"/>
              <w:ind w:left="357"/>
              <w:contextualSpacing/>
              <w:jc w:val="center"/>
              <w:textAlignment w:val="auto"/>
              <w:rPr>
                <w:rFonts w:eastAsia="SimSun"/>
                <w:color w:val="000000" w:themeColor="text1"/>
                <w:sz w:val="22"/>
                <w:szCs w:val="22"/>
              </w:rPr>
            </w:pPr>
            <w:r w:rsidRPr="008075C1">
              <w:rPr>
                <w:sz w:val="22"/>
                <w:szCs w:val="22"/>
              </w:rPr>
              <w:lastRenderedPageBreak/>
              <w:t>La evaluación se inclu</w:t>
            </w:r>
            <w:r>
              <w:rPr>
                <w:sz w:val="22"/>
                <w:szCs w:val="22"/>
              </w:rPr>
              <w:t xml:space="preserve">ye en el Documento </w:t>
            </w:r>
            <w:hyperlink r:id="rId12" w:history="1">
              <w:r w:rsidRPr="005A169C">
                <w:rPr>
                  <w:rStyle w:val="Hyperlink"/>
                </w:rPr>
                <w:t>C17/35</w:t>
              </w:r>
            </w:hyperlink>
            <w:r>
              <w:t>.</w:t>
            </w:r>
          </w:p>
        </w:tc>
      </w:tr>
      <w:tr w:rsidR="009A03BB" w:rsidRPr="008075C1" w:rsidTr="00745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29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  <w:hideMark/>
          </w:tcPr>
          <w:p w:rsidR="009A03BB" w:rsidRPr="008075C1" w:rsidRDefault="009A03BB" w:rsidP="007453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80" w:after="80"/>
              <w:textAlignment w:val="auto"/>
              <w:rPr>
                <w:b/>
                <w:bCs/>
                <w:sz w:val="22"/>
              </w:rPr>
            </w:pPr>
            <w:r w:rsidRPr="008075C1">
              <w:rPr>
                <w:b/>
                <w:bCs/>
                <w:sz w:val="22"/>
              </w:rPr>
              <w:t>META 3: SOSTENIBILIDAD – Resolver las dificultades que plantee el desarrollo de las telecomunicaciones/TIC</w:t>
            </w:r>
          </w:p>
        </w:tc>
      </w:tr>
      <w:tr w:rsidR="009A03BB" w:rsidRPr="008075C1" w:rsidTr="007453CA">
        <w:tc>
          <w:tcPr>
            <w:tcW w:w="6232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  <w:hideMark/>
          </w:tcPr>
          <w:p w:rsidR="009A03BB" w:rsidRPr="008075C1" w:rsidRDefault="009A03BB" w:rsidP="007453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54"/>
              </w:tabs>
              <w:spacing w:before="80" w:after="80" w:line="276" w:lineRule="auto"/>
              <w:ind w:left="454" w:hanging="454"/>
              <w:textAlignment w:val="auto"/>
              <w:rPr>
                <w:sz w:val="22"/>
              </w:rPr>
            </w:pPr>
            <w:r w:rsidRPr="008075C1">
              <w:rPr>
                <w:sz w:val="22"/>
              </w:rPr>
              <w:t>•</w:t>
            </w:r>
            <w:r w:rsidRPr="008075C1">
              <w:rPr>
                <w:sz w:val="22"/>
              </w:rPr>
              <w:tab/>
              <w:t>Objetivo 3.1: que en 2020 la preparación para la ciberseguridad haya mejorado un 40%</w:t>
            </w:r>
          </w:p>
          <w:p w:rsidR="009A03BB" w:rsidRPr="008075C1" w:rsidRDefault="009A03BB" w:rsidP="007453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54"/>
              </w:tabs>
              <w:spacing w:before="80" w:after="80" w:line="276" w:lineRule="auto"/>
              <w:ind w:left="454" w:hanging="454"/>
              <w:textAlignment w:val="auto"/>
              <w:rPr>
                <w:sz w:val="22"/>
              </w:rPr>
            </w:pPr>
            <w:r w:rsidRPr="008075C1">
              <w:rPr>
                <w:sz w:val="22"/>
              </w:rPr>
              <w:t>•</w:t>
            </w:r>
            <w:r w:rsidRPr="008075C1">
              <w:rPr>
                <w:sz w:val="22"/>
              </w:rPr>
              <w:tab/>
              <w:t>Objetivo 3.2: que en 2020 el volumen de residuos electrónicos redundantes se haya reducido en 50% en 2020</w:t>
            </w:r>
          </w:p>
          <w:p w:rsidR="009A03BB" w:rsidRPr="008075C1" w:rsidRDefault="009A03BB" w:rsidP="007453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54"/>
              </w:tabs>
              <w:spacing w:before="80" w:after="80" w:line="276" w:lineRule="auto"/>
              <w:ind w:left="454" w:hanging="454"/>
              <w:textAlignment w:val="auto"/>
              <w:rPr>
                <w:rFonts w:eastAsia="SimSun"/>
                <w:color w:val="000000" w:themeColor="text1"/>
                <w:sz w:val="22"/>
              </w:rPr>
            </w:pPr>
            <w:r w:rsidRPr="008075C1">
              <w:rPr>
                <w:sz w:val="22"/>
              </w:rPr>
              <w:t>•</w:t>
            </w:r>
            <w:r w:rsidRPr="008075C1">
              <w:rPr>
                <w:sz w:val="22"/>
              </w:rPr>
              <w:tab/>
              <w:t>Objetivo 3.3: que en 2020 las emisiones de gases de efecto invernadero generados por el sector de las telecomunicaciones/TIC se haya reducido un 30% por dispositivo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:rsidR="009A03BB" w:rsidRPr="008075C1" w:rsidRDefault="009A03BB" w:rsidP="007453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80" w:after="80"/>
              <w:ind w:left="357"/>
              <w:contextualSpacing/>
              <w:jc w:val="center"/>
              <w:textAlignment w:val="auto"/>
              <w:rPr>
                <w:rFonts w:eastAsia="SimSun"/>
                <w:b/>
                <w:bCs/>
                <w:color w:val="000000" w:themeColor="text1"/>
                <w:sz w:val="22"/>
                <w:szCs w:val="22"/>
              </w:rPr>
            </w:pPr>
            <w:bookmarkStart w:id="16" w:name="lt_pId082"/>
            <w:r w:rsidRPr="008075C1">
              <w:rPr>
                <w:rFonts w:eastAsia="SimSun"/>
                <w:color w:val="000000" w:themeColor="text1"/>
                <w:sz w:val="22"/>
                <w:szCs w:val="22"/>
              </w:rPr>
              <w:t xml:space="preserve">Objetivo 3.1: Datos incluidos en el </w:t>
            </w:r>
            <w:r>
              <w:rPr>
                <w:sz w:val="22"/>
                <w:szCs w:val="22"/>
              </w:rPr>
              <w:t xml:space="preserve">Documento </w:t>
            </w:r>
            <w:hyperlink r:id="rId13" w:history="1">
              <w:r w:rsidRPr="005A169C">
                <w:rPr>
                  <w:rStyle w:val="Hyperlink"/>
                </w:rPr>
                <w:t>C17/35</w:t>
              </w:r>
            </w:hyperlink>
            <w:r>
              <w:t>.</w:t>
            </w:r>
            <w:bookmarkEnd w:id="16"/>
          </w:p>
          <w:p w:rsidR="009A03BB" w:rsidRPr="008075C1" w:rsidRDefault="009A03BB" w:rsidP="007453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80" w:after="80"/>
              <w:ind w:left="357"/>
              <w:contextualSpacing/>
              <w:jc w:val="center"/>
              <w:textAlignment w:val="auto"/>
              <w:rPr>
                <w:rFonts w:eastAsia="SimSun"/>
                <w:color w:val="000000" w:themeColor="text1"/>
                <w:sz w:val="22"/>
                <w:szCs w:val="22"/>
              </w:rPr>
            </w:pPr>
          </w:p>
          <w:p w:rsidR="009A03BB" w:rsidRPr="008075C1" w:rsidRDefault="009A03BB" w:rsidP="007453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80" w:after="80"/>
              <w:ind w:left="357"/>
              <w:contextualSpacing/>
              <w:jc w:val="center"/>
              <w:textAlignment w:val="auto"/>
              <w:rPr>
                <w:rFonts w:eastAsia="SimSun"/>
                <w:color w:val="000000" w:themeColor="text1"/>
                <w:sz w:val="22"/>
                <w:szCs w:val="22"/>
              </w:rPr>
            </w:pPr>
            <w:bookmarkStart w:id="17" w:name="lt_pId083"/>
            <w:r w:rsidRPr="008075C1">
              <w:rPr>
                <w:rFonts w:eastAsia="SimSun"/>
                <w:color w:val="000000" w:themeColor="text1"/>
                <w:sz w:val="22"/>
                <w:szCs w:val="22"/>
              </w:rPr>
              <w:t>Se están preparando con los Miembros de la UIT, en colaboración con las organizaciones pertinentes, las Hojas de ruta para los Objetivos 3.2 y 3.3.</w:t>
            </w:r>
            <w:bookmarkEnd w:id="17"/>
          </w:p>
        </w:tc>
      </w:tr>
      <w:tr w:rsidR="009A03BB" w:rsidRPr="008075C1" w:rsidTr="00745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29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  <w:hideMark/>
          </w:tcPr>
          <w:p w:rsidR="009A03BB" w:rsidRPr="008075C1" w:rsidRDefault="009A03BB" w:rsidP="007453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80" w:after="80"/>
              <w:textAlignment w:val="auto"/>
              <w:rPr>
                <w:b/>
                <w:bCs/>
                <w:sz w:val="22"/>
                <w:szCs w:val="22"/>
              </w:rPr>
            </w:pPr>
            <w:r w:rsidRPr="008075C1">
              <w:rPr>
                <w:b/>
                <w:bCs/>
                <w:sz w:val="22"/>
                <w:szCs w:val="22"/>
              </w:rPr>
              <w:t>META 4: INNOVACIÓN Y ASOCIACIÓN – Dirigir, mejorar y adaptarse a los cambios del entorno de las telecomunicaciones/TIC</w:t>
            </w:r>
          </w:p>
        </w:tc>
      </w:tr>
      <w:tr w:rsidR="009A03BB" w:rsidRPr="008075C1" w:rsidTr="007453CA">
        <w:tc>
          <w:tcPr>
            <w:tcW w:w="6232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hideMark/>
          </w:tcPr>
          <w:p w:rsidR="009A03BB" w:rsidRPr="008075C1" w:rsidRDefault="009A03BB" w:rsidP="007453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54"/>
              </w:tabs>
              <w:spacing w:before="80" w:after="80" w:line="276" w:lineRule="auto"/>
              <w:ind w:left="454" w:hanging="454"/>
              <w:textAlignment w:val="auto"/>
              <w:rPr>
                <w:sz w:val="22"/>
              </w:rPr>
            </w:pPr>
            <w:r w:rsidRPr="008075C1">
              <w:rPr>
                <w:sz w:val="22"/>
              </w:rPr>
              <w:t>•</w:t>
            </w:r>
            <w:r w:rsidRPr="008075C1">
              <w:rPr>
                <w:sz w:val="22"/>
              </w:rPr>
              <w:tab/>
              <w:t>Objetivo 4.1: Entorno de las telecomunicaciones/TIC propicio a la innovación</w:t>
            </w:r>
          </w:p>
          <w:p w:rsidR="009A03BB" w:rsidRPr="008075C1" w:rsidRDefault="009A03BB" w:rsidP="007453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54"/>
              </w:tabs>
              <w:spacing w:before="80" w:after="80" w:line="276" w:lineRule="auto"/>
              <w:ind w:left="454" w:hanging="454"/>
              <w:textAlignment w:val="auto"/>
              <w:rPr>
                <w:rFonts w:eastAsia="SimSun"/>
                <w:color w:val="000000" w:themeColor="text1"/>
                <w:sz w:val="22"/>
              </w:rPr>
            </w:pPr>
            <w:r w:rsidRPr="008075C1">
              <w:rPr>
                <w:sz w:val="22"/>
              </w:rPr>
              <w:t>•</w:t>
            </w:r>
            <w:r w:rsidRPr="008075C1">
              <w:rPr>
                <w:sz w:val="22"/>
              </w:rPr>
              <w:tab/>
              <w:t>Objetivo 4.2: Asociaciones efectivas de interesados en el entorno de las telecomunicaciones/TIC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hideMark/>
          </w:tcPr>
          <w:p w:rsidR="009A03BB" w:rsidRPr="008075C1" w:rsidRDefault="009A03BB" w:rsidP="007453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80" w:after="80"/>
              <w:ind w:left="357"/>
              <w:contextualSpacing/>
              <w:jc w:val="center"/>
              <w:textAlignment w:val="auto"/>
              <w:rPr>
                <w:rFonts w:eastAsia="SimSun"/>
                <w:color w:val="000000" w:themeColor="text1"/>
                <w:sz w:val="22"/>
                <w:szCs w:val="22"/>
              </w:rPr>
            </w:pPr>
            <w:bookmarkStart w:id="18" w:name="lt_pId087"/>
            <w:r w:rsidRPr="008075C1">
              <w:rPr>
                <w:rFonts w:eastAsia="SimSun"/>
                <w:color w:val="000000" w:themeColor="text1"/>
                <w:sz w:val="22"/>
                <w:szCs w:val="22"/>
              </w:rPr>
              <w:t>La UIT está trabajando con sus socios en la definición de indicadores para la medición de la consecución</w:t>
            </w:r>
            <w:r>
              <w:rPr>
                <w:rFonts w:eastAsia="SimSun"/>
                <w:color w:val="000000" w:themeColor="text1"/>
                <w:sz w:val="22"/>
                <w:szCs w:val="22"/>
              </w:rPr>
              <w:t xml:space="preserve"> de los Objetivos 4.1 y 4.2.</w:t>
            </w:r>
            <w:bookmarkEnd w:id="18"/>
          </w:p>
        </w:tc>
      </w:tr>
    </w:tbl>
    <w:p w:rsidR="009A03BB" w:rsidRPr="008075C1" w:rsidRDefault="009A03BB" w:rsidP="009A03BB">
      <w:pPr>
        <w:textAlignment w:val="auto"/>
      </w:pPr>
    </w:p>
    <w:p w:rsidR="009A03BB" w:rsidRPr="008075C1" w:rsidRDefault="009A03BB" w:rsidP="009A03BB">
      <w:pPr>
        <w:jc w:val="center"/>
        <w:textAlignment w:val="auto"/>
      </w:pPr>
      <w:r w:rsidRPr="008075C1">
        <w:t>______________</w:t>
      </w:r>
    </w:p>
    <w:p w:rsidR="00726872" w:rsidRPr="00F82FEE" w:rsidRDefault="00726872" w:rsidP="00DC3D3E"/>
    <w:sectPr w:rsidR="00726872" w:rsidRPr="00F82FEE" w:rsidSect="006710F6">
      <w:headerReference w:type="default" r:id="rId14"/>
      <w:footerReference w:type="default" r:id="rId15"/>
      <w:footerReference w:type="first" r:id="rId1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3BB" w:rsidRDefault="009A03BB">
      <w:r>
        <w:separator/>
      </w:r>
    </w:p>
  </w:endnote>
  <w:endnote w:type="continuationSeparator" w:id="0">
    <w:p w:rsidR="009A03BB" w:rsidRDefault="009A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276346" w:rsidRDefault="0077252D" w:rsidP="003F3FD9">
    <w:pPr>
      <w:pStyle w:val="Footer"/>
      <w:rPr>
        <w:color w:val="D9D9D9" w:themeColor="background1" w:themeShade="D9"/>
        <w:lang w:val="fr-CH"/>
      </w:rPr>
    </w:pPr>
    <w:r w:rsidRPr="00276346">
      <w:rPr>
        <w:color w:val="D9D9D9" w:themeColor="background1" w:themeShade="D9"/>
      </w:rPr>
      <w:fldChar w:fldCharType="begin"/>
    </w:r>
    <w:r w:rsidRPr="00276346">
      <w:rPr>
        <w:color w:val="D9D9D9" w:themeColor="background1" w:themeShade="D9"/>
        <w:lang w:val="fr-CH"/>
      </w:rPr>
      <w:instrText xml:space="preserve"> FILENAME \p \* MERGEFORMAT </w:instrText>
    </w:r>
    <w:r w:rsidRPr="00276346">
      <w:rPr>
        <w:color w:val="D9D9D9" w:themeColor="background1" w:themeShade="D9"/>
      </w:rPr>
      <w:fldChar w:fldCharType="separate"/>
    </w:r>
    <w:r w:rsidR="003F3FD9" w:rsidRPr="00276346">
      <w:rPr>
        <w:color w:val="D9D9D9" w:themeColor="background1" w:themeShade="D9"/>
        <w:lang w:val="fr-CH"/>
      </w:rPr>
      <w:t>P:\ESP\SG\CONSEIL\C17\000\039S.docx</w:t>
    </w:r>
    <w:r w:rsidRPr="00276346">
      <w:rPr>
        <w:color w:val="D9D9D9" w:themeColor="background1" w:themeShade="D9"/>
        <w:lang w:val="en-US"/>
      </w:rPr>
      <w:fldChar w:fldCharType="end"/>
    </w:r>
    <w:r w:rsidR="003F3FD9" w:rsidRPr="00276346">
      <w:rPr>
        <w:color w:val="D9D9D9" w:themeColor="background1" w:themeShade="D9"/>
        <w:lang w:val="fr-CH"/>
      </w:rPr>
      <w:t xml:space="preserve"> (409489)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3BB" w:rsidRDefault="009A03BB">
      <w:r>
        <w:t>____________________</w:t>
      </w:r>
    </w:p>
  </w:footnote>
  <w:footnote w:type="continuationSeparator" w:id="0">
    <w:p w:rsidR="009A03BB" w:rsidRDefault="009A0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276346">
      <w:rPr>
        <w:noProof/>
      </w:rPr>
      <w:t>4</w:t>
    </w:r>
    <w:r>
      <w:rPr>
        <w:noProof/>
      </w:rPr>
      <w:fldChar w:fldCharType="end"/>
    </w:r>
  </w:p>
  <w:p w:rsidR="00760F1C" w:rsidRDefault="00760F1C" w:rsidP="003F3FD9">
    <w:pPr>
      <w:pStyle w:val="Header"/>
    </w:pPr>
    <w:r>
      <w:t>C</w:t>
    </w:r>
    <w:r w:rsidR="007F350B">
      <w:t>1</w:t>
    </w:r>
    <w:r w:rsidR="00B8298E">
      <w:t>7</w:t>
    </w:r>
    <w:r>
      <w:t>/</w:t>
    </w:r>
    <w:r w:rsidR="003F3FD9">
      <w:t>39</w:t>
    </w:r>
    <w: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3BB"/>
    <w:rsid w:val="00093EEB"/>
    <w:rsid w:val="000B0D00"/>
    <w:rsid w:val="000B7C15"/>
    <w:rsid w:val="000D1D0F"/>
    <w:rsid w:val="000F5290"/>
    <w:rsid w:val="0010165C"/>
    <w:rsid w:val="00146BFB"/>
    <w:rsid w:val="001F14A2"/>
    <w:rsid w:val="0021167E"/>
    <w:rsid w:val="00276346"/>
    <w:rsid w:val="002801AA"/>
    <w:rsid w:val="002C4676"/>
    <w:rsid w:val="002C70B0"/>
    <w:rsid w:val="002F3CC4"/>
    <w:rsid w:val="003F3FD9"/>
    <w:rsid w:val="00513630"/>
    <w:rsid w:val="00560125"/>
    <w:rsid w:val="00585553"/>
    <w:rsid w:val="005B34D9"/>
    <w:rsid w:val="005D0CCF"/>
    <w:rsid w:val="005F410F"/>
    <w:rsid w:val="0060149A"/>
    <w:rsid w:val="00601924"/>
    <w:rsid w:val="00623EFB"/>
    <w:rsid w:val="006447EA"/>
    <w:rsid w:val="0064731F"/>
    <w:rsid w:val="006710F6"/>
    <w:rsid w:val="00683B5F"/>
    <w:rsid w:val="006C1B56"/>
    <w:rsid w:val="006D4761"/>
    <w:rsid w:val="00726872"/>
    <w:rsid w:val="00760F1C"/>
    <w:rsid w:val="007657F0"/>
    <w:rsid w:val="0077252D"/>
    <w:rsid w:val="007E5DD3"/>
    <w:rsid w:val="007F350B"/>
    <w:rsid w:val="00820BE4"/>
    <w:rsid w:val="008451E8"/>
    <w:rsid w:val="00913B9C"/>
    <w:rsid w:val="00956E77"/>
    <w:rsid w:val="009A03BB"/>
    <w:rsid w:val="00AA390C"/>
    <w:rsid w:val="00B0200A"/>
    <w:rsid w:val="00B574DB"/>
    <w:rsid w:val="00B826C2"/>
    <w:rsid w:val="00B8298E"/>
    <w:rsid w:val="00BD0723"/>
    <w:rsid w:val="00BD2518"/>
    <w:rsid w:val="00BF1D1C"/>
    <w:rsid w:val="00C20C59"/>
    <w:rsid w:val="00C55B1F"/>
    <w:rsid w:val="00C7591D"/>
    <w:rsid w:val="00CE5924"/>
    <w:rsid w:val="00CF1A67"/>
    <w:rsid w:val="00D2750E"/>
    <w:rsid w:val="00D3107C"/>
    <w:rsid w:val="00D62446"/>
    <w:rsid w:val="00DA4EA2"/>
    <w:rsid w:val="00DC3D3E"/>
    <w:rsid w:val="00DE2C90"/>
    <w:rsid w:val="00DE3B24"/>
    <w:rsid w:val="00E06947"/>
    <w:rsid w:val="00E3592D"/>
    <w:rsid w:val="00E92DE8"/>
    <w:rsid w:val="00EB1212"/>
    <w:rsid w:val="00ED65AB"/>
    <w:rsid w:val="00F12850"/>
    <w:rsid w:val="00F33BF4"/>
    <w:rsid w:val="00F45A96"/>
    <w:rsid w:val="00F7105E"/>
    <w:rsid w:val="00F75F57"/>
    <w:rsid w:val="00F81739"/>
    <w:rsid w:val="00F82FEE"/>
    <w:rsid w:val="00F90648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7FF607BC-AF2E-4104-958E-9DAE872D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table" w:customStyle="1" w:styleId="ListTable3-Accent11">
    <w:name w:val="List Table 3 - Accent 11"/>
    <w:basedOn w:val="TableNormal"/>
    <w:uiPriority w:val="48"/>
    <w:rsid w:val="009A03BB"/>
    <w:tblPr>
      <w:tblStyleRowBandSize w:val="1"/>
      <w:tblStyleColBandSize w:val="1"/>
      <w:tblInd w:w="0" w:type="nil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connect2020/Pages/default.aspx" TargetMode="External"/><Relationship Id="rId13" Type="http://schemas.openxmlformats.org/officeDocument/2006/relationships/hyperlink" Target="https://www.itu.int/md/S17-CL-C-0035/en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itu.int/pub/S-CONF-ACTF-2014/es" TargetMode="External"/><Relationship Id="rId12" Type="http://schemas.openxmlformats.org/officeDocument/2006/relationships/hyperlink" Target="https://www.itu.int/md/S17-CL-C-0035/en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itu.int/md/S17-CL-C-0035/en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ww.itu.int/md/S17-CL-C-0035/e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tu.int/md/S17-CL-C-0035/en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PS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PS_C17.dotx</Template>
  <TotalTime>0</TotalTime>
  <Pages>4</Pages>
  <Words>1417</Words>
  <Characters>7737</Characters>
  <Application>Microsoft Office Word</Application>
  <DocSecurity>4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9136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Avances y hoja de ruta para la aplicación de la agenda Conectar 2020</dc:title>
  <dc:subject>Consejo 2017</dc:subject>
  <dc:creator>Ayala Martinez, Beatriz</dc:creator>
  <cp:keywords>C2017, C17</cp:keywords>
  <dc:description>Documento C17/-S  Para: _x000d_Fecha del documento: enero de 2017_x000d_Registrado por ITU51009317 a 15:32:38 el 06/04/2017</dc:description>
  <cp:lastModifiedBy>Brouard, Ricarda</cp:lastModifiedBy>
  <cp:revision>2</cp:revision>
  <cp:lastPrinted>2006-03-24T09:51:00Z</cp:lastPrinted>
  <dcterms:created xsi:type="dcterms:W3CDTF">2017-04-28T16:19:00Z</dcterms:created>
  <dcterms:modified xsi:type="dcterms:W3CDTF">2017-04-28T16:19:00Z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