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06495">
        <w:trPr>
          <w:cantSplit/>
        </w:trPr>
        <w:tc>
          <w:tcPr>
            <w:tcW w:w="6912" w:type="dxa"/>
          </w:tcPr>
          <w:p w:rsidR="00520F36" w:rsidRPr="00D06495" w:rsidRDefault="00520F36" w:rsidP="001A4146">
            <w:pPr>
              <w:spacing w:before="360"/>
            </w:pPr>
            <w:bookmarkStart w:id="0" w:name="dc06"/>
            <w:bookmarkEnd w:id="0"/>
            <w:r w:rsidRPr="00D06495">
              <w:rPr>
                <w:b/>
                <w:bCs/>
                <w:sz w:val="30"/>
                <w:szCs w:val="30"/>
              </w:rPr>
              <w:t>Conseil 2017</w:t>
            </w:r>
            <w:r w:rsidRPr="00D06495">
              <w:rPr>
                <w:rFonts w:ascii="Verdana" w:hAnsi="Verdana"/>
                <w:b/>
                <w:bCs/>
                <w:sz w:val="26"/>
                <w:szCs w:val="26"/>
              </w:rPr>
              <w:br/>
            </w:r>
            <w:r w:rsidRPr="00D06495">
              <w:rPr>
                <w:b/>
                <w:bCs/>
                <w:szCs w:val="24"/>
              </w:rPr>
              <w:t>Genève, 15-25 mai 2017</w:t>
            </w:r>
          </w:p>
        </w:tc>
        <w:tc>
          <w:tcPr>
            <w:tcW w:w="3261" w:type="dxa"/>
          </w:tcPr>
          <w:p w:rsidR="00520F36" w:rsidRPr="00D06495" w:rsidRDefault="00520F36" w:rsidP="001A4146">
            <w:pPr>
              <w:spacing w:before="0"/>
              <w:jc w:val="right"/>
            </w:pPr>
            <w:bookmarkStart w:id="1" w:name="ditulogo"/>
            <w:bookmarkEnd w:id="1"/>
            <w:r w:rsidRPr="00D06495">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06495" w:rsidTr="00896DD4">
        <w:trPr>
          <w:cantSplit/>
          <w:trHeight w:val="20"/>
        </w:trPr>
        <w:tc>
          <w:tcPr>
            <w:tcW w:w="6912" w:type="dxa"/>
            <w:tcBorders>
              <w:bottom w:val="single" w:sz="12" w:space="0" w:color="auto"/>
            </w:tcBorders>
            <w:vAlign w:val="center"/>
          </w:tcPr>
          <w:p w:rsidR="00520F36" w:rsidRPr="00D06495" w:rsidRDefault="00520F36" w:rsidP="001A4146">
            <w:pPr>
              <w:spacing w:before="0"/>
              <w:rPr>
                <w:b/>
                <w:bCs/>
                <w:sz w:val="26"/>
                <w:szCs w:val="26"/>
              </w:rPr>
            </w:pPr>
          </w:p>
        </w:tc>
        <w:tc>
          <w:tcPr>
            <w:tcW w:w="3261" w:type="dxa"/>
            <w:tcBorders>
              <w:bottom w:val="single" w:sz="12" w:space="0" w:color="auto"/>
            </w:tcBorders>
          </w:tcPr>
          <w:p w:rsidR="00520F36" w:rsidRPr="00D06495" w:rsidRDefault="00520F36" w:rsidP="001A4146">
            <w:pPr>
              <w:spacing w:before="0"/>
              <w:rPr>
                <w:b/>
                <w:bCs/>
              </w:rPr>
            </w:pPr>
          </w:p>
        </w:tc>
      </w:tr>
      <w:tr w:rsidR="00520F36" w:rsidRPr="00D06495">
        <w:trPr>
          <w:cantSplit/>
          <w:trHeight w:val="20"/>
        </w:trPr>
        <w:tc>
          <w:tcPr>
            <w:tcW w:w="6912" w:type="dxa"/>
            <w:tcBorders>
              <w:top w:val="single" w:sz="12" w:space="0" w:color="auto"/>
            </w:tcBorders>
          </w:tcPr>
          <w:p w:rsidR="00520F36" w:rsidRPr="00D06495" w:rsidRDefault="00520F36" w:rsidP="001A4146">
            <w:pPr>
              <w:spacing w:before="0"/>
              <w:rPr>
                <w:smallCaps/>
                <w:sz w:val="22"/>
              </w:rPr>
            </w:pPr>
          </w:p>
        </w:tc>
        <w:tc>
          <w:tcPr>
            <w:tcW w:w="3261" w:type="dxa"/>
            <w:tcBorders>
              <w:top w:val="single" w:sz="12" w:space="0" w:color="auto"/>
            </w:tcBorders>
          </w:tcPr>
          <w:p w:rsidR="00520F36" w:rsidRPr="00D06495" w:rsidRDefault="00520F36" w:rsidP="001A4146">
            <w:pPr>
              <w:spacing w:before="0"/>
              <w:rPr>
                <w:b/>
                <w:bCs/>
              </w:rPr>
            </w:pPr>
          </w:p>
        </w:tc>
      </w:tr>
      <w:tr w:rsidR="00520F36" w:rsidRPr="00D06495">
        <w:trPr>
          <w:cantSplit/>
          <w:trHeight w:val="20"/>
        </w:trPr>
        <w:tc>
          <w:tcPr>
            <w:tcW w:w="6912" w:type="dxa"/>
            <w:vMerge w:val="restart"/>
          </w:tcPr>
          <w:p w:rsidR="00520F36" w:rsidRPr="00D06495" w:rsidRDefault="00896DD4" w:rsidP="001A4146">
            <w:pPr>
              <w:spacing w:before="0"/>
              <w:rPr>
                <w:rFonts w:cs="Times"/>
                <w:b/>
                <w:bCs/>
                <w:szCs w:val="24"/>
              </w:rPr>
            </w:pPr>
            <w:bookmarkStart w:id="2" w:name="dnum" w:colFirst="1" w:colLast="1"/>
            <w:bookmarkStart w:id="3" w:name="dmeeting" w:colFirst="0" w:colLast="0"/>
            <w:r w:rsidRPr="00D06495">
              <w:rPr>
                <w:rFonts w:cs="Times"/>
                <w:b/>
                <w:bCs/>
                <w:szCs w:val="24"/>
              </w:rPr>
              <w:t xml:space="preserve">Point de l'ordre du </w:t>
            </w:r>
            <w:proofErr w:type="gramStart"/>
            <w:r w:rsidRPr="00D06495">
              <w:rPr>
                <w:rFonts w:cs="Times"/>
                <w:b/>
                <w:bCs/>
                <w:szCs w:val="24"/>
              </w:rPr>
              <w:t>jour:</w:t>
            </w:r>
            <w:proofErr w:type="gramEnd"/>
            <w:r w:rsidRPr="00D06495">
              <w:rPr>
                <w:rFonts w:cs="Times"/>
                <w:b/>
                <w:bCs/>
                <w:szCs w:val="24"/>
              </w:rPr>
              <w:t xml:space="preserve"> ADM 10</w:t>
            </w:r>
          </w:p>
        </w:tc>
        <w:tc>
          <w:tcPr>
            <w:tcW w:w="3261" w:type="dxa"/>
          </w:tcPr>
          <w:p w:rsidR="00520F36" w:rsidRPr="00D06495" w:rsidRDefault="00520F36" w:rsidP="001A4146">
            <w:pPr>
              <w:spacing w:before="0"/>
              <w:rPr>
                <w:b/>
                <w:bCs/>
              </w:rPr>
            </w:pPr>
            <w:r w:rsidRPr="00D06495">
              <w:rPr>
                <w:b/>
                <w:bCs/>
              </w:rPr>
              <w:t>Document C17/</w:t>
            </w:r>
            <w:r w:rsidR="00896DD4" w:rsidRPr="00D06495">
              <w:rPr>
                <w:b/>
                <w:bCs/>
              </w:rPr>
              <w:t>41</w:t>
            </w:r>
            <w:r w:rsidRPr="00D06495">
              <w:rPr>
                <w:b/>
                <w:bCs/>
              </w:rPr>
              <w:t>-F</w:t>
            </w:r>
          </w:p>
        </w:tc>
      </w:tr>
      <w:tr w:rsidR="00520F36" w:rsidRPr="00D06495">
        <w:trPr>
          <w:cantSplit/>
          <w:trHeight w:val="20"/>
        </w:trPr>
        <w:tc>
          <w:tcPr>
            <w:tcW w:w="6912" w:type="dxa"/>
            <w:vMerge/>
          </w:tcPr>
          <w:p w:rsidR="00520F36" w:rsidRPr="00D06495" w:rsidRDefault="00520F36" w:rsidP="001A4146">
            <w:pPr>
              <w:shd w:val="solid" w:color="FFFFFF" w:fill="FFFFFF"/>
              <w:spacing w:before="180"/>
              <w:rPr>
                <w:smallCaps/>
              </w:rPr>
            </w:pPr>
            <w:bookmarkStart w:id="4" w:name="ddate" w:colFirst="1" w:colLast="1"/>
            <w:bookmarkEnd w:id="2"/>
            <w:bookmarkEnd w:id="3"/>
          </w:p>
        </w:tc>
        <w:tc>
          <w:tcPr>
            <w:tcW w:w="3261" w:type="dxa"/>
          </w:tcPr>
          <w:p w:rsidR="00520F36" w:rsidRPr="00D06495" w:rsidRDefault="00896DD4" w:rsidP="001A4146">
            <w:pPr>
              <w:spacing w:before="0"/>
              <w:rPr>
                <w:b/>
                <w:bCs/>
              </w:rPr>
            </w:pPr>
            <w:r w:rsidRPr="00D06495">
              <w:rPr>
                <w:b/>
                <w:bCs/>
              </w:rPr>
              <w:t>8 mai</w:t>
            </w:r>
            <w:r w:rsidR="00520F36" w:rsidRPr="00D06495">
              <w:rPr>
                <w:b/>
                <w:bCs/>
              </w:rPr>
              <w:t xml:space="preserve"> 2017</w:t>
            </w:r>
          </w:p>
        </w:tc>
      </w:tr>
      <w:tr w:rsidR="00520F36" w:rsidRPr="00D06495">
        <w:trPr>
          <w:cantSplit/>
          <w:trHeight w:val="20"/>
        </w:trPr>
        <w:tc>
          <w:tcPr>
            <w:tcW w:w="6912" w:type="dxa"/>
            <w:vMerge/>
          </w:tcPr>
          <w:p w:rsidR="00520F36" w:rsidRPr="00D06495" w:rsidRDefault="00520F36" w:rsidP="001A4146">
            <w:pPr>
              <w:shd w:val="solid" w:color="FFFFFF" w:fill="FFFFFF"/>
              <w:spacing w:before="180"/>
              <w:rPr>
                <w:smallCaps/>
              </w:rPr>
            </w:pPr>
            <w:bookmarkStart w:id="5" w:name="dorlang" w:colFirst="1" w:colLast="1"/>
            <w:bookmarkEnd w:id="4"/>
          </w:p>
        </w:tc>
        <w:tc>
          <w:tcPr>
            <w:tcW w:w="3261" w:type="dxa"/>
          </w:tcPr>
          <w:p w:rsidR="00520F36" w:rsidRPr="00D06495" w:rsidRDefault="00520F36" w:rsidP="001A4146">
            <w:pPr>
              <w:spacing w:before="0"/>
              <w:rPr>
                <w:b/>
                <w:bCs/>
              </w:rPr>
            </w:pPr>
            <w:proofErr w:type="gramStart"/>
            <w:r w:rsidRPr="00D06495">
              <w:rPr>
                <w:b/>
                <w:bCs/>
              </w:rPr>
              <w:t>Original:</w:t>
            </w:r>
            <w:proofErr w:type="gramEnd"/>
            <w:r w:rsidRPr="00D06495">
              <w:rPr>
                <w:b/>
                <w:bCs/>
              </w:rPr>
              <w:t xml:space="preserve"> anglais</w:t>
            </w:r>
          </w:p>
        </w:tc>
      </w:tr>
      <w:tr w:rsidR="00520F36" w:rsidRPr="00D06495">
        <w:trPr>
          <w:cantSplit/>
        </w:trPr>
        <w:tc>
          <w:tcPr>
            <w:tcW w:w="10173" w:type="dxa"/>
            <w:gridSpan w:val="2"/>
          </w:tcPr>
          <w:p w:rsidR="00520F36" w:rsidRPr="00D06495" w:rsidRDefault="00896DD4" w:rsidP="001A4146">
            <w:pPr>
              <w:pStyle w:val="Source"/>
            </w:pPr>
            <w:bookmarkStart w:id="6" w:name="dsource" w:colFirst="0" w:colLast="0"/>
            <w:bookmarkEnd w:id="5"/>
            <w:r w:rsidRPr="00D06495">
              <w:t>Rapport du Secrétaire général</w:t>
            </w:r>
          </w:p>
        </w:tc>
      </w:tr>
      <w:tr w:rsidR="00520F36" w:rsidRPr="00D06495">
        <w:trPr>
          <w:cantSplit/>
        </w:trPr>
        <w:tc>
          <w:tcPr>
            <w:tcW w:w="10173" w:type="dxa"/>
            <w:gridSpan w:val="2"/>
          </w:tcPr>
          <w:p w:rsidR="00520F36" w:rsidRPr="00D06495" w:rsidRDefault="00896DD4" w:rsidP="001A4146">
            <w:pPr>
              <w:pStyle w:val="Title1"/>
            </w:pPr>
            <w:bookmarkStart w:id="7" w:name="dtitle1" w:colFirst="0" w:colLast="0"/>
            <w:bookmarkEnd w:id="6"/>
            <w:r w:rsidRPr="00D06495">
              <w:t>VÉRIFICATION EXTÉRIEURE DES COMPTES DE L'UNION – ITU TELECOM WORLD 2016</w:t>
            </w:r>
          </w:p>
        </w:tc>
      </w:tr>
      <w:bookmarkEnd w:id="7"/>
    </w:tbl>
    <w:p w:rsidR="00520F36" w:rsidRPr="00D06495" w:rsidRDefault="00520F36" w:rsidP="001A414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06495">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D06495" w:rsidRDefault="00520F36" w:rsidP="001A4146">
            <w:pPr>
              <w:pStyle w:val="Headingb"/>
            </w:pPr>
            <w:bookmarkStart w:id="8" w:name="_Toc482780294"/>
            <w:bookmarkStart w:id="9" w:name="_Toc482785164"/>
            <w:bookmarkStart w:id="10" w:name="_Toc482785800"/>
            <w:r w:rsidRPr="00D06495">
              <w:t>Résumé</w:t>
            </w:r>
            <w:bookmarkEnd w:id="8"/>
            <w:bookmarkEnd w:id="9"/>
            <w:bookmarkEnd w:id="10"/>
          </w:p>
          <w:p w:rsidR="00896DD4" w:rsidRPr="00D06495" w:rsidRDefault="00896DD4" w:rsidP="001A4146">
            <w:r w:rsidRPr="00D06495">
              <w:t>Le rapport du Vérificateur extérieur des comptes porte sur les comptes de l'Exposition ITU Telecom World 201</w:t>
            </w:r>
            <w:r w:rsidR="00EA58D3" w:rsidRPr="00D06495">
              <w:t>6</w:t>
            </w:r>
            <w:r w:rsidR="00871131" w:rsidRPr="00D06495">
              <w:t>.</w:t>
            </w:r>
          </w:p>
          <w:p w:rsidR="00896DD4" w:rsidRPr="00D06495" w:rsidRDefault="00896DD4" w:rsidP="001A4146">
            <w:pPr>
              <w:pStyle w:val="Headingb"/>
            </w:pPr>
            <w:bookmarkStart w:id="11" w:name="_Toc482780295"/>
            <w:bookmarkStart w:id="12" w:name="_Toc482785165"/>
            <w:bookmarkStart w:id="13" w:name="_Toc482785801"/>
            <w:r w:rsidRPr="00D06495">
              <w:t>Suite à donner</w:t>
            </w:r>
            <w:bookmarkEnd w:id="11"/>
            <w:bookmarkEnd w:id="12"/>
            <w:bookmarkEnd w:id="13"/>
          </w:p>
          <w:p w:rsidR="00896DD4" w:rsidRPr="00D06495" w:rsidRDefault="00896DD4" w:rsidP="00367998">
            <w:r w:rsidRPr="00D06495">
              <w:t>Le Conseil est invité à examiner le rapport du Vérificateur extérieur des comptes</w:t>
            </w:r>
            <w:r w:rsidR="00367998">
              <w:t xml:space="preserve"> </w:t>
            </w:r>
            <w:r w:rsidRPr="00D06495">
              <w:t>pour l'exercice 201</w:t>
            </w:r>
            <w:r w:rsidR="00EA58D3" w:rsidRPr="00D06495">
              <w:t>6</w:t>
            </w:r>
            <w:r w:rsidRPr="00D06495">
              <w:t xml:space="preserve"> et à </w:t>
            </w:r>
            <w:r w:rsidRPr="002043A2">
              <w:rPr>
                <w:b/>
                <w:bCs/>
              </w:rPr>
              <w:t>approuver</w:t>
            </w:r>
            <w:r w:rsidRPr="00D06495">
              <w:t xml:space="preserve"> les comptes tels qu'ils ont été vérifiés</w:t>
            </w:r>
            <w:r w:rsidR="00871131" w:rsidRPr="00D06495">
              <w:t>.</w:t>
            </w:r>
          </w:p>
          <w:p w:rsidR="00520F36" w:rsidRPr="00D06495" w:rsidRDefault="00520F36" w:rsidP="001A4146">
            <w:pPr>
              <w:pStyle w:val="Table"/>
              <w:keepNext w:val="0"/>
              <w:spacing w:before="0" w:after="0"/>
              <w:rPr>
                <w:rFonts w:ascii="Calibri" w:hAnsi="Calibri"/>
                <w:caps w:val="0"/>
                <w:sz w:val="22"/>
                <w:lang w:val="fr-FR"/>
              </w:rPr>
            </w:pPr>
            <w:r w:rsidRPr="00D06495">
              <w:rPr>
                <w:rFonts w:ascii="Calibri" w:hAnsi="Calibri"/>
                <w:caps w:val="0"/>
                <w:sz w:val="22"/>
                <w:lang w:val="fr-FR"/>
              </w:rPr>
              <w:t>____________</w:t>
            </w:r>
          </w:p>
          <w:p w:rsidR="00520F36" w:rsidRPr="00D06495" w:rsidRDefault="00520F36" w:rsidP="001A4146">
            <w:pPr>
              <w:pStyle w:val="Headingb"/>
            </w:pPr>
            <w:bookmarkStart w:id="14" w:name="_Toc482780296"/>
            <w:bookmarkStart w:id="15" w:name="_Toc482785166"/>
            <w:bookmarkStart w:id="16" w:name="_Toc482785802"/>
            <w:r w:rsidRPr="00D06495">
              <w:t>Références</w:t>
            </w:r>
            <w:bookmarkStart w:id="17" w:name="_GoBack"/>
            <w:bookmarkEnd w:id="14"/>
            <w:bookmarkEnd w:id="15"/>
            <w:bookmarkEnd w:id="16"/>
            <w:bookmarkEnd w:id="17"/>
          </w:p>
          <w:p w:rsidR="00520F36" w:rsidRPr="00D06495" w:rsidRDefault="00896DD4" w:rsidP="001A4146">
            <w:pPr>
              <w:spacing w:after="120"/>
              <w:rPr>
                <w:i/>
                <w:iCs/>
              </w:rPr>
            </w:pPr>
            <w:r w:rsidRPr="00D06495">
              <w:rPr>
                <w:i/>
                <w:iCs/>
              </w:rPr>
              <w:t xml:space="preserve">Article 28 et mandat additionnel du </w:t>
            </w:r>
            <w:hyperlink r:id="rId9" w:history="1">
              <w:r w:rsidRPr="00284D75">
                <w:rPr>
                  <w:rStyle w:val="Hyperlink"/>
                  <w:i/>
                  <w:iCs/>
                </w:rPr>
                <w:t>Règlement financier (Edition de 2010)</w:t>
              </w:r>
            </w:hyperlink>
          </w:p>
        </w:tc>
      </w:tr>
    </w:tbl>
    <w:p w:rsidR="005D3BB9" w:rsidRPr="00D06495" w:rsidRDefault="005D3BB9" w:rsidP="001A4146">
      <w:pPr>
        <w:tabs>
          <w:tab w:val="clear" w:pos="567"/>
          <w:tab w:val="clear" w:pos="1134"/>
          <w:tab w:val="clear" w:pos="1701"/>
          <w:tab w:val="clear" w:pos="2268"/>
          <w:tab w:val="clear" w:pos="2835"/>
        </w:tabs>
        <w:overflowPunct/>
        <w:autoSpaceDE/>
        <w:autoSpaceDN/>
        <w:adjustRightInd/>
        <w:spacing w:before="0"/>
        <w:textAlignment w:val="auto"/>
      </w:pPr>
    </w:p>
    <w:p w:rsidR="00896DD4" w:rsidRPr="00D06495" w:rsidRDefault="00896DD4" w:rsidP="001A4146">
      <w:pPr>
        <w:tabs>
          <w:tab w:val="clear" w:pos="567"/>
          <w:tab w:val="clear" w:pos="1134"/>
          <w:tab w:val="clear" w:pos="1701"/>
          <w:tab w:val="clear" w:pos="2268"/>
          <w:tab w:val="clear" w:pos="2835"/>
        </w:tabs>
        <w:overflowPunct/>
        <w:autoSpaceDE/>
        <w:autoSpaceDN/>
        <w:adjustRightInd/>
        <w:spacing w:before="0"/>
        <w:textAlignment w:val="auto"/>
      </w:pPr>
      <w:r w:rsidRPr="00D06495">
        <w:br w:type="page"/>
      </w:r>
    </w:p>
    <w:p w:rsidR="00571EEA" w:rsidRPr="00D06495" w:rsidRDefault="00896DD4" w:rsidP="001A4146">
      <w:pPr>
        <w:jc w:val="center"/>
      </w:pPr>
      <w:r w:rsidRPr="00D06495">
        <w:rPr>
          <w:noProof/>
          <w:lang w:val="en-US" w:eastAsia="zh-CN"/>
        </w:rPr>
        <w:lastRenderedPageBreak/>
        <w:drawing>
          <wp:inline distT="0" distB="0" distL="0" distR="0" wp14:anchorId="01A4CFE5" wp14:editId="5CADBC92">
            <wp:extent cx="875665" cy="982345"/>
            <wp:effectExtent l="0" t="0" r="635" b="825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5665" cy="982345"/>
                    </a:xfrm>
                    <a:prstGeom prst="rect">
                      <a:avLst/>
                    </a:prstGeom>
                  </pic:spPr>
                </pic:pic>
              </a:graphicData>
            </a:graphic>
          </wp:inline>
        </w:drawing>
      </w:r>
    </w:p>
    <w:p w:rsidR="00896DD4" w:rsidRPr="00D06495" w:rsidRDefault="00896DD4" w:rsidP="001A4146">
      <w:pPr>
        <w:jc w:val="center"/>
      </w:pPr>
    </w:p>
    <w:p w:rsidR="00896DD4" w:rsidRPr="00D06495" w:rsidRDefault="00896DD4" w:rsidP="001A4146">
      <w:pPr>
        <w:ind w:left="-426" w:firstLine="426"/>
        <w:jc w:val="center"/>
        <w:rPr>
          <w:rFonts w:ascii="Kunstler Script" w:hAnsi="Kunstler Script"/>
          <w:sz w:val="96"/>
          <w:szCs w:val="96"/>
        </w:rPr>
      </w:pPr>
      <w:bookmarkStart w:id="18" w:name="lt_pId017"/>
      <w:r w:rsidRPr="00D06495">
        <w:rPr>
          <w:rFonts w:ascii="Kunstler Script" w:hAnsi="Kunstler Script"/>
          <w:sz w:val="96"/>
          <w:szCs w:val="96"/>
        </w:rPr>
        <w:t>Corte dei conti</w:t>
      </w:r>
      <w:bookmarkEnd w:id="18"/>
    </w:p>
    <w:p w:rsidR="00896DD4" w:rsidRPr="00D06495" w:rsidRDefault="00896DD4" w:rsidP="001A4146">
      <w:pPr>
        <w:spacing w:before="4000"/>
        <w:jc w:val="center"/>
        <w:rPr>
          <w:sz w:val="28"/>
          <w:szCs w:val="28"/>
        </w:rPr>
      </w:pPr>
      <w:r w:rsidRPr="00D06495">
        <w:rPr>
          <w:sz w:val="28"/>
          <w:szCs w:val="28"/>
        </w:rPr>
        <w:t>RAPPORT DU VÉRIFICATEUR EXTÉRIEUR</w:t>
      </w:r>
    </w:p>
    <w:p w:rsidR="00896DD4" w:rsidRPr="00D06495" w:rsidRDefault="00896DD4" w:rsidP="001A4146">
      <w:pPr>
        <w:spacing w:before="4000"/>
        <w:jc w:val="center"/>
      </w:pPr>
      <w:r w:rsidRPr="00D06495">
        <w:t xml:space="preserve">Vérification des comptes de l'Exposition </w:t>
      </w:r>
      <w:r w:rsidRPr="00D06495">
        <w:br/>
        <w:t>ITU TELECOM WORLD 2016</w:t>
      </w:r>
      <w:bookmarkStart w:id="19" w:name="lt_pId019"/>
    </w:p>
    <w:p w:rsidR="00896DD4" w:rsidRPr="00D06495" w:rsidRDefault="00896DD4" w:rsidP="001A4146">
      <w:pPr>
        <w:spacing w:before="0"/>
        <w:jc w:val="center"/>
        <w:rPr>
          <w:color w:val="0D0D0D"/>
        </w:rPr>
      </w:pPr>
      <w:r w:rsidRPr="00D06495">
        <w:rPr>
          <w:color w:val="0D0D0D"/>
        </w:rPr>
        <w:t>5 mai 201</w:t>
      </w:r>
      <w:bookmarkEnd w:id="19"/>
      <w:r w:rsidRPr="00D06495">
        <w:rPr>
          <w:color w:val="0D0D0D"/>
        </w:rPr>
        <w:t>7</w:t>
      </w:r>
    </w:p>
    <w:p w:rsidR="00896DD4" w:rsidRPr="00D06495" w:rsidRDefault="00896DD4" w:rsidP="001A4146">
      <w:pPr>
        <w:tabs>
          <w:tab w:val="clear" w:pos="567"/>
          <w:tab w:val="clear" w:pos="1134"/>
          <w:tab w:val="clear" w:pos="1701"/>
          <w:tab w:val="clear" w:pos="2268"/>
          <w:tab w:val="clear" w:pos="2835"/>
        </w:tabs>
        <w:overflowPunct/>
        <w:autoSpaceDE/>
        <w:autoSpaceDN/>
        <w:adjustRightInd/>
        <w:spacing w:before="0"/>
        <w:textAlignment w:val="auto"/>
        <w:rPr>
          <w:color w:val="0D0D0D"/>
        </w:rPr>
      </w:pPr>
    </w:p>
    <w:p w:rsidR="00FA5EF0" w:rsidRPr="00D06495" w:rsidRDefault="00FA5EF0" w:rsidP="001A4146">
      <w:pPr>
        <w:tabs>
          <w:tab w:val="clear" w:pos="567"/>
          <w:tab w:val="clear" w:pos="1134"/>
          <w:tab w:val="clear" w:pos="1701"/>
          <w:tab w:val="clear" w:pos="2268"/>
          <w:tab w:val="clear" w:pos="2835"/>
        </w:tabs>
        <w:overflowPunct/>
        <w:autoSpaceDE/>
        <w:autoSpaceDN/>
        <w:adjustRightInd/>
        <w:spacing w:before="0"/>
        <w:textAlignment w:val="auto"/>
      </w:pPr>
    </w:p>
    <w:p w:rsidR="00896DD4" w:rsidRPr="00D06495" w:rsidRDefault="00896DD4" w:rsidP="001A4146">
      <w:pPr>
        <w:tabs>
          <w:tab w:val="clear" w:pos="567"/>
          <w:tab w:val="clear" w:pos="1134"/>
          <w:tab w:val="clear" w:pos="1701"/>
          <w:tab w:val="clear" w:pos="2268"/>
          <w:tab w:val="clear" w:pos="2835"/>
        </w:tabs>
        <w:overflowPunct/>
        <w:autoSpaceDE/>
        <w:autoSpaceDN/>
        <w:adjustRightInd/>
        <w:spacing w:before="0"/>
        <w:textAlignment w:val="auto"/>
      </w:pPr>
      <w:r w:rsidRPr="00D06495">
        <w:br w:type="page"/>
      </w:r>
    </w:p>
    <w:p w:rsidR="00896DD4" w:rsidRPr="00D06495" w:rsidRDefault="00822271" w:rsidP="007C315D">
      <w:pPr>
        <w:jc w:val="center"/>
        <w:rPr>
          <w:rFonts w:asciiTheme="minorHAnsi" w:eastAsiaTheme="minorEastAsia" w:hAnsiTheme="minorHAnsi" w:cstheme="minorBidi"/>
          <w:b/>
          <w:bCs/>
          <w:szCs w:val="24"/>
          <w:lang w:eastAsia="zh-CN"/>
        </w:rPr>
      </w:pPr>
      <w:r w:rsidRPr="00D06495">
        <w:rPr>
          <w:rFonts w:asciiTheme="minorHAnsi" w:eastAsiaTheme="minorEastAsia" w:hAnsiTheme="minorHAnsi" w:cstheme="minorBidi"/>
          <w:b/>
          <w:bCs/>
          <w:szCs w:val="24"/>
          <w:lang w:eastAsia="zh-CN"/>
        </w:rPr>
        <w:lastRenderedPageBreak/>
        <w:t>TABLE DES MATI</w:t>
      </w:r>
      <w:r w:rsidR="007C315D">
        <w:rPr>
          <w:rFonts w:asciiTheme="minorHAnsi" w:eastAsiaTheme="minorEastAsia" w:hAnsiTheme="minorHAnsi" w:cstheme="minorBidi"/>
          <w:b/>
          <w:bCs/>
          <w:szCs w:val="24"/>
          <w:lang w:eastAsia="zh-CN"/>
        </w:rPr>
        <w:t>È</w:t>
      </w:r>
      <w:r w:rsidRPr="00D06495">
        <w:rPr>
          <w:rFonts w:asciiTheme="minorHAnsi" w:eastAsiaTheme="minorEastAsia" w:hAnsiTheme="minorHAnsi" w:cstheme="minorBidi"/>
          <w:b/>
          <w:bCs/>
          <w:szCs w:val="24"/>
          <w:lang w:eastAsia="zh-CN"/>
        </w:rPr>
        <w:t>RES</w:t>
      </w:r>
    </w:p>
    <w:p w:rsidR="00822271" w:rsidRPr="00D06495" w:rsidRDefault="003B31F7" w:rsidP="003B31F7">
      <w:pPr>
        <w:pStyle w:val="toc0"/>
        <w:rPr>
          <w:rFonts w:eastAsiaTheme="minorEastAsia"/>
          <w:lang w:eastAsia="zh-CN"/>
        </w:rPr>
      </w:pPr>
      <w:r w:rsidRPr="00D06495">
        <w:rPr>
          <w:rFonts w:eastAsiaTheme="minorEastAsia"/>
          <w:lang w:eastAsia="zh-CN"/>
        </w:rPr>
        <w:tab/>
        <w:t>Page</w:t>
      </w:r>
    </w:p>
    <w:p w:rsidR="00FF6174" w:rsidRPr="00D06495" w:rsidRDefault="00700CBE" w:rsidP="000B3DE6">
      <w:pPr>
        <w:pStyle w:val="TOC1"/>
        <w:ind w:left="0" w:firstLine="0"/>
        <w:rPr>
          <w:rFonts w:asciiTheme="minorHAnsi" w:eastAsiaTheme="minorEastAsia" w:hAnsiTheme="minorHAnsi" w:cstheme="minorBidi"/>
          <w:noProof/>
          <w:sz w:val="22"/>
          <w:szCs w:val="22"/>
          <w:lang w:eastAsia="zh-CN"/>
        </w:rPr>
      </w:pPr>
      <w:r w:rsidRPr="00D06495">
        <w:rPr>
          <w:rFonts w:asciiTheme="majorBidi" w:hAnsiTheme="majorBidi" w:cstheme="majorBidi"/>
          <w:szCs w:val="24"/>
        </w:rPr>
        <w:fldChar w:fldCharType="begin"/>
      </w:r>
      <w:r w:rsidRPr="00D06495">
        <w:rPr>
          <w:rFonts w:asciiTheme="majorBidi" w:hAnsiTheme="majorBidi" w:cstheme="majorBidi"/>
          <w:szCs w:val="24"/>
        </w:rPr>
        <w:instrText xml:space="preserve"> TOC \h \z \t "Heading 1,1,Heading_b,1,Heading_i,1" </w:instrText>
      </w:r>
      <w:r w:rsidRPr="00D06495">
        <w:rPr>
          <w:rFonts w:asciiTheme="majorBidi" w:hAnsiTheme="majorBidi" w:cstheme="majorBidi"/>
          <w:szCs w:val="24"/>
        </w:rPr>
        <w:fldChar w:fldCharType="separate"/>
      </w:r>
      <w:hyperlink w:anchor="_Toc482785803" w:history="1">
        <w:r w:rsidR="00FF6174" w:rsidRPr="00D06495">
          <w:rPr>
            <w:rStyle w:val="Hyperlink"/>
            <w:noProof/>
          </w:rPr>
          <w:t>RÉSUMÉ DE LA VÉRIFICATION DES COMPTES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_Toc482785803 \h </w:instrText>
        </w:r>
        <w:r w:rsidR="00FF6174" w:rsidRPr="00D06495">
          <w:rPr>
            <w:noProof/>
            <w:webHidden/>
          </w:rPr>
        </w:r>
        <w:r w:rsidR="00FF6174" w:rsidRPr="00D06495">
          <w:rPr>
            <w:noProof/>
            <w:webHidden/>
          </w:rPr>
          <w:fldChar w:fldCharType="separate"/>
        </w:r>
        <w:r w:rsidR="005C783B">
          <w:rPr>
            <w:noProof/>
            <w:webHidden/>
          </w:rPr>
          <w:t>5</w:t>
        </w:r>
        <w:r w:rsidR="00FF6174" w:rsidRPr="00D06495">
          <w:rPr>
            <w:noProof/>
            <w:webHidden/>
          </w:rPr>
          <w:fldChar w:fldCharType="end"/>
        </w:r>
      </w:hyperlink>
    </w:p>
    <w:p w:rsidR="00FF6174" w:rsidRPr="00D06495" w:rsidRDefault="00421C82" w:rsidP="000B3DE6">
      <w:pPr>
        <w:pStyle w:val="TOC1"/>
        <w:ind w:left="0" w:firstLine="0"/>
        <w:rPr>
          <w:rFonts w:asciiTheme="minorHAnsi" w:eastAsiaTheme="minorEastAsia" w:hAnsiTheme="minorHAnsi" w:cstheme="minorBidi"/>
          <w:noProof/>
          <w:sz w:val="22"/>
          <w:szCs w:val="22"/>
          <w:lang w:eastAsia="zh-CN"/>
        </w:rPr>
      </w:pPr>
      <w:hyperlink w:anchor="_Toc482785804" w:history="1">
        <w:r w:rsidR="00FF6174" w:rsidRPr="00D06495">
          <w:rPr>
            <w:rStyle w:val="Hyperlink"/>
            <w:noProof/>
          </w:rPr>
          <w:t>Cadre juridique et objet de la vérification</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_Toc482785804 \h </w:instrText>
        </w:r>
        <w:r w:rsidR="00FF6174" w:rsidRPr="00D06495">
          <w:rPr>
            <w:noProof/>
            <w:webHidden/>
          </w:rPr>
        </w:r>
        <w:r w:rsidR="00FF6174" w:rsidRPr="00D06495">
          <w:rPr>
            <w:noProof/>
            <w:webHidden/>
          </w:rPr>
          <w:fldChar w:fldCharType="separate"/>
        </w:r>
        <w:r w:rsidR="005C783B">
          <w:rPr>
            <w:noProof/>
            <w:webHidden/>
          </w:rPr>
          <w:t>5</w:t>
        </w:r>
        <w:r w:rsidR="00FF6174" w:rsidRPr="00D06495">
          <w:rPr>
            <w:noProof/>
            <w:webHidden/>
          </w:rPr>
          <w:fldChar w:fldCharType="end"/>
        </w:r>
      </w:hyperlink>
    </w:p>
    <w:p w:rsidR="00FF6174" w:rsidRPr="00D06495" w:rsidRDefault="00421C82" w:rsidP="000B3DE6">
      <w:pPr>
        <w:pStyle w:val="TOC1"/>
        <w:ind w:left="0" w:firstLine="0"/>
        <w:rPr>
          <w:rFonts w:asciiTheme="minorHAnsi" w:eastAsiaTheme="minorEastAsia" w:hAnsiTheme="minorHAnsi" w:cstheme="minorBidi"/>
          <w:noProof/>
          <w:sz w:val="22"/>
          <w:szCs w:val="22"/>
          <w:lang w:eastAsia="zh-CN"/>
        </w:rPr>
      </w:pPr>
      <w:hyperlink w:anchor="_Toc482785805" w:history="1">
        <w:r w:rsidR="00FF6174" w:rsidRPr="00D06495">
          <w:rPr>
            <w:rStyle w:val="Hyperlink"/>
            <w:noProof/>
          </w:rPr>
          <w:t>Remerciements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_Toc482785805 \h </w:instrText>
        </w:r>
        <w:r w:rsidR="00FF6174" w:rsidRPr="00D06495">
          <w:rPr>
            <w:noProof/>
            <w:webHidden/>
          </w:rPr>
        </w:r>
        <w:r w:rsidR="00FF6174" w:rsidRPr="00D06495">
          <w:rPr>
            <w:noProof/>
            <w:webHidden/>
          </w:rPr>
          <w:fldChar w:fldCharType="separate"/>
        </w:r>
        <w:r w:rsidR="005C783B">
          <w:rPr>
            <w:noProof/>
            <w:webHidden/>
          </w:rPr>
          <w:t>6</w:t>
        </w:r>
        <w:r w:rsidR="00FF6174" w:rsidRPr="00D06495">
          <w:rPr>
            <w:noProof/>
            <w:webHidden/>
          </w:rPr>
          <w:fldChar w:fldCharType="end"/>
        </w:r>
      </w:hyperlink>
    </w:p>
    <w:p w:rsidR="00FF6174" w:rsidRPr="00D06495" w:rsidRDefault="00421C82" w:rsidP="000B3DE6">
      <w:pPr>
        <w:pStyle w:val="TOC1"/>
        <w:ind w:left="0" w:firstLine="0"/>
        <w:rPr>
          <w:rFonts w:asciiTheme="minorHAnsi" w:eastAsiaTheme="minorEastAsia" w:hAnsiTheme="minorHAnsi" w:cstheme="minorBidi"/>
          <w:noProof/>
          <w:sz w:val="22"/>
          <w:szCs w:val="22"/>
          <w:lang w:eastAsia="zh-CN"/>
        </w:rPr>
      </w:pPr>
      <w:hyperlink w:anchor="_Toc482785806" w:history="1">
        <w:r w:rsidR="00FF6174" w:rsidRPr="00D06495">
          <w:rPr>
            <w:rStyle w:val="Hyperlink"/>
            <w:noProof/>
          </w:rPr>
          <w:t>CADRE GÉNÉRAL ET CHIFFRES CLÉS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_Toc482785806 \h </w:instrText>
        </w:r>
        <w:r w:rsidR="00FF6174" w:rsidRPr="00D06495">
          <w:rPr>
            <w:noProof/>
            <w:webHidden/>
          </w:rPr>
        </w:r>
        <w:r w:rsidR="00FF6174" w:rsidRPr="00D06495">
          <w:rPr>
            <w:noProof/>
            <w:webHidden/>
          </w:rPr>
          <w:fldChar w:fldCharType="separate"/>
        </w:r>
        <w:r w:rsidR="005C783B">
          <w:rPr>
            <w:noProof/>
            <w:webHidden/>
          </w:rPr>
          <w:t>7</w:t>
        </w:r>
        <w:r w:rsidR="00FF6174" w:rsidRPr="00D06495">
          <w:rPr>
            <w:noProof/>
            <w:webHidden/>
          </w:rPr>
          <w:fldChar w:fldCharType="end"/>
        </w:r>
      </w:hyperlink>
    </w:p>
    <w:p w:rsidR="00FF6174" w:rsidRPr="00D06495" w:rsidRDefault="00421C82" w:rsidP="000B3DE6">
      <w:pPr>
        <w:pStyle w:val="TOC1"/>
        <w:ind w:left="0" w:firstLine="0"/>
        <w:rPr>
          <w:rFonts w:asciiTheme="minorHAnsi" w:eastAsiaTheme="minorEastAsia" w:hAnsiTheme="minorHAnsi" w:cstheme="minorBidi"/>
          <w:noProof/>
          <w:sz w:val="22"/>
          <w:szCs w:val="22"/>
          <w:lang w:eastAsia="zh-CN"/>
        </w:rPr>
      </w:pPr>
      <w:hyperlink w:anchor="_Toc482785807" w:history="1">
        <w:r w:rsidR="00FF6174" w:rsidRPr="00D06495">
          <w:rPr>
            <w:rStyle w:val="Hyperlink"/>
            <w:noProof/>
          </w:rPr>
          <w:t>Fonds de roulement des Expositions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_Toc482785807 \h </w:instrText>
        </w:r>
        <w:r w:rsidR="00FF6174" w:rsidRPr="00D06495">
          <w:rPr>
            <w:noProof/>
            <w:webHidden/>
          </w:rPr>
        </w:r>
        <w:r w:rsidR="00FF6174" w:rsidRPr="00D06495">
          <w:rPr>
            <w:noProof/>
            <w:webHidden/>
          </w:rPr>
          <w:fldChar w:fldCharType="separate"/>
        </w:r>
        <w:r w:rsidR="005C783B">
          <w:rPr>
            <w:noProof/>
            <w:webHidden/>
          </w:rPr>
          <w:t>7</w:t>
        </w:r>
        <w:r w:rsidR="00FF6174" w:rsidRPr="00D06495">
          <w:rPr>
            <w:noProof/>
            <w:webHidden/>
          </w:rPr>
          <w:fldChar w:fldCharType="end"/>
        </w:r>
      </w:hyperlink>
    </w:p>
    <w:p w:rsidR="00FF6174" w:rsidRPr="00D06495" w:rsidRDefault="00421C82" w:rsidP="000B3DE6">
      <w:pPr>
        <w:pStyle w:val="TOC1"/>
        <w:ind w:left="0" w:firstLine="0"/>
        <w:rPr>
          <w:rFonts w:asciiTheme="minorHAnsi" w:eastAsiaTheme="minorEastAsia" w:hAnsiTheme="minorHAnsi" w:cstheme="minorBidi"/>
          <w:noProof/>
          <w:sz w:val="22"/>
          <w:szCs w:val="22"/>
          <w:lang w:eastAsia="zh-CN"/>
        </w:rPr>
      </w:pPr>
      <w:hyperlink w:anchor="_Toc482785808" w:history="1">
        <w:r w:rsidR="00FF6174" w:rsidRPr="00D06495">
          <w:rPr>
            <w:rStyle w:val="Hyperlink"/>
            <w:noProof/>
          </w:rPr>
          <w:t>Calendrier des activités à entreprendre</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_Toc482785808 \h </w:instrText>
        </w:r>
        <w:r w:rsidR="00FF6174" w:rsidRPr="00D06495">
          <w:rPr>
            <w:noProof/>
            <w:webHidden/>
          </w:rPr>
        </w:r>
        <w:r w:rsidR="00FF6174" w:rsidRPr="00D06495">
          <w:rPr>
            <w:noProof/>
            <w:webHidden/>
          </w:rPr>
          <w:fldChar w:fldCharType="separate"/>
        </w:r>
        <w:r w:rsidR="005C783B">
          <w:rPr>
            <w:noProof/>
            <w:webHidden/>
          </w:rPr>
          <w:t>8</w:t>
        </w:r>
        <w:r w:rsidR="00FF6174" w:rsidRPr="00D06495">
          <w:rPr>
            <w:noProof/>
            <w:webHidden/>
          </w:rPr>
          <w:fldChar w:fldCharType="end"/>
        </w:r>
      </w:hyperlink>
    </w:p>
    <w:p w:rsidR="00FF6174" w:rsidRPr="00D06495" w:rsidRDefault="00421C82" w:rsidP="000B3DE6">
      <w:pPr>
        <w:pStyle w:val="TOC1"/>
        <w:ind w:left="0" w:firstLine="0"/>
        <w:rPr>
          <w:rFonts w:asciiTheme="minorHAnsi" w:eastAsiaTheme="minorEastAsia" w:hAnsiTheme="minorHAnsi" w:cstheme="minorBidi"/>
          <w:noProof/>
          <w:sz w:val="22"/>
          <w:szCs w:val="22"/>
          <w:lang w:eastAsia="zh-CN"/>
        </w:rPr>
      </w:pPr>
      <w:hyperlink w:anchor="_Toc482785809" w:history="1">
        <w:r w:rsidR="00FF6174" w:rsidRPr="00D06495">
          <w:rPr>
            <w:rStyle w:val="Hyperlink"/>
            <w:noProof/>
          </w:rPr>
          <w:t xml:space="preserve">Rapport sur la manifestation établissant un lien entre les objectifs généraux énoncés </w:t>
        </w:r>
        <w:r w:rsidR="007C315D">
          <w:rPr>
            <w:rStyle w:val="Hyperlink"/>
            <w:noProof/>
          </w:rPr>
          <w:br/>
        </w:r>
        <w:r w:rsidR="00FF6174" w:rsidRPr="00D06495">
          <w:rPr>
            <w:rStyle w:val="Hyperlink"/>
            <w:noProof/>
          </w:rPr>
          <w:t xml:space="preserve">dans la Résolution 11 (Rév. Busan, 2014) et les indicateurs fondamentaux </w:t>
        </w:r>
        <w:r w:rsidR="007C315D">
          <w:rPr>
            <w:rStyle w:val="Hyperlink"/>
            <w:noProof/>
          </w:rPr>
          <w:br/>
        </w:r>
        <w:r w:rsidR="00FF6174" w:rsidRPr="00D06495">
          <w:rPr>
            <w:rStyle w:val="Hyperlink"/>
            <w:noProof/>
          </w:rPr>
          <w:t>de performance ainsi que les résultats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_Toc482785809 \h </w:instrText>
        </w:r>
        <w:r w:rsidR="00FF6174" w:rsidRPr="00D06495">
          <w:rPr>
            <w:noProof/>
            <w:webHidden/>
          </w:rPr>
        </w:r>
        <w:r w:rsidR="00FF6174" w:rsidRPr="00D06495">
          <w:rPr>
            <w:noProof/>
            <w:webHidden/>
          </w:rPr>
          <w:fldChar w:fldCharType="separate"/>
        </w:r>
        <w:r w:rsidR="005C783B">
          <w:rPr>
            <w:noProof/>
            <w:webHidden/>
          </w:rPr>
          <w:t>9</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0" w:history="1">
        <w:r w:rsidR="00FF6174" w:rsidRPr="00D06495">
          <w:rPr>
            <w:rStyle w:val="Hyperlink"/>
            <w:noProof/>
          </w:rPr>
          <w:t>Procédure d'appel d'offres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_Toc482785810 \h </w:instrText>
        </w:r>
        <w:r w:rsidR="00FF6174" w:rsidRPr="00D06495">
          <w:rPr>
            <w:noProof/>
            <w:webHidden/>
          </w:rPr>
        </w:r>
        <w:r w:rsidR="00FF6174" w:rsidRPr="00D06495">
          <w:rPr>
            <w:noProof/>
            <w:webHidden/>
          </w:rPr>
          <w:fldChar w:fldCharType="separate"/>
        </w:r>
        <w:r w:rsidR="005C783B">
          <w:rPr>
            <w:noProof/>
            <w:webHidden/>
          </w:rPr>
          <w:t>9</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1" w:history="1">
        <w:r w:rsidR="00FF6174" w:rsidRPr="00D06495">
          <w:rPr>
            <w:rStyle w:val="Hyperlink"/>
            <w:noProof/>
          </w:rPr>
          <w:t>Comparaison entre le budget et les résultats réels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_Toc482785811 \h </w:instrText>
        </w:r>
        <w:r w:rsidR="00FF6174" w:rsidRPr="00D06495">
          <w:rPr>
            <w:noProof/>
            <w:webHidden/>
          </w:rPr>
        </w:r>
        <w:r w:rsidR="00FF6174" w:rsidRPr="00D06495">
          <w:rPr>
            <w:noProof/>
            <w:webHidden/>
          </w:rPr>
          <w:fldChar w:fldCharType="separate"/>
        </w:r>
        <w:r w:rsidR="005C783B">
          <w:rPr>
            <w:noProof/>
            <w:webHidden/>
          </w:rPr>
          <w:t>9</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2" w:history="1">
        <w:r w:rsidR="00FF6174" w:rsidRPr="00D06495">
          <w:rPr>
            <w:rStyle w:val="Hyperlink"/>
            <w:noProof/>
          </w:rPr>
          <w:t>PRODUITS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_Toc482785812 \h </w:instrText>
        </w:r>
        <w:r w:rsidR="00FF6174" w:rsidRPr="00D06495">
          <w:rPr>
            <w:noProof/>
            <w:webHidden/>
          </w:rPr>
        </w:r>
        <w:r w:rsidR="00FF6174" w:rsidRPr="00D06495">
          <w:rPr>
            <w:noProof/>
            <w:webHidden/>
          </w:rPr>
          <w:fldChar w:fldCharType="separate"/>
        </w:r>
        <w:r w:rsidR="005C783B">
          <w:rPr>
            <w:noProof/>
            <w:webHidden/>
          </w:rPr>
          <w:t>9</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3" w:history="1">
        <w:r w:rsidR="00FF6174" w:rsidRPr="00D06495">
          <w:rPr>
            <w:rStyle w:val="Hyperlink"/>
            <w:noProof/>
          </w:rPr>
          <w:t>Cadre général</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_Toc482785813 \h </w:instrText>
        </w:r>
        <w:r w:rsidR="00FF6174" w:rsidRPr="00D06495">
          <w:rPr>
            <w:noProof/>
            <w:webHidden/>
          </w:rPr>
        </w:r>
        <w:r w:rsidR="00FF6174" w:rsidRPr="00D06495">
          <w:rPr>
            <w:noProof/>
            <w:webHidden/>
          </w:rPr>
          <w:fldChar w:fldCharType="separate"/>
        </w:r>
        <w:r w:rsidR="005C783B">
          <w:rPr>
            <w:noProof/>
            <w:webHidden/>
          </w:rPr>
          <w:t>9</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4" w:history="1">
        <w:r w:rsidR="00FF6174" w:rsidRPr="00D06495">
          <w:rPr>
            <w:rStyle w:val="Hyperlink"/>
            <w:noProof/>
          </w:rPr>
          <w:t>Sponsors</w:t>
        </w:r>
        <w:r w:rsidR="00FF6174" w:rsidRPr="00D06495">
          <w:rPr>
            <w:noProof/>
            <w:webHidden/>
          </w:rPr>
          <w:tab/>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_Toc482785814 \h </w:instrText>
        </w:r>
        <w:r w:rsidR="00FF6174" w:rsidRPr="00D06495">
          <w:rPr>
            <w:noProof/>
            <w:webHidden/>
          </w:rPr>
        </w:r>
        <w:r w:rsidR="00FF6174" w:rsidRPr="00D06495">
          <w:rPr>
            <w:noProof/>
            <w:webHidden/>
          </w:rPr>
          <w:fldChar w:fldCharType="separate"/>
        </w:r>
        <w:r w:rsidR="005C783B">
          <w:rPr>
            <w:noProof/>
            <w:webHidden/>
          </w:rPr>
          <w:t>10</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5" w:history="1">
        <w:r w:rsidR="00FF6174" w:rsidRPr="00D06495">
          <w:rPr>
            <w:rStyle w:val="Hyperlink"/>
            <w:noProof/>
          </w:rPr>
          <w:t>Salles de réunion</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_Toc482785815 \h </w:instrText>
        </w:r>
        <w:r w:rsidR="00FF6174" w:rsidRPr="00D06495">
          <w:rPr>
            <w:noProof/>
            <w:webHidden/>
          </w:rPr>
        </w:r>
        <w:r w:rsidR="00FF6174" w:rsidRPr="00D06495">
          <w:rPr>
            <w:noProof/>
            <w:webHidden/>
          </w:rPr>
          <w:fldChar w:fldCharType="separate"/>
        </w:r>
        <w:r w:rsidR="005C783B">
          <w:rPr>
            <w:noProof/>
            <w:webHidden/>
          </w:rPr>
          <w:t>11</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6" w:history="1">
        <w:r w:rsidR="00FF6174" w:rsidRPr="00D06495">
          <w:rPr>
            <w:rStyle w:val="Hyperlink"/>
            <w:noProof/>
          </w:rPr>
          <w:t>Espace brut</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_Toc482785816 \h </w:instrText>
        </w:r>
        <w:r w:rsidR="00FF6174" w:rsidRPr="00D06495">
          <w:rPr>
            <w:noProof/>
            <w:webHidden/>
          </w:rPr>
        </w:r>
        <w:r w:rsidR="00FF6174" w:rsidRPr="00D06495">
          <w:rPr>
            <w:noProof/>
            <w:webHidden/>
          </w:rPr>
          <w:fldChar w:fldCharType="separate"/>
        </w:r>
        <w:r w:rsidR="005C783B">
          <w:rPr>
            <w:noProof/>
            <w:webHidden/>
          </w:rPr>
          <w:t>12</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7" w:history="1">
        <w:r w:rsidR="00FF6174" w:rsidRPr="00D06495">
          <w:rPr>
            <w:rStyle w:val="Hyperlink"/>
            <w:noProof/>
          </w:rPr>
          <w:t>Solutions clés en main</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_Toc482785817 \h </w:instrText>
        </w:r>
        <w:r w:rsidR="00FF6174" w:rsidRPr="00D06495">
          <w:rPr>
            <w:noProof/>
            <w:webHidden/>
          </w:rPr>
        </w:r>
        <w:r w:rsidR="00FF6174" w:rsidRPr="00D06495">
          <w:rPr>
            <w:noProof/>
            <w:webHidden/>
          </w:rPr>
          <w:fldChar w:fldCharType="separate"/>
        </w:r>
        <w:r w:rsidR="005C783B">
          <w:rPr>
            <w:noProof/>
            <w:webHidden/>
          </w:rPr>
          <w:t>12</w:t>
        </w:r>
        <w:r w:rsidR="00FF6174" w:rsidRPr="00D06495">
          <w:rPr>
            <w:noProof/>
            <w:webHidden/>
          </w:rPr>
          <w:fldChar w:fldCharType="end"/>
        </w:r>
      </w:hyperlink>
    </w:p>
    <w:p w:rsidR="00FF6174" w:rsidRPr="00D06495" w:rsidRDefault="00421C82" w:rsidP="00F20124">
      <w:pPr>
        <w:pStyle w:val="TOC1"/>
        <w:rPr>
          <w:rFonts w:asciiTheme="minorHAnsi" w:eastAsiaTheme="minorEastAsia" w:hAnsiTheme="minorHAnsi" w:cstheme="minorBidi"/>
          <w:noProof/>
          <w:sz w:val="22"/>
          <w:szCs w:val="22"/>
          <w:lang w:eastAsia="zh-CN"/>
        </w:rPr>
      </w:pPr>
      <w:hyperlink w:anchor="_Toc482785818" w:history="1">
        <w:r w:rsidR="00FF6174" w:rsidRPr="00D06495">
          <w:rPr>
            <w:rStyle w:val="Hyperlink"/>
            <w:noProof/>
          </w:rPr>
          <w:t>Forum</w:t>
        </w:r>
        <w:r w:rsidR="00F20124">
          <w:rPr>
            <w:rStyle w:val="Hyperlink"/>
            <w:noProof/>
          </w:rPr>
          <w:tab/>
        </w:r>
        <w:r w:rsidR="000B3DE6">
          <w:rPr>
            <w:noProof/>
            <w:webHidden/>
          </w:rPr>
          <w:tab/>
        </w:r>
        <w:r w:rsidR="00F20124">
          <w:rPr>
            <w:noProof/>
            <w:webHidden/>
          </w:rPr>
          <w:tab/>
        </w:r>
        <w:r w:rsidR="00FF6174" w:rsidRPr="00D06495">
          <w:rPr>
            <w:noProof/>
            <w:webHidden/>
          </w:rPr>
          <w:fldChar w:fldCharType="begin"/>
        </w:r>
        <w:r w:rsidR="00FF6174" w:rsidRPr="00D06495">
          <w:rPr>
            <w:noProof/>
            <w:webHidden/>
          </w:rPr>
          <w:instrText xml:space="preserve"> PAGEREF _Toc482785818 \h </w:instrText>
        </w:r>
        <w:r w:rsidR="00FF6174" w:rsidRPr="00D06495">
          <w:rPr>
            <w:noProof/>
            <w:webHidden/>
          </w:rPr>
        </w:r>
        <w:r w:rsidR="00FF6174" w:rsidRPr="00D06495">
          <w:rPr>
            <w:noProof/>
            <w:webHidden/>
          </w:rPr>
          <w:fldChar w:fldCharType="separate"/>
        </w:r>
        <w:r w:rsidR="005C783B">
          <w:rPr>
            <w:noProof/>
            <w:webHidden/>
          </w:rPr>
          <w:t>12</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19" w:history="1">
        <w:r w:rsidR="00FF6174" w:rsidRPr="00D06495">
          <w:rPr>
            <w:rStyle w:val="Hyperlink"/>
            <w:noProof/>
          </w:rPr>
          <w:t>Programme de contacts en réseau</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_Toc482785819 \h </w:instrText>
        </w:r>
        <w:r w:rsidR="00FF6174" w:rsidRPr="00D06495">
          <w:rPr>
            <w:noProof/>
            <w:webHidden/>
          </w:rPr>
        </w:r>
        <w:r w:rsidR="00FF6174" w:rsidRPr="00D06495">
          <w:rPr>
            <w:noProof/>
            <w:webHidden/>
          </w:rPr>
          <w:fldChar w:fldCharType="separate"/>
        </w:r>
        <w:r w:rsidR="005C783B">
          <w:rPr>
            <w:noProof/>
            <w:webHidden/>
          </w:rPr>
          <w:t>13</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20" w:history="1">
        <w:r w:rsidR="00FF6174" w:rsidRPr="00D06495">
          <w:rPr>
            <w:rStyle w:val="Hyperlink"/>
            <w:noProof/>
          </w:rPr>
          <w:t>Activités de célébration</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_Toc482785820 \h </w:instrText>
        </w:r>
        <w:r w:rsidR="00FF6174" w:rsidRPr="00D06495">
          <w:rPr>
            <w:noProof/>
            <w:webHidden/>
          </w:rPr>
        </w:r>
        <w:r w:rsidR="00FF6174" w:rsidRPr="00D06495">
          <w:rPr>
            <w:noProof/>
            <w:webHidden/>
          </w:rPr>
          <w:fldChar w:fldCharType="separate"/>
        </w:r>
        <w:r w:rsidR="005C783B">
          <w:rPr>
            <w:noProof/>
            <w:webHidden/>
          </w:rPr>
          <w:t>13</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21" w:history="1">
        <w:r w:rsidR="00FF6174" w:rsidRPr="00D06495">
          <w:rPr>
            <w:rStyle w:val="Hyperlink"/>
            <w:noProof/>
          </w:rPr>
          <w:t>Parrainage de remise de prix et dîner de gala</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_Toc482785821 \h </w:instrText>
        </w:r>
        <w:r w:rsidR="00FF6174" w:rsidRPr="00D06495">
          <w:rPr>
            <w:noProof/>
            <w:webHidden/>
          </w:rPr>
        </w:r>
        <w:r w:rsidR="00FF6174" w:rsidRPr="00D06495">
          <w:rPr>
            <w:noProof/>
            <w:webHidden/>
          </w:rPr>
          <w:fldChar w:fldCharType="separate"/>
        </w:r>
        <w:r w:rsidR="005C783B">
          <w:rPr>
            <w:noProof/>
            <w:webHidden/>
          </w:rPr>
          <w:t>14</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22" w:history="1">
        <w:r w:rsidR="00FF6174" w:rsidRPr="00D06495">
          <w:rPr>
            <w:rStyle w:val="Hyperlink"/>
            <w:noProof/>
          </w:rPr>
          <w:t>Valeur des transactions échangées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_Toc482785822 \h </w:instrText>
        </w:r>
        <w:r w:rsidR="00FF6174" w:rsidRPr="00D06495">
          <w:rPr>
            <w:noProof/>
            <w:webHidden/>
          </w:rPr>
        </w:r>
        <w:r w:rsidR="00FF6174" w:rsidRPr="00D06495">
          <w:rPr>
            <w:noProof/>
            <w:webHidden/>
          </w:rPr>
          <w:fldChar w:fldCharType="separate"/>
        </w:r>
        <w:r w:rsidR="005C783B">
          <w:rPr>
            <w:noProof/>
            <w:webHidden/>
          </w:rPr>
          <w:t>14</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23" w:history="1">
        <w:r w:rsidR="00FF6174" w:rsidRPr="00D06495">
          <w:rPr>
            <w:rStyle w:val="Hyperlink"/>
            <w:noProof/>
          </w:rPr>
          <w:t>Produits non versés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_Toc482785823 \h </w:instrText>
        </w:r>
        <w:r w:rsidR="00FF6174" w:rsidRPr="00D06495">
          <w:rPr>
            <w:noProof/>
            <w:webHidden/>
          </w:rPr>
        </w:r>
        <w:r w:rsidR="00FF6174" w:rsidRPr="00D06495">
          <w:rPr>
            <w:noProof/>
            <w:webHidden/>
          </w:rPr>
          <w:fldChar w:fldCharType="separate"/>
        </w:r>
        <w:r w:rsidR="005C783B">
          <w:rPr>
            <w:noProof/>
            <w:webHidden/>
          </w:rPr>
          <w:t>15</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24" w:history="1">
        <w:r w:rsidR="00F20124" w:rsidRPr="00D06495">
          <w:rPr>
            <w:rStyle w:val="Hyperlink"/>
            <w:noProof/>
          </w:rPr>
          <w:t>CHARGES</w:t>
        </w:r>
        <w:r w:rsidR="00FF6174" w:rsidRPr="00D06495">
          <w:rPr>
            <w:noProof/>
            <w:webHidden/>
          </w:rPr>
          <w:tab/>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_Toc482785824 \h </w:instrText>
        </w:r>
        <w:r w:rsidR="00FF6174" w:rsidRPr="00D06495">
          <w:rPr>
            <w:noProof/>
            <w:webHidden/>
          </w:rPr>
        </w:r>
        <w:r w:rsidR="00FF6174" w:rsidRPr="00D06495">
          <w:rPr>
            <w:noProof/>
            <w:webHidden/>
          </w:rPr>
          <w:fldChar w:fldCharType="separate"/>
        </w:r>
        <w:r w:rsidR="005C783B">
          <w:rPr>
            <w:noProof/>
            <w:webHidden/>
          </w:rPr>
          <w:t>15</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25" w:history="1">
        <w:r w:rsidR="00FF6174" w:rsidRPr="00D06495">
          <w:rPr>
            <w:rStyle w:val="Hyperlink"/>
            <w:noProof/>
          </w:rPr>
          <w:t>Charges de base</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_Toc482785825 \h </w:instrText>
        </w:r>
        <w:r w:rsidR="00FF6174" w:rsidRPr="00D06495">
          <w:rPr>
            <w:noProof/>
            <w:webHidden/>
          </w:rPr>
        </w:r>
        <w:r w:rsidR="00FF6174" w:rsidRPr="00D06495">
          <w:rPr>
            <w:noProof/>
            <w:webHidden/>
          </w:rPr>
          <w:fldChar w:fldCharType="separate"/>
        </w:r>
        <w:r w:rsidR="005C783B">
          <w:rPr>
            <w:noProof/>
            <w:webHidden/>
          </w:rPr>
          <w:t>15</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28" w:history="1">
        <w:r w:rsidR="00FF6174" w:rsidRPr="00D06495">
          <w:rPr>
            <w:rStyle w:val="Hyperlink"/>
            <w:noProof/>
          </w:rPr>
          <w:t>Charges directes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_Toc482785828 \h </w:instrText>
        </w:r>
        <w:r w:rsidR="00FF6174" w:rsidRPr="00D06495">
          <w:rPr>
            <w:noProof/>
            <w:webHidden/>
          </w:rPr>
        </w:r>
        <w:r w:rsidR="00FF6174" w:rsidRPr="00D06495">
          <w:rPr>
            <w:noProof/>
            <w:webHidden/>
          </w:rPr>
          <w:fldChar w:fldCharType="separate"/>
        </w:r>
        <w:r w:rsidR="005C783B">
          <w:rPr>
            <w:noProof/>
            <w:webHidden/>
          </w:rPr>
          <w:t>16</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29" w:history="1">
        <w:r w:rsidR="00FF6174" w:rsidRPr="00D06495">
          <w:rPr>
            <w:rStyle w:val="Hyperlink"/>
            <w:noProof/>
          </w:rPr>
          <w:t>Services médias pour Telecom</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_Toc482785829 \h </w:instrText>
        </w:r>
        <w:r w:rsidR="00FF6174" w:rsidRPr="00D06495">
          <w:rPr>
            <w:noProof/>
            <w:webHidden/>
          </w:rPr>
        </w:r>
        <w:r w:rsidR="00FF6174" w:rsidRPr="00D06495">
          <w:rPr>
            <w:noProof/>
            <w:webHidden/>
          </w:rPr>
          <w:fldChar w:fldCharType="separate"/>
        </w:r>
        <w:r w:rsidR="005C783B">
          <w:rPr>
            <w:noProof/>
            <w:webHidden/>
          </w:rPr>
          <w:t>17</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30" w:history="1">
        <w:r w:rsidR="00FF6174" w:rsidRPr="00D06495">
          <w:rPr>
            <w:rStyle w:val="Hyperlink"/>
            <w:noProof/>
          </w:rPr>
          <w:t>INDICATEURS IFP ET ENQUÊTE POST-MANIFESTATION</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_Toc482785830 \h </w:instrText>
        </w:r>
        <w:r w:rsidR="00FF6174" w:rsidRPr="00D06495">
          <w:rPr>
            <w:noProof/>
            <w:webHidden/>
          </w:rPr>
        </w:r>
        <w:r w:rsidR="00FF6174" w:rsidRPr="00D06495">
          <w:rPr>
            <w:noProof/>
            <w:webHidden/>
          </w:rPr>
          <w:fldChar w:fldCharType="separate"/>
        </w:r>
        <w:r w:rsidR="005C783B">
          <w:rPr>
            <w:noProof/>
            <w:webHidden/>
          </w:rPr>
          <w:t>17</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31" w:history="1">
        <w:r w:rsidR="00FF6174" w:rsidRPr="00D06495">
          <w:rPr>
            <w:rStyle w:val="Hyperlink"/>
            <w:noProof/>
          </w:rPr>
          <w:t>Question liée à l'âge des participants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_Toc482785831 \h </w:instrText>
        </w:r>
        <w:r w:rsidR="00FF6174" w:rsidRPr="00D06495">
          <w:rPr>
            <w:noProof/>
            <w:webHidden/>
          </w:rPr>
        </w:r>
        <w:r w:rsidR="00FF6174" w:rsidRPr="00D06495">
          <w:rPr>
            <w:noProof/>
            <w:webHidden/>
          </w:rPr>
          <w:fldChar w:fldCharType="separate"/>
        </w:r>
        <w:r w:rsidR="005C783B">
          <w:rPr>
            <w:noProof/>
            <w:webHidden/>
          </w:rPr>
          <w:t>17</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32" w:history="1">
        <w:r w:rsidR="00FF6174" w:rsidRPr="00D06495">
          <w:rPr>
            <w:rStyle w:val="Hyperlink"/>
            <w:noProof/>
          </w:rPr>
          <w:t>Questions de parité femmes/hommes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_Toc482785832 \h </w:instrText>
        </w:r>
        <w:r w:rsidR="00FF6174" w:rsidRPr="00D06495">
          <w:rPr>
            <w:noProof/>
            <w:webHidden/>
          </w:rPr>
        </w:r>
        <w:r w:rsidR="00FF6174" w:rsidRPr="00D06495">
          <w:rPr>
            <w:noProof/>
            <w:webHidden/>
          </w:rPr>
          <w:fldChar w:fldCharType="separate"/>
        </w:r>
        <w:r w:rsidR="005C783B">
          <w:rPr>
            <w:noProof/>
            <w:webHidden/>
          </w:rPr>
          <w:t>18</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33" w:history="1">
        <w:r w:rsidR="00FF6174" w:rsidRPr="00D06495">
          <w:rPr>
            <w:rStyle w:val="Hyperlink"/>
            <w:noProof/>
          </w:rPr>
          <w:t>Manque d</w:t>
        </w:r>
        <w:r w:rsidR="001D0125">
          <w:rPr>
            <w:rStyle w:val="Hyperlink"/>
            <w:noProof/>
          </w:rPr>
          <w:t>'</w:t>
        </w:r>
        <w:r w:rsidR="00FF6174" w:rsidRPr="00D06495">
          <w:rPr>
            <w:rStyle w:val="Hyperlink"/>
            <w:noProof/>
          </w:rPr>
          <w:t>attrait des déjeuners/dîners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_Toc482785833 \h </w:instrText>
        </w:r>
        <w:r w:rsidR="00FF6174" w:rsidRPr="00D06495">
          <w:rPr>
            <w:noProof/>
            <w:webHidden/>
          </w:rPr>
        </w:r>
        <w:r w:rsidR="00FF6174" w:rsidRPr="00D06495">
          <w:rPr>
            <w:noProof/>
            <w:webHidden/>
          </w:rPr>
          <w:fldChar w:fldCharType="separate"/>
        </w:r>
        <w:r w:rsidR="005C783B">
          <w:rPr>
            <w:noProof/>
            <w:webHidden/>
          </w:rPr>
          <w:t>18</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34" w:history="1">
        <w:r w:rsidR="00FF6174" w:rsidRPr="00D06495">
          <w:rPr>
            <w:rStyle w:val="Hyperlink"/>
            <w:noProof/>
          </w:rPr>
          <w:t>Dimension mondiale</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_Toc482785834 \h </w:instrText>
        </w:r>
        <w:r w:rsidR="00FF6174" w:rsidRPr="00D06495">
          <w:rPr>
            <w:noProof/>
            <w:webHidden/>
          </w:rPr>
        </w:r>
        <w:r w:rsidR="00FF6174" w:rsidRPr="00D06495">
          <w:rPr>
            <w:noProof/>
            <w:webHidden/>
          </w:rPr>
          <w:fldChar w:fldCharType="separate"/>
        </w:r>
        <w:r w:rsidR="005C783B">
          <w:rPr>
            <w:noProof/>
            <w:webHidden/>
          </w:rPr>
          <w:t>19</w:t>
        </w:r>
        <w:r w:rsidR="00FF6174" w:rsidRPr="00D06495">
          <w:rPr>
            <w:noProof/>
            <w:webHidden/>
          </w:rPr>
          <w:fldChar w:fldCharType="end"/>
        </w:r>
      </w:hyperlink>
    </w:p>
    <w:p w:rsidR="00FF6174" w:rsidRPr="00D06495" w:rsidRDefault="00421C82">
      <w:pPr>
        <w:pStyle w:val="TOC1"/>
        <w:rPr>
          <w:rFonts w:asciiTheme="minorHAnsi" w:eastAsiaTheme="minorEastAsia" w:hAnsiTheme="minorHAnsi" w:cstheme="minorBidi"/>
          <w:noProof/>
          <w:sz w:val="22"/>
          <w:szCs w:val="22"/>
          <w:lang w:eastAsia="zh-CN"/>
        </w:rPr>
      </w:pPr>
      <w:hyperlink w:anchor="_Toc482785835" w:history="1">
        <w:r w:rsidR="00FF6174" w:rsidRPr="00D06495">
          <w:rPr>
            <w:rStyle w:val="Hyperlink"/>
            <w:noProof/>
          </w:rPr>
          <w:t>SUIVI DE NOS RECOMMANDATIONS ET SUGGESTIONS</w:t>
        </w:r>
        <w:r w:rsidR="00FF6174" w:rsidRPr="00D06495">
          <w:rPr>
            <w:noProof/>
            <w:webHidden/>
          </w:rPr>
          <w:tab/>
        </w:r>
        <w:r w:rsidR="000B3DE6">
          <w:rPr>
            <w:noProof/>
            <w:webHidden/>
          </w:rPr>
          <w:tab/>
        </w:r>
        <w:r w:rsidR="00FF6174" w:rsidRPr="00D06495">
          <w:rPr>
            <w:noProof/>
            <w:webHidden/>
          </w:rPr>
          <w:fldChar w:fldCharType="begin"/>
        </w:r>
        <w:r w:rsidR="00FF6174" w:rsidRPr="00D06495">
          <w:rPr>
            <w:noProof/>
            <w:webHidden/>
          </w:rPr>
          <w:instrText xml:space="preserve"> PAGEREF _Toc482785835 \h </w:instrText>
        </w:r>
        <w:r w:rsidR="00FF6174" w:rsidRPr="00D06495">
          <w:rPr>
            <w:noProof/>
            <w:webHidden/>
          </w:rPr>
        </w:r>
        <w:r w:rsidR="00FF6174" w:rsidRPr="00D06495">
          <w:rPr>
            <w:noProof/>
            <w:webHidden/>
          </w:rPr>
          <w:fldChar w:fldCharType="separate"/>
        </w:r>
        <w:r w:rsidR="005C783B">
          <w:rPr>
            <w:noProof/>
            <w:webHidden/>
          </w:rPr>
          <w:t>19</w:t>
        </w:r>
        <w:r w:rsidR="00FF6174" w:rsidRPr="00D06495">
          <w:rPr>
            <w:noProof/>
            <w:webHidden/>
          </w:rPr>
          <w:fldChar w:fldCharType="end"/>
        </w:r>
      </w:hyperlink>
    </w:p>
    <w:p w:rsidR="00822271" w:rsidRPr="00D06495" w:rsidRDefault="00700CBE" w:rsidP="00EA6891">
      <w:pPr>
        <w:pStyle w:val="TOC1"/>
        <w:rPr>
          <w:rFonts w:asciiTheme="majorBidi" w:hAnsiTheme="majorBidi" w:cstheme="majorBidi"/>
          <w:szCs w:val="24"/>
        </w:rPr>
      </w:pPr>
      <w:r w:rsidRPr="00D06495">
        <w:rPr>
          <w:rFonts w:asciiTheme="majorBidi" w:hAnsiTheme="majorBidi" w:cstheme="majorBidi"/>
          <w:szCs w:val="24"/>
        </w:rPr>
        <w:fldChar w:fldCharType="end"/>
      </w:r>
    </w:p>
    <w:p w:rsidR="00822271" w:rsidRPr="00D06495" w:rsidRDefault="00822271" w:rsidP="001A4146"/>
    <w:p w:rsidR="00822271" w:rsidRPr="00D06495" w:rsidRDefault="00822271" w:rsidP="001A4146"/>
    <w:p w:rsidR="00822271" w:rsidRPr="00D06495" w:rsidRDefault="00822271" w:rsidP="001A4146"/>
    <w:p w:rsidR="00822271" w:rsidRPr="00D06495" w:rsidRDefault="00822271" w:rsidP="001A4146">
      <w:pPr>
        <w:sectPr w:rsidR="00822271" w:rsidRPr="00D06495" w:rsidSect="00367998">
          <w:headerReference w:type="default" r:id="rId11"/>
          <w:footerReference w:type="default" r:id="rId12"/>
          <w:footerReference w:type="first" r:id="rId13"/>
          <w:pgSz w:w="11907" w:h="16840" w:code="9"/>
          <w:pgMar w:top="1418" w:right="1418" w:bottom="1418" w:left="1418" w:header="720" w:footer="720" w:gutter="0"/>
          <w:cols w:space="720"/>
          <w:titlePg/>
          <w:docGrid w:linePitch="360"/>
        </w:sectPr>
      </w:pPr>
    </w:p>
    <w:p w:rsidR="00822271" w:rsidRPr="00D06495" w:rsidRDefault="00822271" w:rsidP="001A4146">
      <w:pPr>
        <w:pStyle w:val="Heading1"/>
      </w:pPr>
      <w:bookmarkStart w:id="20" w:name="_Toc482778590"/>
      <w:bookmarkStart w:id="21" w:name="_Toc482780297"/>
      <w:bookmarkStart w:id="22" w:name="_Toc482780449"/>
      <w:bookmarkStart w:id="23" w:name="_Toc482785803"/>
      <w:r w:rsidRPr="00D06495">
        <w:lastRenderedPageBreak/>
        <w:t>RÉSUMÉ DE LA VÉRIFICATION DES COMPTES</w:t>
      </w:r>
      <w:bookmarkEnd w:id="20"/>
      <w:bookmarkEnd w:id="21"/>
      <w:bookmarkEnd w:id="22"/>
      <w:bookmarkEnd w:id="23"/>
    </w:p>
    <w:p w:rsidR="00822271" w:rsidRPr="00D06495" w:rsidRDefault="00822271" w:rsidP="001A4146">
      <w:bookmarkStart w:id="24" w:name="lt_pId023"/>
      <w:r w:rsidRPr="00D06495">
        <w:t>1</w:t>
      </w:r>
      <w:r w:rsidRPr="00D06495">
        <w:tab/>
        <w:t xml:space="preserve">Aux termes du point 6 du </w:t>
      </w:r>
      <w:r w:rsidRPr="00D06495">
        <w:rPr>
          <w:i/>
          <w:iCs/>
        </w:rPr>
        <w:t>décide</w:t>
      </w:r>
      <w:r w:rsidRPr="00D06495">
        <w:t xml:space="preserve"> de la Résolution 11 (Rév</w:t>
      </w:r>
      <w:r w:rsidR="00C9329D" w:rsidRPr="00D06495">
        <w:t>.</w:t>
      </w:r>
      <w:r w:rsidR="005D3BB9" w:rsidRPr="00D06495">
        <w:t xml:space="preserve"> </w:t>
      </w:r>
      <w:r w:rsidRPr="00D06495">
        <w:t xml:space="preserve">Busan, 2014) de la Conférence de plénipotentiaires, </w:t>
      </w:r>
      <w:r w:rsidR="00B56B10">
        <w:t>"</w:t>
      </w:r>
      <w:r w:rsidRPr="00D06495">
        <w:t>la vérification des comptes des activités d'ITU Te</w:t>
      </w:r>
      <w:r w:rsidR="007C315D">
        <w:t>lecom doit être assurée par le V</w:t>
      </w:r>
      <w:r w:rsidRPr="00D06495">
        <w:t>érificateur extérieur des comptes de l'Union</w:t>
      </w:r>
      <w:r w:rsidR="00B56B10">
        <w:t>"</w:t>
      </w:r>
      <w:r w:rsidR="00C9329D" w:rsidRPr="00D06495">
        <w:t>.</w:t>
      </w:r>
    </w:p>
    <w:p w:rsidR="00822271" w:rsidRPr="00D06495" w:rsidRDefault="00822271" w:rsidP="001A4146">
      <w:r w:rsidRPr="00D06495">
        <w:t>2</w:t>
      </w:r>
      <w:r w:rsidRPr="00D06495">
        <w:tab/>
        <w:t xml:space="preserve">Le présent rapport porte sur le résultat de nos vérifications du compte de pertes et profits de la manifestation ITU Telecom World 2016, organisée à </w:t>
      </w:r>
      <w:r w:rsidR="00EA58D3" w:rsidRPr="00D06495">
        <w:t>Bangkok</w:t>
      </w:r>
      <w:r w:rsidRPr="00D06495">
        <w:t xml:space="preserve"> (14-17 novembre 2016)</w:t>
      </w:r>
      <w:r w:rsidR="00C9329D" w:rsidRPr="00D06495">
        <w:t>.</w:t>
      </w:r>
      <w:r w:rsidR="005D3BB9" w:rsidRPr="00D06495">
        <w:t xml:space="preserve"> </w:t>
      </w:r>
      <w:r w:rsidRPr="00D06495">
        <w:t xml:space="preserve">Cet examen ne doit pas être considéré comme un audit des états financiers </w:t>
      </w:r>
      <w:proofErr w:type="gramStart"/>
      <w:r w:rsidRPr="00D06495">
        <w:t>établis</w:t>
      </w:r>
      <w:proofErr w:type="gramEnd"/>
      <w:r w:rsidRPr="00D06495">
        <w:t xml:space="preserve"> selon les </w:t>
      </w:r>
      <w:r w:rsidRPr="00D06495">
        <w:rPr>
          <w:color w:val="000000"/>
        </w:rPr>
        <w:t>normes comptables pour le secteur public international (</w:t>
      </w:r>
      <w:r w:rsidR="007C277B" w:rsidRPr="00D06495">
        <w:t xml:space="preserve">normes IPSAS), </w:t>
      </w:r>
      <w:r w:rsidRPr="00D06495">
        <w:t>à l'issue duquel nous délivrons une opinion d'audit</w:t>
      </w:r>
      <w:r w:rsidR="00C9329D" w:rsidRPr="00D06495">
        <w:t>.</w:t>
      </w:r>
      <w:r w:rsidR="005D3BB9" w:rsidRPr="00D06495">
        <w:t xml:space="preserve"> </w:t>
      </w:r>
      <w:r w:rsidRPr="00D06495">
        <w:t>Il vise uniquement à informer le Conseil de l'UIT que les opérations relatives à cette manifestation ont été correctement comptabilisées</w:t>
      </w:r>
      <w:r w:rsidR="00C9329D" w:rsidRPr="00D06495">
        <w:t>.</w:t>
      </w:r>
      <w:bookmarkEnd w:id="24"/>
    </w:p>
    <w:p w:rsidR="00822271" w:rsidRPr="00D06495" w:rsidRDefault="00822271" w:rsidP="001A4146">
      <w:bookmarkStart w:id="25" w:name="lt_pId026"/>
      <w:r w:rsidRPr="00D06495">
        <w:t>3</w:t>
      </w:r>
      <w:r w:rsidRPr="00D06495">
        <w:tab/>
        <w:t>La vérification des comptes d'ITU Telecom World 2016 a révélé que les comptes présentés sont exacts et que les écritures liées à cette manifestation ont été correctement imputées</w:t>
      </w:r>
      <w:r w:rsidR="00C9329D" w:rsidRPr="00D06495">
        <w:t>.</w:t>
      </w:r>
      <w:bookmarkEnd w:id="25"/>
    </w:p>
    <w:p w:rsidR="00822271" w:rsidRPr="00D06495" w:rsidRDefault="00822271" w:rsidP="001A4146">
      <w:bookmarkStart w:id="26" w:name="lt_pId027"/>
      <w:r w:rsidRPr="00D06495">
        <w:t>4</w:t>
      </w:r>
      <w:r w:rsidRPr="00D06495">
        <w:tab/>
        <w:t>Cette manifestation a été organisée et gérée</w:t>
      </w:r>
      <w:r w:rsidR="00EA58D3" w:rsidRPr="00D06495">
        <w:t xml:space="preserve"> conformément aux </w:t>
      </w:r>
      <w:r w:rsidRPr="00D06495">
        <w:t>dispositions de la Résolution 11 (Rév</w:t>
      </w:r>
      <w:r w:rsidR="00C9329D" w:rsidRPr="00D06495">
        <w:t>.</w:t>
      </w:r>
      <w:r w:rsidR="005D3BB9" w:rsidRPr="00D06495">
        <w:t xml:space="preserve"> </w:t>
      </w:r>
      <w:r w:rsidRPr="00D06495">
        <w:t xml:space="preserve">Busan, 2014) de la Conférence de plénipotentiaires, qui dispose, conformément au point 4 du </w:t>
      </w:r>
      <w:r w:rsidRPr="00D06495">
        <w:rPr>
          <w:i/>
        </w:rPr>
        <w:t>décide</w:t>
      </w:r>
      <w:r w:rsidRPr="00D06495">
        <w:rPr>
          <w:iCs/>
        </w:rPr>
        <w:t>,</w:t>
      </w:r>
      <w:r w:rsidRPr="00D06495">
        <w:rPr>
          <w:i/>
        </w:rPr>
        <w:t xml:space="preserve"> </w:t>
      </w:r>
      <w:r w:rsidRPr="00D06495">
        <w:rPr>
          <w:iCs/>
        </w:rPr>
        <w:t xml:space="preserve">ce qui </w:t>
      </w:r>
      <w:proofErr w:type="gramStart"/>
      <w:r w:rsidRPr="00D06495">
        <w:rPr>
          <w:iCs/>
        </w:rPr>
        <w:t>suit:</w:t>
      </w:r>
      <w:proofErr w:type="gramEnd"/>
      <w:r w:rsidRPr="00D06495">
        <w:rPr>
          <w:iCs/>
        </w:rPr>
        <w:t xml:space="preserve"> </w:t>
      </w:r>
      <w:r w:rsidR="00B56B10">
        <w:rPr>
          <w:iCs/>
        </w:rPr>
        <w:t>"</w:t>
      </w:r>
      <w:r w:rsidRPr="00D06495">
        <w:rPr>
          <w:i/>
        </w:rPr>
        <w:t>chaque manifestation ITU Telecom devra être financièrement viable et ne pas avoir d'incidence négative sur le budget de l'UIT sur la base du système d'imputation des coûts existant, comme l'a établi le Conseil</w:t>
      </w:r>
      <w:r w:rsidR="00B56B10">
        <w:rPr>
          <w:iCs/>
        </w:rPr>
        <w:t>"</w:t>
      </w:r>
      <w:bookmarkEnd w:id="26"/>
      <w:r w:rsidR="00C9329D" w:rsidRPr="00D06495">
        <w:rPr>
          <w:iCs/>
        </w:rPr>
        <w:t>.</w:t>
      </w:r>
    </w:p>
    <w:p w:rsidR="00822271" w:rsidRPr="00D06495" w:rsidRDefault="00822271" w:rsidP="001A4146">
      <w:bookmarkStart w:id="27" w:name="lt_pId028"/>
      <w:r w:rsidRPr="00D06495">
        <w:t>5</w:t>
      </w:r>
      <w:r w:rsidRPr="00D06495">
        <w:tab/>
        <w:t xml:space="preserve">Au 31 décembre 2016, le résultat de la manifestation ITU Telecom World </w:t>
      </w:r>
      <w:r w:rsidR="00EA58D3" w:rsidRPr="00D06495">
        <w:t xml:space="preserve">2016 </w:t>
      </w:r>
      <w:r w:rsidRPr="00D06495">
        <w:t>était positif et s'élevait à 927 193,72 CHF, comme indiqué au paragraphe 21,</w:t>
      </w:r>
      <w:bookmarkEnd w:id="27"/>
      <w:r w:rsidRPr="00D06495">
        <w:t xml:space="preserve"> soit un montant </w:t>
      </w:r>
      <w:r w:rsidR="007C277B" w:rsidRPr="00D06495">
        <w:t xml:space="preserve">nettement </w:t>
      </w:r>
      <w:r w:rsidRPr="00D06495">
        <w:t xml:space="preserve">supérieur aux </w:t>
      </w:r>
      <w:r w:rsidRPr="00D06495">
        <w:rPr>
          <w:color w:val="000000"/>
        </w:rPr>
        <w:t>prévisions budgétaires de 165 000 CHF</w:t>
      </w:r>
      <w:r w:rsidR="00C9329D" w:rsidRPr="00D06495">
        <w:rPr>
          <w:color w:val="000000"/>
        </w:rPr>
        <w:t>.</w:t>
      </w:r>
    </w:p>
    <w:p w:rsidR="00822271" w:rsidRPr="00D06495" w:rsidRDefault="00822271" w:rsidP="005D3BB9">
      <w:pPr>
        <w:pStyle w:val="Headingb"/>
      </w:pPr>
      <w:bookmarkStart w:id="28" w:name="_Toc482780298"/>
      <w:bookmarkStart w:id="29" w:name="_Toc482780450"/>
      <w:bookmarkStart w:id="30" w:name="_Toc482785804"/>
      <w:r w:rsidRPr="00D06495">
        <w:t>Cadre juridique et objet de la vérification</w:t>
      </w:r>
      <w:bookmarkEnd w:id="28"/>
      <w:bookmarkEnd w:id="29"/>
      <w:bookmarkEnd w:id="30"/>
    </w:p>
    <w:p w:rsidR="00822271" w:rsidRPr="00D06495" w:rsidRDefault="00822271" w:rsidP="001A4146">
      <w:r w:rsidRPr="00D06495">
        <w:t>6</w:t>
      </w:r>
      <w:r w:rsidRPr="00D06495">
        <w:tab/>
        <w:t>L'Article 19 du Règlement financier et</w:t>
      </w:r>
      <w:r w:rsidR="007E76BD" w:rsidRPr="00D06495">
        <w:t xml:space="preserve"> </w:t>
      </w:r>
      <w:r w:rsidR="00EA58D3" w:rsidRPr="00D06495">
        <w:t xml:space="preserve">des </w:t>
      </w:r>
      <w:r w:rsidRPr="00D06495">
        <w:t>Règles financières de l'UIT précise les règles applicables aux Expositions et Forums mondiaux et régionaux des télécommunications et manifestations similaires organisés par l'Union</w:t>
      </w:r>
      <w:r w:rsidR="00C9329D" w:rsidRPr="00D06495">
        <w:t>.</w:t>
      </w:r>
      <w:r w:rsidR="005D3BB9" w:rsidRPr="00D06495">
        <w:t xml:space="preserve"> </w:t>
      </w:r>
      <w:r w:rsidRPr="00D06495">
        <w:t xml:space="preserve">Des caractéristiques particulières sont également mises en évidence </w:t>
      </w:r>
      <w:r w:rsidR="00EA58D3" w:rsidRPr="00D06495">
        <w:t>au paragraphe 4 de</w:t>
      </w:r>
      <w:r w:rsidRPr="00D06495">
        <w:t xml:space="preserve"> la Résolution 11 </w:t>
      </w:r>
      <w:r w:rsidR="00EA58D3" w:rsidRPr="00D06495">
        <w:t xml:space="preserve">[…] </w:t>
      </w:r>
      <w:r w:rsidRPr="00D06495">
        <w:t xml:space="preserve">et dans les Procédures et règles financières de TELECOM, qui sont entrées en vigueur le 13 mars 1998 et </w:t>
      </w:r>
      <w:r w:rsidR="00EA58D3" w:rsidRPr="00D06495">
        <w:t xml:space="preserve">[…] </w:t>
      </w:r>
      <w:r w:rsidRPr="00D06495">
        <w:t>ont été modifiées par la suite</w:t>
      </w:r>
      <w:r w:rsidR="00C9329D" w:rsidRPr="00D06495">
        <w:t>.</w:t>
      </w:r>
    </w:p>
    <w:p w:rsidR="00822271" w:rsidRPr="00D06495" w:rsidRDefault="00822271" w:rsidP="001A4146">
      <w:bookmarkStart w:id="31" w:name="lt_pId032"/>
      <w:r w:rsidRPr="00D06495">
        <w:t>7</w:t>
      </w:r>
      <w:r w:rsidRPr="00D06495">
        <w:tab/>
        <w:t>La Résolution 11 (Rév</w:t>
      </w:r>
      <w:r w:rsidR="00C9329D" w:rsidRPr="00D06495">
        <w:t>.</w:t>
      </w:r>
      <w:r w:rsidR="005D3BB9" w:rsidRPr="00D06495">
        <w:t xml:space="preserve"> </w:t>
      </w:r>
      <w:r w:rsidRPr="00D06495">
        <w:t>Busan, 2014</w:t>
      </w:r>
      <w:r w:rsidR="00EA58D3" w:rsidRPr="00D06495">
        <w:t>)</w:t>
      </w:r>
      <w:r w:rsidR="007E76BD" w:rsidRPr="00D06495">
        <w:t xml:space="preserve"> </w:t>
      </w:r>
      <w:r w:rsidRPr="00D06495">
        <w:t>comprend des instructions à l'</w:t>
      </w:r>
      <w:r w:rsidR="007C277B" w:rsidRPr="00D06495">
        <w:t xml:space="preserve">intention du Secrétaire général, </w:t>
      </w:r>
      <w:r w:rsidRPr="00D06495">
        <w:t>qui ont également été dûment prises en considération dans le cadre de la présente vérification</w:t>
      </w:r>
      <w:bookmarkEnd w:id="31"/>
      <w:r w:rsidR="00700CBE" w:rsidRPr="00D06495">
        <w:t>.</w:t>
      </w:r>
    </w:p>
    <w:p w:rsidR="00822271" w:rsidRPr="00D06495" w:rsidRDefault="00822271" w:rsidP="001A4146">
      <w:bookmarkStart w:id="32" w:name="lt_pId033"/>
      <w:r w:rsidRPr="00D06495">
        <w:t>8</w:t>
      </w:r>
      <w:r w:rsidRPr="00D06495">
        <w:tab/>
        <w:t>Les vérifications qui font l'objet du présent rapport portent sur les comptes d'ITU Telecom World 2016 pour la période allant du 1er janvier 2016 au 31 décembre 201</w:t>
      </w:r>
      <w:bookmarkEnd w:id="32"/>
      <w:r w:rsidRPr="00D06495">
        <w:t>6</w:t>
      </w:r>
      <w:r w:rsidR="00C9329D" w:rsidRPr="00D06495">
        <w:t>.</w:t>
      </w:r>
      <w:r w:rsidR="005D3BB9" w:rsidRPr="00D06495">
        <w:t xml:space="preserve"> </w:t>
      </w:r>
      <w:r w:rsidRPr="00D06495">
        <w:t>Ces comptes présentent les charges et les produits relatifs à cette manifestation et fournissent d'autres informations destinées au Conseil de l'UIT</w:t>
      </w:r>
      <w:r w:rsidR="00C9329D" w:rsidRPr="00D06495">
        <w:t>.</w:t>
      </w:r>
      <w:r w:rsidR="005D3BB9" w:rsidRPr="00D06495">
        <w:t xml:space="preserve"> </w:t>
      </w:r>
      <w:r w:rsidRPr="00D06495">
        <w:t>Ils ne doivent cependant pas être considérés comme des états financiers établis selon les normes IPSAS, même si l'UI</w:t>
      </w:r>
      <w:r w:rsidR="007C315D">
        <w:t>T applique ces normes depuis le </w:t>
      </w:r>
      <w:r w:rsidRPr="00D06495">
        <w:t>1er janvier 2010</w:t>
      </w:r>
      <w:r w:rsidR="00700CBE" w:rsidRPr="00D06495">
        <w:t>.</w:t>
      </w:r>
    </w:p>
    <w:p w:rsidR="00822271" w:rsidRPr="00D06495" w:rsidRDefault="00822271" w:rsidP="001A4146">
      <w:r w:rsidRPr="00D06495">
        <w:t>9</w:t>
      </w:r>
      <w:r w:rsidRPr="00D06495">
        <w:tab/>
      </w:r>
      <w:r w:rsidR="00EA58D3" w:rsidRPr="00D06495">
        <w:rPr>
          <w:color w:val="000000"/>
        </w:rPr>
        <w:t>Suite au passage aux normes IPSAS, les comptes des manife</w:t>
      </w:r>
      <w:r w:rsidR="00E0008C">
        <w:rPr>
          <w:color w:val="000000"/>
        </w:rPr>
        <w:t>stations ITU Telecom World sont </w:t>
      </w:r>
      <w:r w:rsidR="00EA58D3" w:rsidRPr="00D06495">
        <w:rPr>
          <w:color w:val="000000"/>
        </w:rPr>
        <w:t>désormais bouclés au plus tard à la fin de l'exercice comptable durant lequel l'exposition a lieu, afin de respecter le principe du fait générateur</w:t>
      </w:r>
      <w:r w:rsidR="00C9329D" w:rsidRPr="00D06495">
        <w:rPr>
          <w:color w:val="000000"/>
        </w:rPr>
        <w:t>.</w:t>
      </w:r>
      <w:r w:rsidR="005D3BB9" w:rsidRPr="00D06495">
        <w:rPr>
          <w:color w:val="000000"/>
        </w:rPr>
        <w:t xml:space="preserve"> </w:t>
      </w:r>
      <w:r w:rsidR="00EA58D3" w:rsidRPr="00D06495">
        <w:rPr>
          <w:color w:val="000000"/>
        </w:rPr>
        <w:t>C'est pourquoi les comptes d'ITU Telecom World 2016 ont été bouclés au 31 décembre 2016</w:t>
      </w:r>
      <w:r w:rsidR="00C9329D" w:rsidRPr="00D06495">
        <w:rPr>
          <w:color w:val="000000"/>
        </w:rPr>
        <w:t>.</w:t>
      </w:r>
    </w:p>
    <w:p w:rsidR="00830098" w:rsidRPr="00D06495" w:rsidRDefault="00822271" w:rsidP="001A4146">
      <w:r w:rsidRPr="00D06495">
        <w:t>10</w:t>
      </w:r>
      <w:r w:rsidRPr="00D06495">
        <w:tab/>
      </w:r>
      <w:bookmarkStart w:id="33" w:name="lt_pId038"/>
      <w:r w:rsidR="00830098" w:rsidRPr="00D06495">
        <w:t>Le présent rapport de vérification des comptes n'est pas assorti d'une opinion d'audit, car seuls les états financiers consolidés de l'Union font l'objet d'une telle opinion</w:t>
      </w:r>
      <w:r w:rsidR="00C9329D" w:rsidRPr="00D06495">
        <w:t>.</w:t>
      </w:r>
    </w:p>
    <w:p w:rsidR="00822271" w:rsidRPr="00D06495" w:rsidRDefault="00822271" w:rsidP="001A4146">
      <w:r w:rsidRPr="00D06495">
        <w:lastRenderedPageBreak/>
        <w:t>11</w:t>
      </w:r>
      <w:r w:rsidRPr="00D06495">
        <w:tab/>
        <w:t>Nos vérifications ont été effectuées selon les principes fondamentaux énoncés dans les Normes internationales des institutions supérieures de contrôle (ISSAI) publiées par l'Organisation internationale des institutions supérieures de contrôle des finances publiques (INTOSAI), et en conformité avec le mandat additionnel faisant partie intégrante du Règlement financier de l'Union</w:t>
      </w:r>
      <w:r w:rsidR="00C9329D" w:rsidRPr="00D06495">
        <w:t>.</w:t>
      </w:r>
      <w:bookmarkEnd w:id="33"/>
    </w:p>
    <w:p w:rsidR="00822271" w:rsidRPr="00D06495" w:rsidRDefault="00822271" w:rsidP="001A4146">
      <w:bookmarkStart w:id="34" w:name="lt_pId039"/>
      <w:r w:rsidRPr="00D06495">
        <w:t>12</w:t>
      </w:r>
      <w:r w:rsidRPr="00D06495">
        <w:tab/>
        <w:t>Nous avons organisé nos travaux en fonction de notre stratégie de vérification, de manière à obtenir une assurance raisonnable que les états financiers sont exempts d'erreurs graves</w:t>
      </w:r>
      <w:r w:rsidR="00C9329D" w:rsidRPr="00D06495">
        <w:t>.</w:t>
      </w:r>
      <w:bookmarkEnd w:id="34"/>
    </w:p>
    <w:p w:rsidR="00822271" w:rsidRPr="00D06495" w:rsidRDefault="00822271" w:rsidP="00526563">
      <w:bookmarkStart w:id="35" w:name="lt_pId041"/>
      <w:r w:rsidRPr="00D06495">
        <w:rPr>
          <w:color w:val="000000"/>
        </w:rPr>
        <w:t>13</w:t>
      </w:r>
      <w:r w:rsidRPr="00D06495">
        <w:rPr>
          <w:color w:val="000000"/>
        </w:rPr>
        <w:tab/>
      </w:r>
      <w:bookmarkStart w:id="36" w:name="lt_pId042"/>
      <w:bookmarkEnd w:id="35"/>
      <w:r w:rsidR="007C277B" w:rsidRPr="00D06495">
        <w:rPr>
          <w:color w:val="000000"/>
        </w:rPr>
        <w:t>Nous n</w:t>
      </w:r>
      <w:r w:rsidR="001D0125">
        <w:rPr>
          <w:color w:val="000000"/>
        </w:rPr>
        <w:t>'</w:t>
      </w:r>
      <w:r w:rsidR="007C277B" w:rsidRPr="00D06495">
        <w:rPr>
          <w:color w:val="000000"/>
        </w:rPr>
        <w:t>avons pas</w:t>
      </w:r>
      <w:r w:rsidR="00EA58D3" w:rsidRPr="00D06495">
        <w:rPr>
          <w:color w:val="000000"/>
        </w:rPr>
        <w:t xml:space="preserve"> effectué </w:t>
      </w:r>
      <w:r w:rsidR="007C277B" w:rsidRPr="00D06495">
        <w:rPr>
          <w:color w:val="000000"/>
        </w:rPr>
        <w:t>d'</w:t>
      </w:r>
      <w:r w:rsidR="00EA58D3" w:rsidRPr="00D06495">
        <w:rPr>
          <w:color w:val="000000"/>
        </w:rPr>
        <w:t>audit sur place</w:t>
      </w:r>
      <w:r w:rsidR="00313B48" w:rsidRPr="00D06495">
        <w:t>, mais avons recueilli</w:t>
      </w:r>
      <w:r w:rsidR="007E76BD" w:rsidRPr="00D06495">
        <w:t xml:space="preserve"> </w:t>
      </w:r>
      <w:r w:rsidR="00313B48" w:rsidRPr="00D06495">
        <w:t xml:space="preserve">des éléments de preuve à partir de la documentation </w:t>
      </w:r>
      <w:r w:rsidR="007C277B" w:rsidRPr="00D06495">
        <w:t>que nous ont transmis</w:t>
      </w:r>
      <w:r w:rsidR="00313B48" w:rsidRPr="00D06495">
        <w:t xml:space="preserve"> la direction et d</w:t>
      </w:r>
      <w:r w:rsidR="001D0125">
        <w:t>'</w:t>
      </w:r>
      <w:r w:rsidR="00313B48" w:rsidRPr="00D06495">
        <w:t xml:space="preserve">autres sources indépendantes </w:t>
      </w:r>
      <w:r w:rsidR="007C277B" w:rsidRPr="00D06495">
        <w:t>(</w:t>
      </w:r>
      <w:r w:rsidR="00313B48" w:rsidRPr="00D06495">
        <w:rPr>
          <w:color w:val="000000"/>
        </w:rPr>
        <w:t xml:space="preserve">communiqués de presse, </w:t>
      </w:r>
      <w:r w:rsidR="007C277B" w:rsidRPr="00D06495">
        <w:rPr>
          <w:color w:val="000000"/>
        </w:rPr>
        <w:t>images numériques et</w:t>
      </w:r>
      <w:r w:rsidR="00313B48" w:rsidRPr="00D06495">
        <w:rPr>
          <w:color w:val="000000"/>
        </w:rPr>
        <w:t xml:space="preserve"> vidéos</w:t>
      </w:r>
      <w:r w:rsidR="007C277B" w:rsidRPr="00D06495">
        <w:rPr>
          <w:color w:val="000000"/>
        </w:rPr>
        <w:t xml:space="preserve"> par exemple)</w:t>
      </w:r>
      <w:r w:rsidR="00C9329D" w:rsidRPr="00D06495">
        <w:rPr>
          <w:color w:val="000000"/>
        </w:rPr>
        <w:t>.</w:t>
      </w:r>
      <w:r w:rsidR="005D3BB9" w:rsidRPr="00D06495">
        <w:rPr>
          <w:color w:val="000000"/>
        </w:rPr>
        <w:t xml:space="preserve"> </w:t>
      </w:r>
      <w:r w:rsidR="00313B48" w:rsidRPr="00D06495">
        <w:rPr>
          <w:color w:val="000000"/>
        </w:rPr>
        <w:t>Nous connaissions déjà suffisamment bien le lieu, étant donné que nous nous étions rendus précédemment à Bangkok à l</w:t>
      </w:r>
      <w:r w:rsidR="001D0125">
        <w:rPr>
          <w:color w:val="000000"/>
        </w:rPr>
        <w:t>'</w:t>
      </w:r>
      <w:r w:rsidR="00313B48" w:rsidRPr="00D06495">
        <w:rPr>
          <w:color w:val="000000"/>
        </w:rPr>
        <w:t>occasion</w:t>
      </w:r>
      <w:r w:rsidR="007E76BD" w:rsidRPr="00D06495">
        <w:rPr>
          <w:color w:val="000000"/>
        </w:rPr>
        <w:t xml:space="preserve"> </w:t>
      </w:r>
      <w:r w:rsidR="00313B48" w:rsidRPr="00D06495">
        <w:t>d</w:t>
      </w:r>
      <w:r w:rsidR="001D0125">
        <w:t>'</w:t>
      </w:r>
      <w:r w:rsidR="007C277B" w:rsidRPr="00D06495">
        <w:t>ITU Telecom World 2013</w:t>
      </w:r>
      <w:r w:rsidR="00700CBE" w:rsidRPr="00D06495">
        <w:t>.</w:t>
      </w:r>
    </w:p>
    <w:p w:rsidR="00822271" w:rsidRPr="00D06495" w:rsidRDefault="00822271" w:rsidP="001A4146">
      <w:r w:rsidRPr="00D06495">
        <w:rPr>
          <w:color w:val="000000"/>
        </w:rPr>
        <w:t>14</w:t>
      </w:r>
      <w:r w:rsidRPr="00D06495">
        <w:rPr>
          <w:color w:val="000000"/>
        </w:rPr>
        <w:tab/>
        <w:t xml:space="preserve">Afin d'évaluer la conformité aux règles, résolutions, recommandations et bonnes pratiques, nous avons également recueilli des données relatives </w:t>
      </w:r>
      <w:r w:rsidR="007C277B" w:rsidRPr="00D06495">
        <w:rPr>
          <w:color w:val="000000"/>
        </w:rPr>
        <w:t>aux participants</w:t>
      </w:r>
      <w:r w:rsidR="00313B48" w:rsidRPr="00D06495">
        <w:rPr>
          <w:color w:val="000000"/>
        </w:rPr>
        <w:t>, dont il était fait mention dans l</w:t>
      </w:r>
      <w:r w:rsidR="001D0125">
        <w:rPr>
          <w:color w:val="000000"/>
        </w:rPr>
        <w:t>'</w:t>
      </w:r>
      <w:r w:rsidR="00313B48" w:rsidRPr="00D06495">
        <w:rPr>
          <w:color w:val="000000"/>
        </w:rPr>
        <w:t>analyse</w:t>
      </w:r>
      <w:r w:rsidR="007E76BD" w:rsidRPr="00D06495">
        <w:rPr>
          <w:color w:val="000000"/>
        </w:rPr>
        <w:t xml:space="preserve"> </w:t>
      </w:r>
      <w:r w:rsidRPr="00D06495">
        <w:rPr>
          <w:color w:val="000000"/>
        </w:rPr>
        <w:t>présenté</w:t>
      </w:r>
      <w:r w:rsidR="00313B48" w:rsidRPr="00D06495">
        <w:rPr>
          <w:color w:val="000000"/>
        </w:rPr>
        <w:t>e</w:t>
      </w:r>
      <w:r w:rsidRPr="00D06495">
        <w:rPr>
          <w:color w:val="000000"/>
        </w:rPr>
        <w:t xml:space="preserve"> par la direction d'ITU Telecom</w:t>
      </w:r>
      <w:bookmarkEnd w:id="36"/>
      <w:r w:rsidR="00C9329D" w:rsidRPr="00D06495">
        <w:t xml:space="preserve">. </w:t>
      </w:r>
    </w:p>
    <w:p w:rsidR="00822271" w:rsidRPr="00D06495" w:rsidRDefault="00822271" w:rsidP="001A4146">
      <w:bookmarkStart w:id="37" w:name="lt_pId043"/>
      <w:r w:rsidRPr="00D06495">
        <w:rPr>
          <w:color w:val="000000"/>
        </w:rPr>
        <w:t>15</w:t>
      </w:r>
      <w:r w:rsidRPr="00D06495">
        <w:rPr>
          <w:color w:val="000000"/>
        </w:rPr>
        <w:tab/>
        <w:t>Pour procéder à notre évaluation, nous avons non seulement examiné les résultats financiers, mais aussi les indicateurs fondamentaux de performance (IFP) pertinents</w:t>
      </w:r>
      <w:r w:rsidR="00C9329D" w:rsidRPr="00D06495">
        <w:rPr>
          <w:color w:val="000000"/>
        </w:rPr>
        <w:t>.</w:t>
      </w:r>
      <w:bookmarkEnd w:id="37"/>
    </w:p>
    <w:p w:rsidR="00822271" w:rsidRPr="00D06495" w:rsidRDefault="00822271" w:rsidP="001A4146">
      <w:bookmarkStart w:id="38" w:name="lt_pId044"/>
      <w:r w:rsidRPr="00D06495">
        <w:rPr>
          <w:color w:val="000000"/>
        </w:rPr>
        <w:t>16</w:t>
      </w:r>
      <w:r w:rsidRPr="00D06495">
        <w:rPr>
          <w:color w:val="000000"/>
        </w:rPr>
        <w:tab/>
        <w:t>Nous avons contrôlé que le compte de pertes et profits relatif à la manifestation ITU Telecom World 201</w:t>
      </w:r>
      <w:r w:rsidR="00313B48" w:rsidRPr="00D06495">
        <w:rPr>
          <w:color w:val="000000"/>
        </w:rPr>
        <w:t>6</w:t>
      </w:r>
      <w:r w:rsidRPr="00D06495">
        <w:rPr>
          <w:color w:val="000000"/>
        </w:rPr>
        <w:t>, arrêté au 31 décembre 201</w:t>
      </w:r>
      <w:r w:rsidR="00313B48" w:rsidRPr="00D06495">
        <w:rPr>
          <w:color w:val="000000"/>
        </w:rPr>
        <w:t>6</w:t>
      </w:r>
      <w:r w:rsidRPr="00D06495">
        <w:rPr>
          <w:color w:val="000000"/>
        </w:rPr>
        <w:t>, concordait avec les comptes qui nous ont été présentés, en vérifiant par sondage que l'imputation des écritures concernant la manifestation était correcte</w:t>
      </w:r>
      <w:r w:rsidR="00C9329D" w:rsidRPr="00D06495">
        <w:rPr>
          <w:color w:val="000000"/>
        </w:rPr>
        <w:t>.</w:t>
      </w:r>
      <w:r w:rsidR="005D3BB9" w:rsidRPr="00D06495">
        <w:rPr>
          <w:color w:val="000000"/>
        </w:rPr>
        <w:t xml:space="preserve"> </w:t>
      </w:r>
      <w:r w:rsidRPr="00D06495">
        <w:rPr>
          <w:color w:val="000000"/>
        </w:rPr>
        <w:t>Les vérifications ont porté sur la tenue de la comptabilité, les produits et les charges ainsi que les résultats connexes</w:t>
      </w:r>
      <w:r w:rsidR="00C9329D" w:rsidRPr="00D06495">
        <w:rPr>
          <w:color w:val="000000"/>
        </w:rPr>
        <w:t>.</w:t>
      </w:r>
      <w:bookmarkEnd w:id="38"/>
    </w:p>
    <w:p w:rsidR="00822271" w:rsidRPr="00D06495" w:rsidRDefault="00822271" w:rsidP="001A4146">
      <w:bookmarkStart w:id="39" w:name="lt_pId046"/>
      <w:r w:rsidRPr="00D06495">
        <w:rPr>
          <w:color w:val="000000"/>
        </w:rPr>
        <w:t>17</w:t>
      </w:r>
      <w:r w:rsidRPr="00D06495">
        <w:rPr>
          <w:color w:val="000000"/>
        </w:rPr>
        <w:tab/>
        <w:t xml:space="preserve">Au cours de la vérification, nous avons consulté les fonctionnaires responsables pour examiner et résoudre tous les problèmes qui se sont </w:t>
      </w:r>
      <w:proofErr w:type="gramStart"/>
      <w:r w:rsidRPr="00D06495">
        <w:rPr>
          <w:color w:val="000000"/>
        </w:rPr>
        <w:t>posés;</w:t>
      </w:r>
      <w:proofErr w:type="gramEnd"/>
      <w:r w:rsidRPr="00D06495">
        <w:rPr>
          <w:color w:val="000000"/>
        </w:rPr>
        <w:t xml:space="preserve"> nous avons contrôlé par sondage un certain nombre d'opérations et de documents pertinents et</w:t>
      </w:r>
      <w:r w:rsidR="00313B48" w:rsidRPr="00D06495">
        <w:rPr>
          <w:color w:val="000000"/>
        </w:rPr>
        <w:t xml:space="preserve"> […]</w:t>
      </w:r>
      <w:r w:rsidR="007E76BD" w:rsidRPr="00D06495">
        <w:rPr>
          <w:color w:val="000000"/>
        </w:rPr>
        <w:t xml:space="preserve"> </w:t>
      </w:r>
      <w:r w:rsidRPr="00D06495">
        <w:rPr>
          <w:color w:val="000000"/>
        </w:rPr>
        <w:t>avons obtenu des éléments de preuve fiables et suffisants concernant les comptes d'ITU Telecom World 201</w:t>
      </w:r>
      <w:bookmarkEnd w:id="39"/>
      <w:r w:rsidR="00830098" w:rsidRPr="00D06495">
        <w:rPr>
          <w:color w:val="000000"/>
        </w:rPr>
        <w:t>6</w:t>
      </w:r>
      <w:r w:rsidR="00C9329D" w:rsidRPr="00D06495">
        <w:t xml:space="preserve">. </w:t>
      </w:r>
    </w:p>
    <w:p w:rsidR="00822271" w:rsidRPr="00D06495" w:rsidRDefault="00822271" w:rsidP="001A4146">
      <w:bookmarkStart w:id="40" w:name="lt_pId048"/>
      <w:r w:rsidRPr="00D06495">
        <w:t>18</w:t>
      </w:r>
      <w:r w:rsidRPr="00D06495">
        <w:tab/>
        <w:t>Le</w:t>
      </w:r>
      <w:r w:rsidR="00830098" w:rsidRPr="00D06495">
        <w:t xml:space="preserve"> 20 </w:t>
      </w:r>
      <w:r w:rsidRPr="00D06495">
        <w:t>avril 201</w:t>
      </w:r>
      <w:r w:rsidR="00830098" w:rsidRPr="00D06495">
        <w:t>7</w:t>
      </w:r>
      <w:r w:rsidRPr="00D06495">
        <w:t xml:space="preserve">, </w:t>
      </w:r>
      <w:r w:rsidRPr="00D06495">
        <w:rPr>
          <w:color w:val="000000"/>
        </w:rPr>
        <w:t>nous avons présenté notre projet de rapport de vérification des comptes au Département de la gestion des ressources financières et au secrétariat d'ITU Telecom</w:t>
      </w:r>
      <w:r w:rsidR="00C9329D" w:rsidRPr="00D06495">
        <w:rPr>
          <w:color w:val="000000"/>
        </w:rPr>
        <w:t>.</w:t>
      </w:r>
      <w:r w:rsidR="005D3BB9" w:rsidRPr="00D06495">
        <w:rPr>
          <w:color w:val="000000"/>
        </w:rPr>
        <w:t xml:space="preserve"> </w:t>
      </w:r>
      <w:r w:rsidRPr="00D06495">
        <w:rPr>
          <w:color w:val="000000"/>
        </w:rPr>
        <w:t>Dans ce rapport, nous indiquons les domaines devant faire l'objet d'améliorations, et formulons des recommandations et propositions à l'attention du Conseil, conformément à l'Article 19 du Règlement financier et règles financières de l'UIT</w:t>
      </w:r>
      <w:r w:rsidR="00C9329D" w:rsidRPr="00D06495">
        <w:rPr>
          <w:color w:val="000000"/>
        </w:rPr>
        <w:t>.</w:t>
      </w:r>
      <w:bookmarkEnd w:id="40"/>
    </w:p>
    <w:p w:rsidR="00822271" w:rsidRPr="00D06495" w:rsidRDefault="00822271" w:rsidP="001A4146">
      <w:bookmarkStart w:id="41" w:name="lt_pId050"/>
      <w:r w:rsidRPr="00D06495">
        <w:t>19</w:t>
      </w:r>
      <w:r w:rsidRPr="00D06495">
        <w:tab/>
        <w:t xml:space="preserve">Nous avons été informés du fait </w:t>
      </w:r>
      <w:proofErr w:type="gramStart"/>
      <w:r w:rsidRPr="00D06495">
        <w:t>qu'aucun recours</w:t>
      </w:r>
      <w:proofErr w:type="gramEnd"/>
      <w:r w:rsidRPr="00D06495">
        <w:t xml:space="preserve"> ou procès n'a été formellement intenté contre l'Union dans le cadre d'ITU Telecom World 201</w:t>
      </w:r>
      <w:r w:rsidR="00830098" w:rsidRPr="00D06495">
        <w:t>6</w:t>
      </w:r>
      <w:r w:rsidRPr="00D06495">
        <w:t>, et aucun cas de fraude ou de présomption de fraude ne nous a été signalé</w:t>
      </w:r>
      <w:bookmarkEnd w:id="41"/>
      <w:r w:rsidR="00C9329D" w:rsidRPr="00D06495">
        <w:t>.</w:t>
      </w:r>
    </w:p>
    <w:p w:rsidR="00822271" w:rsidRPr="00D06495" w:rsidRDefault="00822271" w:rsidP="005D3BB9">
      <w:pPr>
        <w:pStyle w:val="Headingb"/>
      </w:pPr>
      <w:bookmarkStart w:id="42" w:name="_Toc452113679"/>
      <w:bookmarkStart w:id="43" w:name="_Toc419372736"/>
      <w:bookmarkStart w:id="44" w:name="_Toc482780299"/>
      <w:bookmarkStart w:id="45" w:name="_Toc482780451"/>
      <w:bookmarkStart w:id="46" w:name="_Toc482785805"/>
      <w:bookmarkStart w:id="47" w:name="lt_pId053"/>
      <w:r w:rsidRPr="00D06495">
        <w:t>Remerciements</w:t>
      </w:r>
      <w:bookmarkEnd w:id="42"/>
      <w:bookmarkEnd w:id="43"/>
      <w:bookmarkEnd w:id="44"/>
      <w:bookmarkEnd w:id="45"/>
      <w:bookmarkEnd w:id="46"/>
    </w:p>
    <w:p w:rsidR="00822271" w:rsidRPr="00D06495" w:rsidRDefault="00822271" w:rsidP="001A4146">
      <w:r w:rsidRPr="00D06495">
        <w:t>20</w:t>
      </w:r>
      <w:r w:rsidRPr="00D06495">
        <w:tab/>
        <w:t xml:space="preserve">Nous tenons à exprimer notre gratitude à tous les fonctionnaires de l'UIT que nous avons sollicités pour obtenir des renseignements et des documents et qui ont collaboré </w:t>
      </w:r>
      <w:r w:rsidR="00830098" w:rsidRPr="00D06495">
        <w:t>avec nous en toute transparence</w:t>
      </w:r>
      <w:r w:rsidR="00C9329D" w:rsidRPr="00D06495">
        <w:t>.</w:t>
      </w:r>
      <w:bookmarkEnd w:id="47"/>
    </w:p>
    <w:p w:rsidR="007C315D" w:rsidRDefault="007C315D" w:rsidP="001A4146">
      <w:pPr>
        <w:pStyle w:val="Heading1"/>
        <w:rPr>
          <w:szCs w:val="24"/>
        </w:rPr>
      </w:pPr>
      <w:bookmarkStart w:id="48" w:name="_Toc452113681"/>
      <w:bookmarkStart w:id="49" w:name="_Toc482778591"/>
      <w:bookmarkStart w:id="50" w:name="_Toc482780300"/>
      <w:bookmarkStart w:id="51" w:name="_Toc482780452"/>
      <w:bookmarkStart w:id="52" w:name="_Toc482785806"/>
      <w:r>
        <w:rPr>
          <w:szCs w:val="24"/>
        </w:rPr>
        <w:br w:type="page"/>
      </w:r>
    </w:p>
    <w:p w:rsidR="00896DD4" w:rsidRPr="00D06495" w:rsidRDefault="0041091F" w:rsidP="001A4146">
      <w:pPr>
        <w:pStyle w:val="Heading1"/>
      </w:pPr>
      <w:r w:rsidRPr="00D06495">
        <w:rPr>
          <w:szCs w:val="24"/>
        </w:rPr>
        <w:lastRenderedPageBreak/>
        <w:t>CADRE GÉNÉRAL ET CHIFFRES CLÉS</w:t>
      </w:r>
      <w:bookmarkEnd w:id="48"/>
      <w:bookmarkEnd w:id="49"/>
      <w:bookmarkEnd w:id="50"/>
      <w:bookmarkEnd w:id="51"/>
      <w:bookmarkEnd w:id="52"/>
    </w:p>
    <w:p w:rsidR="00896DD4" w:rsidRPr="00D06495" w:rsidRDefault="0041091F" w:rsidP="007C315D">
      <w:pPr>
        <w:spacing w:after="240"/>
      </w:pPr>
      <w:r w:rsidRPr="00D06495">
        <w:t>21</w:t>
      </w:r>
      <w:r w:rsidRPr="00D06495">
        <w:tab/>
        <w:t>Le montant total des charges et des produits inscrits au budget est résumé dans le tableau ci-</w:t>
      </w:r>
      <w:proofErr w:type="gramStart"/>
      <w:r w:rsidRPr="00D06495">
        <w:t>après:</w:t>
      </w:r>
      <w:proofErr w:type="gramEnd"/>
    </w:p>
    <w:tbl>
      <w:tblPr>
        <w:tblW w:w="8931" w:type="dxa"/>
        <w:tblInd w:w="-5" w:type="dxa"/>
        <w:tblCellMar>
          <w:left w:w="70" w:type="dxa"/>
          <w:right w:w="70" w:type="dxa"/>
        </w:tblCellMar>
        <w:tblLook w:val="04A0" w:firstRow="1" w:lastRow="0" w:firstColumn="1" w:lastColumn="0" w:noHBand="0" w:noVBand="1"/>
      </w:tblPr>
      <w:tblGrid>
        <w:gridCol w:w="2552"/>
        <w:gridCol w:w="2410"/>
        <w:gridCol w:w="1984"/>
        <w:gridCol w:w="1985"/>
      </w:tblGrid>
      <w:tr w:rsidR="00896DD4" w:rsidRPr="00E0008C" w:rsidTr="00896DD4">
        <w:trPr>
          <w:trHeight w:val="936"/>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6DD4" w:rsidRPr="00E0008C" w:rsidRDefault="0041091F" w:rsidP="001A4146">
            <w:pPr>
              <w:pStyle w:val="Tablehead"/>
              <w:rPr>
                <w:sz w:val="20"/>
                <w:lang w:eastAsia="it-IT"/>
              </w:rPr>
            </w:pPr>
            <w:r w:rsidRPr="00E0008C">
              <w:rPr>
                <w:sz w:val="20"/>
                <w:lang w:eastAsia="it-IT"/>
              </w:rPr>
              <w:t>ITU Telecom World 2016</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96DD4" w:rsidRPr="00E0008C" w:rsidRDefault="00896DD4" w:rsidP="001A4146">
            <w:pPr>
              <w:pStyle w:val="Tablehead"/>
              <w:rPr>
                <w:sz w:val="20"/>
                <w:lang w:eastAsia="it-IT"/>
              </w:rPr>
            </w:pPr>
            <w:r w:rsidRPr="00E0008C">
              <w:rPr>
                <w:sz w:val="20"/>
                <w:lang w:eastAsia="it-IT"/>
              </w:rPr>
              <w:t>Budget (9/5/2016)</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96DD4" w:rsidRPr="00E0008C" w:rsidRDefault="0041091F" w:rsidP="001A4146">
            <w:pPr>
              <w:pStyle w:val="Tablehead"/>
              <w:rPr>
                <w:sz w:val="20"/>
                <w:lang w:eastAsia="it-IT"/>
              </w:rPr>
            </w:pPr>
            <w:r w:rsidRPr="00E0008C">
              <w:rPr>
                <w:sz w:val="20"/>
                <w:lang w:eastAsia="it-IT"/>
              </w:rPr>
              <w:t xml:space="preserve">Montants </w:t>
            </w:r>
            <w:r w:rsidR="00313B48" w:rsidRPr="00E0008C">
              <w:rPr>
                <w:sz w:val="20"/>
                <w:lang w:eastAsia="it-IT"/>
              </w:rPr>
              <w:t>effectifs</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96DD4" w:rsidRPr="00E0008C" w:rsidRDefault="0041091F" w:rsidP="001A4146">
            <w:pPr>
              <w:pStyle w:val="Tablehead"/>
              <w:rPr>
                <w:sz w:val="20"/>
                <w:lang w:eastAsia="it-IT"/>
              </w:rPr>
            </w:pPr>
            <w:r w:rsidRPr="00E0008C">
              <w:rPr>
                <w:sz w:val="20"/>
                <w:lang w:eastAsia="it-IT"/>
              </w:rPr>
              <w:t>Ecart entre les montants effectifs et le budget initial (%)</w:t>
            </w:r>
          </w:p>
        </w:tc>
      </w:tr>
      <w:tr w:rsidR="00896DD4" w:rsidRPr="00E0008C" w:rsidTr="00896DD4">
        <w:trPr>
          <w:trHeight w:val="31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6DD4" w:rsidRPr="00E0008C" w:rsidRDefault="0041091F" w:rsidP="001A4146">
            <w:pPr>
              <w:pStyle w:val="Tabletext"/>
              <w:rPr>
                <w:sz w:val="20"/>
                <w:lang w:eastAsia="it-IT"/>
              </w:rPr>
            </w:pPr>
            <w:r w:rsidRPr="00E0008C">
              <w:rPr>
                <w:sz w:val="20"/>
                <w:lang w:eastAsia="it-IT"/>
              </w:rPr>
              <w:t xml:space="preserve">Produits </w:t>
            </w:r>
          </w:p>
        </w:tc>
        <w:tc>
          <w:tcPr>
            <w:tcW w:w="2410" w:type="dxa"/>
            <w:tcBorders>
              <w:top w:val="nil"/>
              <w:left w:val="nil"/>
              <w:bottom w:val="single" w:sz="4" w:space="0" w:color="auto"/>
              <w:right w:val="single" w:sz="4" w:space="0" w:color="auto"/>
            </w:tcBorders>
            <w:shd w:val="clear" w:color="auto" w:fill="auto"/>
            <w:vAlign w:val="center"/>
            <w:hideMark/>
          </w:tcPr>
          <w:p w:rsidR="00896DD4" w:rsidRPr="00E0008C" w:rsidRDefault="00896DD4" w:rsidP="00B56B10">
            <w:pPr>
              <w:pStyle w:val="Tabletext"/>
              <w:jc w:val="right"/>
              <w:rPr>
                <w:sz w:val="20"/>
                <w:lang w:eastAsia="it-IT"/>
              </w:rPr>
            </w:pPr>
            <w:r w:rsidRPr="00E0008C">
              <w:rPr>
                <w:sz w:val="20"/>
                <w:lang w:eastAsia="it-IT"/>
              </w:rPr>
              <w:t>9</w:t>
            </w:r>
            <w:r w:rsidR="00B56B10" w:rsidRPr="00E0008C">
              <w:rPr>
                <w:sz w:val="20"/>
                <w:lang w:eastAsia="it-IT"/>
              </w:rPr>
              <w:t xml:space="preserve"> 147 </w:t>
            </w:r>
            <w:r w:rsidRPr="00E0008C">
              <w:rPr>
                <w:sz w:val="20"/>
                <w:lang w:eastAsia="it-IT"/>
              </w:rPr>
              <w:t>500</w:t>
            </w:r>
            <w:r w:rsidR="00B56B10" w:rsidRPr="00E0008C">
              <w:rPr>
                <w:sz w:val="20"/>
                <w:lang w:eastAsia="it-IT"/>
              </w:rPr>
              <w:t>,</w:t>
            </w:r>
            <w:r w:rsidRPr="00E0008C">
              <w:rPr>
                <w:sz w:val="20"/>
                <w:lang w:eastAsia="it-IT"/>
              </w:rPr>
              <w:t>00</w:t>
            </w:r>
          </w:p>
        </w:tc>
        <w:tc>
          <w:tcPr>
            <w:tcW w:w="1984" w:type="dxa"/>
            <w:tcBorders>
              <w:top w:val="nil"/>
              <w:left w:val="nil"/>
              <w:bottom w:val="single" w:sz="4" w:space="0" w:color="auto"/>
              <w:right w:val="single" w:sz="4" w:space="0" w:color="auto"/>
            </w:tcBorders>
            <w:shd w:val="clear" w:color="auto" w:fill="auto"/>
            <w:vAlign w:val="center"/>
            <w:hideMark/>
          </w:tcPr>
          <w:p w:rsidR="00896DD4" w:rsidRPr="00E0008C" w:rsidRDefault="00896DD4" w:rsidP="001A4146">
            <w:pPr>
              <w:pStyle w:val="Tabletext"/>
              <w:jc w:val="right"/>
              <w:rPr>
                <w:sz w:val="20"/>
                <w:lang w:eastAsia="it-IT"/>
              </w:rPr>
            </w:pPr>
            <w:r w:rsidRPr="00E0008C">
              <w:rPr>
                <w:sz w:val="20"/>
                <w:lang w:eastAsia="it-IT"/>
              </w:rPr>
              <w:t>8</w:t>
            </w:r>
            <w:r w:rsidR="00B56B10" w:rsidRPr="00E0008C">
              <w:rPr>
                <w:sz w:val="20"/>
                <w:lang w:eastAsia="it-IT"/>
              </w:rPr>
              <w:t xml:space="preserve"> 847 </w:t>
            </w:r>
            <w:r w:rsidRPr="00E0008C">
              <w:rPr>
                <w:sz w:val="20"/>
                <w:lang w:eastAsia="it-IT"/>
              </w:rPr>
              <w:t>389,64</w:t>
            </w:r>
          </w:p>
        </w:tc>
        <w:tc>
          <w:tcPr>
            <w:tcW w:w="1985" w:type="dxa"/>
            <w:tcBorders>
              <w:top w:val="nil"/>
              <w:left w:val="nil"/>
              <w:bottom w:val="single" w:sz="4" w:space="0" w:color="auto"/>
              <w:right w:val="single" w:sz="4" w:space="0" w:color="auto"/>
            </w:tcBorders>
            <w:shd w:val="clear" w:color="auto" w:fill="auto"/>
            <w:hideMark/>
          </w:tcPr>
          <w:p w:rsidR="00896DD4" w:rsidRPr="00E0008C" w:rsidRDefault="0041091F" w:rsidP="005F0586">
            <w:pPr>
              <w:pStyle w:val="Tabletext"/>
              <w:jc w:val="right"/>
              <w:rPr>
                <w:sz w:val="20"/>
              </w:rPr>
            </w:pPr>
            <w:r w:rsidRPr="00E0008C">
              <w:rPr>
                <w:sz w:val="20"/>
              </w:rPr>
              <w:sym w:font="Symbol" w:char="F02D"/>
            </w:r>
            <w:r w:rsidR="00896DD4" w:rsidRPr="00E0008C">
              <w:rPr>
                <w:sz w:val="20"/>
              </w:rPr>
              <w:t>3</w:t>
            </w:r>
            <w:r w:rsidR="005F0586" w:rsidRPr="00E0008C">
              <w:rPr>
                <w:sz w:val="20"/>
              </w:rPr>
              <w:t>,</w:t>
            </w:r>
            <w:r w:rsidR="00896DD4" w:rsidRPr="00E0008C">
              <w:rPr>
                <w:sz w:val="20"/>
              </w:rPr>
              <w:t>28</w:t>
            </w:r>
          </w:p>
        </w:tc>
      </w:tr>
      <w:tr w:rsidR="00896DD4" w:rsidRPr="00E0008C" w:rsidTr="00896DD4">
        <w:trPr>
          <w:trHeight w:val="427"/>
        </w:trPr>
        <w:tc>
          <w:tcPr>
            <w:tcW w:w="2552" w:type="dxa"/>
            <w:tcBorders>
              <w:top w:val="nil"/>
              <w:left w:val="single" w:sz="4" w:space="0" w:color="auto"/>
              <w:bottom w:val="single" w:sz="4" w:space="0" w:color="auto"/>
              <w:right w:val="single" w:sz="4" w:space="0" w:color="auto"/>
            </w:tcBorders>
            <w:shd w:val="clear" w:color="auto" w:fill="DDEBF7"/>
            <w:vAlign w:val="center"/>
            <w:hideMark/>
          </w:tcPr>
          <w:p w:rsidR="00896DD4" w:rsidRPr="00E0008C" w:rsidRDefault="0041091F" w:rsidP="001A4146">
            <w:pPr>
              <w:pStyle w:val="Tabletext"/>
              <w:rPr>
                <w:sz w:val="20"/>
                <w:lang w:eastAsia="it-IT"/>
              </w:rPr>
            </w:pPr>
            <w:r w:rsidRPr="00E0008C">
              <w:rPr>
                <w:sz w:val="20"/>
                <w:lang w:eastAsia="it-IT"/>
              </w:rPr>
              <w:t>Charges</w:t>
            </w:r>
          </w:p>
        </w:tc>
        <w:tc>
          <w:tcPr>
            <w:tcW w:w="2410" w:type="dxa"/>
            <w:tcBorders>
              <w:top w:val="nil"/>
              <w:left w:val="nil"/>
              <w:bottom w:val="single" w:sz="4" w:space="0" w:color="auto"/>
              <w:right w:val="single" w:sz="4" w:space="0" w:color="auto"/>
            </w:tcBorders>
            <w:shd w:val="clear" w:color="auto" w:fill="DDEBF7"/>
            <w:vAlign w:val="center"/>
            <w:hideMark/>
          </w:tcPr>
          <w:p w:rsidR="00896DD4" w:rsidRPr="00E0008C" w:rsidRDefault="00B56B10" w:rsidP="00B56B10">
            <w:pPr>
              <w:pStyle w:val="Tabletext"/>
              <w:jc w:val="right"/>
              <w:rPr>
                <w:sz w:val="20"/>
                <w:lang w:eastAsia="it-IT"/>
              </w:rPr>
            </w:pPr>
            <w:r w:rsidRPr="00E0008C">
              <w:rPr>
                <w:sz w:val="20"/>
                <w:lang w:eastAsia="it-IT"/>
              </w:rPr>
              <w:t xml:space="preserve">8 982 </w:t>
            </w:r>
            <w:r w:rsidR="00896DD4" w:rsidRPr="00E0008C">
              <w:rPr>
                <w:sz w:val="20"/>
                <w:lang w:eastAsia="it-IT"/>
              </w:rPr>
              <w:t>500</w:t>
            </w:r>
            <w:r w:rsidRPr="00E0008C">
              <w:rPr>
                <w:sz w:val="20"/>
                <w:lang w:eastAsia="it-IT"/>
              </w:rPr>
              <w:t>,</w:t>
            </w:r>
            <w:r w:rsidR="00896DD4" w:rsidRPr="00E0008C">
              <w:rPr>
                <w:sz w:val="20"/>
                <w:lang w:eastAsia="it-IT"/>
              </w:rPr>
              <w:t>00</w:t>
            </w:r>
          </w:p>
        </w:tc>
        <w:tc>
          <w:tcPr>
            <w:tcW w:w="1984" w:type="dxa"/>
            <w:tcBorders>
              <w:top w:val="nil"/>
              <w:left w:val="nil"/>
              <w:bottom w:val="single" w:sz="4" w:space="0" w:color="auto"/>
              <w:right w:val="single" w:sz="4" w:space="0" w:color="auto"/>
            </w:tcBorders>
            <w:shd w:val="clear" w:color="auto" w:fill="DDEBF7"/>
            <w:vAlign w:val="center"/>
            <w:hideMark/>
          </w:tcPr>
          <w:p w:rsidR="00896DD4" w:rsidRPr="00E0008C" w:rsidRDefault="00896DD4" w:rsidP="001A4146">
            <w:pPr>
              <w:pStyle w:val="Tabletext"/>
              <w:jc w:val="right"/>
              <w:rPr>
                <w:sz w:val="20"/>
              </w:rPr>
            </w:pPr>
            <w:r w:rsidRPr="00E0008C">
              <w:rPr>
                <w:sz w:val="20"/>
                <w:lang w:eastAsia="it-IT"/>
              </w:rPr>
              <w:t>7</w:t>
            </w:r>
            <w:r w:rsidR="00B56B10" w:rsidRPr="00E0008C">
              <w:rPr>
                <w:sz w:val="20"/>
                <w:lang w:eastAsia="it-IT"/>
              </w:rPr>
              <w:t xml:space="preserve"> 920 </w:t>
            </w:r>
            <w:r w:rsidRPr="00E0008C">
              <w:rPr>
                <w:sz w:val="20"/>
                <w:lang w:eastAsia="it-IT"/>
              </w:rPr>
              <w:t>195</w:t>
            </w:r>
            <w:r w:rsidR="00B56B10" w:rsidRPr="00E0008C">
              <w:rPr>
                <w:sz w:val="20"/>
                <w:lang w:eastAsia="it-IT"/>
              </w:rPr>
              <w:t>,</w:t>
            </w:r>
            <w:r w:rsidRPr="00E0008C">
              <w:rPr>
                <w:sz w:val="20"/>
                <w:lang w:eastAsia="it-IT"/>
              </w:rPr>
              <w:t>92</w:t>
            </w:r>
          </w:p>
        </w:tc>
        <w:tc>
          <w:tcPr>
            <w:tcW w:w="1985" w:type="dxa"/>
            <w:tcBorders>
              <w:top w:val="nil"/>
              <w:left w:val="nil"/>
              <w:bottom w:val="single" w:sz="4" w:space="0" w:color="auto"/>
              <w:right w:val="single" w:sz="4" w:space="0" w:color="auto"/>
            </w:tcBorders>
            <w:shd w:val="clear" w:color="auto" w:fill="auto"/>
            <w:hideMark/>
          </w:tcPr>
          <w:p w:rsidR="00896DD4" w:rsidRPr="00E0008C" w:rsidRDefault="0041091F" w:rsidP="005F0586">
            <w:pPr>
              <w:pStyle w:val="Tabletext"/>
              <w:jc w:val="right"/>
              <w:rPr>
                <w:sz w:val="20"/>
              </w:rPr>
            </w:pPr>
            <w:r w:rsidRPr="00E0008C">
              <w:rPr>
                <w:sz w:val="20"/>
              </w:rPr>
              <w:sym w:font="Symbol" w:char="F02D"/>
            </w:r>
            <w:r w:rsidR="00896DD4" w:rsidRPr="00E0008C">
              <w:rPr>
                <w:sz w:val="20"/>
              </w:rPr>
              <w:t>11</w:t>
            </w:r>
            <w:r w:rsidR="005F0586" w:rsidRPr="00E0008C">
              <w:rPr>
                <w:sz w:val="20"/>
              </w:rPr>
              <w:t>,</w:t>
            </w:r>
            <w:r w:rsidR="00896DD4" w:rsidRPr="00E0008C">
              <w:rPr>
                <w:sz w:val="20"/>
              </w:rPr>
              <w:t>83</w:t>
            </w:r>
          </w:p>
        </w:tc>
      </w:tr>
      <w:tr w:rsidR="00896DD4" w:rsidRPr="00E0008C" w:rsidTr="00896DD4">
        <w:trPr>
          <w:trHeight w:val="419"/>
        </w:trPr>
        <w:tc>
          <w:tcPr>
            <w:tcW w:w="2552" w:type="dxa"/>
            <w:tcBorders>
              <w:top w:val="nil"/>
              <w:left w:val="single" w:sz="4" w:space="0" w:color="auto"/>
              <w:bottom w:val="single" w:sz="4" w:space="0" w:color="auto"/>
              <w:right w:val="single" w:sz="4" w:space="0" w:color="auto"/>
            </w:tcBorders>
            <w:shd w:val="clear" w:color="auto" w:fill="DDEBF7"/>
            <w:vAlign w:val="center"/>
            <w:hideMark/>
          </w:tcPr>
          <w:p w:rsidR="00896DD4" w:rsidRPr="00E0008C" w:rsidRDefault="0041091F" w:rsidP="001A4146">
            <w:pPr>
              <w:pStyle w:val="Tabletext"/>
              <w:rPr>
                <w:i/>
                <w:iCs/>
                <w:sz w:val="20"/>
                <w:lang w:eastAsia="it-IT"/>
              </w:rPr>
            </w:pPr>
            <w:r w:rsidRPr="00E0008C">
              <w:rPr>
                <w:i/>
                <w:iCs/>
                <w:sz w:val="20"/>
                <w:lang w:eastAsia="it-IT"/>
              </w:rPr>
              <w:tab/>
              <w:t>Charges directes</w:t>
            </w:r>
          </w:p>
        </w:tc>
        <w:tc>
          <w:tcPr>
            <w:tcW w:w="2410" w:type="dxa"/>
            <w:tcBorders>
              <w:top w:val="nil"/>
              <w:left w:val="nil"/>
              <w:bottom w:val="single" w:sz="4" w:space="0" w:color="auto"/>
              <w:right w:val="single" w:sz="4" w:space="0" w:color="auto"/>
            </w:tcBorders>
            <w:shd w:val="clear" w:color="auto" w:fill="DDEBF7"/>
            <w:vAlign w:val="center"/>
            <w:hideMark/>
          </w:tcPr>
          <w:p w:rsidR="00896DD4" w:rsidRPr="00E0008C" w:rsidRDefault="00B56B10" w:rsidP="001A4146">
            <w:pPr>
              <w:pStyle w:val="Tabletext"/>
              <w:jc w:val="right"/>
              <w:rPr>
                <w:i/>
                <w:iCs/>
                <w:sz w:val="20"/>
                <w:lang w:eastAsia="it-IT"/>
              </w:rPr>
            </w:pPr>
            <w:r w:rsidRPr="00E0008C">
              <w:rPr>
                <w:i/>
                <w:iCs/>
                <w:sz w:val="20"/>
                <w:lang w:eastAsia="it-IT"/>
              </w:rPr>
              <w:t xml:space="preserve">3 931 </w:t>
            </w:r>
            <w:r w:rsidR="00896DD4" w:rsidRPr="00E0008C">
              <w:rPr>
                <w:i/>
                <w:iCs/>
                <w:sz w:val="20"/>
                <w:lang w:eastAsia="it-IT"/>
              </w:rPr>
              <w:t>500</w:t>
            </w:r>
            <w:r w:rsidRPr="00E0008C">
              <w:rPr>
                <w:i/>
                <w:iCs/>
                <w:sz w:val="20"/>
                <w:lang w:eastAsia="it-IT"/>
              </w:rPr>
              <w:t>,</w:t>
            </w:r>
            <w:r w:rsidR="00896DD4" w:rsidRPr="00E0008C">
              <w:rPr>
                <w:i/>
                <w:iCs/>
                <w:sz w:val="20"/>
                <w:lang w:eastAsia="it-IT"/>
              </w:rPr>
              <w:t>00</w:t>
            </w:r>
          </w:p>
        </w:tc>
        <w:tc>
          <w:tcPr>
            <w:tcW w:w="1984" w:type="dxa"/>
            <w:tcBorders>
              <w:top w:val="nil"/>
              <w:left w:val="nil"/>
              <w:bottom w:val="single" w:sz="4" w:space="0" w:color="auto"/>
              <w:right w:val="single" w:sz="4" w:space="0" w:color="auto"/>
            </w:tcBorders>
            <w:shd w:val="clear" w:color="auto" w:fill="DDEBF7"/>
            <w:vAlign w:val="center"/>
            <w:hideMark/>
          </w:tcPr>
          <w:p w:rsidR="00896DD4" w:rsidRPr="00E0008C" w:rsidRDefault="00B56B10" w:rsidP="001A4146">
            <w:pPr>
              <w:pStyle w:val="Tabletext"/>
              <w:jc w:val="right"/>
              <w:rPr>
                <w:i/>
                <w:iCs/>
                <w:sz w:val="20"/>
                <w:lang w:eastAsia="it-IT"/>
              </w:rPr>
            </w:pPr>
            <w:r w:rsidRPr="00E0008C">
              <w:rPr>
                <w:i/>
                <w:iCs/>
                <w:sz w:val="20"/>
                <w:lang w:eastAsia="it-IT"/>
              </w:rPr>
              <w:t xml:space="preserve">2 930 </w:t>
            </w:r>
            <w:r w:rsidR="00896DD4" w:rsidRPr="00E0008C">
              <w:rPr>
                <w:i/>
                <w:iCs/>
                <w:sz w:val="20"/>
                <w:lang w:eastAsia="it-IT"/>
              </w:rPr>
              <w:t>575</w:t>
            </w:r>
            <w:r w:rsidRPr="00E0008C">
              <w:rPr>
                <w:i/>
                <w:iCs/>
                <w:sz w:val="20"/>
                <w:lang w:eastAsia="it-IT"/>
              </w:rPr>
              <w:t>,</w:t>
            </w:r>
            <w:r w:rsidR="00896DD4" w:rsidRPr="00E0008C">
              <w:rPr>
                <w:i/>
                <w:iCs/>
                <w:sz w:val="20"/>
                <w:lang w:eastAsia="it-IT"/>
              </w:rPr>
              <w:t>43</w:t>
            </w:r>
          </w:p>
        </w:tc>
        <w:tc>
          <w:tcPr>
            <w:tcW w:w="1985" w:type="dxa"/>
            <w:tcBorders>
              <w:top w:val="nil"/>
              <w:left w:val="nil"/>
              <w:bottom w:val="single" w:sz="4" w:space="0" w:color="auto"/>
              <w:right w:val="single" w:sz="4" w:space="0" w:color="auto"/>
            </w:tcBorders>
            <w:shd w:val="clear" w:color="auto" w:fill="auto"/>
            <w:vAlign w:val="center"/>
            <w:hideMark/>
          </w:tcPr>
          <w:p w:rsidR="00896DD4" w:rsidRPr="00E0008C" w:rsidRDefault="0041091F" w:rsidP="001A4146">
            <w:pPr>
              <w:pStyle w:val="Tabletext"/>
              <w:jc w:val="right"/>
              <w:rPr>
                <w:i/>
                <w:iCs/>
                <w:sz w:val="20"/>
              </w:rPr>
            </w:pPr>
            <w:r w:rsidRPr="00E0008C">
              <w:rPr>
                <w:i/>
                <w:iCs/>
                <w:sz w:val="20"/>
              </w:rPr>
              <w:sym w:font="Symbol" w:char="F02D"/>
            </w:r>
            <w:r w:rsidR="00896DD4" w:rsidRPr="00E0008C">
              <w:rPr>
                <w:i/>
                <w:iCs/>
                <w:sz w:val="20"/>
              </w:rPr>
              <w:t>25</w:t>
            </w:r>
            <w:r w:rsidR="005F0586" w:rsidRPr="00E0008C">
              <w:rPr>
                <w:i/>
                <w:iCs/>
                <w:sz w:val="20"/>
              </w:rPr>
              <w:t>,</w:t>
            </w:r>
            <w:r w:rsidR="00896DD4" w:rsidRPr="00E0008C">
              <w:rPr>
                <w:i/>
                <w:iCs/>
                <w:sz w:val="20"/>
              </w:rPr>
              <w:t>46</w:t>
            </w:r>
          </w:p>
        </w:tc>
      </w:tr>
      <w:tr w:rsidR="00896DD4" w:rsidRPr="00E0008C" w:rsidTr="00896DD4">
        <w:trPr>
          <w:trHeight w:val="411"/>
        </w:trPr>
        <w:tc>
          <w:tcPr>
            <w:tcW w:w="2552" w:type="dxa"/>
            <w:tcBorders>
              <w:top w:val="nil"/>
              <w:left w:val="single" w:sz="4" w:space="0" w:color="auto"/>
              <w:bottom w:val="single" w:sz="4" w:space="0" w:color="auto"/>
              <w:right w:val="single" w:sz="4" w:space="0" w:color="auto"/>
            </w:tcBorders>
            <w:shd w:val="clear" w:color="auto" w:fill="DDEBF7"/>
            <w:vAlign w:val="center"/>
            <w:hideMark/>
          </w:tcPr>
          <w:p w:rsidR="00896DD4" w:rsidRPr="00E0008C" w:rsidRDefault="0041091F" w:rsidP="001A4146">
            <w:pPr>
              <w:pStyle w:val="Tabletext"/>
              <w:rPr>
                <w:i/>
                <w:iCs/>
                <w:sz w:val="20"/>
                <w:lang w:eastAsia="it-IT"/>
              </w:rPr>
            </w:pPr>
            <w:r w:rsidRPr="00E0008C">
              <w:rPr>
                <w:i/>
                <w:iCs/>
                <w:sz w:val="20"/>
                <w:lang w:eastAsia="it-IT"/>
              </w:rPr>
              <w:tab/>
              <w:t>Charges de base</w:t>
            </w:r>
          </w:p>
        </w:tc>
        <w:tc>
          <w:tcPr>
            <w:tcW w:w="2410" w:type="dxa"/>
            <w:tcBorders>
              <w:top w:val="nil"/>
              <w:left w:val="nil"/>
              <w:bottom w:val="single" w:sz="4" w:space="0" w:color="auto"/>
              <w:right w:val="single" w:sz="4" w:space="0" w:color="auto"/>
            </w:tcBorders>
            <w:shd w:val="clear" w:color="auto" w:fill="DDEBF7"/>
            <w:vAlign w:val="center"/>
            <w:hideMark/>
          </w:tcPr>
          <w:p w:rsidR="00896DD4" w:rsidRPr="00E0008C" w:rsidRDefault="00B56B10" w:rsidP="001A4146">
            <w:pPr>
              <w:pStyle w:val="Tabletext"/>
              <w:jc w:val="right"/>
              <w:rPr>
                <w:i/>
                <w:iCs/>
                <w:sz w:val="20"/>
                <w:lang w:eastAsia="it-IT"/>
              </w:rPr>
            </w:pPr>
            <w:r w:rsidRPr="00E0008C">
              <w:rPr>
                <w:i/>
                <w:iCs/>
                <w:sz w:val="20"/>
                <w:lang w:eastAsia="it-IT"/>
              </w:rPr>
              <w:t xml:space="preserve">5 051 </w:t>
            </w:r>
            <w:r w:rsidR="00896DD4" w:rsidRPr="00E0008C">
              <w:rPr>
                <w:i/>
                <w:iCs/>
                <w:sz w:val="20"/>
                <w:lang w:eastAsia="it-IT"/>
              </w:rPr>
              <w:t>000</w:t>
            </w:r>
            <w:r w:rsidRPr="00E0008C">
              <w:rPr>
                <w:i/>
                <w:iCs/>
                <w:sz w:val="20"/>
                <w:lang w:eastAsia="it-IT"/>
              </w:rPr>
              <w:t>,</w:t>
            </w:r>
            <w:r w:rsidR="00896DD4" w:rsidRPr="00E0008C">
              <w:rPr>
                <w:i/>
                <w:iCs/>
                <w:sz w:val="20"/>
                <w:lang w:eastAsia="it-IT"/>
              </w:rPr>
              <w:t>00</w:t>
            </w:r>
          </w:p>
        </w:tc>
        <w:tc>
          <w:tcPr>
            <w:tcW w:w="1984" w:type="dxa"/>
            <w:tcBorders>
              <w:top w:val="nil"/>
              <w:left w:val="nil"/>
              <w:bottom w:val="single" w:sz="4" w:space="0" w:color="auto"/>
              <w:right w:val="single" w:sz="4" w:space="0" w:color="auto"/>
            </w:tcBorders>
            <w:shd w:val="clear" w:color="auto" w:fill="DDEBF7"/>
            <w:vAlign w:val="center"/>
            <w:hideMark/>
          </w:tcPr>
          <w:p w:rsidR="00896DD4" w:rsidRPr="00E0008C" w:rsidRDefault="005F0586" w:rsidP="001A4146">
            <w:pPr>
              <w:pStyle w:val="Tabletext"/>
              <w:jc w:val="right"/>
              <w:rPr>
                <w:i/>
                <w:iCs/>
                <w:sz w:val="20"/>
                <w:lang w:eastAsia="it-IT"/>
              </w:rPr>
            </w:pPr>
            <w:r w:rsidRPr="00E0008C">
              <w:rPr>
                <w:i/>
                <w:iCs/>
                <w:sz w:val="20"/>
                <w:lang w:eastAsia="it-IT"/>
              </w:rPr>
              <w:t xml:space="preserve">4 989 </w:t>
            </w:r>
            <w:r w:rsidR="00896DD4" w:rsidRPr="00E0008C">
              <w:rPr>
                <w:i/>
                <w:iCs/>
                <w:sz w:val="20"/>
                <w:lang w:eastAsia="it-IT"/>
              </w:rPr>
              <w:t>620</w:t>
            </w:r>
            <w:r w:rsidRPr="00E0008C">
              <w:rPr>
                <w:i/>
                <w:iCs/>
                <w:sz w:val="20"/>
                <w:lang w:eastAsia="it-IT"/>
              </w:rPr>
              <w:t>,</w:t>
            </w:r>
            <w:r w:rsidR="00896DD4" w:rsidRPr="00E0008C">
              <w:rPr>
                <w:i/>
                <w:iCs/>
                <w:sz w:val="20"/>
                <w:lang w:eastAsia="it-IT"/>
              </w:rPr>
              <w:t>49</w:t>
            </w:r>
          </w:p>
        </w:tc>
        <w:tc>
          <w:tcPr>
            <w:tcW w:w="1985" w:type="dxa"/>
            <w:tcBorders>
              <w:top w:val="nil"/>
              <w:left w:val="nil"/>
              <w:bottom w:val="single" w:sz="4" w:space="0" w:color="auto"/>
              <w:right w:val="single" w:sz="4" w:space="0" w:color="auto"/>
            </w:tcBorders>
            <w:shd w:val="clear" w:color="auto" w:fill="auto"/>
            <w:vAlign w:val="center"/>
            <w:hideMark/>
          </w:tcPr>
          <w:p w:rsidR="00896DD4" w:rsidRPr="00E0008C" w:rsidRDefault="0041091F" w:rsidP="001A4146">
            <w:pPr>
              <w:pStyle w:val="Tabletext"/>
              <w:jc w:val="right"/>
              <w:rPr>
                <w:i/>
                <w:iCs/>
                <w:sz w:val="20"/>
              </w:rPr>
            </w:pPr>
            <w:r w:rsidRPr="00E0008C">
              <w:rPr>
                <w:i/>
                <w:iCs/>
                <w:sz w:val="20"/>
              </w:rPr>
              <w:sym w:font="Symbol" w:char="F02D"/>
            </w:r>
            <w:r w:rsidR="00896DD4" w:rsidRPr="00E0008C">
              <w:rPr>
                <w:i/>
                <w:iCs/>
                <w:sz w:val="20"/>
              </w:rPr>
              <w:t>1</w:t>
            </w:r>
            <w:r w:rsidR="005F0586" w:rsidRPr="00E0008C">
              <w:rPr>
                <w:i/>
                <w:iCs/>
                <w:sz w:val="20"/>
              </w:rPr>
              <w:t>,</w:t>
            </w:r>
            <w:r w:rsidR="00896DD4" w:rsidRPr="00E0008C">
              <w:rPr>
                <w:i/>
                <w:iCs/>
                <w:sz w:val="20"/>
              </w:rPr>
              <w:t>22</w:t>
            </w:r>
          </w:p>
        </w:tc>
      </w:tr>
      <w:tr w:rsidR="00896DD4" w:rsidRPr="00E0008C" w:rsidTr="00896DD4">
        <w:trPr>
          <w:trHeight w:val="62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96DD4" w:rsidRPr="00E0008C" w:rsidRDefault="0041091F" w:rsidP="001A4146">
            <w:pPr>
              <w:pStyle w:val="Tabletext"/>
              <w:rPr>
                <w:b/>
                <w:bCs/>
                <w:sz w:val="20"/>
                <w:lang w:eastAsia="it-IT"/>
              </w:rPr>
            </w:pPr>
            <w:r w:rsidRPr="00E0008C">
              <w:rPr>
                <w:b/>
                <w:bCs/>
                <w:sz w:val="20"/>
                <w:lang w:eastAsia="it-IT"/>
              </w:rPr>
              <w:t>Résultat net</w:t>
            </w:r>
          </w:p>
        </w:tc>
        <w:tc>
          <w:tcPr>
            <w:tcW w:w="2410" w:type="dxa"/>
            <w:tcBorders>
              <w:top w:val="nil"/>
              <w:left w:val="nil"/>
              <w:bottom w:val="single" w:sz="4" w:space="0" w:color="auto"/>
              <w:right w:val="single" w:sz="4" w:space="0" w:color="auto"/>
            </w:tcBorders>
            <w:shd w:val="clear" w:color="auto" w:fill="auto"/>
            <w:vAlign w:val="center"/>
            <w:hideMark/>
          </w:tcPr>
          <w:p w:rsidR="00896DD4" w:rsidRPr="00E0008C" w:rsidRDefault="00B56B10" w:rsidP="001A4146">
            <w:pPr>
              <w:pStyle w:val="Tabletext"/>
              <w:jc w:val="right"/>
              <w:rPr>
                <w:b/>
                <w:bCs/>
                <w:sz w:val="20"/>
                <w:lang w:eastAsia="it-IT"/>
              </w:rPr>
            </w:pPr>
            <w:r w:rsidRPr="00E0008C">
              <w:rPr>
                <w:b/>
                <w:bCs/>
                <w:sz w:val="20"/>
                <w:lang w:eastAsia="it-IT"/>
              </w:rPr>
              <w:t xml:space="preserve">165 </w:t>
            </w:r>
            <w:r w:rsidR="00896DD4" w:rsidRPr="00E0008C">
              <w:rPr>
                <w:b/>
                <w:bCs/>
                <w:sz w:val="20"/>
                <w:lang w:eastAsia="it-IT"/>
              </w:rPr>
              <w:t>000</w:t>
            </w:r>
            <w:r w:rsidRPr="00E0008C">
              <w:rPr>
                <w:b/>
                <w:bCs/>
                <w:sz w:val="20"/>
                <w:lang w:eastAsia="it-IT"/>
              </w:rPr>
              <w:t>,</w:t>
            </w:r>
            <w:r w:rsidR="00896DD4" w:rsidRPr="00E0008C">
              <w:rPr>
                <w:b/>
                <w:bCs/>
                <w:sz w:val="20"/>
                <w:lang w:eastAsia="it-IT"/>
              </w:rPr>
              <w:t>00</w:t>
            </w:r>
          </w:p>
        </w:tc>
        <w:tc>
          <w:tcPr>
            <w:tcW w:w="1984" w:type="dxa"/>
            <w:tcBorders>
              <w:top w:val="nil"/>
              <w:left w:val="nil"/>
              <w:bottom w:val="single" w:sz="4" w:space="0" w:color="auto"/>
              <w:right w:val="single" w:sz="4" w:space="0" w:color="auto"/>
            </w:tcBorders>
            <w:shd w:val="clear" w:color="auto" w:fill="auto"/>
            <w:vAlign w:val="center"/>
            <w:hideMark/>
          </w:tcPr>
          <w:p w:rsidR="00896DD4" w:rsidRPr="00E0008C" w:rsidRDefault="005F0586" w:rsidP="001A4146">
            <w:pPr>
              <w:pStyle w:val="Tabletext"/>
              <w:jc w:val="right"/>
              <w:rPr>
                <w:b/>
                <w:bCs/>
                <w:color w:val="000000"/>
                <w:sz w:val="20"/>
                <w:lang w:eastAsia="it-IT"/>
              </w:rPr>
            </w:pPr>
            <w:r w:rsidRPr="00E0008C">
              <w:rPr>
                <w:b/>
                <w:bCs/>
                <w:color w:val="000000"/>
                <w:sz w:val="20"/>
              </w:rPr>
              <w:t xml:space="preserve">927 </w:t>
            </w:r>
            <w:r w:rsidR="00896DD4" w:rsidRPr="00E0008C">
              <w:rPr>
                <w:b/>
                <w:bCs/>
                <w:color w:val="000000"/>
                <w:sz w:val="20"/>
              </w:rPr>
              <w:t>193</w:t>
            </w:r>
            <w:r w:rsidRPr="00E0008C">
              <w:rPr>
                <w:b/>
                <w:bCs/>
                <w:color w:val="000000"/>
                <w:sz w:val="20"/>
              </w:rPr>
              <w:t>,</w:t>
            </w:r>
            <w:r w:rsidR="00896DD4" w:rsidRPr="00E0008C">
              <w:rPr>
                <w:b/>
                <w:bCs/>
                <w:color w:val="000000"/>
                <w:sz w:val="20"/>
              </w:rPr>
              <w:t>72</w:t>
            </w:r>
          </w:p>
        </w:tc>
        <w:tc>
          <w:tcPr>
            <w:tcW w:w="1985" w:type="dxa"/>
            <w:tcBorders>
              <w:top w:val="nil"/>
              <w:left w:val="nil"/>
              <w:bottom w:val="single" w:sz="4" w:space="0" w:color="auto"/>
              <w:right w:val="single" w:sz="4" w:space="0" w:color="auto"/>
            </w:tcBorders>
            <w:shd w:val="clear" w:color="auto" w:fill="auto"/>
            <w:hideMark/>
          </w:tcPr>
          <w:p w:rsidR="00896DD4" w:rsidRPr="00E0008C" w:rsidRDefault="00896DD4" w:rsidP="001A4146">
            <w:pPr>
              <w:pStyle w:val="Tabletext"/>
              <w:jc w:val="right"/>
              <w:rPr>
                <w:sz w:val="20"/>
              </w:rPr>
            </w:pPr>
            <w:r w:rsidRPr="00E0008C">
              <w:rPr>
                <w:sz w:val="20"/>
              </w:rPr>
              <w:t>+461</w:t>
            </w:r>
            <w:r w:rsidR="005F0586" w:rsidRPr="00E0008C">
              <w:rPr>
                <w:sz w:val="20"/>
              </w:rPr>
              <w:t>,</w:t>
            </w:r>
            <w:r w:rsidRPr="00E0008C">
              <w:rPr>
                <w:sz w:val="20"/>
              </w:rPr>
              <w:t>93</w:t>
            </w:r>
          </w:p>
        </w:tc>
      </w:tr>
    </w:tbl>
    <w:p w:rsidR="00896DD4" w:rsidRPr="00D06495" w:rsidRDefault="00896DD4" w:rsidP="001A4146">
      <w:pPr>
        <w:keepNext/>
        <w:jc w:val="right"/>
        <w:rPr>
          <w:sz w:val="18"/>
          <w:szCs w:val="18"/>
        </w:rPr>
      </w:pPr>
      <w:r w:rsidRPr="00D06495">
        <w:rPr>
          <w:sz w:val="18"/>
          <w:szCs w:val="18"/>
        </w:rPr>
        <w:t>(CHF)</w:t>
      </w:r>
    </w:p>
    <w:p w:rsidR="00896DD4" w:rsidRPr="00D06495" w:rsidRDefault="00521C8C" w:rsidP="001A4146">
      <w:r w:rsidRPr="00D06495">
        <w:t>22</w:t>
      </w:r>
      <w:r w:rsidRPr="00D06495">
        <w:tab/>
        <w:t>Nous présenterons dans les paragraphes qui suivent nos observations sur l'écart entre les montants effectifs et les montants inscrits au budget initial</w:t>
      </w:r>
      <w:r w:rsidR="00C9329D" w:rsidRPr="00D06495">
        <w:t>.</w:t>
      </w:r>
      <w:r w:rsidR="005D3BB9" w:rsidRPr="00D06495">
        <w:t xml:space="preserve"> </w:t>
      </w:r>
      <w:r w:rsidRPr="00D06495">
        <w:t>Aucun budget révisé n'a été adopté</w:t>
      </w:r>
      <w:r w:rsidR="00700CBE" w:rsidRPr="00D06495">
        <w:t>.</w:t>
      </w:r>
    </w:p>
    <w:p w:rsidR="00896DD4" w:rsidRPr="00D06495" w:rsidRDefault="00521C8C" w:rsidP="00871131">
      <w:pPr>
        <w:pStyle w:val="Headingb"/>
      </w:pPr>
      <w:bookmarkStart w:id="53" w:name="_Toc482780301"/>
      <w:bookmarkStart w:id="54" w:name="_Toc482780453"/>
      <w:bookmarkStart w:id="55" w:name="_Toc482785807"/>
      <w:r w:rsidRPr="00D06495">
        <w:t>Fonds de roulement des Expositions</w:t>
      </w:r>
      <w:bookmarkEnd w:id="53"/>
      <w:bookmarkEnd w:id="54"/>
      <w:bookmarkEnd w:id="55"/>
    </w:p>
    <w:p w:rsidR="00896DD4" w:rsidRPr="00D06495" w:rsidRDefault="00521C8C" w:rsidP="001A4146">
      <w:r w:rsidRPr="00D06495">
        <w:t>23</w:t>
      </w:r>
      <w:r w:rsidRPr="00D06495">
        <w:tab/>
        <w:t xml:space="preserve">Comme le stipule le paragraphe 4 de l'Article 19 du Règlement financier de l'UIT, </w:t>
      </w:r>
      <w:r w:rsidR="00B56B10">
        <w:t>"</w:t>
      </w:r>
      <w:r w:rsidRPr="00D06495">
        <w:t>tout excédent de prod</w:t>
      </w:r>
      <w:r w:rsidR="007E76BD" w:rsidRPr="00D06495">
        <w:t>uits ou de charges résultant d'e</w:t>
      </w:r>
      <w:r w:rsidRPr="00D06495">
        <w:t xml:space="preserve">xpositions mondiales ou régionales est transféré </w:t>
      </w:r>
      <w:r w:rsidR="007E76BD" w:rsidRPr="00D06495">
        <w:t>dans un Fonds de roulement des e</w:t>
      </w:r>
      <w:r w:rsidRPr="00D06495">
        <w:t>xpositions</w:t>
      </w:r>
      <w:r w:rsidR="00B56B10">
        <w:t>"</w:t>
      </w:r>
      <w:r w:rsidR="00FF6174" w:rsidRPr="00D06495">
        <w:t xml:space="preserve"> </w:t>
      </w:r>
      <w:r w:rsidR="00896DD4" w:rsidRPr="00D06495">
        <w:t>(EWCF)</w:t>
      </w:r>
      <w:r w:rsidR="00C9329D" w:rsidRPr="00D06495">
        <w:t>.</w:t>
      </w:r>
    </w:p>
    <w:p w:rsidR="00896DD4" w:rsidRPr="00D06495" w:rsidRDefault="00521C8C" w:rsidP="007C315D">
      <w:r w:rsidRPr="00D06495">
        <w:t>24</w:t>
      </w:r>
      <w:r w:rsidRPr="00D06495">
        <w:tab/>
      </w:r>
      <w:r w:rsidR="00455A1C" w:rsidRPr="00D06495">
        <w:t>Le résultat</w:t>
      </w:r>
      <w:r w:rsidR="007E76BD" w:rsidRPr="00D06495">
        <w:t xml:space="preserve"> </w:t>
      </w:r>
      <w:r w:rsidR="00455A1C" w:rsidRPr="00D06495">
        <w:t>positif</w:t>
      </w:r>
      <w:r w:rsidR="007E76BD" w:rsidRPr="00D06495">
        <w:t xml:space="preserve"> </w:t>
      </w:r>
      <w:r w:rsidR="00455A1C" w:rsidRPr="00D06495">
        <w:t>enregistré</w:t>
      </w:r>
      <w:r w:rsidR="007E76BD" w:rsidRPr="00D06495">
        <w:t xml:space="preserve"> </w:t>
      </w:r>
      <w:r w:rsidR="00455A1C" w:rsidRPr="00D06495">
        <w:t>par la manifestation</w:t>
      </w:r>
      <w:r w:rsidR="007E76BD" w:rsidRPr="00D06495">
        <w:t xml:space="preserve"> </w:t>
      </w:r>
      <w:r w:rsidR="00896DD4" w:rsidRPr="00D06495">
        <w:t>ITU Telecom World 2016</w:t>
      </w:r>
      <w:r w:rsidR="007E76BD" w:rsidRPr="00D06495">
        <w:t xml:space="preserve"> </w:t>
      </w:r>
      <w:r w:rsidR="007C315D">
        <w:t>a fait augmenter </w:t>
      </w:r>
      <w:r w:rsidR="00455A1C" w:rsidRPr="00D06495">
        <w:t>le solde du</w:t>
      </w:r>
      <w:r w:rsidR="00896DD4" w:rsidRPr="00D06495">
        <w:t xml:space="preserve"> </w:t>
      </w:r>
      <w:r w:rsidR="00455A1C" w:rsidRPr="00D06495">
        <w:rPr>
          <w:color w:val="000000"/>
        </w:rPr>
        <w:t>Fonds de roulement des expositions</w:t>
      </w:r>
      <w:r w:rsidR="00C765F3" w:rsidRPr="00D06495">
        <w:t>,</w:t>
      </w:r>
      <w:r w:rsidR="00455A1C" w:rsidRPr="00D06495">
        <w:t xml:space="preserve"> qui s</w:t>
      </w:r>
      <w:r w:rsidR="001D0125">
        <w:t>'</w:t>
      </w:r>
      <w:r w:rsidR="00455A1C" w:rsidRPr="00D06495">
        <w:t xml:space="preserve">établissait à </w:t>
      </w:r>
      <w:r w:rsidR="00896DD4" w:rsidRPr="00D06495">
        <w:t>10</w:t>
      </w:r>
      <w:r w:rsidR="000B3DE6">
        <w:t>,</w:t>
      </w:r>
      <w:r w:rsidR="00896DD4" w:rsidRPr="00D06495">
        <w:t>1</w:t>
      </w:r>
      <w:r w:rsidR="00455A1C" w:rsidRPr="00D06495">
        <w:rPr>
          <w:color w:val="000000"/>
        </w:rPr>
        <w:t xml:space="preserve"> millions CHF</w:t>
      </w:r>
      <w:r w:rsidR="007E76BD" w:rsidRPr="00D06495">
        <w:t xml:space="preserve"> </w:t>
      </w:r>
      <w:r w:rsidR="007C315D">
        <w:t>au </w:t>
      </w:r>
      <w:r w:rsidR="00455A1C" w:rsidRPr="00D06495">
        <w:t>31 décembre 2016, soit le niveau le plus élevé en six ans</w:t>
      </w:r>
      <w:r w:rsidR="00C9329D" w:rsidRPr="00D06495">
        <w:t>.</w:t>
      </w:r>
    </w:p>
    <w:p w:rsidR="00896DD4" w:rsidRPr="00D06495" w:rsidRDefault="00521C8C" w:rsidP="001A4146">
      <w:r w:rsidRPr="00D06495">
        <w:t>25</w:t>
      </w:r>
      <w:r w:rsidRPr="00D06495">
        <w:tab/>
      </w:r>
      <w:r w:rsidR="00455A1C" w:rsidRPr="00D06495">
        <w:t xml:space="preserve">Le </w:t>
      </w:r>
      <w:r w:rsidR="00455A1C" w:rsidRPr="00D06495">
        <w:rPr>
          <w:color w:val="000000"/>
        </w:rPr>
        <w:t>solde du Fonds de roulement des expositions pour les six dernières années est présenté</w:t>
      </w:r>
      <w:r w:rsidR="007E76BD" w:rsidRPr="00D06495">
        <w:rPr>
          <w:color w:val="000000"/>
        </w:rPr>
        <w:t xml:space="preserve"> </w:t>
      </w:r>
      <w:r w:rsidR="00455A1C" w:rsidRPr="00D06495">
        <w:rPr>
          <w:color w:val="000000"/>
        </w:rPr>
        <w:t>ci-</w:t>
      </w:r>
      <w:proofErr w:type="gramStart"/>
      <w:r w:rsidR="00455A1C" w:rsidRPr="00D06495">
        <w:rPr>
          <w:color w:val="000000"/>
        </w:rPr>
        <w:t>dessous:</w:t>
      </w:r>
      <w:proofErr w:type="gramEnd"/>
      <w:r w:rsidR="007E76BD" w:rsidRPr="00D06495">
        <w:t xml:space="preserve"> </w:t>
      </w:r>
    </w:p>
    <w:p w:rsidR="00896DD4" w:rsidRPr="00D06495" w:rsidRDefault="00896DD4" w:rsidP="001A4146">
      <w:pPr>
        <w:pStyle w:val="Figure"/>
      </w:pPr>
      <w:r w:rsidRPr="00D06495">
        <w:rPr>
          <w:noProof/>
          <w:lang w:val="en-US" w:eastAsia="zh-CN"/>
        </w:rPr>
        <w:drawing>
          <wp:inline distT="0" distB="0" distL="0" distR="0" wp14:anchorId="0D591469" wp14:editId="2D70BD23">
            <wp:extent cx="4450080" cy="2415540"/>
            <wp:effectExtent l="0" t="0" r="7620" b="381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6DD4" w:rsidRPr="007C315D" w:rsidRDefault="00896DD4" w:rsidP="001A4146">
      <w:pPr>
        <w:pStyle w:val="ListParagraph"/>
        <w:ind w:left="4320" w:firstLine="720"/>
        <w:jc w:val="center"/>
        <w:rPr>
          <w:rFonts w:asciiTheme="minorHAnsi" w:hAnsiTheme="minorHAnsi"/>
          <w:sz w:val="20"/>
          <w:szCs w:val="20"/>
          <w:lang w:val="fr-FR"/>
        </w:rPr>
      </w:pPr>
      <w:r w:rsidRPr="007C315D">
        <w:rPr>
          <w:rFonts w:asciiTheme="minorHAnsi" w:hAnsiTheme="minorHAnsi"/>
          <w:sz w:val="20"/>
          <w:szCs w:val="20"/>
          <w:lang w:val="fr-FR"/>
        </w:rPr>
        <w:t>(</w:t>
      </w:r>
      <w:proofErr w:type="gramStart"/>
      <w:r w:rsidR="00455A1C" w:rsidRPr="007C315D">
        <w:rPr>
          <w:rFonts w:asciiTheme="minorHAnsi" w:hAnsiTheme="minorHAnsi"/>
          <w:color w:val="000000"/>
          <w:sz w:val="20"/>
          <w:szCs w:val="20"/>
          <w:lang w:val="fr-FR"/>
        </w:rPr>
        <w:t>en</w:t>
      </w:r>
      <w:proofErr w:type="gramEnd"/>
      <w:r w:rsidR="00455A1C" w:rsidRPr="007C315D">
        <w:rPr>
          <w:rFonts w:asciiTheme="minorHAnsi" w:hAnsiTheme="minorHAnsi"/>
          <w:color w:val="000000"/>
          <w:sz w:val="20"/>
          <w:szCs w:val="20"/>
          <w:lang w:val="fr-FR"/>
        </w:rPr>
        <w:t xml:space="preserve"> milliers</w:t>
      </w:r>
      <w:r w:rsidR="007E76BD" w:rsidRPr="007C315D">
        <w:rPr>
          <w:rFonts w:asciiTheme="minorHAnsi" w:hAnsiTheme="minorHAnsi"/>
          <w:color w:val="000000"/>
          <w:sz w:val="20"/>
          <w:szCs w:val="20"/>
          <w:lang w:val="fr-FR"/>
        </w:rPr>
        <w:t xml:space="preserve"> </w:t>
      </w:r>
      <w:r w:rsidR="00455A1C" w:rsidRPr="007C315D">
        <w:rPr>
          <w:rFonts w:asciiTheme="minorHAnsi" w:hAnsiTheme="minorHAnsi"/>
          <w:color w:val="000000"/>
          <w:sz w:val="20"/>
          <w:szCs w:val="20"/>
          <w:lang w:val="fr-FR"/>
        </w:rPr>
        <w:t>CHF)</w:t>
      </w:r>
    </w:p>
    <w:p w:rsidR="00896DD4" w:rsidRPr="00D06495" w:rsidRDefault="00521C8C" w:rsidP="00A3217B">
      <w:pPr>
        <w:spacing w:before="240"/>
      </w:pPr>
      <w:r w:rsidRPr="00D06495">
        <w:t>26</w:t>
      </w:r>
      <w:r w:rsidRPr="00D06495">
        <w:tab/>
      </w:r>
      <w:r w:rsidR="00455A1C" w:rsidRPr="00D06495">
        <w:t xml:space="preserve">En conséquence, le Fonds de roulement des expositions </w:t>
      </w:r>
      <w:r w:rsidR="00D5585E" w:rsidRPr="00D06495">
        <w:t xml:space="preserve">est </w:t>
      </w:r>
      <w:r w:rsidR="007E76BD" w:rsidRPr="00D06495">
        <w:t>aujourd</w:t>
      </w:r>
      <w:r w:rsidR="001D0125">
        <w:t>'</w:t>
      </w:r>
      <w:r w:rsidR="007E76BD" w:rsidRPr="00D06495">
        <w:t xml:space="preserve">hui, </w:t>
      </w:r>
      <w:r w:rsidR="00D5585E" w:rsidRPr="00D06495">
        <w:t>suffisamment doté</w:t>
      </w:r>
      <w:r w:rsidR="007E76BD" w:rsidRPr="00D06495">
        <w:t xml:space="preserve"> </w:t>
      </w:r>
      <w:r w:rsidR="00D5585E" w:rsidRPr="00D06495">
        <w:t>pour financer l</w:t>
      </w:r>
      <w:r w:rsidR="001D0125">
        <w:t>'</w:t>
      </w:r>
      <w:r w:rsidR="00D5585E" w:rsidRPr="00D06495">
        <w:t>organisation d</w:t>
      </w:r>
      <w:r w:rsidR="001D0125">
        <w:t>'</w:t>
      </w:r>
      <w:r w:rsidR="00D5585E" w:rsidRPr="00D06495">
        <w:t>une manifestation, même si des montants importants sont transférés dans le Fonds</w:t>
      </w:r>
      <w:r w:rsidR="00D5585E" w:rsidRPr="00D06495">
        <w:rPr>
          <w:color w:val="000000"/>
        </w:rPr>
        <w:t xml:space="preserve"> pour le développement des</w:t>
      </w:r>
      <w:r w:rsidR="007E76BD" w:rsidRPr="00D06495">
        <w:rPr>
          <w:color w:val="000000"/>
        </w:rPr>
        <w:t xml:space="preserve"> </w:t>
      </w:r>
      <w:r w:rsidR="00D5585E" w:rsidRPr="00D06495">
        <w:t>TIC</w:t>
      </w:r>
      <w:r w:rsidR="000B3DE6">
        <w:t>.</w:t>
      </w:r>
    </w:p>
    <w:p w:rsidR="00896DD4" w:rsidRPr="00D06495" w:rsidRDefault="00521C8C" w:rsidP="001A4146">
      <w:r w:rsidRPr="00D06495">
        <w:lastRenderedPageBreak/>
        <w:t>27</w:t>
      </w:r>
      <w:r w:rsidRPr="00D06495">
        <w:tab/>
      </w:r>
      <w:r w:rsidR="00F805E4" w:rsidRPr="00D06495">
        <w:t>E</w:t>
      </w:r>
      <w:r w:rsidR="007E76BD" w:rsidRPr="00D06495">
        <w:t xml:space="preserve">tant donné que la Résolution </w:t>
      </w:r>
      <w:r w:rsidR="00896DD4" w:rsidRPr="00D06495">
        <w:t>11 (</w:t>
      </w:r>
      <w:r w:rsidR="007E76BD" w:rsidRPr="00D06495">
        <w:t>Rév</w:t>
      </w:r>
      <w:r w:rsidR="00C9329D" w:rsidRPr="00D06495">
        <w:t>.</w:t>
      </w:r>
      <w:r w:rsidR="005D3BB9" w:rsidRPr="00D06495">
        <w:t xml:space="preserve"> </w:t>
      </w:r>
      <w:r w:rsidR="007E76BD" w:rsidRPr="00D06495">
        <w:t xml:space="preserve">Busan, </w:t>
      </w:r>
      <w:r w:rsidR="00896DD4" w:rsidRPr="00D06495">
        <w:t>2014)</w:t>
      </w:r>
      <w:r w:rsidR="00D5585E" w:rsidRPr="00D06495">
        <w:t xml:space="preserve"> fait état de la nécessité, au point 5 du </w:t>
      </w:r>
      <w:r w:rsidR="00D5585E" w:rsidRPr="00D06495">
        <w:rPr>
          <w:i/>
        </w:rPr>
        <w:t>décide</w:t>
      </w:r>
      <w:r w:rsidR="00D5585E" w:rsidRPr="00D06495">
        <w:rPr>
          <w:iCs/>
        </w:rPr>
        <w:t>,</w:t>
      </w:r>
      <w:r w:rsidR="007E76BD" w:rsidRPr="00D06495">
        <w:rPr>
          <w:i/>
        </w:rPr>
        <w:t xml:space="preserve"> </w:t>
      </w:r>
      <w:r w:rsidR="00D5585E" w:rsidRPr="00D06495">
        <w:t>de</w:t>
      </w:r>
      <w:r w:rsidR="007E76BD" w:rsidRPr="00D06495">
        <w:t xml:space="preserve"> </w:t>
      </w:r>
      <w:r w:rsidR="00D5585E" w:rsidRPr="00D06495">
        <w:rPr>
          <w:color w:val="000000"/>
        </w:rPr>
        <w:t>veiller à ce que</w:t>
      </w:r>
      <w:r w:rsidR="007E76BD" w:rsidRPr="00D06495">
        <w:rPr>
          <w:color w:val="000000"/>
        </w:rPr>
        <w:t xml:space="preserve"> </w:t>
      </w:r>
      <w:r w:rsidR="00B56B10">
        <w:rPr>
          <w:color w:val="000000"/>
        </w:rPr>
        <w:t>"</w:t>
      </w:r>
      <w:r w:rsidR="00D5585E" w:rsidRPr="00D06495">
        <w:rPr>
          <w:color w:val="000000"/>
        </w:rPr>
        <w:t>les manifestations ITU Telecom d</w:t>
      </w:r>
      <w:r w:rsidR="00A3217B">
        <w:rPr>
          <w:color w:val="000000"/>
        </w:rPr>
        <w:t>égagent un excédent de recettes</w:t>
      </w:r>
      <w:r w:rsidR="00B56B10">
        <w:rPr>
          <w:color w:val="000000"/>
        </w:rPr>
        <w:t>"</w:t>
      </w:r>
      <w:r w:rsidR="007E76BD" w:rsidRPr="00D06495">
        <w:rPr>
          <w:color w:val="000000"/>
        </w:rPr>
        <w:t xml:space="preserve"> </w:t>
      </w:r>
      <w:r w:rsidR="00896DD4" w:rsidRPr="00D06495">
        <w:t>(</w:t>
      </w:r>
      <w:r w:rsidR="002D2018" w:rsidRPr="00D06495">
        <w:t>point 5</w:t>
      </w:r>
      <w:r w:rsidR="00C9329D" w:rsidRPr="00D06495">
        <w:t xml:space="preserve">. </w:t>
      </w:r>
      <w:r w:rsidR="002D2018" w:rsidRPr="00D06495">
        <w:t>4</w:t>
      </w:r>
      <w:r w:rsidR="00C765F3" w:rsidRPr="00D06495">
        <w:t>,</w:t>
      </w:r>
      <w:r w:rsidR="007E76BD" w:rsidRPr="00D06495">
        <w:rPr>
          <w:i/>
        </w:rPr>
        <w:t xml:space="preserve"> </w:t>
      </w:r>
      <w:r w:rsidR="00FF6174" w:rsidRPr="00D06495">
        <w:t>Ré</w:t>
      </w:r>
      <w:r w:rsidR="00896DD4" w:rsidRPr="00D06495">
        <w:t>s</w:t>
      </w:r>
      <w:r w:rsidR="00C9329D" w:rsidRPr="00D06495">
        <w:t>.</w:t>
      </w:r>
      <w:r w:rsidR="005D3BB9" w:rsidRPr="00D06495">
        <w:t xml:space="preserve"> </w:t>
      </w:r>
      <w:r w:rsidR="00896DD4" w:rsidRPr="00D06495">
        <w:t>11</w:t>
      </w:r>
      <w:r w:rsidR="00FF6174" w:rsidRPr="00D06495">
        <w:t>)</w:t>
      </w:r>
      <w:r w:rsidR="00896DD4" w:rsidRPr="00D06495">
        <w:t>,</w:t>
      </w:r>
      <w:r w:rsidR="007E76BD" w:rsidRPr="00D06495">
        <w:t xml:space="preserve"> </w:t>
      </w:r>
      <w:r w:rsidR="002D2018" w:rsidRPr="00D06495">
        <w:t>mais également</w:t>
      </w:r>
      <w:r w:rsidR="00896DD4" w:rsidRPr="00D06495">
        <w:t xml:space="preserve"> </w:t>
      </w:r>
      <w:r w:rsidR="00B56B10">
        <w:t>"</w:t>
      </w:r>
      <w:r w:rsidR="002D2018" w:rsidRPr="00D06495">
        <w:rPr>
          <w:color w:val="000000"/>
        </w:rPr>
        <w:t>du principe de la rotation entre les régions, et entre les Etats Membres au sein des régions dans la mesure possible</w:t>
      </w:r>
      <w:r w:rsidR="00B56B10">
        <w:t>"</w:t>
      </w:r>
      <w:r w:rsidR="00896DD4" w:rsidRPr="00D06495">
        <w:t xml:space="preserve"> (</w:t>
      </w:r>
      <w:r w:rsidR="002D2018" w:rsidRPr="00D06495">
        <w:t xml:space="preserve">point </w:t>
      </w:r>
      <w:r w:rsidR="00896DD4" w:rsidRPr="00D06495">
        <w:t>5</w:t>
      </w:r>
      <w:r w:rsidR="001B4D5E">
        <w:t>.</w:t>
      </w:r>
      <w:r w:rsidR="00896DD4" w:rsidRPr="00D06495">
        <w:t>5</w:t>
      </w:r>
      <w:r w:rsidR="002D2018" w:rsidRPr="00D06495">
        <w:t xml:space="preserve">, </w:t>
      </w:r>
      <w:r w:rsidR="007E76BD" w:rsidRPr="00D06495">
        <w:t>Ré</w:t>
      </w:r>
      <w:r w:rsidR="002D2018" w:rsidRPr="00D06495">
        <w:t>s</w:t>
      </w:r>
      <w:r w:rsidR="00C9329D" w:rsidRPr="00D06495">
        <w:t>.</w:t>
      </w:r>
      <w:r w:rsidR="005D3BB9" w:rsidRPr="00D06495">
        <w:t xml:space="preserve"> </w:t>
      </w:r>
      <w:r w:rsidR="002D2018" w:rsidRPr="00D06495">
        <w:t>11</w:t>
      </w:r>
      <w:r w:rsidR="00896DD4" w:rsidRPr="00D06495">
        <w:t>)</w:t>
      </w:r>
      <w:r w:rsidR="002D2018" w:rsidRPr="00D06495">
        <w:t>, il faut envisager de trouver un équilibre entre</w:t>
      </w:r>
      <w:r w:rsidR="007E76BD" w:rsidRPr="00D06495">
        <w:t xml:space="preserve"> </w:t>
      </w:r>
      <w:r w:rsidR="00700CBE" w:rsidRPr="00D06495">
        <w:t>ces deux éléments.</w:t>
      </w:r>
    </w:p>
    <w:p w:rsidR="00896DD4" w:rsidRPr="00D06495" w:rsidRDefault="00521C8C" w:rsidP="001A4146">
      <w:r w:rsidRPr="00D06495">
        <w:t>28</w:t>
      </w:r>
      <w:r w:rsidRPr="00D06495">
        <w:tab/>
      </w:r>
      <w:r w:rsidR="002D2018" w:rsidRPr="00D06495">
        <w:t>En outre, en vertu de la Résolution 11, le Secrétaire général est chargé</w:t>
      </w:r>
      <w:r w:rsidR="007E76BD" w:rsidRPr="00D06495">
        <w:t xml:space="preserve"> </w:t>
      </w:r>
      <w:r w:rsidR="00B56B10">
        <w:t>"</w:t>
      </w:r>
      <w:r w:rsidR="002D2018" w:rsidRPr="00D06495">
        <w:rPr>
          <w:color w:val="000000"/>
        </w:rPr>
        <w:t>d'examiner les mesures propres à permettre aux Etats Membres qui en ont la capacité et la volonté, en particulier aux pays en développement, d'accueillir et d'organiser des manifestations ITU TELECOM</w:t>
      </w:r>
      <w:r w:rsidR="00B56B10">
        <w:t>"</w:t>
      </w:r>
      <w:r w:rsidR="00700CBE" w:rsidRPr="00D06495">
        <w:t>.</w:t>
      </w:r>
    </w:p>
    <w:p w:rsidR="00896DD4" w:rsidRPr="00D06495" w:rsidRDefault="00521C8C" w:rsidP="005D3BB9">
      <w:pPr>
        <w:spacing w:after="240"/>
      </w:pPr>
      <w:r w:rsidRPr="00D06495">
        <w:t>29</w:t>
      </w:r>
      <w:r w:rsidRPr="00D06495">
        <w:tab/>
      </w:r>
      <w:r w:rsidR="007E76BD" w:rsidRPr="00D06495">
        <w:t>Nous avons également noté que, aux termes du</w:t>
      </w:r>
      <w:r w:rsidR="002D2018" w:rsidRPr="00D06495">
        <w:t xml:space="preserve"> point 4 du </w:t>
      </w:r>
      <w:r w:rsidR="002D2018" w:rsidRPr="00A3217B">
        <w:rPr>
          <w:i/>
          <w:iCs/>
        </w:rPr>
        <w:t>décide</w:t>
      </w:r>
      <w:r w:rsidR="002D2018" w:rsidRPr="00D06495">
        <w:t xml:space="preserve"> de la Résolution </w:t>
      </w:r>
      <w:r w:rsidR="00896DD4" w:rsidRPr="00D06495">
        <w:t>11,</w:t>
      </w:r>
      <w:r w:rsidR="007E76BD" w:rsidRPr="00D06495">
        <w:t xml:space="preserve"> </w:t>
      </w:r>
      <w:r w:rsidR="00B56B10">
        <w:t>"</w:t>
      </w:r>
      <w:r w:rsidR="002D2018" w:rsidRPr="00D06495">
        <w:rPr>
          <w:color w:val="000000"/>
        </w:rPr>
        <w:t>chaque manifestation ITU Telecom devra être financièrement viable et ne pas avoir d'incidence négative sur le budget de l'UIT sur la base du système d'imputation des coûts existant, comme l'a établi le Conseil</w:t>
      </w:r>
      <w:r w:rsidR="00B56B10">
        <w:t>"</w:t>
      </w:r>
      <w:r w:rsidR="00C9329D" w:rsidRPr="00D06495">
        <w:t>.</w:t>
      </w:r>
      <w:r w:rsidR="005D3BB9" w:rsidRPr="00D06495">
        <w:t xml:space="preserve"> </w:t>
      </w:r>
      <w:r w:rsidR="00F805E4" w:rsidRPr="00D06495">
        <w:t>A</w:t>
      </w:r>
      <w:r w:rsidR="002D2018" w:rsidRPr="00D06495">
        <w:t xml:space="preserve"> cet égard, étant donné que le solde du </w:t>
      </w:r>
      <w:r w:rsidR="002D2018" w:rsidRPr="00D06495">
        <w:rPr>
          <w:color w:val="000000"/>
        </w:rPr>
        <w:t>Fonds de roulement des expositions est suffisant</w:t>
      </w:r>
      <w:r w:rsidR="007E76BD" w:rsidRPr="00D06495">
        <w:rPr>
          <w:color w:val="000000"/>
        </w:rPr>
        <w:t xml:space="preserve"> </w:t>
      </w:r>
      <w:r w:rsidR="002D2018" w:rsidRPr="00D06495">
        <w:rPr>
          <w:color w:val="000000"/>
        </w:rPr>
        <w:t xml:space="preserve">et compte tenu du principe de la rotation, </w:t>
      </w:r>
      <w:r w:rsidR="00C2563A" w:rsidRPr="00D06495">
        <w:rPr>
          <w:color w:val="000000"/>
        </w:rPr>
        <w:t xml:space="preserve">on pourra envisager </w:t>
      </w:r>
      <w:r w:rsidR="002D2018" w:rsidRPr="00D06495">
        <w:rPr>
          <w:color w:val="000000"/>
        </w:rPr>
        <w:t>la possibilité d</w:t>
      </w:r>
      <w:r w:rsidR="001D0125">
        <w:rPr>
          <w:color w:val="000000"/>
        </w:rPr>
        <w:t>'</w:t>
      </w:r>
      <w:r w:rsidR="002D2018" w:rsidRPr="00D06495">
        <w:rPr>
          <w:color w:val="000000"/>
        </w:rPr>
        <w:t>organiser dans un pays en développement des manifestations</w:t>
      </w:r>
      <w:r w:rsidR="007E76BD" w:rsidRPr="00D06495">
        <w:rPr>
          <w:color w:val="000000"/>
        </w:rPr>
        <w:t xml:space="preserve"> </w:t>
      </w:r>
      <w:r w:rsidR="00896DD4" w:rsidRPr="00D06495">
        <w:t>ITU Telecom</w:t>
      </w:r>
      <w:r w:rsidR="002D2018" w:rsidRPr="00D06495">
        <w:t xml:space="preserve"> qui n</w:t>
      </w:r>
      <w:r w:rsidR="007E76BD" w:rsidRPr="00D06495">
        <w:t>e débouchent</w:t>
      </w:r>
      <w:r w:rsidR="002D2018" w:rsidRPr="00D06495">
        <w:t xml:space="preserve"> pas nécessairement </w:t>
      </w:r>
      <w:r w:rsidR="007E76BD" w:rsidRPr="00D06495">
        <w:t xml:space="preserve">sur </w:t>
      </w:r>
      <w:r w:rsidR="002D2018" w:rsidRPr="00D06495">
        <w:t>un résultat positif</w:t>
      </w:r>
      <w:r w:rsidR="00C9329D" w:rsidRPr="00D06495">
        <w:t>.</w:t>
      </w:r>
    </w:p>
    <w:tbl>
      <w:tblPr>
        <w:tblStyle w:val="TableGrid"/>
        <w:tblW w:w="0" w:type="auto"/>
        <w:tblLook w:val="04A0" w:firstRow="1" w:lastRow="0" w:firstColumn="1" w:lastColumn="0" w:noHBand="0" w:noVBand="1"/>
      </w:tblPr>
      <w:tblGrid>
        <w:gridCol w:w="9629"/>
      </w:tblGrid>
      <w:tr w:rsidR="005D3BB9" w:rsidRPr="00D06495" w:rsidTr="005D3BB9">
        <w:tc>
          <w:tcPr>
            <w:tcW w:w="9629" w:type="dxa"/>
          </w:tcPr>
          <w:p w:rsidR="005D3BB9" w:rsidRPr="00D06495" w:rsidRDefault="00462A50" w:rsidP="00E9708F">
            <w:pPr>
              <w:pStyle w:val="Heading4"/>
              <w:outlineLvl w:val="3"/>
            </w:pPr>
            <w:r>
              <w:t>Suggesti</w:t>
            </w:r>
            <w:r w:rsidR="005D3BB9" w:rsidRPr="00D06495">
              <w:t>on N° 1</w:t>
            </w:r>
          </w:p>
          <w:p w:rsidR="005D3BB9" w:rsidRPr="00D06495" w:rsidRDefault="005D3BB9" w:rsidP="005D3BB9">
            <w:pPr>
              <w:spacing w:after="120"/>
            </w:pPr>
            <w:r w:rsidRPr="00D06495">
              <w:t>30</w:t>
            </w:r>
            <w:r w:rsidRPr="00D06495">
              <w:tab/>
              <w:t>Nous proposons d</w:t>
            </w:r>
            <w:r w:rsidR="001D0125">
              <w:t>'</w:t>
            </w:r>
            <w:r w:rsidRPr="00D06495">
              <w:t xml:space="preserve">envisager, compte tenu du montant actuel du </w:t>
            </w:r>
            <w:r w:rsidRPr="00D06495">
              <w:rPr>
                <w:color w:val="000000"/>
              </w:rPr>
              <w:t xml:space="preserve">Fonds de roulement des expositions, de nouveaux scénarios prévoyant un plus </w:t>
            </w:r>
            <w:r w:rsidR="00D06495" w:rsidRPr="00D06495">
              <w:rPr>
                <w:color w:val="000000"/>
              </w:rPr>
              <w:t>strict</w:t>
            </w:r>
            <w:r w:rsidRPr="00D06495">
              <w:rPr>
                <w:color w:val="000000"/>
              </w:rPr>
              <w:t xml:space="preserve"> respect du </w:t>
            </w:r>
            <w:r w:rsidRPr="00D06495">
              <w:t xml:space="preserve">principe </w:t>
            </w:r>
            <w:r w:rsidRPr="00D06495">
              <w:rPr>
                <w:color w:val="000000"/>
              </w:rPr>
              <w:t xml:space="preserve">de la rotation pour le choix du lieu des manifestations </w:t>
            </w:r>
            <w:r w:rsidRPr="00D06495">
              <w:t>(voir le point 5.5 de la Résolution 11).</w:t>
            </w:r>
          </w:p>
        </w:tc>
      </w:tr>
    </w:tbl>
    <w:p w:rsidR="005D3BB9" w:rsidRPr="00D06495" w:rsidRDefault="005D3BB9" w:rsidP="001A4146"/>
    <w:tbl>
      <w:tblPr>
        <w:tblStyle w:val="TableGrid"/>
        <w:tblW w:w="0" w:type="auto"/>
        <w:tblLook w:val="04A0" w:firstRow="1" w:lastRow="0" w:firstColumn="1" w:lastColumn="0" w:noHBand="0" w:noVBand="1"/>
      </w:tblPr>
      <w:tblGrid>
        <w:gridCol w:w="9629"/>
      </w:tblGrid>
      <w:tr w:rsidR="00871131" w:rsidRPr="00D06495" w:rsidTr="00871131">
        <w:tc>
          <w:tcPr>
            <w:tcW w:w="9629" w:type="dxa"/>
          </w:tcPr>
          <w:p w:rsidR="00871131" w:rsidRPr="00D06495" w:rsidRDefault="00871131" w:rsidP="00E9708F">
            <w:pPr>
              <w:pStyle w:val="Heading4"/>
              <w:outlineLvl w:val="3"/>
              <w:rPr>
                <w:b w:val="0"/>
                <w:bCs/>
                <w:u w:val="single"/>
              </w:rPr>
            </w:pPr>
            <w:r w:rsidRPr="00D06495">
              <w:t>Commentaires du Secrétaire général</w:t>
            </w:r>
          </w:p>
          <w:p w:rsidR="00871131" w:rsidRPr="00D06495" w:rsidRDefault="00871131" w:rsidP="00A3217B">
            <w:pPr>
              <w:spacing w:after="120"/>
            </w:pPr>
            <w:r w:rsidRPr="00D06495">
              <w:t>Tous les Etats Membres de l</w:t>
            </w:r>
            <w:r w:rsidR="001D0125">
              <w:t>'</w:t>
            </w:r>
            <w:r w:rsidRPr="00D06495">
              <w:t>UIT sont invités à soumettre leur candidature en vue d</w:t>
            </w:r>
            <w:r w:rsidR="001D0125">
              <w:t>'</w:t>
            </w:r>
            <w:r w:rsidRPr="00D06495">
              <w:t xml:space="preserve">accueillir ITU Telecom et à présenter une proposition conforme aux obligations incombant au pays hôte qui sont décrites dans </w:t>
            </w:r>
            <w:r w:rsidRPr="00D06495">
              <w:rPr>
                <w:color w:val="000000"/>
              </w:rPr>
              <w:t>le modèle d'accord de pays hôte</w:t>
            </w:r>
            <w:r w:rsidRPr="00D06495">
              <w:t>, tel qu</w:t>
            </w:r>
            <w:r w:rsidR="001D0125">
              <w:t>'</w:t>
            </w:r>
            <w:r w:rsidRPr="00D06495">
              <w:t xml:space="preserve">approuvé par le Conseil à sa session de 2016. Lors de </w:t>
            </w:r>
            <w:r w:rsidRPr="00D06495">
              <w:rPr>
                <w:color w:val="000000"/>
              </w:rPr>
              <w:t>la procédure d'évaluation et de sélection</w:t>
            </w:r>
            <w:r w:rsidRPr="00D06495">
              <w:t>, le principe de la rotation continuera d</w:t>
            </w:r>
            <w:r w:rsidR="001D0125">
              <w:t>'</w:t>
            </w:r>
            <w:r w:rsidRPr="00D06495">
              <w:t>être l</w:t>
            </w:r>
            <w:r w:rsidR="001D0125">
              <w:t>'</w:t>
            </w:r>
            <w:r w:rsidRPr="00D06495">
              <w:t>un des principaux éléments à prendre en considération.</w:t>
            </w:r>
          </w:p>
        </w:tc>
      </w:tr>
    </w:tbl>
    <w:p w:rsidR="00981E58" w:rsidRPr="00D06495" w:rsidRDefault="00981E58" w:rsidP="00871131">
      <w:pPr>
        <w:pStyle w:val="Headingb"/>
      </w:pPr>
      <w:bookmarkStart w:id="56" w:name="_Toc452113683"/>
      <w:bookmarkStart w:id="57" w:name="_Toc451274416"/>
      <w:bookmarkStart w:id="58" w:name="lt_pId092"/>
      <w:bookmarkStart w:id="59" w:name="_Toc482780304"/>
      <w:bookmarkStart w:id="60" w:name="_Toc482780454"/>
      <w:bookmarkStart w:id="61" w:name="_Toc482785808"/>
      <w:r w:rsidRPr="00D06495">
        <w:t>Calendrier des activités à entreprendre</w:t>
      </w:r>
      <w:bookmarkEnd w:id="56"/>
      <w:bookmarkEnd w:id="57"/>
      <w:bookmarkEnd w:id="58"/>
      <w:bookmarkEnd w:id="59"/>
      <w:bookmarkEnd w:id="60"/>
      <w:bookmarkEnd w:id="61"/>
      <w:r w:rsidRPr="00D06495">
        <w:t xml:space="preserve"> </w:t>
      </w:r>
    </w:p>
    <w:p w:rsidR="00981E58" w:rsidRPr="00D06495" w:rsidRDefault="000535A9" w:rsidP="00A3217B">
      <w:bookmarkStart w:id="62" w:name="lt_pId093"/>
      <w:r w:rsidRPr="00D06495">
        <w:t>31</w:t>
      </w:r>
      <w:r w:rsidR="00981E58" w:rsidRPr="00D06495">
        <w:tab/>
        <w:t xml:space="preserve">Aux termes de l'Article 1, section X du Manuel des règles et procédures financières de </w:t>
      </w:r>
      <w:r w:rsidR="007E76BD" w:rsidRPr="00D06495">
        <w:t>TELECOM</w:t>
      </w:r>
      <w:r w:rsidR="00981E58" w:rsidRPr="00D06495">
        <w:t xml:space="preserve">, </w:t>
      </w:r>
      <w:r w:rsidR="00B56B10">
        <w:t>"</w:t>
      </w:r>
      <w:r w:rsidR="00981E58" w:rsidRPr="00D06495">
        <w:t>les budgets de chaque manifestation, Forum ou autr</w:t>
      </w:r>
      <w:r w:rsidR="00A3217B">
        <w:t>e manifestation TELECOM doivent </w:t>
      </w:r>
      <w:r w:rsidR="00981E58" w:rsidRPr="00D06495">
        <w:t>être établis, approuvés et signés par le Secrétaire général</w:t>
      </w:r>
      <w:r w:rsidR="00A3217B">
        <w:t xml:space="preserve"> au plus tard six mois avant la </w:t>
      </w:r>
      <w:r w:rsidR="00981E58" w:rsidRPr="00D06495">
        <w:t>date d'ouverture dudit événement</w:t>
      </w:r>
      <w:r w:rsidR="00B56B10">
        <w:t>"</w:t>
      </w:r>
      <w:r w:rsidR="00C9329D" w:rsidRPr="00D06495">
        <w:t>.</w:t>
      </w:r>
      <w:r w:rsidR="005D3BB9" w:rsidRPr="00D06495">
        <w:t xml:space="preserve"> </w:t>
      </w:r>
      <w:r w:rsidR="00981E58" w:rsidRPr="00D06495">
        <w:t xml:space="preserve">Le budget d'ITU Telecom World 2016 a été approuvé </w:t>
      </w:r>
      <w:bookmarkStart w:id="63" w:name="lt_pId094"/>
      <w:bookmarkEnd w:id="62"/>
      <w:r w:rsidR="00A3217B">
        <w:t>le 9 </w:t>
      </w:r>
      <w:r w:rsidR="00981E58" w:rsidRPr="00D06495">
        <w:t xml:space="preserve">mai 2016, conformément au délai de six mois prévu avant l'ouverture de la manifestation </w:t>
      </w:r>
      <w:r w:rsidR="00A3217B">
        <w:t>(14 </w:t>
      </w:r>
      <w:r w:rsidR="00981E58" w:rsidRPr="00D06495">
        <w:t>novembre 2016)</w:t>
      </w:r>
      <w:r w:rsidR="00C9329D" w:rsidRPr="00D06495">
        <w:t>.</w:t>
      </w:r>
      <w:bookmarkEnd w:id="63"/>
    </w:p>
    <w:p w:rsidR="00981E58" w:rsidRPr="00D06495" w:rsidRDefault="000535A9" w:rsidP="001A4146">
      <w:bookmarkStart w:id="64" w:name="lt_pId095"/>
      <w:r w:rsidRPr="00D06495">
        <w:t>32</w:t>
      </w:r>
      <w:r w:rsidR="00981E58" w:rsidRPr="00D06495">
        <w:tab/>
        <w:t>L'accord de pays hôte entre le Gouvernement de la</w:t>
      </w:r>
      <w:r w:rsidR="000E09B4" w:rsidRPr="00D06495">
        <w:t xml:space="preserve"> Thaïlande </w:t>
      </w:r>
      <w:r w:rsidR="00981E58" w:rsidRPr="00D06495">
        <w:t xml:space="preserve">et l'UIT a été signé </w:t>
      </w:r>
      <w:r w:rsidR="000E09B4" w:rsidRPr="00D06495">
        <w:t>officiellement le 16 mai 2016</w:t>
      </w:r>
      <w:r w:rsidR="00C9329D" w:rsidRPr="00D06495">
        <w:t>.</w:t>
      </w:r>
      <w:r w:rsidR="005D3BB9" w:rsidRPr="00D06495">
        <w:t xml:space="preserve"> </w:t>
      </w:r>
      <w:r w:rsidR="000E09B4" w:rsidRPr="00D06495">
        <w:t>Cependant, le document a été approuvé par le gouvernement du pays hôte à une date antérieure,</w:t>
      </w:r>
      <w:r w:rsidR="007E76BD" w:rsidRPr="00D06495">
        <w:t xml:space="preserve"> </w:t>
      </w:r>
      <w:r w:rsidR="000E09B4" w:rsidRPr="00D06495">
        <w:t xml:space="preserve">le </w:t>
      </w:r>
      <w:r w:rsidR="007E76BD" w:rsidRPr="00D06495">
        <w:t>2</w:t>
      </w:r>
      <w:r w:rsidR="000E09B4" w:rsidRPr="00D06495">
        <w:t>6 avril 2016</w:t>
      </w:r>
      <w:r w:rsidR="00C765F3" w:rsidRPr="00D06495">
        <w:t>,</w:t>
      </w:r>
      <w:r w:rsidR="00981E58" w:rsidRPr="00D06495">
        <w:t xml:space="preserve"> ce qui a permis </w:t>
      </w:r>
      <w:r w:rsidR="000E09B4" w:rsidRPr="00D06495">
        <w:t>à l</w:t>
      </w:r>
      <w:r w:rsidR="001D0125">
        <w:t>'</w:t>
      </w:r>
      <w:r w:rsidR="000E09B4" w:rsidRPr="00D06495">
        <w:t xml:space="preserve">UIT </w:t>
      </w:r>
      <w:r w:rsidR="00981E58" w:rsidRPr="00D06495">
        <w:t>de disposer de toutes les données nécessaires lors de l'élaboration et de l'approbation du budget</w:t>
      </w:r>
      <w:r w:rsidR="00C9329D" w:rsidRPr="00D06495">
        <w:t>.</w:t>
      </w:r>
      <w:r w:rsidR="005D3BB9" w:rsidRPr="00D06495">
        <w:t xml:space="preserve"> </w:t>
      </w:r>
      <w:r w:rsidR="00981E58" w:rsidRPr="00D06495">
        <w:t>En conséquence, il n'a pas été nécessaire de réviser le budget</w:t>
      </w:r>
      <w:r w:rsidR="00C9329D" w:rsidRPr="00D06495">
        <w:t>.</w:t>
      </w:r>
      <w:bookmarkEnd w:id="64"/>
    </w:p>
    <w:p w:rsidR="00981E58" w:rsidRPr="00D06495" w:rsidRDefault="000535A9" w:rsidP="001A4146">
      <w:bookmarkStart w:id="65" w:name="lt_pId098"/>
      <w:r w:rsidRPr="00D06495">
        <w:t>33</w:t>
      </w:r>
      <w:r w:rsidR="00981E58" w:rsidRPr="00D06495">
        <w:tab/>
      </w:r>
      <w:r w:rsidR="008A5623" w:rsidRPr="00D06495">
        <w:t>Dans l</w:t>
      </w:r>
      <w:r w:rsidR="001D0125">
        <w:t>'</w:t>
      </w:r>
      <w:r w:rsidR="008A5623" w:rsidRPr="00D06495">
        <w:t>Annexe de cet accord de pays hôte,</w:t>
      </w:r>
      <w:r w:rsidR="00C765F3" w:rsidRPr="00D06495">
        <w:t xml:space="preserve"> </w:t>
      </w:r>
      <w:r w:rsidR="00981E58" w:rsidRPr="00D06495">
        <w:t>les parties ont défini</w:t>
      </w:r>
      <w:r w:rsidR="007E76BD" w:rsidRPr="00D06495">
        <w:t xml:space="preserve"> </w:t>
      </w:r>
      <w:r w:rsidR="00981E58" w:rsidRPr="00D06495">
        <w:t>les modalités techniques et le niveau de service des obligations incombant au pays hôte au titre de l'Accord principal</w:t>
      </w:r>
      <w:bookmarkEnd w:id="65"/>
      <w:r w:rsidR="00700CBE" w:rsidRPr="00D06495">
        <w:t>.</w:t>
      </w:r>
    </w:p>
    <w:p w:rsidR="0000299B" w:rsidRPr="00D06495" w:rsidRDefault="0000299B" w:rsidP="00A3217B">
      <w:pPr>
        <w:pStyle w:val="Headingb"/>
        <w:ind w:left="0" w:firstLine="0"/>
      </w:pPr>
      <w:bookmarkStart w:id="66" w:name="_Toc452113684"/>
      <w:bookmarkStart w:id="67" w:name="_Toc451274417"/>
      <w:bookmarkStart w:id="68" w:name="lt_pId099"/>
      <w:bookmarkStart w:id="69" w:name="_Toc482780305"/>
      <w:bookmarkStart w:id="70" w:name="_Toc482780455"/>
      <w:bookmarkStart w:id="71" w:name="_Toc482785809"/>
      <w:r w:rsidRPr="00D06495">
        <w:lastRenderedPageBreak/>
        <w:t xml:space="preserve">Rapport sur la manifestation établissant un lien entre les objectifs généraux énoncés dans la Résolution 11 </w:t>
      </w:r>
      <w:r w:rsidR="008A5623" w:rsidRPr="00D06495">
        <w:t>(</w:t>
      </w:r>
      <w:r w:rsidR="007E76BD" w:rsidRPr="00D06495">
        <w:t>Rév</w:t>
      </w:r>
      <w:r w:rsidR="00C9329D" w:rsidRPr="00D06495">
        <w:t>.</w:t>
      </w:r>
      <w:r w:rsidR="005D3BB9" w:rsidRPr="00D06495">
        <w:t xml:space="preserve"> </w:t>
      </w:r>
      <w:r w:rsidR="007E76BD" w:rsidRPr="00D06495">
        <w:t xml:space="preserve">Busan, </w:t>
      </w:r>
      <w:r w:rsidR="008A5623" w:rsidRPr="00D06495">
        <w:t>2014)</w:t>
      </w:r>
      <w:r w:rsidR="007E76BD" w:rsidRPr="00D06495">
        <w:t xml:space="preserve"> </w:t>
      </w:r>
      <w:r w:rsidRPr="00D06495">
        <w:t>et les indicateurs fondamentaux de performance ainsi que les résultats</w:t>
      </w:r>
      <w:bookmarkEnd w:id="66"/>
      <w:bookmarkEnd w:id="67"/>
      <w:bookmarkEnd w:id="68"/>
      <w:bookmarkEnd w:id="69"/>
      <w:bookmarkEnd w:id="70"/>
      <w:bookmarkEnd w:id="71"/>
      <w:r w:rsidRPr="00D06495">
        <w:t xml:space="preserve"> </w:t>
      </w:r>
    </w:p>
    <w:p w:rsidR="0000299B" w:rsidRPr="00D06495" w:rsidRDefault="0000299B" w:rsidP="001A4146">
      <w:pPr>
        <w:rPr>
          <w:bCs/>
        </w:rPr>
      </w:pPr>
      <w:bookmarkStart w:id="72" w:name="lt_pId101"/>
      <w:r w:rsidRPr="00D06495">
        <w:t>3</w:t>
      </w:r>
      <w:r w:rsidR="000535A9" w:rsidRPr="00D06495">
        <w:t>4</w:t>
      </w:r>
      <w:r w:rsidRPr="00D06495">
        <w:tab/>
      </w:r>
      <w:r w:rsidR="008A5623" w:rsidRPr="00D06495">
        <w:t xml:space="preserve">Conformément au point 2 du </w:t>
      </w:r>
      <w:r w:rsidR="008A5623" w:rsidRPr="00A3217B">
        <w:rPr>
          <w:i/>
          <w:iCs/>
        </w:rPr>
        <w:t>décide</w:t>
      </w:r>
      <w:r w:rsidR="008A5623" w:rsidRPr="00D06495">
        <w:t xml:space="preserve"> de la</w:t>
      </w:r>
      <w:r w:rsidRPr="00D06495">
        <w:t xml:space="preserve"> Résolution 11 (Rév</w:t>
      </w:r>
      <w:r w:rsidR="00C9329D" w:rsidRPr="00D06495">
        <w:t>.</w:t>
      </w:r>
      <w:r w:rsidR="005D3BB9" w:rsidRPr="00D06495">
        <w:t xml:space="preserve"> </w:t>
      </w:r>
      <w:r w:rsidRPr="00D06495">
        <w:t xml:space="preserve">Busan, 2014) de la Conférence de plénipotentiaires, </w:t>
      </w:r>
      <w:r w:rsidR="00B56B10">
        <w:t>"</w:t>
      </w:r>
      <w:r w:rsidRPr="00D06495">
        <w:t xml:space="preserve">le Secrétaire général est pleinement responsable des activités d'ITU Telecom </w:t>
      </w:r>
      <w:r w:rsidR="007E76BD" w:rsidRPr="00D06495">
        <w:t xml:space="preserve">World </w:t>
      </w:r>
      <w:r w:rsidRPr="00D06495">
        <w:t>(y compris de leur planification, de leur organisation et de leur financement)</w:t>
      </w:r>
      <w:r w:rsidR="00B56B10">
        <w:t>"</w:t>
      </w:r>
      <w:r w:rsidR="00C9329D" w:rsidRPr="00D06495">
        <w:t>.</w:t>
      </w:r>
      <w:bookmarkEnd w:id="72"/>
    </w:p>
    <w:p w:rsidR="0000299B" w:rsidRPr="00D06495" w:rsidRDefault="000535A9" w:rsidP="001A4146">
      <w:pPr>
        <w:rPr>
          <w:bCs/>
        </w:rPr>
      </w:pPr>
      <w:bookmarkStart w:id="73" w:name="lt_pId102"/>
      <w:r w:rsidRPr="00D06495">
        <w:t>35</w:t>
      </w:r>
      <w:r w:rsidR="0000299B" w:rsidRPr="00D06495">
        <w:tab/>
        <w:t>Nous avons analysé les différentes phases du processus et avons examiné, en ce qui concerne l'établissement de rapports, les documents pertinents qui fournissent au Secrétaire général une analyse des résultats – avec des liens et des comparaisons entre les indicateurs fondamentaux de performance et les résultats, dans le cadre des objectifs généraux énoncés dans la Résolution 11 – et la rentabilité de la manifestation</w:t>
      </w:r>
      <w:r w:rsidR="00C9329D" w:rsidRPr="00D06495">
        <w:t xml:space="preserve">. </w:t>
      </w:r>
      <w:bookmarkEnd w:id="73"/>
    </w:p>
    <w:p w:rsidR="0000299B" w:rsidRPr="00D06495" w:rsidRDefault="000535A9" w:rsidP="001A4146">
      <w:pPr>
        <w:rPr>
          <w:bCs/>
        </w:rPr>
      </w:pPr>
      <w:bookmarkStart w:id="74" w:name="lt_pId103"/>
      <w:r w:rsidRPr="00D06495">
        <w:t>36</w:t>
      </w:r>
      <w:r w:rsidR="0000299B" w:rsidRPr="00D06495">
        <w:tab/>
        <w:t>Nous avons obtenu auprès de la direction d'ITU Telecom l'</w:t>
      </w:r>
      <w:r w:rsidR="00B56B10">
        <w:t>"</w:t>
      </w:r>
      <w:r w:rsidR="0000299B" w:rsidRPr="00D06495">
        <w:t>analyse de l'événement</w:t>
      </w:r>
      <w:r w:rsidR="00B56B10">
        <w:t>"</w:t>
      </w:r>
      <w:r w:rsidR="0000299B" w:rsidRPr="00D06495">
        <w:t xml:space="preserve">, qui a été internalisée, et ce document nous a été dûment présenté et expliqué le </w:t>
      </w:r>
      <w:r w:rsidRPr="00D06495">
        <w:rPr>
          <w:bCs/>
        </w:rPr>
        <w:t>12</w:t>
      </w:r>
      <w:r w:rsidR="0000299B" w:rsidRPr="00D06495">
        <w:rPr>
          <w:bCs/>
        </w:rPr>
        <w:t xml:space="preserve"> avril 2016</w:t>
      </w:r>
      <w:r w:rsidR="00C9329D" w:rsidRPr="00D06495">
        <w:rPr>
          <w:bCs/>
        </w:rPr>
        <w:t>.</w:t>
      </w:r>
      <w:bookmarkEnd w:id="74"/>
      <w:r w:rsidR="005D3BB9" w:rsidRPr="00D06495">
        <w:rPr>
          <w:bCs/>
        </w:rPr>
        <w:t xml:space="preserve"> </w:t>
      </w:r>
    </w:p>
    <w:p w:rsidR="0000299B" w:rsidRPr="00D06495" w:rsidRDefault="000535A9" w:rsidP="001A4146">
      <w:bookmarkStart w:id="75" w:name="lt_pId104"/>
      <w:r w:rsidRPr="00D06495">
        <w:t>37</w:t>
      </w:r>
      <w:r w:rsidR="0000299B" w:rsidRPr="00D06495">
        <w:tab/>
        <w:t xml:space="preserve">Nous prenons acte des efforts entrepris pour améliorer les indicateurs fondamentaux de performance (IFP) et pour </w:t>
      </w:r>
      <w:r w:rsidR="0000299B" w:rsidRPr="00D06495">
        <w:rPr>
          <w:color w:val="000000"/>
        </w:rPr>
        <w:t>les utiliser afin de guider la conception et le déroulement des manifestations ITU Telecom World</w:t>
      </w:r>
      <w:r w:rsidR="00C9329D" w:rsidRPr="00D06495">
        <w:rPr>
          <w:color w:val="000000"/>
        </w:rPr>
        <w:t>.</w:t>
      </w:r>
      <w:bookmarkEnd w:id="75"/>
      <w:r w:rsidR="005D3BB9" w:rsidRPr="00D06495">
        <w:rPr>
          <w:color w:val="000000"/>
        </w:rPr>
        <w:t xml:space="preserve"> </w:t>
      </w:r>
    </w:p>
    <w:p w:rsidR="006A77BA" w:rsidRPr="00D06495" w:rsidRDefault="006A77BA" w:rsidP="00871131">
      <w:pPr>
        <w:pStyle w:val="Headingb"/>
      </w:pPr>
      <w:bookmarkStart w:id="76" w:name="_Toc482780306"/>
      <w:bookmarkStart w:id="77" w:name="_Toc482780456"/>
      <w:bookmarkStart w:id="78" w:name="_Toc482785810"/>
      <w:r w:rsidRPr="00D06495">
        <w:t>Procédure d'appel d'offres</w:t>
      </w:r>
      <w:bookmarkEnd w:id="76"/>
      <w:bookmarkEnd w:id="77"/>
      <w:bookmarkEnd w:id="78"/>
    </w:p>
    <w:p w:rsidR="006A77BA" w:rsidRPr="00D06495" w:rsidRDefault="006A77BA" w:rsidP="001A4146">
      <w:r w:rsidRPr="00D06495">
        <w:t>38</w:t>
      </w:r>
      <w:r w:rsidRPr="00D06495">
        <w:tab/>
      </w:r>
      <w:r w:rsidR="008A5623" w:rsidRPr="00D06495">
        <w:t>En outre, a</w:t>
      </w:r>
      <w:r w:rsidRPr="00D06495">
        <w:t xml:space="preserve">ux termes du point 5 du </w:t>
      </w:r>
      <w:r w:rsidRPr="00367998">
        <w:rPr>
          <w:i/>
          <w:iCs/>
        </w:rPr>
        <w:t>décide</w:t>
      </w:r>
      <w:r w:rsidRPr="00D06495">
        <w:t xml:space="preserve"> de la Résolution 11 (Rév</w:t>
      </w:r>
      <w:r w:rsidR="00C9329D" w:rsidRPr="00D06495">
        <w:t>.</w:t>
      </w:r>
      <w:r w:rsidR="005D3BB9" w:rsidRPr="00D06495">
        <w:t xml:space="preserve"> </w:t>
      </w:r>
      <w:r w:rsidRPr="00D06495">
        <w:t>Busan, 2014) de la Conférence de plénipotentiaires</w:t>
      </w:r>
      <w:r w:rsidR="008A5623" w:rsidRPr="00D06495">
        <w:t>,</w:t>
      </w:r>
      <w:r w:rsidRPr="00D06495">
        <w:t xml:space="preserve"> </w:t>
      </w:r>
      <w:r w:rsidR="00B56B10">
        <w:t>"</w:t>
      </w:r>
      <w:r w:rsidRPr="00D06495">
        <w:t>l'Union, dans sa procédure de sélection du lieu des manifestations ITU Telecom, doit assurer une procédure d'appel d'offres ouverte et transparente</w:t>
      </w:r>
      <w:r w:rsidR="00B56B10">
        <w:t>"</w:t>
      </w:r>
      <w:r w:rsidR="00C9329D" w:rsidRPr="00D06495">
        <w:t>.</w:t>
      </w:r>
      <w:r w:rsidR="005D3BB9" w:rsidRPr="00D06495">
        <w:t xml:space="preserve"> </w:t>
      </w:r>
    </w:p>
    <w:p w:rsidR="006A77BA" w:rsidRPr="00D06495" w:rsidRDefault="006A77BA" w:rsidP="001A4146">
      <w:r w:rsidRPr="00D06495">
        <w:t>39</w:t>
      </w:r>
      <w:r w:rsidRPr="00D06495">
        <w:tab/>
        <w:t xml:space="preserve">Le 24 février 2015, une Lettre circulaire officielle </w:t>
      </w:r>
      <w:r w:rsidR="007E76BD" w:rsidRPr="00D06495">
        <w:t xml:space="preserve">de l'UIT </w:t>
      </w:r>
      <w:r w:rsidRPr="00D06495">
        <w:t>a été envoyée aux</w:t>
      </w:r>
      <w:r w:rsidR="007E76BD" w:rsidRPr="00D06495">
        <w:t xml:space="preserve"> Etats Membres de l'Union</w:t>
      </w:r>
      <w:r w:rsidRPr="00D06495">
        <w:t xml:space="preserve"> pour les inviter à soumettre une offre pour accueillir ITU Telecom World 201</w:t>
      </w:r>
      <w:r w:rsidR="008A5623" w:rsidRPr="00D06495">
        <w:t>6</w:t>
      </w:r>
      <w:r w:rsidR="00C9329D" w:rsidRPr="00D06495">
        <w:t>.</w:t>
      </w:r>
      <w:r w:rsidR="005D3BB9" w:rsidRPr="00D06495">
        <w:t xml:space="preserve"> </w:t>
      </w:r>
      <w:r w:rsidRPr="00D06495">
        <w:t>La date limite de soumission des offres était fixée au 15 juin 2015</w:t>
      </w:r>
      <w:r w:rsidR="00C9329D" w:rsidRPr="00D06495">
        <w:t>.</w:t>
      </w:r>
      <w:r w:rsidR="005D3BB9" w:rsidRPr="00D06495">
        <w:t xml:space="preserve"> </w:t>
      </w:r>
    </w:p>
    <w:p w:rsidR="00896DD4" w:rsidRPr="00D06495" w:rsidRDefault="006A77BA" w:rsidP="001A4146">
      <w:r w:rsidRPr="00D06495">
        <w:t>40</w:t>
      </w:r>
      <w:r w:rsidRPr="00D06495">
        <w:tab/>
        <w:t>Nous avons été informés que des</w:t>
      </w:r>
      <w:r w:rsidR="007E76BD" w:rsidRPr="00D06495">
        <w:t xml:space="preserve"> </w:t>
      </w:r>
      <w:r w:rsidR="008A5623" w:rsidRPr="00D06495">
        <w:t>contacts</w:t>
      </w:r>
      <w:r w:rsidRPr="00D06495">
        <w:t xml:space="preserve"> avaient</w:t>
      </w:r>
      <w:r w:rsidR="007E76BD" w:rsidRPr="00D06495">
        <w:t xml:space="preserve"> </w:t>
      </w:r>
      <w:r w:rsidR="008A5623" w:rsidRPr="00D06495">
        <w:t>été pris</w:t>
      </w:r>
      <w:r w:rsidRPr="00D06495">
        <w:t xml:space="preserve"> avec plusieurs pays désireux d'accueillir la manifestation, mais qu'une seule offre officielle avait finalement été reçue</w:t>
      </w:r>
      <w:r w:rsidR="00C9329D" w:rsidRPr="00D06495">
        <w:t>.</w:t>
      </w:r>
    </w:p>
    <w:p w:rsidR="006A77BA" w:rsidRPr="00D06495" w:rsidRDefault="006A77BA" w:rsidP="00A3217B">
      <w:pPr>
        <w:rPr>
          <w:rFonts w:ascii="Times New Roman" w:hAnsi="Times New Roman"/>
          <w:lang w:eastAsia="it-IT"/>
        </w:rPr>
      </w:pPr>
      <w:r w:rsidRPr="00D06495">
        <w:t>41</w:t>
      </w:r>
      <w:r w:rsidRPr="00D06495">
        <w:tab/>
      </w:r>
      <w:r w:rsidR="008A5623" w:rsidRPr="00D06495">
        <w:t>Bien que la procédure d</w:t>
      </w:r>
      <w:r w:rsidR="001D0125">
        <w:t>'</w:t>
      </w:r>
      <w:r w:rsidR="008A5623" w:rsidRPr="00D06495">
        <w:t>appel d</w:t>
      </w:r>
      <w:r w:rsidR="001D0125">
        <w:t>'</w:t>
      </w:r>
      <w:r w:rsidR="008A5623" w:rsidRPr="00D06495">
        <w:t>offres ait été lancée à un stade précoce, les négociations menées pour arrêter définitivement les conditions de la proposition du pays hôte ont été plus longues que prévu</w:t>
      </w:r>
      <w:r w:rsidR="00C765F3" w:rsidRPr="00D06495">
        <w:t>,</w:t>
      </w:r>
      <w:r w:rsidR="00091A22" w:rsidRPr="00D06495">
        <w:t xml:space="preserve"> ce qui n</w:t>
      </w:r>
      <w:r w:rsidR="001D0125">
        <w:t>'</w:t>
      </w:r>
      <w:r w:rsidR="00091A22" w:rsidRPr="00D06495">
        <w:t>a pas permis</w:t>
      </w:r>
      <w:r w:rsidR="007E76BD" w:rsidRPr="00D06495">
        <w:t xml:space="preserve"> </w:t>
      </w:r>
      <w:r w:rsidR="00091A22" w:rsidRPr="00D06495">
        <w:t>d</w:t>
      </w:r>
      <w:r w:rsidR="001D0125">
        <w:t>'</w:t>
      </w:r>
      <w:r w:rsidR="00091A22" w:rsidRPr="00D06495">
        <w:t xml:space="preserve">annoncer </w:t>
      </w:r>
      <w:r w:rsidR="007E76BD" w:rsidRPr="00D06495">
        <w:t xml:space="preserve">de fait </w:t>
      </w:r>
      <w:r w:rsidR="00091A22" w:rsidRPr="00D06495">
        <w:t xml:space="preserve">la tenue de la </w:t>
      </w:r>
      <w:r w:rsidR="00B27599" w:rsidRPr="00D06495">
        <w:t>manifestation</w:t>
      </w:r>
      <w:r w:rsidR="007E76BD" w:rsidRPr="00D06495">
        <w:t xml:space="preserve"> </w:t>
      </w:r>
      <w:r w:rsidR="00B27599" w:rsidRPr="00D06495">
        <w:t>de</w:t>
      </w:r>
      <w:r w:rsidR="007E76BD" w:rsidRPr="00D06495">
        <w:t xml:space="preserve"> </w:t>
      </w:r>
      <w:r w:rsidRPr="00D06495">
        <w:t>2016</w:t>
      </w:r>
      <w:r w:rsidR="00B27599" w:rsidRPr="00D06495">
        <w:t xml:space="preserve"> pendant la manifestation de 2015</w:t>
      </w:r>
      <w:r w:rsidR="00C9329D" w:rsidRPr="00D06495">
        <w:t>.</w:t>
      </w:r>
      <w:r w:rsidR="005D3BB9" w:rsidRPr="00D06495">
        <w:t xml:space="preserve"> </w:t>
      </w:r>
      <w:r w:rsidR="00B27599" w:rsidRPr="00D06495">
        <w:t xml:space="preserve">Nous avons déjà présenté une </w:t>
      </w:r>
      <w:r w:rsidR="00C765F3" w:rsidRPr="00D06495">
        <w:t>suggestion</w:t>
      </w:r>
      <w:r w:rsidR="007E76BD" w:rsidRPr="00D06495">
        <w:t xml:space="preserve"> </w:t>
      </w:r>
      <w:r w:rsidR="00B27599" w:rsidRPr="00D06495">
        <w:t>sur cette question dans notre rapport de l</w:t>
      </w:r>
      <w:r w:rsidR="001D0125">
        <w:t>'</w:t>
      </w:r>
      <w:r w:rsidR="00B27599" w:rsidRPr="00D06495">
        <w:t>année dernière sur</w:t>
      </w:r>
      <w:r w:rsidR="007E76BD" w:rsidRPr="00D06495">
        <w:t xml:space="preserve"> </w:t>
      </w:r>
      <w:r w:rsidR="00B27599" w:rsidRPr="00D06495">
        <w:t>ITU World Telecom</w:t>
      </w:r>
      <w:r w:rsidR="00642E88">
        <w:t xml:space="preserve"> </w:t>
      </w:r>
      <w:r w:rsidR="00F805E4" w:rsidRPr="00D06495">
        <w:t>(</w:t>
      </w:r>
      <w:r w:rsidR="00B27599" w:rsidRPr="00D06495">
        <w:t xml:space="preserve">voir la </w:t>
      </w:r>
      <w:r w:rsidR="00B27599" w:rsidRPr="00D06495">
        <w:rPr>
          <w:color w:val="000000"/>
        </w:rPr>
        <w:t xml:space="preserve">proposition </w:t>
      </w:r>
      <w:r w:rsidR="00A3217B">
        <w:rPr>
          <w:color w:val="000000"/>
        </w:rPr>
        <w:t>N</w:t>
      </w:r>
      <w:r w:rsidR="00B27599" w:rsidRPr="00D06495">
        <w:rPr>
          <w:color w:val="000000"/>
        </w:rPr>
        <w:t>°</w:t>
      </w:r>
      <w:r w:rsidR="000B3DE6">
        <w:rPr>
          <w:color w:val="000000"/>
        </w:rPr>
        <w:t xml:space="preserve"> </w:t>
      </w:r>
      <w:r w:rsidRPr="00D06495">
        <w:t>5/2015)</w:t>
      </w:r>
      <w:r w:rsidR="00C9329D" w:rsidRPr="00D06495">
        <w:t>.</w:t>
      </w:r>
    </w:p>
    <w:p w:rsidR="005E4F21" w:rsidRPr="00D06495" w:rsidRDefault="005E4F21" w:rsidP="00871131">
      <w:pPr>
        <w:pStyle w:val="Headingb"/>
      </w:pPr>
      <w:bookmarkStart w:id="79" w:name="_Toc452113686"/>
      <w:bookmarkStart w:id="80" w:name="_Toc451274419"/>
      <w:bookmarkStart w:id="81" w:name="lt_pId110"/>
      <w:bookmarkStart w:id="82" w:name="_Toc482780307"/>
      <w:bookmarkStart w:id="83" w:name="_Toc482780457"/>
      <w:bookmarkStart w:id="84" w:name="_Toc482785811"/>
      <w:r w:rsidRPr="00D06495">
        <w:t>Comparaison entre le budget et les résultats réels</w:t>
      </w:r>
      <w:bookmarkEnd w:id="79"/>
      <w:bookmarkEnd w:id="80"/>
      <w:bookmarkEnd w:id="81"/>
      <w:bookmarkEnd w:id="82"/>
      <w:bookmarkEnd w:id="83"/>
      <w:bookmarkEnd w:id="84"/>
      <w:r w:rsidRPr="00D06495">
        <w:t xml:space="preserve"> </w:t>
      </w:r>
    </w:p>
    <w:p w:rsidR="005E4F21" w:rsidRPr="00D06495" w:rsidRDefault="005E4F21" w:rsidP="001A4146">
      <w:bookmarkStart w:id="85" w:name="lt_pId111"/>
      <w:r w:rsidRPr="00D06495">
        <w:t>42</w:t>
      </w:r>
      <w:r w:rsidRPr="00D06495">
        <w:tab/>
      </w:r>
      <w:r w:rsidR="00B27599" w:rsidRPr="00D06495">
        <w:t xml:space="preserve"> […]</w:t>
      </w:r>
      <w:r w:rsidR="007E76BD" w:rsidRPr="00D06495">
        <w:t xml:space="preserve"> </w:t>
      </w:r>
      <w:r w:rsidR="00C765F3" w:rsidRPr="00D06495">
        <w:t>A</w:t>
      </w:r>
      <w:r w:rsidRPr="00D06495">
        <w:t>ucune révision du budget n'a été adoptée</w:t>
      </w:r>
      <w:r w:rsidR="00C9329D" w:rsidRPr="00D06495">
        <w:t xml:space="preserve">. </w:t>
      </w:r>
      <w:r w:rsidR="00B27599" w:rsidRPr="00D06495">
        <w:t>[…]</w:t>
      </w:r>
      <w:r w:rsidR="007E76BD" w:rsidRPr="00D06495">
        <w:t xml:space="preserve"> </w:t>
      </w:r>
      <w:r w:rsidRPr="00D06495">
        <w:t>Cependant,</w:t>
      </w:r>
      <w:r w:rsidR="007E76BD" w:rsidRPr="00D06495">
        <w:t xml:space="preserve"> </w:t>
      </w:r>
      <w:r w:rsidRPr="00D06495">
        <w:t xml:space="preserve">nous avons constaté qu'il existait un écart important entre les montants inscrits au budget et les </w:t>
      </w:r>
      <w:r w:rsidRPr="00D06495">
        <w:rPr>
          <w:color w:val="000000"/>
        </w:rPr>
        <w:t>montants effectifs, tant en ce qui</w:t>
      </w:r>
      <w:r w:rsidRPr="00D06495">
        <w:t xml:space="preserve"> </w:t>
      </w:r>
      <w:bookmarkStart w:id="86" w:name="lt_pId112"/>
      <w:bookmarkEnd w:id="85"/>
      <w:r w:rsidRPr="00D06495">
        <w:t>concerne la ventilation que le montant total</w:t>
      </w:r>
      <w:r w:rsidR="00C9329D" w:rsidRPr="00D06495">
        <w:t>.</w:t>
      </w:r>
      <w:r w:rsidR="005D3BB9" w:rsidRPr="00D06495">
        <w:t xml:space="preserve"> </w:t>
      </w:r>
      <w:r w:rsidRPr="00D06495">
        <w:t>Nous présenterons ci-après quelques exemples concernant les produits et les charges</w:t>
      </w:r>
      <w:bookmarkEnd w:id="86"/>
      <w:r w:rsidR="00700CBE" w:rsidRPr="00D06495">
        <w:t>.</w:t>
      </w:r>
    </w:p>
    <w:p w:rsidR="00896DD4" w:rsidRPr="00D06495" w:rsidRDefault="005E4F21" w:rsidP="001A4146">
      <w:pPr>
        <w:pStyle w:val="Heading1"/>
      </w:pPr>
      <w:bookmarkStart w:id="87" w:name="_Toc482778592"/>
      <w:bookmarkStart w:id="88" w:name="_Toc482780308"/>
      <w:bookmarkStart w:id="89" w:name="_Toc482780458"/>
      <w:bookmarkStart w:id="90" w:name="_Toc482785812"/>
      <w:r w:rsidRPr="00D06495">
        <w:t>PRODUITS</w:t>
      </w:r>
      <w:bookmarkEnd w:id="87"/>
      <w:bookmarkEnd w:id="88"/>
      <w:bookmarkEnd w:id="89"/>
      <w:bookmarkEnd w:id="90"/>
      <w:r w:rsidR="00896DD4" w:rsidRPr="00D06495">
        <w:t xml:space="preserve"> </w:t>
      </w:r>
    </w:p>
    <w:p w:rsidR="00896DD4" w:rsidRPr="00D06495" w:rsidRDefault="005E4F21" w:rsidP="005D3BB9">
      <w:pPr>
        <w:pStyle w:val="Headingb"/>
      </w:pPr>
      <w:bookmarkStart w:id="91" w:name="_Toc482778593"/>
      <w:bookmarkStart w:id="92" w:name="_Toc482780309"/>
      <w:bookmarkStart w:id="93" w:name="_Toc482780459"/>
      <w:bookmarkStart w:id="94" w:name="_Toc482785813"/>
      <w:r w:rsidRPr="00D06495">
        <w:t>Cadre général</w:t>
      </w:r>
      <w:bookmarkEnd w:id="91"/>
      <w:bookmarkEnd w:id="92"/>
      <w:bookmarkEnd w:id="93"/>
      <w:bookmarkEnd w:id="94"/>
    </w:p>
    <w:p w:rsidR="00896DD4" w:rsidRPr="00D06495" w:rsidRDefault="005E4F21" w:rsidP="005D3BB9">
      <w:r w:rsidRPr="00D06495">
        <w:t>43</w:t>
      </w:r>
      <w:r w:rsidRPr="00D06495">
        <w:tab/>
      </w:r>
      <w:r w:rsidR="00B27599" w:rsidRPr="00D06495">
        <w:t>Les produits</w:t>
      </w:r>
      <w:r w:rsidR="00C765F3" w:rsidRPr="00D06495">
        <w:t>, qui ont atteint un</w:t>
      </w:r>
      <w:r w:rsidR="00B27599" w:rsidRPr="00D06495">
        <w:t xml:space="preserve"> total</w:t>
      </w:r>
      <w:r w:rsidR="007E76BD" w:rsidRPr="00D06495">
        <w:t xml:space="preserve"> </w:t>
      </w:r>
      <w:r w:rsidR="00B86E31">
        <w:t xml:space="preserve">de </w:t>
      </w:r>
      <w:r w:rsidR="00896DD4" w:rsidRPr="00D06495">
        <w:t>8</w:t>
      </w:r>
      <w:r w:rsidR="00526563">
        <w:t>,</w:t>
      </w:r>
      <w:r w:rsidR="00896DD4" w:rsidRPr="00D06495">
        <w:t>8</w:t>
      </w:r>
      <w:r w:rsidR="007E76BD" w:rsidRPr="00D06495">
        <w:t xml:space="preserve"> </w:t>
      </w:r>
      <w:r w:rsidR="00B27599" w:rsidRPr="00D06495">
        <w:t xml:space="preserve">millions </w:t>
      </w:r>
      <w:r w:rsidR="00C765F3" w:rsidRPr="00D06495">
        <w:t>CHF,</w:t>
      </w:r>
      <w:r w:rsidR="008F1133" w:rsidRPr="00D06495">
        <w:t xml:space="preserve"> ont été inférieurs au</w:t>
      </w:r>
      <w:r w:rsidR="007E76BD" w:rsidRPr="00D06495">
        <w:t xml:space="preserve"> </w:t>
      </w:r>
      <w:r w:rsidR="008F1133" w:rsidRPr="00D06495">
        <w:t>montant</w:t>
      </w:r>
      <w:r w:rsidR="007E76BD" w:rsidRPr="00D06495">
        <w:t xml:space="preserve"> </w:t>
      </w:r>
      <w:r w:rsidR="008F1133" w:rsidRPr="00D06495">
        <w:t>inscrit</w:t>
      </w:r>
      <w:r w:rsidR="007E76BD" w:rsidRPr="00D06495">
        <w:t xml:space="preserve"> </w:t>
      </w:r>
      <w:r w:rsidR="008F1133" w:rsidRPr="00D06495">
        <w:t xml:space="preserve">au budget </w:t>
      </w:r>
      <w:r w:rsidR="00F805E4" w:rsidRPr="00D06495">
        <w:t>(</w:t>
      </w:r>
      <w:r w:rsidR="00896DD4" w:rsidRPr="00D06495">
        <w:t>9</w:t>
      </w:r>
      <w:r w:rsidR="005D3BB9" w:rsidRPr="00D06495">
        <w:t>,</w:t>
      </w:r>
      <w:r w:rsidR="00896DD4" w:rsidRPr="00D06495">
        <w:t xml:space="preserve">1 </w:t>
      </w:r>
      <w:r w:rsidR="008F1133" w:rsidRPr="00D06495">
        <w:t xml:space="preserve">millions </w:t>
      </w:r>
      <w:r w:rsidR="00896DD4" w:rsidRPr="00D06495">
        <w:t>CHF</w:t>
      </w:r>
      <w:r w:rsidR="008F1133" w:rsidRPr="00D06495">
        <w:t>)</w:t>
      </w:r>
      <w:r w:rsidR="00C9329D" w:rsidRPr="00D06495">
        <w:t>.</w:t>
      </w:r>
      <w:r w:rsidR="005D3BB9" w:rsidRPr="00D06495">
        <w:t xml:space="preserve"> </w:t>
      </w:r>
      <w:r w:rsidR="008F1133" w:rsidRPr="00D06495">
        <w:t>Toutefois, ils ont été globalement supérieurs aux produits des manifestations précédentes</w:t>
      </w:r>
      <w:r w:rsidR="007E76BD" w:rsidRPr="00D06495">
        <w:t xml:space="preserve"> </w:t>
      </w:r>
      <w:r w:rsidR="00896DD4" w:rsidRPr="00D06495">
        <w:t>(7</w:t>
      </w:r>
      <w:r w:rsidR="005D3BB9" w:rsidRPr="00D06495">
        <w:t>,</w:t>
      </w:r>
      <w:r w:rsidR="00896DD4" w:rsidRPr="00D06495">
        <w:t xml:space="preserve">3 </w:t>
      </w:r>
      <w:r w:rsidR="008F1133" w:rsidRPr="00D06495">
        <w:t xml:space="preserve">millions </w:t>
      </w:r>
      <w:r w:rsidR="00896DD4" w:rsidRPr="00D06495">
        <w:t>CHF)</w:t>
      </w:r>
      <w:r w:rsidR="00C9329D" w:rsidRPr="00D06495">
        <w:t>.</w:t>
      </w:r>
    </w:p>
    <w:p w:rsidR="00896DD4" w:rsidRPr="00D06495" w:rsidRDefault="005E4F21" w:rsidP="001A4146">
      <w:r w:rsidRPr="00D06495">
        <w:lastRenderedPageBreak/>
        <w:t>44</w:t>
      </w:r>
      <w:r w:rsidRPr="00D06495">
        <w:tab/>
        <w:t>S'agissant de la composition des produits, la tendance a été marquée, ces cinq dernières années, par le rôle de plus en plus important</w:t>
      </w:r>
      <w:r w:rsidR="00C765F3" w:rsidRPr="00D06495">
        <w:t xml:space="preserve"> que jouent</w:t>
      </w:r>
      <w:r w:rsidRPr="00D06495">
        <w:t xml:space="preserve"> le</w:t>
      </w:r>
      <w:r w:rsidR="008F1133" w:rsidRPr="00D06495">
        <w:t>s</w:t>
      </w:r>
      <w:r w:rsidRPr="00D06495">
        <w:t xml:space="preserve"> pays hôte</w:t>
      </w:r>
      <w:r w:rsidR="00C765F3" w:rsidRPr="00D06495">
        <w:t>s</w:t>
      </w:r>
      <w:r w:rsidRPr="00D06495">
        <w:t xml:space="preserve"> (HC), puisque la part de</w:t>
      </w:r>
      <w:r w:rsidR="008F1133" w:rsidRPr="00D06495">
        <w:t xml:space="preserve"> leur</w:t>
      </w:r>
      <w:r w:rsidRPr="00D06495">
        <w:t xml:space="preserve"> contribution par rapport au total des produits est passée de </w:t>
      </w:r>
      <w:r w:rsidR="00896DD4" w:rsidRPr="00D06495">
        <w:t xml:space="preserve">23% </w:t>
      </w:r>
      <w:r w:rsidRPr="00D06495">
        <w:t>en</w:t>
      </w:r>
      <w:r w:rsidR="00896DD4" w:rsidRPr="00D06495">
        <w:t xml:space="preserve"> 2012 </w:t>
      </w:r>
      <w:r w:rsidRPr="00D06495">
        <w:t>à</w:t>
      </w:r>
      <w:r w:rsidR="00896DD4" w:rsidRPr="00D06495">
        <w:t xml:space="preserve"> 42% </w:t>
      </w:r>
      <w:r w:rsidRPr="00D06495">
        <w:t>en</w:t>
      </w:r>
      <w:r w:rsidR="00896DD4" w:rsidRPr="00D06495">
        <w:t xml:space="preserve"> 2015</w:t>
      </w:r>
      <w:r w:rsidR="00C9329D" w:rsidRPr="00D06495">
        <w:t>.</w:t>
      </w:r>
    </w:p>
    <w:p w:rsidR="00896DD4" w:rsidRPr="00D06495" w:rsidRDefault="005E4F21" w:rsidP="00B86E31">
      <w:pPr>
        <w:rPr>
          <w:rFonts w:eastAsiaTheme="minorEastAsia"/>
          <w:sz w:val="22"/>
          <w:szCs w:val="22"/>
          <w:lang w:eastAsia="zh-CN"/>
        </w:rPr>
      </w:pPr>
      <w:r w:rsidRPr="00D06495">
        <w:t>45</w:t>
      </w:r>
      <w:r w:rsidRPr="00D06495">
        <w:tab/>
      </w:r>
      <w:r w:rsidR="008F1133" w:rsidRPr="00D06495">
        <w:t>La contribution forfaitaire</w:t>
      </w:r>
      <w:r w:rsidR="007E76BD" w:rsidRPr="00D06495">
        <w:t xml:space="preserve"> </w:t>
      </w:r>
      <w:r w:rsidR="008F1133" w:rsidRPr="00D06495">
        <w:t>versée</w:t>
      </w:r>
      <w:r w:rsidR="007E76BD" w:rsidRPr="00D06495">
        <w:t xml:space="preserve"> </w:t>
      </w:r>
      <w:r w:rsidR="008F1133" w:rsidRPr="00D06495">
        <w:t xml:space="preserve">par le pays hôte </w:t>
      </w:r>
      <w:r w:rsidR="008F1133" w:rsidRPr="00D06495">
        <w:rPr>
          <w:color w:val="000000"/>
        </w:rPr>
        <w:t>pour ITU Telecom World 20</w:t>
      </w:r>
      <w:r w:rsidR="00C765F3" w:rsidRPr="00D06495">
        <w:t>16 (</w:t>
      </w:r>
      <w:r w:rsidR="00896DD4" w:rsidRPr="00D06495">
        <w:t>3</w:t>
      </w:r>
      <w:r w:rsidR="005D3BB9" w:rsidRPr="00D06495">
        <w:t>,</w:t>
      </w:r>
      <w:r w:rsidR="00896DD4" w:rsidRPr="00D06495">
        <w:t>5</w:t>
      </w:r>
      <w:r w:rsidR="00B86E31">
        <w:t> millions </w:t>
      </w:r>
      <w:r w:rsidR="008F1133" w:rsidRPr="00D06495">
        <w:t>CHF</w:t>
      </w:r>
      <w:r w:rsidR="00C765F3" w:rsidRPr="00D06495">
        <w:t>)</w:t>
      </w:r>
      <w:r w:rsidR="008F1133" w:rsidRPr="00D06495">
        <w:t xml:space="preserve">, </w:t>
      </w:r>
      <w:r w:rsidR="00C765F3" w:rsidRPr="00D06495">
        <w:t>est la même que celle</w:t>
      </w:r>
      <w:r w:rsidR="007E76BD" w:rsidRPr="00D06495">
        <w:t xml:space="preserve"> </w:t>
      </w:r>
      <w:r w:rsidR="008F1133" w:rsidRPr="00D06495">
        <w:t>versée pour</w:t>
      </w:r>
      <w:r w:rsidR="008F1133" w:rsidRPr="00D06495">
        <w:rPr>
          <w:color w:val="000000"/>
        </w:rPr>
        <w:t xml:space="preserve"> ITU Telecom World</w:t>
      </w:r>
      <w:r w:rsidR="007E76BD" w:rsidRPr="00D06495">
        <w:t xml:space="preserve"> </w:t>
      </w:r>
      <w:r w:rsidR="008F1133" w:rsidRPr="00D06495">
        <w:t>20</w:t>
      </w:r>
      <w:r w:rsidR="00896DD4" w:rsidRPr="00D06495">
        <w:t>13</w:t>
      </w:r>
      <w:r w:rsidR="00C9329D" w:rsidRPr="00D06495">
        <w:t>.</w:t>
      </w:r>
      <w:r w:rsidR="005D3BB9" w:rsidRPr="00D06495">
        <w:t xml:space="preserve"> </w:t>
      </w:r>
      <w:r w:rsidR="008F1133" w:rsidRPr="00D06495">
        <w:t>Cependant, la somme forfaitaire pour</w:t>
      </w:r>
      <w:r w:rsidR="008F1133" w:rsidRPr="00D06495">
        <w:rPr>
          <w:color w:val="000000"/>
        </w:rPr>
        <w:t xml:space="preserve"> ITU Telecom World 20</w:t>
      </w:r>
      <w:r w:rsidR="008F1133" w:rsidRPr="00D06495">
        <w:t>16</w:t>
      </w:r>
      <w:r w:rsidR="007E76BD" w:rsidRPr="00D06495">
        <w:t xml:space="preserve"> </w:t>
      </w:r>
      <w:r w:rsidR="008F1133" w:rsidRPr="00D06495">
        <w:t>englobait déjà la contribution</w:t>
      </w:r>
      <w:r w:rsidR="007E76BD" w:rsidRPr="00D06495">
        <w:t xml:space="preserve"> </w:t>
      </w:r>
      <w:r w:rsidR="008F1133" w:rsidRPr="00D06495">
        <w:t>relative à l</w:t>
      </w:r>
      <w:r w:rsidR="001D0125">
        <w:t>'</w:t>
      </w:r>
      <w:r w:rsidR="008F1133" w:rsidRPr="00D06495">
        <w:t xml:space="preserve">hébergement, aux </w:t>
      </w:r>
      <w:r w:rsidR="008F1133" w:rsidRPr="00D06495">
        <w:rPr>
          <w:color w:val="000000"/>
        </w:rPr>
        <w:t>indemnités journalières de subsistance, aux billets d</w:t>
      </w:r>
      <w:r w:rsidR="001D0125">
        <w:rPr>
          <w:color w:val="000000"/>
        </w:rPr>
        <w:t>'</w:t>
      </w:r>
      <w:r w:rsidR="008F1133" w:rsidRPr="00D06495">
        <w:rPr>
          <w:color w:val="000000"/>
        </w:rPr>
        <w:t>avion</w:t>
      </w:r>
      <w:r w:rsidR="007E76BD" w:rsidRPr="00D06495">
        <w:rPr>
          <w:color w:val="000000"/>
        </w:rPr>
        <w:t xml:space="preserve"> </w:t>
      </w:r>
      <w:r w:rsidR="008F1133" w:rsidRPr="00D06495">
        <w:rPr>
          <w:color w:val="000000"/>
        </w:rPr>
        <w:t>et à l</w:t>
      </w:r>
      <w:r w:rsidR="001D0125">
        <w:rPr>
          <w:color w:val="000000"/>
        </w:rPr>
        <w:t>'</w:t>
      </w:r>
      <w:r w:rsidR="008F1133" w:rsidRPr="00D06495">
        <w:rPr>
          <w:color w:val="000000"/>
        </w:rPr>
        <w:t>indemnité pour faux frais</w:t>
      </w:r>
      <w:r w:rsidR="0011428C" w:rsidRPr="00D06495">
        <w:rPr>
          <w:color w:val="000000"/>
        </w:rPr>
        <w:t xml:space="preserve"> </w:t>
      </w:r>
      <w:r w:rsidR="00C765F3" w:rsidRPr="00D06495">
        <w:rPr>
          <w:color w:val="000000"/>
        </w:rPr>
        <w:t>des</w:t>
      </w:r>
      <w:r w:rsidR="0011428C" w:rsidRPr="00D06495">
        <w:rPr>
          <w:color w:val="000000"/>
        </w:rPr>
        <w:t xml:space="preserve"> fonctionnaires de l</w:t>
      </w:r>
      <w:r w:rsidR="001D0125">
        <w:rPr>
          <w:color w:val="000000"/>
        </w:rPr>
        <w:t>'</w:t>
      </w:r>
      <w:r w:rsidR="0011428C" w:rsidRPr="00D06495">
        <w:rPr>
          <w:color w:val="000000"/>
        </w:rPr>
        <w:t>UIT voyageant à destination de Bangkok</w:t>
      </w:r>
      <w:r w:rsidR="00C765F3" w:rsidRPr="00D06495">
        <w:rPr>
          <w:color w:val="000000"/>
        </w:rPr>
        <w:t xml:space="preserve"> </w:t>
      </w:r>
      <w:r w:rsidR="0011428C" w:rsidRPr="00D06495">
        <w:t>pour des missions avant la manifestation et pour la manifestation proprement dite</w:t>
      </w:r>
      <w:r w:rsidR="007E76BD" w:rsidRPr="00D06495">
        <w:t xml:space="preserve"> </w:t>
      </w:r>
      <w:r w:rsidR="00C765F3" w:rsidRPr="00D06495">
        <w:t>ainsi qu'au transport du matériel de l'UIT pour la manifestation</w:t>
      </w:r>
      <w:r w:rsidR="00C9329D" w:rsidRPr="00D06495">
        <w:t>.</w:t>
      </w:r>
      <w:r w:rsidR="005D3BB9" w:rsidRPr="00D06495">
        <w:t xml:space="preserve"> </w:t>
      </w:r>
      <w:r w:rsidR="00C765F3" w:rsidRPr="00D06495">
        <w:t>P</w:t>
      </w:r>
      <w:r w:rsidR="0011428C" w:rsidRPr="00D06495">
        <w:t>our</w:t>
      </w:r>
      <w:r w:rsidR="0011428C" w:rsidRPr="00D06495">
        <w:rPr>
          <w:color w:val="000000"/>
        </w:rPr>
        <w:t xml:space="preserve"> ITU Telecom World</w:t>
      </w:r>
      <w:r w:rsidR="007E76BD" w:rsidRPr="00D06495">
        <w:t xml:space="preserve"> </w:t>
      </w:r>
      <w:r w:rsidR="0011428C" w:rsidRPr="00D06495">
        <w:t xml:space="preserve">2013, en </w:t>
      </w:r>
      <w:r w:rsidR="00B86E31">
        <w:t>plus de la somme forfaitaire de </w:t>
      </w:r>
      <w:r w:rsidR="0011428C" w:rsidRPr="00D06495">
        <w:t>3</w:t>
      </w:r>
      <w:r w:rsidR="00700CBE" w:rsidRPr="00D06495">
        <w:t>,</w:t>
      </w:r>
      <w:r w:rsidR="0011428C" w:rsidRPr="00D06495">
        <w:t>5 millions CHF</w:t>
      </w:r>
      <w:r w:rsidR="00C765F3" w:rsidRPr="00D06495">
        <w:t>,</w:t>
      </w:r>
      <w:r w:rsidR="0011428C" w:rsidRPr="00D06495">
        <w:t xml:space="preserve"> le pays hôte a</w:t>
      </w:r>
      <w:r w:rsidR="00C765F3" w:rsidRPr="00D06495">
        <w:t>vait</w:t>
      </w:r>
      <w:r w:rsidR="0011428C" w:rsidRPr="00D06495">
        <w:t xml:space="preserve"> également versé une contribution financière pour les frais de voyage du personnel de l</w:t>
      </w:r>
      <w:r w:rsidR="001D0125">
        <w:t>'</w:t>
      </w:r>
      <w:r w:rsidR="0011428C" w:rsidRPr="00D06495">
        <w:t xml:space="preserve">UIT, </w:t>
      </w:r>
      <w:r w:rsidR="00C765F3" w:rsidRPr="00D06495">
        <w:t>d'un montant</w:t>
      </w:r>
      <w:r w:rsidR="0011428C" w:rsidRPr="00D06495">
        <w:t xml:space="preserve"> de</w:t>
      </w:r>
      <w:r w:rsidR="007E76BD" w:rsidRPr="00D06495">
        <w:t xml:space="preserve"> </w:t>
      </w:r>
      <w:r w:rsidR="005D3BB9" w:rsidRPr="00D06495">
        <w:t xml:space="preserve">454 </w:t>
      </w:r>
      <w:r w:rsidR="00896DD4" w:rsidRPr="00D06495">
        <w:t>276</w:t>
      </w:r>
      <w:r w:rsidR="005D3BB9" w:rsidRPr="00D06495">
        <w:t>,</w:t>
      </w:r>
      <w:r w:rsidR="00896DD4" w:rsidRPr="00D06495">
        <w:t>70</w:t>
      </w:r>
      <w:r w:rsidR="005D3BB9" w:rsidRPr="00D06495">
        <w:t xml:space="preserve"> </w:t>
      </w:r>
      <w:r w:rsidR="0011428C" w:rsidRPr="00D06495">
        <w:t>CHF</w:t>
      </w:r>
      <w:r w:rsidR="00C9329D" w:rsidRPr="00D06495">
        <w:t>.</w:t>
      </w:r>
      <w:r w:rsidR="005D3BB9" w:rsidRPr="00D06495">
        <w:t xml:space="preserve"> </w:t>
      </w:r>
      <w:r w:rsidR="0011428C" w:rsidRPr="00D06495">
        <w:t>En principe, le pays hôte fournit des services audiovisuels en nature</w:t>
      </w:r>
      <w:r w:rsidR="00C9329D" w:rsidRPr="00D06495">
        <w:t>.</w:t>
      </w:r>
      <w:r w:rsidR="005D3BB9" w:rsidRPr="00D06495">
        <w:t xml:space="preserve"> </w:t>
      </w:r>
      <w:r w:rsidR="0011428C" w:rsidRPr="00D06495">
        <w:t xml:space="preserve">Cependant, pour </w:t>
      </w:r>
      <w:r w:rsidR="0011428C" w:rsidRPr="00D06495">
        <w:rPr>
          <w:color w:val="000000"/>
        </w:rPr>
        <w:t>ITU</w:t>
      </w:r>
      <w:r w:rsidR="0011428C" w:rsidRPr="00D06495">
        <w:t xml:space="preserve"> Telecom world 2016, </w:t>
      </w:r>
      <w:r w:rsidR="00C765F3" w:rsidRPr="00D06495">
        <w:t>le pays hôte a préféré économiser</w:t>
      </w:r>
      <w:r w:rsidR="0011428C" w:rsidRPr="00D06495">
        <w:t xml:space="preserve"> ses propres frais généraux d</w:t>
      </w:r>
      <w:r w:rsidR="001D0125">
        <w:t>'</w:t>
      </w:r>
      <w:r w:rsidR="0011428C" w:rsidRPr="00D06495">
        <w:t>organisation en mettant à la disposition de l</w:t>
      </w:r>
      <w:r w:rsidR="001D0125">
        <w:t>'</w:t>
      </w:r>
      <w:r w:rsidR="0011428C" w:rsidRPr="00D06495">
        <w:t>UIT</w:t>
      </w:r>
      <w:r w:rsidR="007E76BD" w:rsidRPr="00D06495">
        <w:t xml:space="preserve"> </w:t>
      </w:r>
      <w:r w:rsidR="0011428C" w:rsidRPr="00D06495">
        <w:t>les fonds additionnels</w:t>
      </w:r>
      <w:r w:rsidR="007E76BD" w:rsidRPr="00D06495">
        <w:t xml:space="preserve"> </w:t>
      </w:r>
      <w:r w:rsidR="00700CBE" w:rsidRPr="00D06495">
        <w:t>(</w:t>
      </w:r>
      <w:r w:rsidR="0011428C" w:rsidRPr="00D06495">
        <w:rPr>
          <w:color w:val="000000"/>
        </w:rPr>
        <w:t>600 000</w:t>
      </w:r>
      <w:r w:rsidR="00700CBE" w:rsidRPr="00D06495">
        <w:rPr>
          <w:color w:val="000000"/>
        </w:rPr>
        <w:t xml:space="preserve"> CHF</w:t>
      </w:r>
      <w:r w:rsidR="00896DD4" w:rsidRPr="00D06495">
        <w:t>)</w:t>
      </w:r>
      <w:r w:rsidR="0011428C" w:rsidRPr="00D06495">
        <w:t xml:space="preserve"> </w:t>
      </w:r>
      <w:r w:rsidR="00C765F3" w:rsidRPr="00D06495">
        <w:t xml:space="preserve">nécessaires à l'acquisition et à la gestion </w:t>
      </w:r>
      <w:r w:rsidR="00526563">
        <w:t xml:space="preserve">directes </w:t>
      </w:r>
      <w:r w:rsidR="00C765F3" w:rsidRPr="00D06495">
        <w:t>de</w:t>
      </w:r>
      <w:r w:rsidR="0011428C" w:rsidRPr="00D06495">
        <w:t xml:space="preserve"> ces services</w:t>
      </w:r>
      <w:r w:rsidR="00C9329D" w:rsidRPr="00D06495">
        <w:t>.</w:t>
      </w:r>
      <w:r w:rsidR="005D3BB9" w:rsidRPr="00D06495">
        <w:t xml:space="preserve"> </w:t>
      </w:r>
      <w:r w:rsidR="0011428C" w:rsidRPr="00D06495">
        <w:t xml:space="preserve">En conséquence, la valeur de la contribution </w:t>
      </w:r>
      <w:r w:rsidR="00C765F3" w:rsidRPr="00D06495">
        <w:t>fournie par le pays hôte pour l'</w:t>
      </w:r>
      <w:r w:rsidR="0011428C" w:rsidRPr="00D06495">
        <w:rPr>
          <w:color w:val="000000"/>
        </w:rPr>
        <w:t>ITU</w:t>
      </w:r>
      <w:r w:rsidR="00C765F3" w:rsidRPr="00D06495">
        <w:t xml:space="preserve"> Telecom W</w:t>
      </w:r>
      <w:r w:rsidR="0011428C" w:rsidRPr="00D06495">
        <w:t>orld 2016 a été inférieur</w:t>
      </w:r>
      <w:r w:rsidR="00C765F3" w:rsidRPr="00D06495">
        <w:t>e à l</w:t>
      </w:r>
      <w:r w:rsidR="0011428C" w:rsidRPr="00D06495">
        <w:t xml:space="preserve">a contribution </w:t>
      </w:r>
      <w:r w:rsidR="00C765F3" w:rsidRPr="00D06495">
        <w:t>qu'il avait apportée pour</w:t>
      </w:r>
      <w:r w:rsidR="0011428C" w:rsidRPr="00D06495">
        <w:rPr>
          <w:color w:val="000000"/>
        </w:rPr>
        <w:t xml:space="preserve"> ITU Telecom World</w:t>
      </w:r>
      <w:r w:rsidR="007E76BD" w:rsidRPr="00D06495">
        <w:t xml:space="preserve"> </w:t>
      </w:r>
      <w:r w:rsidR="0011428C" w:rsidRPr="00D06495">
        <w:t>2013</w:t>
      </w:r>
      <w:r w:rsidR="00700CBE" w:rsidRPr="00D06495">
        <w:t>.</w:t>
      </w:r>
    </w:p>
    <w:p w:rsidR="00896DD4" w:rsidRPr="00D06495" w:rsidRDefault="005E4F21" w:rsidP="001A4146">
      <w:r w:rsidRPr="00D06495">
        <w:t>46</w:t>
      </w:r>
      <w:r w:rsidRPr="00D06495">
        <w:tab/>
      </w:r>
      <w:r w:rsidR="00F805E4" w:rsidRPr="00D06495">
        <w:t>A</w:t>
      </w:r>
      <w:r w:rsidR="0011428C" w:rsidRPr="00D06495">
        <w:t xml:space="preserve"> </w:t>
      </w:r>
      <w:proofErr w:type="gramStart"/>
      <w:r w:rsidR="0011428C" w:rsidRPr="00D06495">
        <w:t>l</w:t>
      </w:r>
      <w:r w:rsidR="001D0125">
        <w:t>'</w:t>
      </w:r>
      <w:r w:rsidR="0011428C" w:rsidRPr="00D06495">
        <w:t>avenir</w:t>
      </w:r>
      <w:proofErr w:type="gramEnd"/>
      <w:r w:rsidR="0011428C" w:rsidRPr="00D06495">
        <w:t>, les pays qui ne sont pas nécessairement en mesure d</w:t>
      </w:r>
      <w:r w:rsidR="001D0125">
        <w:t>'</w:t>
      </w:r>
      <w:r w:rsidR="0011428C" w:rsidRPr="00D06495">
        <w:t xml:space="preserve">apporter une contribution financière aussi importante </w:t>
      </w:r>
      <w:r w:rsidR="00556285" w:rsidRPr="00D06495">
        <w:t>que</w:t>
      </w:r>
      <w:r w:rsidR="007E76BD" w:rsidRPr="00D06495">
        <w:t xml:space="preserve"> </w:t>
      </w:r>
      <w:r w:rsidR="00556285" w:rsidRPr="00D06495">
        <w:t>lors de</w:t>
      </w:r>
      <w:r w:rsidR="00C765F3" w:rsidRPr="00D06495">
        <w:t>s</w:t>
      </w:r>
      <w:r w:rsidR="00556285" w:rsidRPr="00D06495">
        <w:t xml:space="preserve"> manifestations précédentes</w:t>
      </w:r>
      <w:r w:rsidR="007E76BD" w:rsidRPr="00D06495">
        <w:t xml:space="preserve"> </w:t>
      </w:r>
      <w:r w:rsidR="00C765F3" w:rsidRPr="00D06495">
        <w:t>pourront être pris</w:t>
      </w:r>
      <w:r w:rsidR="00556285" w:rsidRPr="00D06495">
        <w:t xml:space="preserve"> en considération en vue de la tenue de manifestations </w:t>
      </w:r>
      <w:r w:rsidR="00896DD4" w:rsidRPr="00D06495">
        <w:t>ITU Telecom</w:t>
      </w:r>
      <w:r w:rsidR="00556285" w:rsidRPr="00D06495">
        <w:t>, conformément à la Résolution</w:t>
      </w:r>
      <w:r w:rsidR="007E76BD" w:rsidRPr="00D06495">
        <w:t xml:space="preserve"> </w:t>
      </w:r>
      <w:r w:rsidR="00896DD4" w:rsidRPr="00D06495">
        <w:t>11 (</w:t>
      </w:r>
      <w:r w:rsidR="00C765F3" w:rsidRPr="00D06495">
        <w:t>Rév</w:t>
      </w:r>
      <w:r w:rsidR="00C9329D" w:rsidRPr="00D06495">
        <w:t>.</w:t>
      </w:r>
      <w:r w:rsidR="005D3BB9" w:rsidRPr="00D06495">
        <w:t xml:space="preserve"> </w:t>
      </w:r>
      <w:r w:rsidR="00896DD4" w:rsidRPr="00D06495">
        <w:t>Busan</w:t>
      </w:r>
      <w:r w:rsidR="00C765F3" w:rsidRPr="00D06495">
        <w:t>,</w:t>
      </w:r>
      <w:r w:rsidR="00896DD4" w:rsidRPr="00D06495">
        <w:t xml:space="preserve"> 2014) </w:t>
      </w:r>
      <w:r w:rsidR="00556285" w:rsidRPr="00D06495">
        <w:t xml:space="preserve">et </w:t>
      </w:r>
      <w:r w:rsidR="00700CBE" w:rsidRPr="00D06495">
        <w:t>comme indiqué au § 28 ci-dessus.</w:t>
      </w:r>
    </w:p>
    <w:p w:rsidR="00896DD4" w:rsidRPr="00D06495" w:rsidRDefault="00896DD4" w:rsidP="005D3BB9">
      <w:pPr>
        <w:pStyle w:val="Headingi"/>
      </w:pPr>
      <w:bookmarkStart w:id="95" w:name="_Toc482778594"/>
      <w:bookmarkStart w:id="96" w:name="_Toc482780310"/>
      <w:bookmarkStart w:id="97" w:name="_Toc482780460"/>
      <w:bookmarkStart w:id="98" w:name="_Toc482785814"/>
      <w:r w:rsidRPr="00D06495">
        <w:t>Sponsors</w:t>
      </w:r>
      <w:bookmarkEnd w:id="95"/>
      <w:bookmarkEnd w:id="96"/>
      <w:bookmarkEnd w:id="97"/>
      <w:bookmarkEnd w:id="98"/>
    </w:p>
    <w:p w:rsidR="00896DD4" w:rsidRPr="00D06495" w:rsidRDefault="00D31ACD" w:rsidP="00B86E31">
      <w:pPr>
        <w:spacing w:after="240"/>
        <w:rPr>
          <w:noProof/>
        </w:rPr>
      </w:pPr>
      <w:r w:rsidRPr="00D06495">
        <w:t>47</w:t>
      </w:r>
      <w:r w:rsidRPr="00D06495">
        <w:tab/>
        <w:t>Les produits générés par les parrainages, à l'exclusion de la contribution du pays hôte, qui devaient s'établir à</w:t>
      </w:r>
      <w:r w:rsidR="007E76BD" w:rsidRPr="00D06495">
        <w:t xml:space="preserve"> </w:t>
      </w:r>
      <w:r w:rsidR="00896DD4" w:rsidRPr="00D06495">
        <w:t>1</w:t>
      </w:r>
      <w:r w:rsidR="001D0125">
        <w:t xml:space="preserve"> </w:t>
      </w:r>
      <w:r w:rsidR="00896DD4" w:rsidRPr="00D06495">
        <w:t>030</w:t>
      </w:r>
      <w:r w:rsidR="007E76BD" w:rsidRPr="00D06495">
        <w:t xml:space="preserve"> </w:t>
      </w:r>
      <w:r w:rsidR="00556285" w:rsidRPr="00D06495">
        <w:rPr>
          <w:color w:val="000000"/>
        </w:rPr>
        <w:t>000</w:t>
      </w:r>
      <w:r w:rsidR="007E76BD" w:rsidRPr="00D06495">
        <w:t xml:space="preserve"> </w:t>
      </w:r>
      <w:r w:rsidR="00896DD4" w:rsidRPr="00D06495">
        <w:t xml:space="preserve">CHF, </w:t>
      </w:r>
      <w:r w:rsidR="00556285" w:rsidRPr="00D06495">
        <w:rPr>
          <w:color w:val="000000"/>
        </w:rPr>
        <w:t>se sont chiffrés à</w:t>
      </w:r>
      <w:r w:rsidR="00556285" w:rsidRPr="00D06495">
        <w:t xml:space="preserve"> </w:t>
      </w:r>
      <w:r w:rsidR="00896DD4" w:rsidRPr="00D06495">
        <w:t>1</w:t>
      </w:r>
      <w:r w:rsidR="00556285" w:rsidRPr="00D06495">
        <w:t xml:space="preserve"> </w:t>
      </w:r>
      <w:r w:rsidR="00896DD4" w:rsidRPr="00D06495">
        <w:t xml:space="preserve">183 </w:t>
      </w:r>
      <w:r w:rsidR="00556285" w:rsidRPr="00D06495">
        <w:rPr>
          <w:color w:val="000000"/>
        </w:rPr>
        <w:t>000</w:t>
      </w:r>
      <w:r w:rsidR="00556285" w:rsidRPr="00D06495">
        <w:t xml:space="preserve"> </w:t>
      </w:r>
      <w:r w:rsidR="00896DD4" w:rsidRPr="00D06495">
        <w:t>CHF</w:t>
      </w:r>
      <w:r w:rsidR="00C9329D" w:rsidRPr="00D06495">
        <w:t xml:space="preserve">. </w:t>
      </w:r>
      <w:r w:rsidR="00C765F3" w:rsidRPr="00D06495">
        <w:t>Ce montant</w:t>
      </w:r>
      <w:r w:rsidR="00556285" w:rsidRPr="00D06495">
        <w:t xml:space="preserve"> représente une nette augmentation par rapport </w:t>
      </w:r>
      <w:r w:rsidR="00C765F3" w:rsidRPr="00D06495">
        <w:rPr>
          <w:color w:val="000000"/>
        </w:rPr>
        <w:t>à</w:t>
      </w:r>
      <w:r w:rsidR="0019006F" w:rsidRPr="00D06495">
        <w:rPr>
          <w:color w:val="000000"/>
        </w:rPr>
        <w:t xml:space="preserve"> la</w:t>
      </w:r>
      <w:r w:rsidR="007E76BD" w:rsidRPr="00D06495">
        <w:rPr>
          <w:color w:val="000000"/>
        </w:rPr>
        <w:t xml:space="preserve"> </w:t>
      </w:r>
      <w:r w:rsidR="0019006F" w:rsidRPr="00D06495">
        <w:rPr>
          <w:color w:val="000000"/>
        </w:rPr>
        <w:t>valeur</w:t>
      </w:r>
      <w:r w:rsidR="007E76BD" w:rsidRPr="00D06495">
        <w:rPr>
          <w:color w:val="000000"/>
        </w:rPr>
        <w:t xml:space="preserve"> </w:t>
      </w:r>
      <w:r w:rsidR="0019006F" w:rsidRPr="00D06495">
        <w:rPr>
          <w:color w:val="000000"/>
        </w:rPr>
        <w:t>de l'année précédente</w:t>
      </w:r>
      <w:r w:rsidR="0019006F" w:rsidRPr="00D06495">
        <w:t xml:space="preserve"> </w:t>
      </w:r>
      <w:r w:rsidR="00896DD4" w:rsidRPr="00D06495">
        <w:t xml:space="preserve">(2015) </w:t>
      </w:r>
      <w:r w:rsidR="0019006F" w:rsidRPr="00D06495">
        <w:t>(</w:t>
      </w:r>
      <w:r w:rsidR="0019006F" w:rsidRPr="00D06495">
        <w:rPr>
          <w:color w:val="000000"/>
        </w:rPr>
        <w:t>883 000</w:t>
      </w:r>
      <w:r w:rsidR="0019006F" w:rsidRPr="00D06495">
        <w:t xml:space="preserve"> CHF)</w:t>
      </w:r>
      <w:r w:rsidR="007E76BD" w:rsidRPr="00D06495">
        <w:t xml:space="preserve"> </w:t>
      </w:r>
      <w:r w:rsidR="00556285" w:rsidRPr="00D06495">
        <w:t>et infirme la tendance à la baisse</w:t>
      </w:r>
      <w:r w:rsidR="007E76BD" w:rsidRPr="00D06495">
        <w:t xml:space="preserve"> </w:t>
      </w:r>
      <w:r w:rsidR="00556285" w:rsidRPr="00D06495">
        <w:t>observée ces cinq dernières années, durant lesquelles les produits étaient tombés de</w:t>
      </w:r>
      <w:r w:rsidR="007E76BD" w:rsidRPr="00D06495">
        <w:t xml:space="preserve"> </w:t>
      </w:r>
      <w:r w:rsidR="001D0125">
        <w:t xml:space="preserve">2 </w:t>
      </w:r>
      <w:r w:rsidR="00896DD4" w:rsidRPr="00D06495">
        <w:t>654</w:t>
      </w:r>
      <w:r w:rsidR="007E76BD" w:rsidRPr="00D06495">
        <w:t xml:space="preserve"> </w:t>
      </w:r>
      <w:r w:rsidR="00556285" w:rsidRPr="00D06495">
        <w:rPr>
          <w:color w:val="000000"/>
        </w:rPr>
        <w:t>000</w:t>
      </w:r>
      <w:r w:rsidR="007E76BD" w:rsidRPr="00D06495">
        <w:t xml:space="preserve"> </w:t>
      </w:r>
      <w:r w:rsidR="00896DD4" w:rsidRPr="00D06495">
        <w:t xml:space="preserve">CHF </w:t>
      </w:r>
      <w:r w:rsidR="00556285" w:rsidRPr="00D06495">
        <w:t>e</w:t>
      </w:r>
      <w:r w:rsidR="00896DD4" w:rsidRPr="00D06495">
        <w:t>n 2011</w:t>
      </w:r>
      <w:r w:rsidR="007E76BD" w:rsidRPr="00D06495">
        <w:t xml:space="preserve"> </w:t>
      </w:r>
      <w:r w:rsidR="00556285" w:rsidRPr="00D06495">
        <w:t>au</w:t>
      </w:r>
      <w:r w:rsidR="007E76BD" w:rsidRPr="00D06495">
        <w:t xml:space="preserve"> </w:t>
      </w:r>
      <w:r w:rsidR="00556285" w:rsidRPr="00D06495">
        <w:t>montant</w:t>
      </w:r>
      <w:r w:rsidR="007E76BD" w:rsidRPr="00D06495">
        <w:t xml:space="preserve"> </w:t>
      </w:r>
      <w:r w:rsidR="00556285" w:rsidRPr="00D06495">
        <w:t>précité</w:t>
      </w:r>
      <w:r w:rsidR="007E76BD" w:rsidRPr="00D06495">
        <w:t xml:space="preserve"> </w:t>
      </w:r>
      <w:r w:rsidR="00556285" w:rsidRPr="00D06495">
        <w:t xml:space="preserve">de </w:t>
      </w:r>
      <w:r w:rsidR="00896DD4" w:rsidRPr="00D06495">
        <w:t>883</w:t>
      </w:r>
      <w:r w:rsidR="007E76BD" w:rsidRPr="00D06495">
        <w:t xml:space="preserve"> </w:t>
      </w:r>
      <w:r w:rsidR="00556285" w:rsidRPr="00D06495">
        <w:rPr>
          <w:color w:val="000000"/>
        </w:rPr>
        <w:t>000</w:t>
      </w:r>
      <w:r w:rsidR="007E76BD" w:rsidRPr="00D06495">
        <w:t xml:space="preserve"> </w:t>
      </w:r>
      <w:r w:rsidR="00896DD4" w:rsidRPr="00D06495">
        <w:t xml:space="preserve">CHF </w:t>
      </w:r>
      <w:r w:rsidR="00556285" w:rsidRPr="00D06495">
        <w:t>e</w:t>
      </w:r>
      <w:r w:rsidR="00896DD4" w:rsidRPr="00D06495">
        <w:t>n 2015</w:t>
      </w:r>
      <w:r w:rsidR="00C9329D" w:rsidRPr="00D06495">
        <w:t>.</w:t>
      </w:r>
    </w:p>
    <w:p w:rsidR="00896DD4" w:rsidRPr="00D06495" w:rsidRDefault="00896DD4" w:rsidP="001A4146">
      <w:pPr>
        <w:pStyle w:val="Figure"/>
      </w:pPr>
      <w:r w:rsidRPr="00D06495">
        <w:rPr>
          <w:noProof/>
          <w:lang w:val="en-US" w:eastAsia="zh-CN"/>
        </w:rPr>
        <w:drawing>
          <wp:inline distT="0" distB="0" distL="0" distR="0" wp14:anchorId="5914BC02" wp14:editId="0B7D7FD5">
            <wp:extent cx="3673475" cy="1955800"/>
            <wp:effectExtent l="0" t="0" r="3175" b="635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6DD4" w:rsidRPr="00D06495" w:rsidRDefault="00D31ACD" w:rsidP="00B86E31">
      <w:pPr>
        <w:spacing w:before="240"/>
        <w:rPr>
          <w:i/>
        </w:rPr>
      </w:pPr>
      <w:r w:rsidRPr="00D06495">
        <w:t>48</w:t>
      </w:r>
      <w:r w:rsidRPr="00D06495">
        <w:tab/>
      </w:r>
      <w:r w:rsidR="0019006F" w:rsidRPr="00D06495">
        <w:t xml:space="preserve">Nous avons constaté </w:t>
      </w:r>
      <w:r w:rsidR="0019006F" w:rsidRPr="00D06495">
        <w:rPr>
          <w:color w:val="000000"/>
        </w:rPr>
        <w:t>un renouvellement considérable des bailleurs de fonds et des sponsors</w:t>
      </w:r>
      <w:r w:rsidR="0019006F" w:rsidRPr="00D06495">
        <w:t>, soucieux d</w:t>
      </w:r>
      <w:r w:rsidR="001D0125">
        <w:t>'</w:t>
      </w:r>
      <w:r w:rsidR="0019006F" w:rsidRPr="00D06495">
        <w:t>une quantité d</w:t>
      </w:r>
      <w:r w:rsidR="001D0125">
        <w:t>'</w:t>
      </w:r>
      <w:r w:rsidR="0019006F" w:rsidRPr="00D06495">
        <w:t xml:space="preserve">une qualité accrue, </w:t>
      </w:r>
      <w:r w:rsidR="0019006F" w:rsidRPr="00D06495">
        <w:rPr>
          <w:color w:val="000000"/>
        </w:rPr>
        <w:t>et l'apparition de nouveaux bailleurs de fonds</w:t>
      </w:r>
      <w:r w:rsidR="00700CBE" w:rsidRPr="00D06495">
        <w:rPr>
          <w:color w:val="000000"/>
        </w:rPr>
        <w:t>.</w:t>
      </w:r>
    </w:p>
    <w:p w:rsidR="00896DD4" w:rsidRPr="00D06495" w:rsidRDefault="0019006F" w:rsidP="001A4146">
      <w:pPr>
        <w:rPr>
          <w:i/>
          <w:iCs/>
        </w:rPr>
      </w:pPr>
      <w:r w:rsidRPr="00D06495">
        <w:rPr>
          <w:i/>
          <w:iCs/>
        </w:rPr>
        <w:t>Droits d</w:t>
      </w:r>
      <w:r w:rsidR="001D0125">
        <w:rPr>
          <w:i/>
          <w:iCs/>
        </w:rPr>
        <w:t>'</w:t>
      </w:r>
      <w:r w:rsidRPr="00D06495">
        <w:rPr>
          <w:i/>
          <w:iCs/>
        </w:rPr>
        <w:t>admission</w:t>
      </w:r>
    </w:p>
    <w:p w:rsidR="00896DD4" w:rsidRPr="00D06495" w:rsidRDefault="00D31ACD" w:rsidP="001A4146">
      <w:r w:rsidRPr="00D06495">
        <w:t>49</w:t>
      </w:r>
      <w:r w:rsidRPr="00D06495">
        <w:tab/>
      </w:r>
      <w:r w:rsidR="0019006F" w:rsidRPr="00D06495">
        <w:rPr>
          <w:color w:val="000000"/>
        </w:rPr>
        <w:t>Les produits tirés de la vente de billets d'entrée</w:t>
      </w:r>
      <w:r w:rsidR="0019006F" w:rsidRPr="00D06495">
        <w:t xml:space="preserve"> </w:t>
      </w:r>
      <w:r w:rsidR="00896DD4" w:rsidRPr="00D06495">
        <w:t>(</w:t>
      </w:r>
      <w:r w:rsidR="00C765F3" w:rsidRPr="00D06495">
        <w:t>avec accès au Forum et à l</w:t>
      </w:r>
      <w:r w:rsidR="001D0125">
        <w:t>'</w:t>
      </w:r>
      <w:r w:rsidR="00C765F3" w:rsidRPr="00D06495">
        <w:t>E</w:t>
      </w:r>
      <w:r w:rsidR="0019006F" w:rsidRPr="00D06495">
        <w:t>xposition tout au long de la manifestation)</w:t>
      </w:r>
      <w:r w:rsidR="00C765F3" w:rsidRPr="00D06495">
        <w:t xml:space="preserve"> </w:t>
      </w:r>
      <w:r w:rsidR="0019006F" w:rsidRPr="00D06495">
        <w:t xml:space="preserve">ont </w:t>
      </w:r>
      <w:r w:rsidR="00C765F3" w:rsidRPr="00D06495">
        <w:t>largement</w:t>
      </w:r>
      <w:r w:rsidR="0019006F" w:rsidRPr="00D06495">
        <w:t xml:space="preserve"> atteint</w:t>
      </w:r>
      <w:r w:rsidR="00896DD4" w:rsidRPr="00D06495">
        <w:t xml:space="preserve"> (198</w:t>
      </w:r>
      <w:r w:rsidR="007E76BD" w:rsidRPr="00D06495">
        <w:t xml:space="preserve"> </w:t>
      </w:r>
      <w:r w:rsidR="0019006F" w:rsidRPr="00D06495">
        <w:t xml:space="preserve">000 </w:t>
      </w:r>
      <w:r w:rsidR="00896DD4" w:rsidRPr="00D06495">
        <w:t>CHF)</w:t>
      </w:r>
      <w:r w:rsidR="007E76BD" w:rsidRPr="00D06495">
        <w:t xml:space="preserve"> </w:t>
      </w:r>
      <w:r w:rsidR="0019006F" w:rsidRPr="00D06495">
        <w:t>l</w:t>
      </w:r>
      <w:r w:rsidR="001D0125">
        <w:t>'</w:t>
      </w:r>
      <w:r w:rsidR="0019006F" w:rsidRPr="00D06495">
        <w:t>objectif</w:t>
      </w:r>
      <w:r w:rsidR="007E76BD" w:rsidRPr="00D06495">
        <w:t xml:space="preserve"> </w:t>
      </w:r>
      <w:r w:rsidR="00DE6C5E" w:rsidRPr="00D06495">
        <w:t xml:space="preserve">(197 </w:t>
      </w:r>
      <w:r w:rsidR="0019006F" w:rsidRPr="00D06495">
        <w:t xml:space="preserve">500 </w:t>
      </w:r>
      <w:r w:rsidR="00896DD4" w:rsidRPr="00D06495">
        <w:t>CHF</w:t>
      </w:r>
      <w:r w:rsidR="00D06495" w:rsidRPr="00D06495">
        <w:t>),</w:t>
      </w:r>
      <w:r w:rsidR="00447028" w:rsidRPr="00D06495">
        <w:t xml:space="preserve"> qui était plus</w:t>
      </w:r>
      <w:r w:rsidR="007E76BD" w:rsidRPr="00D06495">
        <w:t xml:space="preserve"> </w:t>
      </w:r>
      <w:r w:rsidR="00447028" w:rsidRPr="00D06495">
        <w:t>réaliste que celui fixé pour l</w:t>
      </w:r>
      <w:r w:rsidR="001D0125">
        <w:t>'</w:t>
      </w:r>
      <w:r w:rsidR="00447028" w:rsidRPr="00D06495">
        <w:t>édition précédente</w:t>
      </w:r>
      <w:r w:rsidR="007E76BD" w:rsidRPr="00D06495">
        <w:t xml:space="preserve"> </w:t>
      </w:r>
      <w:r w:rsidR="00DE6C5E" w:rsidRPr="00D06495">
        <w:t xml:space="preserve">(401 </w:t>
      </w:r>
      <w:r w:rsidR="00C765F3" w:rsidRPr="00D06495">
        <w:t>000 CHF)</w:t>
      </w:r>
      <w:r w:rsidR="00700CBE" w:rsidRPr="00D06495">
        <w:t>.</w:t>
      </w:r>
    </w:p>
    <w:p w:rsidR="00896DD4" w:rsidRPr="00D06495" w:rsidRDefault="00D31ACD" w:rsidP="001B11BF">
      <w:r w:rsidRPr="00D06495">
        <w:lastRenderedPageBreak/>
        <w:t>50</w:t>
      </w:r>
      <w:r w:rsidRPr="00D06495">
        <w:tab/>
      </w:r>
      <w:r w:rsidR="0019006F" w:rsidRPr="00D06495">
        <w:t>Les produits</w:t>
      </w:r>
      <w:r w:rsidR="007E76BD" w:rsidRPr="00D06495">
        <w:t xml:space="preserve"> </w:t>
      </w:r>
      <w:r w:rsidR="00C765F3" w:rsidRPr="00D06495">
        <w:t>tirés des droits d</w:t>
      </w:r>
      <w:r w:rsidR="001D0125">
        <w:t>'</w:t>
      </w:r>
      <w:r w:rsidR="00C765F3" w:rsidRPr="00D06495">
        <w:t>admission à l</w:t>
      </w:r>
      <w:r w:rsidR="001D0125">
        <w:t>'</w:t>
      </w:r>
      <w:r w:rsidR="00C765F3" w:rsidRPr="00D06495">
        <w:t>E</w:t>
      </w:r>
      <w:r w:rsidR="001B11BF">
        <w:t>xposition se sont élevés</w:t>
      </w:r>
      <w:r w:rsidR="0019006F" w:rsidRPr="00D06495">
        <w:t xml:space="preserve"> à</w:t>
      </w:r>
      <w:r w:rsidR="00C765F3" w:rsidRPr="00D06495">
        <w:t xml:space="preserve"> </w:t>
      </w:r>
      <w:r w:rsidR="00447028" w:rsidRPr="00D06495">
        <w:t>3</w:t>
      </w:r>
      <w:r w:rsidR="0019006F" w:rsidRPr="00D06495">
        <w:t>8</w:t>
      </w:r>
      <w:r w:rsidR="00447028" w:rsidRPr="00D06495">
        <w:t xml:space="preserve">0 </w:t>
      </w:r>
      <w:r w:rsidR="0019006F" w:rsidRPr="00D06495">
        <w:t>00</w:t>
      </w:r>
      <w:r w:rsidR="00447028" w:rsidRPr="00D06495">
        <w:t>0</w:t>
      </w:r>
      <w:r w:rsidR="005F0586">
        <w:t xml:space="preserve"> </w:t>
      </w:r>
      <w:r w:rsidR="005F0586" w:rsidRPr="00D06495">
        <w:t>CHF,</w:t>
      </w:r>
      <w:r w:rsidR="00447028" w:rsidRPr="00D06495">
        <w:t xml:space="preserve"> en hausse par rapport au</w:t>
      </w:r>
      <w:r w:rsidR="007E76BD" w:rsidRPr="00D06495">
        <w:t xml:space="preserve"> </w:t>
      </w:r>
      <w:r w:rsidR="00447028" w:rsidRPr="00D06495">
        <w:t>montant</w:t>
      </w:r>
      <w:r w:rsidR="007E76BD" w:rsidRPr="00D06495">
        <w:t xml:space="preserve"> </w:t>
      </w:r>
      <w:r w:rsidR="00447028" w:rsidRPr="00D06495">
        <w:t>inscrit</w:t>
      </w:r>
      <w:r w:rsidR="007E76BD" w:rsidRPr="00D06495">
        <w:t xml:space="preserve"> </w:t>
      </w:r>
      <w:r w:rsidR="00447028" w:rsidRPr="00D06495">
        <w:t>au budget</w:t>
      </w:r>
      <w:r w:rsidR="007E76BD" w:rsidRPr="00D06495">
        <w:t xml:space="preserve"> </w:t>
      </w:r>
      <w:r w:rsidR="00447028" w:rsidRPr="00D06495">
        <w:t>(</w:t>
      </w:r>
      <w:r w:rsidR="00896DD4" w:rsidRPr="00D06495">
        <w:t>2</w:t>
      </w:r>
      <w:r w:rsidR="00447028" w:rsidRPr="00D06495">
        <w:t>50</w:t>
      </w:r>
      <w:r w:rsidR="007E76BD" w:rsidRPr="00D06495">
        <w:t xml:space="preserve"> </w:t>
      </w:r>
      <w:r w:rsidR="00447028" w:rsidRPr="00D06495">
        <w:t>000</w:t>
      </w:r>
      <w:r w:rsidR="00C765F3" w:rsidRPr="00D06495">
        <w:t xml:space="preserve"> </w:t>
      </w:r>
      <w:r w:rsidRPr="00D06495">
        <w:t>CHF</w:t>
      </w:r>
      <w:r w:rsidR="00447028" w:rsidRPr="00D06495">
        <w:t>)</w:t>
      </w:r>
      <w:r w:rsidR="00700CBE" w:rsidRPr="00D06495">
        <w:t>.</w:t>
      </w:r>
    </w:p>
    <w:p w:rsidR="00896DD4" w:rsidRPr="00D06495" w:rsidRDefault="00D31ACD" w:rsidP="00B86E31">
      <w:pPr>
        <w:spacing w:after="240"/>
      </w:pPr>
      <w:r w:rsidRPr="00D06495">
        <w:t>51</w:t>
      </w:r>
      <w:r w:rsidRPr="00D06495">
        <w:tab/>
      </w:r>
      <w:r w:rsidR="00447028" w:rsidRPr="00D06495">
        <w:t>Il convient de noter que les recettes</w:t>
      </w:r>
      <w:r w:rsidR="00DE6C5E" w:rsidRPr="00D06495">
        <w:t xml:space="preserve"> d</w:t>
      </w:r>
      <w:r w:rsidR="001D0125">
        <w:t>'</w:t>
      </w:r>
      <w:r w:rsidR="001B11BF">
        <w:t>un million CHF en 2011 et 2012</w:t>
      </w:r>
      <w:r w:rsidR="00DE6C5E" w:rsidRPr="00D06495">
        <w:t xml:space="preserve"> tirées des billets d</w:t>
      </w:r>
      <w:r w:rsidR="001D0125">
        <w:t>'</w:t>
      </w:r>
      <w:r w:rsidR="00DE6C5E" w:rsidRPr="00D06495">
        <w:t>entrée au F</w:t>
      </w:r>
      <w:r w:rsidR="00447028" w:rsidRPr="00D06495">
        <w:t>orum ont poursuivi leur baisse, puisqu</w:t>
      </w:r>
      <w:r w:rsidR="001D0125">
        <w:t>'</w:t>
      </w:r>
      <w:r w:rsidR="00447028" w:rsidRPr="00D06495">
        <w:t>elles sont tombées</w:t>
      </w:r>
      <w:r w:rsidR="00392B66" w:rsidRPr="00D06495">
        <w:t xml:space="preserve"> à environ 200 000 CHF</w:t>
      </w:r>
      <w:r w:rsidR="00447028" w:rsidRPr="00D06495">
        <w:t xml:space="preserve"> </w:t>
      </w:r>
      <w:r w:rsidR="00392B66" w:rsidRPr="00D06495">
        <w:t>à l</w:t>
      </w:r>
      <w:r w:rsidR="001D0125">
        <w:t>'</w:t>
      </w:r>
      <w:r w:rsidR="00392B66" w:rsidRPr="00D06495">
        <w:t>heure actuelle</w:t>
      </w:r>
      <w:r w:rsidR="00700CBE" w:rsidRPr="00D06495">
        <w:t>.</w:t>
      </w:r>
    </w:p>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pPr>
            <w:r w:rsidRPr="00D06495">
              <w:t>Suggestion N° 2</w:t>
            </w:r>
          </w:p>
          <w:p w:rsidR="00FF6174" w:rsidRPr="00D06495" w:rsidRDefault="00FF6174" w:rsidP="00B86E31">
            <w:pPr>
              <w:spacing w:after="120"/>
            </w:pPr>
            <w:r w:rsidRPr="00D06495">
              <w:t>52</w:t>
            </w:r>
            <w:r w:rsidRPr="00D06495">
              <w:tab/>
              <w:t>Bien que les valeurs réelles soient pour l</w:t>
            </w:r>
            <w:r w:rsidR="001D0125">
              <w:t>'</w:t>
            </w:r>
            <w:r w:rsidRPr="00D06495">
              <w:t>essentiel conformes au budget, nous avons constaté une nette tendance à la baisse des produits tirés des droits d</w:t>
            </w:r>
            <w:r w:rsidR="001D0125">
              <w:t>'</w:t>
            </w:r>
            <w:r w:rsidRPr="00D06495">
              <w:t>admission. En conséquence, nous suggérons d</w:t>
            </w:r>
            <w:r w:rsidR="001D0125">
              <w:t>'</w:t>
            </w:r>
            <w:r w:rsidRPr="00D06495">
              <w:t>étudier d</w:t>
            </w:r>
            <w:r w:rsidR="001D0125">
              <w:t>'</w:t>
            </w:r>
            <w:r w:rsidRPr="00D06495">
              <w:t>autres mesures, par exemple l</w:t>
            </w:r>
            <w:r w:rsidR="001D0125">
              <w:t>'</w:t>
            </w:r>
            <w:r w:rsidRPr="00D06495">
              <w:t xml:space="preserve">accroissement </w:t>
            </w:r>
            <w:r w:rsidRPr="00D06495">
              <w:rPr>
                <w:color w:val="000000"/>
              </w:rPr>
              <w:t>du nombre de participants payants à la manifestation</w:t>
            </w:r>
            <w:r w:rsidRPr="00D06495">
              <w:t>.</w:t>
            </w:r>
          </w:p>
        </w:tc>
      </w:tr>
    </w:tbl>
    <w:p w:rsidR="00FF6174" w:rsidRPr="00D06495" w:rsidRDefault="00FF6174" w:rsidP="001A4146"/>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rPr>
                <w:u w:val="single"/>
              </w:rPr>
            </w:pPr>
            <w:r w:rsidRPr="00D06495">
              <w:t xml:space="preserve">Commentaires du Secrétaire </w:t>
            </w:r>
            <w:proofErr w:type="gramStart"/>
            <w:r w:rsidRPr="00D06495">
              <w:t>général:</w:t>
            </w:r>
            <w:proofErr w:type="gramEnd"/>
          </w:p>
          <w:p w:rsidR="00FF6174" w:rsidRPr="00D06495" w:rsidRDefault="00FF6174" w:rsidP="00B86E31">
            <w:pPr>
              <w:spacing w:after="120"/>
            </w:pPr>
            <w:r w:rsidRPr="00D06495">
              <w:t>Les efforts se poursuivront en vue de faire largement connaître la manifestation et d</w:t>
            </w:r>
            <w:r w:rsidR="001D0125">
              <w:t>'</w:t>
            </w:r>
            <w:r w:rsidRPr="00D06495">
              <w:t>encourager l</w:t>
            </w:r>
            <w:r w:rsidR="001D0125">
              <w:t>'</w:t>
            </w:r>
            <w:r w:rsidRPr="00D06495">
              <w:t>achat de billets d</w:t>
            </w:r>
            <w:r w:rsidR="001D0125">
              <w:t>'</w:t>
            </w:r>
            <w:r w:rsidRPr="00D06495">
              <w:t>entrée pour le Forum et l</w:t>
            </w:r>
            <w:r w:rsidR="001D0125">
              <w:t>'</w:t>
            </w:r>
            <w:r w:rsidRPr="00D06495">
              <w:t>Exposition, en veillant à ce que le programme du Forum soit attrayant et adapté et en procédant à un examen périodique des options et des tarifs pour les billets d</w:t>
            </w:r>
            <w:r w:rsidR="001D0125">
              <w:t>'</w:t>
            </w:r>
            <w:r w:rsidRPr="00D06495">
              <w:t>entrée, pour qu'ils soient alignés sur les prix pratiqués sur le marché local. A titre d</w:t>
            </w:r>
            <w:r w:rsidR="001D0125">
              <w:t>'</w:t>
            </w:r>
            <w:r w:rsidRPr="00D06495">
              <w:t>exemple, pour ITU Telecom World 2017, le billet d</w:t>
            </w:r>
            <w:r w:rsidR="001D0125">
              <w:t>'</w:t>
            </w:r>
            <w:r w:rsidRPr="00D06495">
              <w:t xml:space="preserve">entrée </w:t>
            </w:r>
            <w:r w:rsidRPr="00D06495">
              <w:rPr>
                <w:color w:val="000000"/>
              </w:rPr>
              <w:t>pour 1 jour de Forum a été réintroduit,</w:t>
            </w:r>
            <w:r w:rsidRPr="00D06495">
              <w:t xml:space="preserve"> et un nouveau billet d</w:t>
            </w:r>
            <w:r w:rsidR="001D0125">
              <w:t>'</w:t>
            </w:r>
            <w:r w:rsidRPr="00D06495">
              <w:t>entrée caté</w:t>
            </w:r>
            <w:r w:rsidR="001D0125">
              <w:t>gorie dirigeant sera proposé, a</w:t>
            </w:r>
            <w:r w:rsidRPr="00D06495">
              <w:t>fin d</w:t>
            </w:r>
            <w:r w:rsidR="001D0125">
              <w:t>'</w:t>
            </w:r>
            <w:r w:rsidRPr="00D06495">
              <w:t xml:space="preserve">offrir la possibilité </w:t>
            </w:r>
            <w:r w:rsidRPr="00D06495">
              <w:rPr>
                <w:color w:val="000000"/>
              </w:rPr>
              <w:t>de nouer un réseau de relations</w:t>
            </w:r>
            <w:r w:rsidRPr="00D06495">
              <w:t xml:space="preserve"> avec des</w:t>
            </w:r>
            <w:r w:rsidRPr="00D06495">
              <w:rPr>
                <w:color w:val="000000"/>
              </w:rPr>
              <w:t xml:space="preserve"> hautes personnalités.</w:t>
            </w:r>
          </w:p>
        </w:tc>
      </w:tr>
    </w:tbl>
    <w:p w:rsidR="00D31ACD" w:rsidRPr="00D06495" w:rsidRDefault="009531B2" w:rsidP="005D3BB9">
      <w:pPr>
        <w:pStyle w:val="Headingi"/>
      </w:pPr>
      <w:bookmarkStart w:id="99" w:name="_Toc482780313"/>
      <w:bookmarkStart w:id="100" w:name="_Toc482780461"/>
      <w:bookmarkStart w:id="101" w:name="_Toc482785815"/>
      <w:r w:rsidRPr="00D06495">
        <w:t>Salles de réunion</w:t>
      </w:r>
      <w:bookmarkEnd w:id="99"/>
      <w:bookmarkEnd w:id="100"/>
      <w:bookmarkEnd w:id="101"/>
    </w:p>
    <w:p w:rsidR="00D31ACD" w:rsidRPr="00D06495" w:rsidRDefault="00D31ACD" w:rsidP="00367998">
      <w:r w:rsidRPr="00D06495">
        <w:t>53</w:t>
      </w:r>
      <w:r w:rsidRPr="00D06495">
        <w:tab/>
      </w:r>
      <w:r w:rsidR="009531B2" w:rsidRPr="00D06495">
        <w:t>Nous reconnaissons que,</w:t>
      </w:r>
      <w:r w:rsidR="007E76BD" w:rsidRPr="00D06495">
        <w:t xml:space="preserve"> </w:t>
      </w:r>
      <w:r w:rsidR="009531B2" w:rsidRPr="00D06495">
        <w:t>suite à</w:t>
      </w:r>
      <w:r w:rsidRPr="00D06495">
        <w:t xml:space="preserve"> </w:t>
      </w:r>
      <w:r w:rsidR="009531B2" w:rsidRPr="00D06495">
        <w:rPr>
          <w:color w:val="000000"/>
        </w:rPr>
        <w:t>notre rapport de l'an dernier</w:t>
      </w:r>
      <w:r w:rsidR="009531B2" w:rsidRPr="00D06495">
        <w:t xml:space="preserve"> </w:t>
      </w:r>
      <w:r w:rsidRPr="00D06495">
        <w:t>(</w:t>
      </w:r>
      <w:r w:rsidR="009729F5" w:rsidRPr="00D06495">
        <w:rPr>
          <w:color w:val="000000"/>
        </w:rPr>
        <w:t>Suggestion</w:t>
      </w:r>
      <w:r w:rsidR="007E76BD" w:rsidRPr="00D06495">
        <w:rPr>
          <w:color w:val="000000"/>
        </w:rPr>
        <w:t xml:space="preserve"> </w:t>
      </w:r>
      <w:r w:rsidR="00367998">
        <w:rPr>
          <w:color w:val="000000"/>
        </w:rPr>
        <w:t>N</w:t>
      </w:r>
      <w:r w:rsidR="001D0125">
        <w:t>°</w:t>
      </w:r>
      <w:r w:rsidRPr="00D06495">
        <w:t xml:space="preserve"> 5/2015), </w:t>
      </w:r>
      <w:r w:rsidR="009531B2" w:rsidRPr="00D06495">
        <w:t>des prévisions budgétaires raisonnables ont été faites pour les recettes tirées de la location de salles de réunion</w:t>
      </w:r>
      <w:r w:rsidR="007E76BD" w:rsidRPr="00D06495">
        <w:t xml:space="preserve"> </w:t>
      </w:r>
      <w:r w:rsidRPr="00D06495">
        <w:t>(43</w:t>
      </w:r>
      <w:r w:rsidR="009531B2" w:rsidRPr="00D06495">
        <w:t xml:space="preserve"> 000</w:t>
      </w:r>
      <w:r w:rsidR="007E76BD" w:rsidRPr="00D06495">
        <w:t xml:space="preserve"> </w:t>
      </w:r>
      <w:r w:rsidRPr="00D06495">
        <w:t xml:space="preserve">CHF) </w:t>
      </w:r>
      <w:r w:rsidR="009531B2" w:rsidRPr="00D06495">
        <w:t>et que le montant effectif</w:t>
      </w:r>
      <w:r w:rsidR="007E76BD" w:rsidRPr="00D06495">
        <w:t xml:space="preserve"> </w:t>
      </w:r>
      <w:r w:rsidRPr="00D06495">
        <w:t>(68</w:t>
      </w:r>
      <w:r w:rsidR="009531B2" w:rsidRPr="00D06495">
        <w:t xml:space="preserve"> 000</w:t>
      </w:r>
      <w:r w:rsidR="007E76BD" w:rsidRPr="00D06495">
        <w:t xml:space="preserve"> </w:t>
      </w:r>
      <w:r w:rsidRPr="00D06495">
        <w:t xml:space="preserve">CHF) </w:t>
      </w:r>
      <w:r w:rsidR="009531B2" w:rsidRPr="00D06495">
        <w:t>est supérieur à l</w:t>
      </w:r>
      <w:r w:rsidR="001D0125">
        <w:t>'</w:t>
      </w:r>
      <w:r w:rsidR="009531B2" w:rsidRPr="00D06495">
        <w:t>objectif</w:t>
      </w:r>
      <w:r w:rsidR="001D0125">
        <w:t>.</w:t>
      </w:r>
    </w:p>
    <w:p w:rsidR="00D31ACD" w:rsidRPr="00D06495" w:rsidRDefault="00D31ACD" w:rsidP="00B86E31">
      <w:pPr>
        <w:spacing w:after="240"/>
      </w:pPr>
      <w:r w:rsidRPr="00D06495">
        <w:t>54</w:t>
      </w:r>
      <w:r w:rsidRPr="00D06495">
        <w:tab/>
      </w:r>
      <w:r w:rsidR="009531B2" w:rsidRPr="00D06495">
        <w:t>Un poste</w:t>
      </w:r>
      <w:r w:rsidRPr="00D06495">
        <w:t xml:space="preserve"> </w:t>
      </w:r>
      <w:r w:rsidR="00B56B10">
        <w:t>"</w:t>
      </w:r>
      <w:r w:rsidR="009531B2" w:rsidRPr="00D06495">
        <w:t>Location d</w:t>
      </w:r>
      <w:r w:rsidR="003C58B1" w:rsidRPr="00D06495">
        <w:t>e</w:t>
      </w:r>
      <w:r w:rsidR="009531B2" w:rsidRPr="00D06495">
        <w:t xml:space="preserve"> centre d</w:t>
      </w:r>
      <w:r w:rsidR="001D0125">
        <w:t>'</w:t>
      </w:r>
      <w:r w:rsidR="009531B2" w:rsidRPr="00D06495">
        <w:t>affaires</w:t>
      </w:r>
      <w:r w:rsidR="00B56B10">
        <w:t>"</w:t>
      </w:r>
      <w:r w:rsidRPr="00D06495">
        <w:t xml:space="preserve">, </w:t>
      </w:r>
      <w:r w:rsidR="009531B2" w:rsidRPr="00D06495">
        <w:t>non inscrit au budget,</w:t>
      </w:r>
      <w:r w:rsidR="007E76BD" w:rsidRPr="00D06495">
        <w:t xml:space="preserve"> </w:t>
      </w:r>
      <w:r w:rsidR="00D55E09" w:rsidRPr="00D06495">
        <w:t>fait apparaître</w:t>
      </w:r>
      <w:r w:rsidR="007E76BD" w:rsidRPr="00D06495">
        <w:t xml:space="preserve"> </w:t>
      </w:r>
      <w:r w:rsidR="00D55E09" w:rsidRPr="00D06495">
        <w:t>des charges effectives de</w:t>
      </w:r>
      <w:r w:rsidR="007E76BD" w:rsidRPr="00D06495">
        <w:t xml:space="preserve"> </w:t>
      </w:r>
      <w:r w:rsidR="003B31F7" w:rsidRPr="00D06495">
        <w:t xml:space="preserve">3 </w:t>
      </w:r>
      <w:r w:rsidRPr="00D06495">
        <w:t>554 CHF,</w:t>
      </w:r>
      <w:r w:rsidR="00D55E09" w:rsidRPr="00D06495">
        <w:t xml:space="preserve"> alors qu</w:t>
      </w:r>
      <w:r w:rsidR="001D0125">
        <w:t>'</w:t>
      </w:r>
      <w:r w:rsidR="00D55E09" w:rsidRPr="00D06495">
        <w:t>il n</w:t>
      </w:r>
      <w:r w:rsidR="001D0125">
        <w:t>'</w:t>
      </w:r>
      <w:r w:rsidR="00D55E09" w:rsidRPr="00D06495">
        <w:t>y a pas de charges effectives</w:t>
      </w:r>
      <w:r w:rsidR="007E76BD" w:rsidRPr="00D06495">
        <w:t xml:space="preserve"> </w:t>
      </w:r>
      <w:r w:rsidR="00D55E09" w:rsidRPr="00D06495">
        <w:t>pour</w:t>
      </w:r>
      <w:r w:rsidR="007E76BD" w:rsidRPr="00D06495">
        <w:t xml:space="preserve"> </w:t>
      </w:r>
      <w:r w:rsidR="00D55E09" w:rsidRPr="00D06495">
        <w:rPr>
          <w:color w:val="000000"/>
        </w:rPr>
        <w:t>l'aménagement des salles de réunion</w:t>
      </w:r>
      <w:r w:rsidRPr="00D06495">
        <w:t>,</w:t>
      </w:r>
      <w:r w:rsidR="007E76BD" w:rsidRPr="00D06495">
        <w:t xml:space="preserve"> </w:t>
      </w:r>
      <w:r w:rsidR="00D55E09" w:rsidRPr="00D06495">
        <w:t>dont le montant inscrit au budget s</w:t>
      </w:r>
      <w:r w:rsidR="001D0125">
        <w:t>'</w:t>
      </w:r>
      <w:r w:rsidR="00D55E09" w:rsidRPr="00D06495">
        <w:t>élevait à</w:t>
      </w:r>
      <w:r w:rsidR="007E76BD" w:rsidRPr="00D06495">
        <w:t xml:space="preserve"> </w:t>
      </w:r>
      <w:r w:rsidR="003B31F7" w:rsidRPr="00D06495">
        <w:t xml:space="preserve">3 </w:t>
      </w:r>
      <w:r w:rsidR="00D55E09" w:rsidRPr="00D06495">
        <w:t>000 CHF</w:t>
      </w:r>
      <w:r w:rsidR="00700CBE" w:rsidRPr="00D06495">
        <w:t>.</w:t>
      </w:r>
    </w:p>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pPr>
            <w:r w:rsidRPr="00D06495">
              <w:t>Recommandation N° 1</w:t>
            </w:r>
          </w:p>
          <w:p w:rsidR="00FF6174" w:rsidRPr="00D06495" w:rsidRDefault="00FF6174" w:rsidP="001D0125">
            <w:pPr>
              <w:spacing w:after="120"/>
            </w:pPr>
            <w:r w:rsidRPr="00D06495">
              <w:t>55</w:t>
            </w:r>
            <w:r w:rsidRPr="00D06495">
              <w:tab/>
            </w:r>
            <w:r w:rsidR="001D0125">
              <w:t>E</w:t>
            </w:r>
            <w:r w:rsidRPr="00D06495">
              <w:t>tant donné qu</w:t>
            </w:r>
            <w:r w:rsidR="001D0125">
              <w:t>'</w:t>
            </w:r>
            <w:r w:rsidRPr="00D06495">
              <w:t xml:space="preserve">une comparaison claire et fiable entre les produits et les charges correspondant à chaque produit est toujours nécessaire, en termes de </w:t>
            </w:r>
            <w:r w:rsidRPr="00D06495">
              <w:rPr>
                <w:color w:val="000000"/>
              </w:rPr>
              <w:t xml:space="preserve">montants inscrits au budget et de montants effectifs, nous </w:t>
            </w:r>
            <w:r w:rsidRPr="00E0008C">
              <w:rPr>
                <w:b/>
                <w:bCs/>
                <w:color w:val="000000"/>
              </w:rPr>
              <w:t>recommandons</w:t>
            </w:r>
            <w:r w:rsidRPr="00D06495">
              <w:rPr>
                <w:color w:val="000000"/>
              </w:rPr>
              <w:t xml:space="preserve"> que</w:t>
            </w:r>
            <w:r w:rsidRPr="00D06495">
              <w:t xml:space="preserve"> les </w:t>
            </w:r>
            <w:r w:rsidR="00B56B10">
              <w:t>"</w:t>
            </w:r>
            <w:r w:rsidRPr="00D06495">
              <w:t>frais de location de salles de réunion/d</w:t>
            </w:r>
            <w:r w:rsidR="001D0125">
              <w:t>'</w:t>
            </w:r>
            <w:r w:rsidR="00A3217B">
              <w:t>installation</w:t>
            </w:r>
            <w:r w:rsidR="00B56B10">
              <w:t>"</w:t>
            </w:r>
            <w:r w:rsidRPr="00D06495">
              <w:rPr>
                <w:color w:val="000000"/>
              </w:rPr>
              <w:t xml:space="preserve"> soient indiqués</w:t>
            </w:r>
            <w:r w:rsidRPr="00D06495">
              <w:t xml:space="preserve"> comme objet de dépenses </w:t>
            </w:r>
            <w:r w:rsidRPr="00D06495">
              <w:rPr>
                <w:color w:val="000000"/>
              </w:rPr>
              <w:t>lors de l</w:t>
            </w:r>
            <w:r w:rsidR="001D0125">
              <w:rPr>
                <w:color w:val="000000"/>
              </w:rPr>
              <w:t>'</w:t>
            </w:r>
            <w:r w:rsidRPr="00D06495">
              <w:rPr>
                <w:color w:val="000000"/>
              </w:rPr>
              <w:t>établissement des budgets futurs, en cas de doute quant à la question de savoir s</w:t>
            </w:r>
            <w:r w:rsidR="001D0125">
              <w:rPr>
                <w:color w:val="000000"/>
              </w:rPr>
              <w:t>'</w:t>
            </w:r>
            <w:r w:rsidRPr="00D06495">
              <w:rPr>
                <w:color w:val="000000"/>
              </w:rPr>
              <w:t>il y aura construction/aménagement ou location d</w:t>
            </w:r>
            <w:r w:rsidR="001D0125">
              <w:rPr>
                <w:color w:val="000000"/>
              </w:rPr>
              <w:t>'</w:t>
            </w:r>
            <w:r w:rsidRPr="00D06495">
              <w:rPr>
                <w:color w:val="000000"/>
              </w:rPr>
              <w:t>un centre d</w:t>
            </w:r>
            <w:r w:rsidR="001D0125">
              <w:rPr>
                <w:color w:val="000000"/>
              </w:rPr>
              <w:t>'</w:t>
            </w:r>
            <w:r w:rsidRPr="00D06495">
              <w:rPr>
                <w:color w:val="000000"/>
              </w:rPr>
              <w:t>affaires.</w:t>
            </w:r>
          </w:p>
        </w:tc>
      </w:tr>
    </w:tbl>
    <w:p w:rsidR="00700CBE" w:rsidRPr="00D06495" w:rsidRDefault="00700CBE" w:rsidP="001A4146"/>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rPr>
                <w:u w:val="single"/>
              </w:rPr>
            </w:pPr>
            <w:r w:rsidRPr="00D06495">
              <w:lastRenderedPageBreak/>
              <w:t xml:space="preserve">Commentaires du Secrétaire </w:t>
            </w:r>
            <w:proofErr w:type="gramStart"/>
            <w:r w:rsidRPr="00D06495">
              <w:t>général:</w:t>
            </w:r>
            <w:proofErr w:type="gramEnd"/>
          </w:p>
          <w:p w:rsidR="00FF6174" w:rsidRPr="00D06495" w:rsidRDefault="00FF6174" w:rsidP="00A3217B">
            <w:pPr>
              <w:spacing w:after="120"/>
            </w:pPr>
            <w:r w:rsidRPr="00D06495">
              <w:t>Pour ITU Telecom World 2017, étant donné qu</w:t>
            </w:r>
            <w:r w:rsidR="001D0125">
              <w:t>'</w:t>
            </w:r>
            <w:r w:rsidRPr="00D06495">
              <w:t>aucun centre d</w:t>
            </w:r>
            <w:r w:rsidR="001D0125">
              <w:t>'</w:t>
            </w:r>
            <w:r w:rsidRPr="00D06495">
              <w:t xml:space="preserve">affaires ne peut être loué sur le lieu de la manifestation, le poste budgétaire est le suivant </w:t>
            </w:r>
            <w:r w:rsidR="00B56B10">
              <w:t>"</w:t>
            </w:r>
            <w:r w:rsidRPr="00D06495">
              <w:t>Construction/a</w:t>
            </w:r>
            <w:r w:rsidR="00B86E31">
              <w:t>ménagement de salles de réunion</w:t>
            </w:r>
            <w:r w:rsidR="00B56B10">
              <w:t>"</w:t>
            </w:r>
            <w:r w:rsidRPr="00D06495">
              <w:t>. Toutefois, pour les manifestations futures, s</w:t>
            </w:r>
            <w:r w:rsidR="001D0125">
              <w:t>'</w:t>
            </w:r>
            <w:r w:rsidRPr="00D06495">
              <w:t>il est possible soit de louer un centre d</w:t>
            </w:r>
            <w:r w:rsidR="001D0125">
              <w:t>'</w:t>
            </w:r>
            <w:r w:rsidRPr="00D06495">
              <w:t>affaires, soit de construire/d</w:t>
            </w:r>
            <w:r w:rsidR="001D0125">
              <w:t>'</w:t>
            </w:r>
            <w:r w:rsidRPr="00D06495">
              <w:t xml:space="preserve">aménager une salle de réunion, les </w:t>
            </w:r>
            <w:r w:rsidR="00B56B10">
              <w:t>"</w:t>
            </w:r>
            <w:r w:rsidRPr="00D06495">
              <w:t>frais de location/d</w:t>
            </w:r>
            <w:r w:rsidR="001D0125">
              <w:t>'</w:t>
            </w:r>
            <w:r w:rsidRPr="00D06495">
              <w:t>installation de salles de réunion</w:t>
            </w:r>
            <w:r w:rsidR="00B56B10">
              <w:t>"</w:t>
            </w:r>
            <w:r w:rsidRPr="00D06495">
              <w:t xml:space="preserve"> seront utilisés comme objet de dépenses.</w:t>
            </w:r>
          </w:p>
        </w:tc>
      </w:tr>
    </w:tbl>
    <w:p w:rsidR="003C58B1" w:rsidRPr="00D06495" w:rsidRDefault="003C58B1" w:rsidP="00871131">
      <w:pPr>
        <w:pStyle w:val="Headingi"/>
      </w:pPr>
      <w:bookmarkStart w:id="102" w:name="_Toc482780316"/>
      <w:bookmarkStart w:id="103" w:name="_Toc482780462"/>
      <w:bookmarkStart w:id="104" w:name="_Toc482785816"/>
      <w:r w:rsidRPr="00D06495">
        <w:t>Espace brut</w:t>
      </w:r>
      <w:bookmarkEnd w:id="102"/>
      <w:bookmarkEnd w:id="103"/>
      <w:bookmarkEnd w:id="104"/>
    </w:p>
    <w:p w:rsidR="00896DD4" w:rsidRPr="00D06495" w:rsidRDefault="00D70F11" w:rsidP="00E0008C">
      <w:r w:rsidRPr="001B4D5E">
        <w:t>56</w:t>
      </w:r>
      <w:r w:rsidRPr="001B4D5E">
        <w:tab/>
      </w:r>
      <w:r w:rsidR="003C58B1" w:rsidRPr="001B4D5E">
        <w:rPr>
          <w:color w:val="000000"/>
        </w:rPr>
        <w:t xml:space="preserve">Les données relatives à la vente de </w:t>
      </w:r>
      <w:r w:rsidR="003C58B1" w:rsidRPr="00E0008C">
        <w:rPr>
          <w:b/>
          <w:bCs/>
          <w:color w:val="000000"/>
        </w:rPr>
        <w:t>surfaces brutes</w:t>
      </w:r>
      <w:r w:rsidR="003C58B1" w:rsidRPr="001B4D5E">
        <w:t xml:space="preserve"> font apparaître un résultat</w:t>
      </w:r>
      <w:r w:rsidR="007E76BD" w:rsidRPr="001B4D5E">
        <w:t xml:space="preserve"> </w:t>
      </w:r>
      <w:r w:rsidR="00896DD4" w:rsidRPr="001B4D5E">
        <w:t>(1</w:t>
      </w:r>
      <w:r w:rsidR="00367998">
        <w:t> </w:t>
      </w:r>
      <w:r w:rsidR="00896DD4" w:rsidRPr="001B4D5E">
        <w:t>494</w:t>
      </w:r>
      <w:r w:rsidR="00367998">
        <w:t> 975 </w:t>
      </w:r>
      <w:r w:rsidR="00896DD4" w:rsidRPr="001B4D5E">
        <w:t>CHF)</w:t>
      </w:r>
      <w:r w:rsidR="00896DD4" w:rsidRPr="00D06495">
        <w:t xml:space="preserve"> </w:t>
      </w:r>
      <w:r w:rsidR="003C58B1" w:rsidRPr="00D06495">
        <w:t>légèrement inférieur à l</w:t>
      </w:r>
      <w:r w:rsidR="001D0125">
        <w:t>'</w:t>
      </w:r>
      <w:r w:rsidR="003C58B1" w:rsidRPr="00D06495">
        <w:t>objectif</w:t>
      </w:r>
      <w:r w:rsidR="007E76BD" w:rsidRPr="00D06495">
        <w:t xml:space="preserve"> </w:t>
      </w:r>
      <w:r w:rsidR="003B31F7" w:rsidRPr="00D06495">
        <w:t xml:space="preserve">(1 597 </w:t>
      </w:r>
      <w:r w:rsidR="00896DD4" w:rsidRPr="00D06495">
        <w:t>000</w:t>
      </w:r>
      <w:r w:rsidR="003B31F7" w:rsidRPr="00D06495">
        <w:t xml:space="preserve"> CHF</w:t>
      </w:r>
      <w:r w:rsidR="00896DD4" w:rsidRPr="00D06495">
        <w:t xml:space="preserve">), </w:t>
      </w:r>
      <w:r w:rsidR="006F01F4" w:rsidRPr="00D06495">
        <w:t>mais en augmentation par rapport aux résultats de l</w:t>
      </w:r>
      <w:r w:rsidR="001D0125">
        <w:t>'</w:t>
      </w:r>
      <w:r w:rsidR="006F01F4" w:rsidRPr="00D06495">
        <w:t>année précédente</w:t>
      </w:r>
      <w:r w:rsidR="007E76BD" w:rsidRPr="00D06495">
        <w:t xml:space="preserve"> </w:t>
      </w:r>
      <w:r w:rsidR="00896DD4" w:rsidRPr="00D06495">
        <w:t>(1</w:t>
      </w:r>
      <w:r w:rsidR="00700CBE" w:rsidRPr="00D06495">
        <w:t xml:space="preserve"> </w:t>
      </w:r>
      <w:r w:rsidR="00896DD4" w:rsidRPr="00D06495">
        <w:t>444</w:t>
      </w:r>
      <w:r w:rsidR="00C9329D" w:rsidRPr="00D06495">
        <w:t xml:space="preserve"> </w:t>
      </w:r>
      <w:r w:rsidR="00896DD4" w:rsidRPr="00D06495">
        <w:t>000 CHF)</w:t>
      </w:r>
      <w:r w:rsidR="00C9329D" w:rsidRPr="00D06495">
        <w:t>.</w:t>
      </w:r>
      <w:r w:rsidR="005D3BB9" w:rsidRPr="00D06495">
        <w:t xml:space="preserve"> </w:t>
      </w:r>
      <w:r w:rsidR="006F01F4" w:rsidRPr="00D06495">
        <w:t>Plus de la moitié des recettes tirées de la location d</w:t>
      </w:r>
      <w:r w:rsidR="001D0125">
        <w:t>'</w:t>
      </w:r>
      <w:r w:rsidR="006F01F4" w:rsidRPr="00D06495">
        <w:t>espaces bruts</w:t>
      </w:r>
      <w:r w:rsidR="007E76BD" w:rsidRPr="00D06495">
        <w:t xml:space="preserve"> </w:t>
      </w:r>
      <w:r w:rsidR="00896DD4" w:rsidRPr="00D06495">
        <w:t>(831</w:t>
      </w:r>
      <w:r w:rsidR="00C9329D" w:rsidRPr="00D06495">
        <w:t xml:space="preserve"> </w:t>
      </w:r>
      <w:r w:rsidR="00896DD4" w:rsidRPr="00D06495">
        <w:t>5</w:t>
      </w:r>
      <w:r w:rsidR="006F01F4" w:rsidRPr="00D06495">
        <w:t>00</w:t>
      </w:r>
      <w:r w:rsidR="00896DD4" w:rsidRPr="00D06495">
        <w:t xml:space="preserve"> CHF) </w:t>
      </w:r>
      <w:r w:rsidR="000328CE" w:rsidRPr="00D06495">
        <w:t>proviennent des P</w:t>
      </w:r>
      <w:r w:rsidR="006F01F4" w:rsidRPr="00D06495">
        <w:t xml:space="preserve">avillons </w:t>
      </w:r>
      <w:proofErr w:type="gramStart"/>
      <w:r w:rsidR="006F01F4" w:rsidRPr="00D06495">
        <w:t>nationaux</w:t>
      </w:r>
      <w:r w:rsidR="001D0125">
        <w:t>:</w:t>
      </w:r>
      <w:proofErr w:type="gramEnd"/>
      <w:r w:rsidR="007E76BD" w:rsidRPr="00D06495">
        <w:t xml:space="preserve"> </w:t>
      </w:r>
      <w:r w:rsidR="000328CE" w:rsidRPr="00D06495">
        <w:t>ces P</w:t>
      </w:r>
      <w:r w:rsidR="006F01F4" w:rsidRPr="00D06495">
        <w:t>avillons étaient au nombre de 11, mais l</w:t>
      </w:r>
      <w:r w:rsidR="001D0125">
        <w:t>'</w:t>
      </w:r>
      <w:r w:rsidR="006F01F4" w:rsidRPr="00D06495">
        <w:t>un d</w:t>
      </w:r>
      <w:r w:rsidR="001D0125">
        <w:t>'</w:t>
      </w:r>
      <w:r w:rsidR="006F01F4" w:rsidRPr="00D06495">
        <w:t>eux a</w:t>
      </w:r>
      <w:r w:rsidR="007E76BD" w:rsidRPr="00D06495">
        <w:t xml:space="preserve"> </w:t>
      </w:r>
      <w:r w:rsidR="006F01F4" w:rsidRPr="00D06495">
        <w:t>représenté près du quart des</w:t>
      </w:r>
      <w:r w:rsidR="007E76BD" w:rsidRPr="00D06495">
        <w:t xml:space="preserve"> </w:t>
      </w:r>
      <w:r w:rsidR="006F01F4" w:rsidRPr="00D06495">
        <w:t>recettes de ce type</w:t>
      </w:r>
      <w:r w:rsidR="00700CBE" w:rsidRPr="00D06495">
        <w:t>.</w:t>
      </w:r>
    </w:p>
    <w:p w:rsidR="00896DD4" w:rsidRPr="00D06495" w:rsidRDefault="006F01F4" w:rsidP="00871131">
      <w:pPr>
        <w:pStyle w:val="Headingi"/>
      </w:pPr>
      <w:bookmarkStart w:id="105" w:name="_Toc482780317"/>
      <w:bookmarkStart w:id="106" w:name="_Toc482780463"/>
      <w:bookmarkStart w:id="107" w:name="_Toc482785817"/>
      <w:r w:rsidRPr="00D06495">
        <w:t>Solution</w:t>
      </w:r>
      <w:r w:rsidR="000328CE" w:rsidRPr="00D06495">
        <w:t>s</w:t>
      </w:r>
      <w:r w:rsidRPr="00D06495">
        <w:t xml:space="preserve"> clés en main</w:t>
      </w:r>
      <w:bookmarkEnd w:id="105"/>
      <w:bookmarkEnd w:id="106"/>
      <w:bookmarkEnd w:id="107"/>
    </w:p>
    <w:p w:rsidR="00896DD4" w:rsidRPr="00D06495" w:rsidRDefault="00D70F11" w:rsidP="00B86E31">
      <w:r w:rsidRPr="00D06495">
        <w:t>57</w:t>
      </w:r>
      <w:r w:rsidRPr="00D06495">
        <w:tab/>
      </w:r>
      <w:r w:rsidR="000328CE" w:rsidRPr="00D06495">
        <w:t>L</w:t>
      </w:r>
      <w:r w:rsidR="006F01F4" w:rsidRPr="00D06495">
        <w:t>e résultat</w:t>
      </w:r>
      <w:r w:rsidR="007E76BD" w:rsidRPr="00D06495">
        <w:t xml:space="preserve"> </w:t>
      </w:r>
      <w:r w:rsidR="006F01F4" w:rsidRPr="00D06495">
        <w:t>pour le produit</w:t>
      </w:r>
      <w:r w:rsidR="007E76BD" w:rsidRPr="00D06495">
        <w:t xml:space="preserve"> </w:t>
      </w:r>
      <w:r w:rsidR="00B56B10">
        <w:t>"</w:t>
      </w:r>
      <w:r w:rsidR="00EE49C5" w:rsidRPr="00E0008C">
        <w:rPr>
          <w:b/>
          <w:bCs/>
        </w:rPr>
        <w:t xml:space="preserve">Solutions </w:t>
      </w:r>
      <w:r w:rsidR="006F01F4" w:rsidRPr="00E0008C">
        <w:rPr>
          <w:b/>
          <w:bCs/>
        </w:rPr>
        <w:t>clés en main</w:t>
      </w:r>
      <w:r w:rsidR="00B56B10">
        <w:t>"</w:t>
      </w:r>
      <w:r w:rsidR="006F01F4" w:rsidRPr="00D06495">
        <w:t xml:space="preserve"> est nettement inférieur au </w:t>
      </w:r>
      <w:r w:rsidR="00B86E31">
        <w:t>montant </w:t>
      </w:r>
      <w:r w:rsidR="00EE49C5" w:rsidRPr="00D06495">
        <w:t xml:space="preserve">inscrit au </w:t>
      </w:r>
      <w:r w:rsidR="006F01F4" w:rsidRPr="00D06495">
        <w:t>budget</w:t>
      </w:r>
      <w:r w:rsidR="00C9329D" w:rsidRPr="00D06495">
        <w:t>.</w:t>
      </w:r>
      <w:r w:rsidR="005D3BB9" w:rsidRPr="00D06495">
        <w:t xml:space="preserve"> </w:t>
      </w:r>
      <w:r w:rsidR="006F01F4" w:rsidRPr="00D06495">
        <w:t xml:space="preserve">Les recettes tirées des solutions clés en main </w:t>
      </w:r>
      <w:r w:rsidR="006F01F4" w:rsidRPr="00D06495">
        <w:rPr>
          <w:color w:val="000000"/>
        </w:rPr>
        <w:t>ont fléchi, passant de</w:t>
      </w:r>
      <w:r w:rsidR="00B86E31">
        <w:rPr>
          <w:color w:val="000000"/>
        </w:rPr>
        <w:t> </w:t>
      </w:r>
      <w:r w:rsidR="00B86E31">
        <w:t>1 </w:t>
      </w:r>
      <w:r w:rsidR="00EE49C5" w:rsidRPr="00D06495">
        <w:t xml:space="preserve">174 </w:t>
      </w:r>
      <w:r w:rsidR="006F01F4" w:rsidRPr="00D06495">
        <w:t>5</w:t>
      </w:r>
      <w:r w:rsidR="00EE49C5" w:rsidRPr="00D06495">
        <w:rPr>
          <w:color w:val="000000"/>
        </w:rPr>
        <w:t>00</w:t>
      </w:r>
      <w:r w:rsidR="006F01F4" w:rsidRPr="00D06495">
        <w:rPr>
          <w:color w:val="000000"/>
        </w:rPr>
        <w:t xml:space="preserve"> CHF (montant inscrit au budget) à </w:t>
      </w:r>
      <w:r w:rsidR="00EE49C5" w:rsidRPr="00D06495">
        <w:t xml:space="preserve">625 </w:t>
      </w:r>
      <w:r w:rsidR="006F01F4" w:rsidRPr="00D06495">
        <w:t>8</w:t>
      </w:r>
      <w:r w:rsidR="006F01F4" w:rsidRPr="00D06495">
        <w:rPr>
          <w:color w:val="000000"/>
        </w:rPr>
        <w:t>00 CHF (montant effectif) (majoré de</w:t>
      </w:r>
      <w:r w:rsidR="00B86E31">
        <w:rPr>
          <w:color w:val="000000"/>
        </w:rPr>
        <w:t> </w:t>
      </w:r>
      <w:r w:rsidR="00B86E31">
        <w:t>53 </w:t>
      </w:r>
      <w:r w:rsidR="006F01F4" w:rsidRPr="00D06495">
        <w:t>6</w:t>
      </w:r>
      <w:r w:rsidR="00B86E31">
        <w:rPr>
          <w:color w:val="000000"/>
        </w:rPr>
        <w:t>00 </w:t>
      </w:r>
      <w:r w:rsidR="006F01F4" w:rsidRPr="00D06495">
        <w:rPr>
          <w:color w:val="000000"/>
        </w:rPr>
        <w:t>CHF à titre de pénalité pour annulation)</w:t>
      </w:r>
      <w:r w:rsidR="00C9329D" w:rsidRPr="00D06495">
        <w:rPr>
          <w:color w:val="000000"/>
        </w:rPr>
        <w:t>.</w:t>
      </w:r>
    </w:p>
    <w:p w:rsidR="00896DD4" w:rsidRPr="00D06495" w:rsidRDefault="00D70F11" w:rsidP="001A4146">
      <w:r w:rsidRPr="00D06495">
        <w:t>58</w:t>
      </w:r>
      <w:r w:rsidRPr="00D06495">
        <w:tab/>
      </w:r>
      <w:r w:rsidR="00677ACD" w:rsidRPr="00D06495">
        <w:t>Ce résultat</w:t>
      </w:r>
      <w:r w:rsidR="007E76BD" w:rsidRPr="00D06495">
        <w:t xml:space="preserve"> </w:t>
      </w:r>
      <w:r w:rsidR="00677ACD" w:rsidRPr="00D06495">
        <w:t xml:space="preserve">est indiqué en termes de surface </w:t>
      </w:r>
      <w:proofErr w:type="gramStart"/>
      <w:r w:rsidR="00677ACD" w:rsidRPr="00D06495">
        <w:t>louée;</w:t>
      </w:r>
      <w:proofErr w:type="gramEnd"/>
      <w:r w:rsidR="007E76BD" w:rsidRPr="00D06495">
        <w:t xml:space="preserve"> </w:t>
      </w:r>
      <w:r w:rsidR="00677ACD" w:rsidRPr="00D06495">
        <w:t>il s</w:t>
      </w:r>
      <w:r w:rsidR="001D0125">
        <w:t>'</w:t>
      </w:r>
      <w:r w:rsidR="00677ACD" w:rsidRPr="00D06495">
        <w:t>explique par le fait</w:t>
      </w:r>
      <w:r w:rsidR="007E76BD" w:rsidRPr="00D06495">
        <w:t xml:space="preserve"> </w:t>
      </w:r>
      <w:r w:rsidR="00677ACD" w:rsidRPr="00D06495">
        <w:t>que l</w:t>
      </w:r>
      <w:r w:rsidR="001D0125">
        <w:t>'</w:t>
      </w:r>
      <w:r w:rsidR="00677ACD" w:rsidRPr="00D06495">
        <w:t>objectif de</w:t>
      </w:r>
      <w:r w:rsidR="00B86E31">
        <w:t> </w:t>
      </w:r>
      <w:r w:rsidR="00896DD4" w:rsidRPr="00D06495">
        <w:t>1</w:t>
      </w:r>
      <w:r w:rsidR="00B86E31">
        <w:t> </w:t>
      </w:r>
      <w:r w:rsidR="00896DD4" w:rsidRPr="00D06495">
        <w:t>440 m2</w:t>
      </w:r>
      <w:r w:rsidR="00677ACD" w:rsidRPr="00D06495">
        <w:t xml:space="preserve"> n</w:t>
      </w:r>
      <w:r w:rsidR="001D0125">
        <w:t>'</w:t>
      </w:r>
      <w:r w:rsidR="00677ACD" w:rsidRPr="00D06495">
        <w:t>a pas été atteint, puisque la surface effectivement louée a été de</w:t>
      </w:r>
      <w:r w:rsidR="00C765F3" w:rsidRPr="00D06495">
        <w:t xml:space="preserve"> </w:t>
      </w:r>
      <w:r w:rsidR="00896DD4" w:rsidRPr="00D06495">
        <w:t>914 m2</w:t>
      </w:r>
      <w:r w:rsidR="00700CBE" w:rsidRPr="00D06495">
        <w:t>.</w:t>
      </w:r>
    </w:p>
    <w:p w:rsidR="00896DD4" w:rsidRPr="00D06495" w:rsidRDefault="00D70F11" w:rsidP="001A4146">
      <w:r w:rsidRPr="00D06495">
        <w:t>59</w:t>
      </w:r>
      <w:r w:rsidRPr="00D06495">
        <w:tab/>
      </w:r>
      <w:r w:rsidR="00677ACD" w:rsidRPr="00D06495">
        <w:t>En revanche, les charges moins élevées</w:t>
      </w:r>
      <w:r w:rsidR="007E76BD" w:rsidRPr="00D06495">
        <w:t xml:space="preserve"> </w:t>
      </w:r>
      <w:r w:rsidR="00896DD4" w:rsidRPr="00D06495">
        <w:t>(</w:t>
      </w:r>
      <w:r w:rsidR="00677ACD" w:rsidRPr="00D06495">
        <w:t>un tiers des prévisions) pour la</w:t>
      </w:r>
      <w:r w:rsidR="007E76BD" w:rsidRPr="00D06495">
        <w:t xml:space="preserve"> </w:t>
      </w:r>
      <w:r w:rsidR="00677ACD" w:rsidRPr="00D06495">
        <w:rPr>
          <w:color w:val="000000"/>
        </w:rPr>
        <w:t>construction et le montage de</w:t>
      </w:r>
      <w:r w:rsidR="007E76BD" w:rsidRPr="00D06495">
        <w:rPr>
          <w:color w:val="000000"/>
        </w:rPr>
        <w:t xml:space="preserve"> </w:t>
      </w:r>
      <w:r w:rsidR="00677ACD" w:rsidRPr="00D06495">
        <w:rPr>
          <w:color w:val="000000"/>
        </w:rPr>
        <w:t>stands</w:t>
      </w:r>
      <w:r w:rsidR="007E76BD" w:rsidRPr="00D06495">
        <w:rPr>
          <w:color w:val="000000"/>
        </w:rPr>
        <w:t xml:space="preserve"> </w:t>
      </w:r>
      <w:r w:rsidR="00677ACD" w:rsidRPr="00D06495">
        <w:rPr>
          <w:color w:val="000000"/>
        </w:rPr>
        <w:t>clés en main se sont traduites par une marge positive</w:t>
      </w:r>
      <w:r w:rsidR="007E76BD" w:rsidRPr="00D06495">
        <w:rPr>
          <w:color w:val="000000"/>
        </w:rPr>
        <w:t xml:space="preserve"> </w:t>
      </w:r>
      <w:r w:rsidR="00677ACD" w:rsidRPr="00D06495">
        <w:rPr>
          <w:color w:val="000000"/>
        </w:rPr>
        <w:t>de</w:t>
      </w:r>
      <w:r w:rsidR="00C765F3" w:rsidRPr="00D06495">
        <w:t xml:space="preserve"> </w:t>
      </w:r>
      <w:r w:rsidR="00896DD4" w:rsidRPr="00D06495">
        <w:t xml:space="preserve">500 </w:t>
      </w:r>
      <w:r w:rsidR="00677ACD" w:rsidRPr="00D06495">
        <w:t xml:space="preserve">000 </w:t>
      </w:r>
      <w:r w:rsidR="00896DD4" w:rsidRPr="00D06495">
        <w:t>CHF</w:t>
      </w:r>
      <w:r w:rsidR="00700CBE" w:rsidRPr="00D06495">
        <w:t>.</w:t>
      </w:r>
    </w:p>
    <w:p w:rsidR="00896DD4" w:rsidRPr="00D06495" w:rsidRDefault="00D70F11" w:rsidP="001A4146">
      <w:r w:rsidRPr="00D06495">
        <w:t>60</w:t>
      </w:r>
      <w:r w:rsidRPr="00D06495">
        <w:tab/>
      </w:r>
      <w:r w:rsidR="00677ACD" w:rsidRPr="00D06495">
        <w:t>Nous prenons note du fait que, pour la manifestation de</w:t>
      </w:r>
      <w:r w:rsidR="007E76BD" w:rsidRPr="00D06495">
        <w:t xml:space="preserve"> </w:t>
      </w:r>
      <w:r w:rsidR="00896DD4" w:rsidRPr="00D06495">
        <w:t>2016</w:t>
      </w:r>
      <w:r w:rsidR="00C765F3" w:rsidRPr="00D06495">
        <w:t>,</w:t>
      </w:r>
      <w:r w:rsidR="00896DD4" w:rsidRPr="00D06495">
        <w:t xml:space="preserve"> </w:t>
      </w:r>
      <w:r w:rsidR="00677ACD" w:rsidRPr="00D06495">
        <w:rPr>
          <w:color w:val="000000"/>
        </w:rPr>
        <w:t>un</w:t>
      </w:r>
      <w:r w:rsidR="00EE49C5" w:rsidRPr="00D06495">
        <w:rPr>
          <w:color w:val="000000"/>
        </w:rPr>
        <w:t>e ligne</w:t>
      </w:r>
      <w:r w:rsidR="00B86E31">
        <w:rPr>
          <w:color w:val="000000"/>
        </w:rPr>
        <w:t xml:space="preserve"> budgétaire pour les </w:t>
      </w:r>
      <w:r w:rsidR="0060670F">
        <w:rPr>
          <w:color w:val="000000"/>
        </w:rPr>
        <w:t>coexposant</w:t>
      </w:r>
      <w:r w:rsidR="00677ACD" w:rsidRPr="00D06495">
        <w:rPr>
          <w:color w:val="000000"/>
        </w:rPr>
        <w:t>s a été dûment ajouté</w:t>
      </w:r>
      <w:r w:rsidR="00EE49C5" w:rsidRPr="00D06495">
        <w:rPr>
          <w:color w:val="000000"/>
        </w:rPr>
        <w:t>e</w:t>
      </w:r>
      <w:r w:rsidR="007E76BD" w:rsidRPr="00D06495">
        <w:t xml:space="preserve"> </w:t>
      </w:r>
      <w:r w:rsidR="00896DD4" w:rsidRPr="00D06495">
        <w:t>(</w:t>
      </w:r>
      <w:r w:rsidR="00677ACD" w:rsidRPr="00D06495">
        <w:t>comme nous l</w:t>
      </w:r>
      <w:r w:rsidR="001D0125">
        <w:t>'</w:t>
      </w:r>
      <w:r w:rsidR="00677ACD" w:rsidRPr="00D06495">
        <w:t xml:space="preserve">avions demandé dans notre </w:t>
      </w:r>
      <w:r w:rsidR="00EE49C5" w:rsidRPr="00D06495">
        <w:t>Proposition</w:t>
      </w:r>
      <w:r w:rsidR="007E76BD" w:rsidRPr="00D06495">
        <w:t xml:space="preserve"> </w:t>
      </w:r>
      <w:r w:rsidR="00896DD4" w:rsidRPr="00D06495">
        <w:t>4/2015)</w:t>
      </w:r>
      <w:r w:rsidR="00C9329D" w:rsidRPr="00D06495">
        <w:t>.</w:t>
      </w:r>
      <w:r w:rsidR="005D3BB9" w:rsidRPr="00D06495">
        <w:t xml:space="preserve"> </w:t>
      </w:r>
      <w:r w:rsidR="00677ACD" w:rsidRPr="00D06495">
        <w:t>Le montant</w:t>
      </w:r>
      <w:r w:rsidR="00CE6437" w:rsidRPr="00D06495">
        <w:t xml:space="preserve"> effectif</w:t>
      </w:r>
      <w:r w:rsidR="007E76BD" w:rsidRPr="00D06495">
        <w:t xml:space="preserve"> </w:t>
      </w:r>
      <w:r w:rsidR="00677ACD" w:rsidRPr="00D06495">
        <w:t xml:space="preserve">des produits a été égal au montant </w:t>
      </w:r>
      <w:r w:rsidR="00CE6437" w:rsidRPr="00D06495">
        <w:t>inscrit au budget</w:t>
      </w:r>
      <w:r w:rsidR="007E76BD" w:rsidRPr="00D06495">
        <w:t xml:space="preserve"> </w:t>
      </w:r>
      <w:r w:rsidR="00B86E31">
        <w:t>(2 </w:t>
      </w:r>
      <w:r w:rsidR="00896DD4" w:rsidRPr="00D06495">
        <w:t>000 CHF)</w:t>
      </w:r>
      <w:r w:rsidR="00C9329D" w:rsidRPr="00D06495">
        <w:t>.</w:t>
      </w:r>
    </w:p>
    <w:p w:rsidR="00896DD4" w:rsidRPr="00D06495" w:rsidRDefault="00896DD4" w:rsidP="00871131">
      <w:pPr>
        <w:pStyle w:val="Headingb"/>
      </w:pPr>
      <w:bookmarkStart w:id="108" w:name="_Toc482778595"/>
      <w:bookmarkStart w:id="109" w:name="_Toc482780318"/>
      <w:bookmarkStart w:id="110" w:name="_Toc482780464"/>
      <w:bookmarkStart w:id="111" w:name="_Toc482785818"/>
      <w:r w:rsidRPr="00D06495">
        <w:t>Forum</w:t>
      </w:r>
      <w:bookmarkEnd w:id="108"/>
      <w:bookmarkEnd w:id="109"/>
      <w:bookmarkEnd w:id="110"/>
      <w:bookmarkEnd w:id="111"/>
    </w:p>
    <w:p w:rsidR="00D70F11" w:rsidRPr="00D06495" w:rsidRDefault="00D70F11" w:rsidP="00B86E31">
      <w:r w:rsidRPr="00D06495">
        <w:rPr>
          <w:color w:val="000000"/>
        </w:rPr>
        <w:t>61</w:t>
      </w:r>
      <w:r w:rsidRPr="00D06495">
        <w:rPr>
          <w:color w:val="000000"/>
        </w:rPr>
        <w:tab/>
        <w:t>Le montant effectif des produits</w:t>
      </w:r>
      <w:r w:rsidRPr="00D06495">
        <w:t xml:space="preserve"> provenant du Forum (</w:t>
      </w:r>
      <w:r w:rsidR="00EE49C5" w:rsidRPr="00D06495">
        <w:t xml:space="preserve">1 347 </w:t>
      </w:r>
      <w:r w:rsidRPr="00D06495">
        <w:t>1</w:t>
      </w:r>
      <w:r w:rsidR="003907C1" w:rsidRPr="00D06495">
        <w:t>00</w:t>
      </w:r>
      <w:r w:rsidRPr="00D06495">
        <w:t xml:space="preserve"> CHF) est </w:t>
      </w:r>
      <w:r w:rsidR="003907C1" w:rsidRPr="00D06495">
        <w:t>sup</w:t>
      </w:r>
      <w:r w:rsidRPr="00D06495">
        <w:t>érieur au montant inscrit au budget (</w:t>
      </w:r>
      <w:r w:rsidR="00EE49C5" w:rsidRPr="00D06495">
        <w:t xml:space="preserve">1 107 </w:t>
      </w:r>
      <w:r w:rsidR="003907C1" w:rsidRPr="00D06495">
        <w:t>500</w:t>
      </w:r>
      <w:r w:rsidR="00EE49C5" w:rsidRPr="00D06495">
        <w:t xml:space="preserve"> </w:t>
      </w:r>
      <w:r w:rsidRPr="00D06495">
        <w:t xml:space="preserve">CHF), </w:t>
      </w:r>
      <w:r w:rsidR="00B8532A" w:rsidRPr="00D06495">
        <w:t>en forte augmentation par rapport aux</w:t>
      </w:r>
      <w:r w:rsidR="00B8532A" w:rsidRPr="00D06495">
        <w:rPr>
          <w:color w:val="000000"/>
        </w:rPr>
        <w:t xml:space="preserve"> produits</w:t>
      </w:r>
      <w:r w:rsidR="007E76BD" w:rsidRPr="00D06495">
        <w:t xml:space="preserve"> </w:t>
      </w:r>
      <w:r w:rsidR="00B86E31">
        <w:t>tirés </w:t>
      </w:r>
      <w:r w:rsidR="00B8532A" w:rsidRPr="00D06495">
        <w:t>du Forum en 2015</w:t>
      </w:r>
      <w:r w:rsidR="007E76BD" w:rsidRPr="00D06495">
        <w:t xml:space="preserve"> </w:t>
      </w:r>
      <w:r w:rsidR="00B8532A" w:rsidRPr="00D06495">
        <w:t>(474 00</w:t>
      </w:r>
      <w:r w:rsidR="00EE49C5" w:rsidRPr="00D06495">
        <w:t>0</w:t>
      </w:r>
      <w:r w:rsidR="00B8532A" w:rsidRPr="00D06495">
        <w:t xml:space="preserve"> CHF)</w:t>
      </w:r>
      <w:r w:rsidR="00C765F3" w:rsidRPr="00D06495">
        <w:t>,</w:t>
      </w:r>
      <w:r w:rsidR="00B8532A" w:rsidRPr="00D06495">
        <w:t xml:space="preserve"> et </w:t>
      </w:r>
      <w:r w:rsidR="00EE49C5" w:rsidRPr="00D06495">
        <w:t>atteint</w:t>
      </w:r>
      <w:r w:rsidR="00B8532A" w:rsidRPr="00D06495">
        <w:t xml:space="preserve"> le niveau des éditions précédentes (par exemple</w:t>
      </w:r>
      <w:r w:rsidR="00B86E31">
        <w:t> </w:t>
      </w:r>
      <w:r w:rsidRPr="00D06495">
        <w:t>1,125 million CHF en 201</w:t>
      </w:r>
      <w:r w:rsidR="00B8532A" w:rsidRPr="00D06495">
        <w:t>4</w:t>
      </w:r>
      <w:r w:rsidRPr="00D06495">
        <w:t>)</w:t>
      </w:r>
      <w:r w:rsidR="00700CBE" w:rsidRPr="00D06495">
        <w:t>.</w:t>
      </w:r>
    </w:p>
    <w:p w:rsidR="00D70F11" w:rsidRPr="00D06495" w:rsidRDefault="00D70F11" w:rsidP="001A4146">
      <w:bookmarkStart w:id="112" w:name="lt_pId160"/>
      <w:r w:rsidRPr="00D06495">
        <w:t>62</w:t>
      </w:r>
      <w:r w:rsidRPr="00D06495">
        <w:tab/>
        <w:t>Il ressort de la composition des produits tirés du Forum que 80% des produits proviennent des parrainages et des contributions et que 15% sont à mettre au compte des droits d'admission</w:t>
      </w:r>
      <w:bookmarkEnd w:id="112"/>
      <w:r w:rsidR="00C9329D" w:rsidRPr="00D06495">
        <w:t>.</w:t>
      </w:r>
      <w:r w:rsidR="005D3BB9" w:rsidRPr="00D06495">
        <w:t xml:space="preserve"> </w:t>
      </w:r>
      <w:r w:rsidR="009F1CC0" w:rsidRPr="00D06495">
        <w:t>Un montant</w:t>
      </w:r>
      <w:r w:rsidR="007E76BD" w:rsidRPr="00D06495">
        <w:t xml:space="preserve"> </w:t>
      </w:r>
      <w:r w:rsidR="009F1CC0" w:rsidRPr="00D06495">
        <w:t>résiduel</w:t>
      </w:r>
      <w:r w:rsidR="007E76BD" w:rsidRPr="00D06495">
        <w:t xml:space="preserve"> </w:t>
      </w:r>
      <w:r w:rsidR="009F1CC0" w:rsidRPr="00D06495">
        <w:t>de</w:t>
      </w:r>
      <w:r w:rsidR="007E76BD" w:rsidRPr="00D06495">
        <w:t xml:space="preserve"> </w:t>
      </w:r>
      <w:r w:rsidRPr="00D06495">
        <w:t>5%</w:t>
      </w:r>
      <w:r w:rsidR="009F1CC0" w:rsidRPr="00D06495">
        <w:t xml:space="preserve"> est dû aux pénalités pour annulation de parrainage</w:t>
      </w:r>
      <w:r w:rsidR="00700CBE" w:rsidRPr="00D06495">
        <w:t>.</w:t>
      </w:r>
    </w:p>
    <w:p w:rsidR="00896DD4" w:rsidRPr="00D06495" w:rsidRDefault="00D70F11" w:rsidP="001A4146">
      <w:r w:rsidRPr="00D06495">
        <w:t>63</w:t>
      </w:r>
      <w:r w:rsidRPr="00D06495">
        <w:tab/>
      </w:r>
      <w:r w:rsidR="009F1CC0" w:rsidRPr="00D06495">
        <w:t>Il y a lieu de noter que parmi ces produits,</w:t>
      </w:r>
      <w:r w:rsidR="007E76BD" w:rsidRPr="00D06495">
        <w:t xml:space="preserve"> </w:t>
      </w:r>
      <w:r w:rsidR="009F1CC0" w:rsidRPr="00D06495">
        <w:t>un montant de</w:t>
      </w:r>
      <w:r w:rsidR="007E76BD" w:rsidRPr="00D06495">
        <w:t xml:space="preserve"> </w:t>
      </w:r>
      <w:r w:rsidR="00896DD4" w:rsidRPr="00D06495">
        <w:t xml:space="preserve">600 </w:t>
      </w:r>
      <w:r w:rsidR="009F1CC0" w:rsidRPr="00D06495">
        <w:t>00</w:t>
      </w:r>
      <w:r w:rsidR="00EE49C5" w:rsidRPr="00D06495">
        <w:t>0</w:t>
      </w:r>
      <w:r w:rsidR="009F1CC0" w:rsidRPr="00D06495">
        <w:t xml:space="preserve"> </w:t>
      </w:r>
      <w:r w:rsidR="00896DD4" w:rsidRPr="00D06495">
        <w:t>CHF</w:t>
      </w:r>
      <w:r w:rsidR="009F1CC0" w:rsidRPr="00D06495">
        <w:t xml:space="preserve"> </w:t>
      </w:r>
      <w:r w:rsidR="00EE49C5" w:rsidRPr="00D06495">
        <w:t xml:space="preserve">est </w:t>
      </w:r>
      <w:r w:rsidR="009F1CC0" w:rsidRPr="00D06495">
        <w:t>inscrit</w:t>
      </w:r>
      <w:r w:rsidR="007E76BD" w:rsidRPr="00D06495">
        <w:t xml:space="preserve"> </w:t>
      </w:r>
      <w:r w:rsidR="00EE49C5" w:rsidRPr="00D06495">
        <w:t>au budget à</w:t>
      </w:r>
      <w:r w:rsidR="009F1CC0" w:rsidRPr="00D06495">
        <w:t xml:space="preserve"> titre de contribution financière </w:t>
      </w:r>
      <w:r w:rsidR="00EE49C5" w:rsidRPr="00D06495">
        <w:t>du</w:t>
      </w:r>
      <w:r w:rsidR="009F1CC0" w:rsidRPr="00D06495">
        <w:t xml:space="preserve"> pays hôte pour les services audiovisuels, qui sont normalement fournis en nature par </w:t>
      </w:r>
      <w:r w:rsidR="00EE49C5" w:rsidRPr="00D06495">
        <w:t>ce dernier</w:t>
      </w:r>
      <w:r w:rsidR="00C9329D" w:rsidRPr="00D06495">
        <w:t>.</w:t>
      </w:r>
      <w:r w:rsidR="005D3BB9" w:rsidRPr="00D06495">
        <w:t xml:space="preserve"> </w:t>
      </w:r>
      <w:r w:rsidR="009F1CC0" w:rsidRPr="00D06495">
        <w:t>Voir également le §</w:t>
      </w:r>
      <w:r w:rsidR="00C765F3" w:rsidRPr="00D06495">
        <w:t xml:space="preserve"> </w:t>
      </w:r>
      <w:r w:rsidR="00896DD4" w:rsidRPr="00D06495">
        <w:t>45</w:t>
      </w:r>
      <w:r w:rsidR="00C9329D" w:rsidRPr="00D06495">
        <w:t>.</w:t>
      </w:r>
    </w:p>
    <w:p w:rsidR="00896DD4" w:rsidRPr="00D06495" w:rsidRDefault="00D70F11" w:rsidP="001A4146">
      <w:r w:rsidRPr="00D06495">
        <w:t>64</w:t>
      </w:r>
      <w:r w:rsidRPr="00D06495">
        <w:tab/>
      </w:r>
      <w:r w:rsidR="007E76BD" w:rsidRPr="00D06495">
        <w:t xml:space="preserve"> </w:t>
      </w:r>
      <w:r w:rsidR="009F1CC0" w:rsidRPr="00D06495">
        <w:rPr>
          <w:color w:val="000000"/>
        </w:rPr>
        <w:t>La différence la plus notable est que</w:t>
      </w:r>
      <w:r w:rsidR="007E76BD" w:rsidRPr="00D06495">
        <w:t xml:space="preserve"> </w:t>
      </w:r>
      <w:r w:rsidR="009F1CC0" w:rsidRPr="00D06495">
        <w:t>les</w:t>
      </w:r>
      <w:r w:rsidR="00896DD4" w:rsidRPr="00D06495">
        <w:t xml:space="preserve"> </w:t>
      </w:r>
      <w:r w:rsidR="00E24C9F" w:rsidRPr="00D06495">
        <w:t xml:space="preserve">produits tirés des </w:t>
      </w:r>
      <w:r w:rsidR="00B56B10">
        <w:t>"</w:t>
      </w:r>
      <w:r w:rsidR="009F1CC0" w:rsidRPr="00D06495">
        <w:rPr>
          <w:color w:val="000000"/>
        </w:rPr>
        <w:t>sessions sponsorisées ou</w:t>
      </w:r>
      <w:r w:rsidR="007E76BD" w:rsidRPr="00D06495">
        <w:rPr>
          <w:color w:val="000000"/>
        </w:rPr>
        <w:t xml:space="preserve"> </w:t>
      </w:r>
      <w:r w:rsidR="009F1CC0" w:rsidRPr="00D06495">
        <w:rPr>
          <w:color w:val="000000"/>
        </w:rPr>
        <w:t>organisées conjointement</w:t>
      </w:r>
      <w:r w:rsidR="00B56B10">
        <w:t>"</w:t>
      </w:r>
      <w:r w:rsidR="00896DD4" w:rsidRPr="00D06495">
        <w:t xml:space="preserve"> </w:t>
      </w:r>
      <w:r w:rsidR="00E24C9F" w:rsidRPr="00D06495">
        <w:rPr>
          <w:color w:val="000000"/>
        </w:rPr>
        <w:t xml:space="preserve">ont été supérieurs de </w:t>
      </w:r>
      <w:r w:rsidR="00896DD4" w:rsidRPr="00D06495">
        <w:t xml:space="preserve">78% </w:t>
      </w:r>
      <w:r w:rsidR="00E24C9F" w:rsidRPr="00D06495">
        <w:t>aux produits inscrits au budget</w:t>
      </w:r>
      <w:r w:rsidR="00C765F3" w:rsidRPr="00D06495">
        <w:t>,</w:t>
      </w:r>
      <w:r w:rsidR="007E76BD" w:rsidRPr="00D06495">
        <w:t xml:space="preserve"> </w:t>
      </w:r>
      <w:r w:rsidR="00EE49C5" w:rsidRPr="00D06495">
        <w:t xml:space="preserve">ce qui s'explique par le nombre </w:t>
      </w:r>
      <w:r w:rsidR="00E24C9F" w:rsidRPr="00D06495">
        <w:t>plus élevé de sessions sponsorisées</w:t>
      </w:r>
      <w:r w:rsidR="007E76BD" w:rsidRPr="00D06495">
        <w:t xml:space="preserve"> </w:t>
      </w:r>
      <w:r w:rsidR="00896DD4" w:rsidRPr="00D06495">
        <w:t>(10</w:t>
      </w:r>
      <w:r w:rsidR="007E76BD" w:rsidRPr="00D06495">
        <w:t xml:space="preserve"> </w:t>
      </w:r>
      <w:r w:rsidR="00E24C9F" w:rsidRPr="00D06495">
        <w:t>au lieu de</w:t>
      </w:r>
      <w:r w:rsidR="00896DD4" w:rsidRPr="00D06495">
        <w:t xml:space="preserve"> 5)</w:t>
      </w:r>
      <w:r w:rsidR="00700CBE" w:rsidRPr="00D06495">
        <w:t>.</w:t>
      </w:r>
    </w:p>
    <w:p w:rsidR="00896DD4" w:rsidRPr="00D06495" w:rsidRDefault="00D70F11" w:rsidP="001A4146">
      <w:r w:rsidRPr="00D06495">
        <w:t>65</w:t>
      </w:r>
      <w:r w:rsidRPr="00D06495">
        <w:tab/>
      </w:r>
      <w:r w:rsidR="00E24C9F" w:rsidRPr="00D06495">
        <w:t xml:space="preserve">Les produits générés par les parrainages de </w:t>
      </w:r>
      <w:r w:rsidR="00E24C9F" w:rsidRPr="00D06495">
        <w:rPr>
          <w:color w:val="000000"/>
        </w:rPr>
        <w:t>pauses café</w:t>
      </w:r>
      <w:r w:rsidR="007E76BD" w:rsidRPr="00D06495">
        <w:rPr>
          <w:color w:val="000000"/>
        </w:rPr>
        <w:t xml:space="preserve"> </w:t>
      </w:r>
      <w:r w:rsidR="00E24C9F" w:rsidRPr="00D06495">
        <w:t>ont été trois fois supérieurs au montant inscrit au budget</w:t>
      </w:r>
      <w:r w:rsidR="007E76BD" w:rsidRPr="00D06495">
        <w:t xml:space="preserve"> </w:t>
      </w:r>
      <w:r w:rsidR="00896DD4" w:rsidRPr="00D06495">
        <w:t xml:space="preserve">(30 </w:t>
      </w:r>
      <w:r w:rsidR="00E24C9F" w:rsidRPr="00D06495">
        <w:t xml:space="preserve">000 </w:t>
      </w:r>
      <w:r w:rsidR="00896DD4" w:rsidRPr="00D06495">
        <w:t xml:space="preserve">CHF </w:t>
      </w:r>
      <w:r w:rsidR="00E24C9F" w:rsidRPr="00D06495">
        <w:t>au lieu de</w:t>
      </w:r>
      <w:r w:rsidR="007E76BD" w:rsidRPr="00D06495">
        <w:t xml:space="preserve"> </w:t>
      </w:r>
      <w:r w:rsidR="00896DD4" w:rsidRPr="00D06495">
        <w:t>10</w:t>
      </w:r>
      <w:r w:rsidR="00E24C9F" w:rsidRPr="00D06495">
        <w:t xml:space="preserve"> 000</w:t>
      </w:r>
      <w:r w:rsidR="00EE49C5" w:rsidRPr="00D06495">
        <w:t xml:space="preserve"> CHF</w:t>
      </w:r>
      <w:r w:rsidR="00896DD4" w:rsidRPr="00D06495">
        <w:t>)</w:t>
      </w:r>
      <w:r w:rsidR="00700CBE" w:rsidRPr="00D06495">
        <w:t>.</w:t>
      </w:r>
    </w:p>
    <w:p w:rsidR="00896DD4" w:rsidRPr="00D06495" w:rsidRDefault="00D70F11" w:rsidP="001A4146">
      <w:r w:rsidRPr="00D06495">
        <w:lastRenderedPageBreak/>
        <w:t>66</w:t>
      </w:r>
      <w:r w:rsidRPr="00D06495">
        <w:tab/>
      </w:r>
      <w:r w:rsidR="00E24C9F" w:rsidRPr="00D06495">
        <w:t xml:space="preserve">Les </w:t>
      </w:r>
      <w:r w:rsidR="00E24C9F" w:rsidRPr="00D06495">
        <w:rPr>
          <w:color w:val="000000"/>
        </w:rPr>
        <w:t>produits</w:t>
      </w:r>
      <w:r w:rsidR="007E76BD" w:rsidRPr="00D06495">
        <w:rPr>
          <w:color w:val="000000"/>
        </w:rPr>
        <w:t xml:space="preserve"> </w:t>
      </w:r>
      <w:r w:rsidR="00E24C9F" w:rsidRPr="00D06495">
        <w:rPr>
          <w:color w:val="000000"/>
        </w:rPr>
        <w:t>au titre des droits d'admission au Forum se sont élevés à</w:t>
      </w:r>
      <w:r w:rsidR="00C765F3" w:rsidRPr="00D06495">
        <w:rPr>
          <w:color w:val="000000"/>
        </w:rPr>
        <w:t xml:space="preserve"> </w:t>
      </w:r>
      <w:r w:rsidR="00896DD4" w:rsidRPr="00D06495">
        <w:t xml:space="preserve">198 </w:t>
      </w:r>
      <w:r w:rsidR="00E24C9F" w:rsidRPr="00D06495">
        <w:t xml:space="preserve">000 </w:t>
      </w:r>
      <w:r w:rsidR="00896DD4" w:rsidRPr="00D06495">
        <w:t xml:space="preserve">CHF, </w:t>
      </w:r>
      <w:r w:rsidR="00E24C9F" w:rsidRPr="00D06495">
        <w:t>en légère hausse par rapport au montant inscrit au budget</w:t>
      </w:r>
      <w:r w:rsidR="007E76BD" w:rsidRPr="00D06495">
        <w:t xml:space="preserve"> </w:t>
      </w:r>
      <w:r w:rsidR="00896DD4" w:rsidRPr="00D06495">
        <w:t xml:space="preserve">(197 </w:t>
      </w:r>
      <w:r w:rsidR="00E24C9F" w:rsidRPr="00D06495">
        <w:t>000</w:t>
      </w:r>
      <w:r w:rsidR="00EE49C5" w:rsidRPr="00D06495">
        <w:t xml:space="preserve"> </w:t>
      </w:r>
      <w:r w:rsidR="00896DD4" w:rsidRPr="00D06495">
        <w:t>CHF)</w:t>
      </w:r>
      <w:r w:rsidR="00E24C9F" w:rsidRPr="00D06495">
        <w:t>, ce qui représente une augmentation de</w:t>
      </w:r>
      <w:r w:rsidR="007E76BD" w:rsidRPr="00D06495">
        <w:t xml:space="preserve"> </w:t>
      </w:r>
      <w:r w:rsidR="00896DD4" w:rsidRPr="00D06495">
        <w:t>6</w:t>
      </w:r>
      <w:r w:rsidR="0060670F">
        <w:t>%</w:t>
      </w:r>
      <w:r w:rsidR="00896DD4" w:rsidRPr="00D06495">
        <w:t xml:space="preserve"> </w:t>
      </w:r>
      <w:r w:rsidR="001B11BF">
        <w:t>par rapport au montant des</w:t>
      </w:r>
      <w:r w:rsidR="00E24C9F" w:rsidRPr="00D06495">
        <w:t xml:space="preserve"> mêmes produits générés lors de la manifestation de </w:t>
      </w:r>
      <w:r w:rsidR="00896DD4" w:rsidRPr="00D06495">
        <w:t>2015</w:t>
      </w:r>
      <w:r w:rsidR="007E76BD" w:rsidRPr="00D06495">
        <w:t xml:space="preserve"> </w:t>
      </w:r>
      <w:r w:rsidR="00EE49C5" w:rsidRPr="00D06495">
        <w:t xml:space="preserve">(186 </w:t>
      </w:r>
      <w:r w:rsidR="00E24C9F" w:rsidRPr="00D06495">
        <w:t xml:space="preserve">000 </w:t>
      </w:r>
      <w:r w:rsidR="00896DD4" w:rsidRPr="00D06495">
        <w:t>CHF)</w:t>
      </w:r>
      <w:r w:rsidR="00C9329D" w:rsidRPr="00D06495">
        <w:t>.</w:t>
      </w:r>
    </w:p>
    <w:p w:rsidR="00FF6174" w:rsidRPr="00D06495" w:rsidRDefault="00D70F11" w:rsidP="00B86E31">
      <w:pPr>
        <w:spacing w:after="240"/>
      </w:pPr>
      <w:r w:rsidRPr="00D06495">
        <w:t>67</w:t>
      </w:r>
      <w:r w:rsidRPr="00D06495">
        <w:tab/>
      </w:r>
      <w:r w:rsidR="006C1BE5" w:rsidRPr="00D06495">
        <w:t>La ventilation</w:t>
      </w:r>
      <w:r w:rsidR="007E76BD" w:rsidRPr="00D06495">
        <w:t xml:space="preserve"> </w:t>
      </w:r>
      <w:r w:rsidR="006C1BE5" w:rsidRPr="00D06495">
        <w:t>des types de billets d</w:t>
      </w:r>
      <w:r w:rsidR="001D0125">
        <w:t>'</w:t>
      </w:r>
      <w:r w:rsidR="006C1BE5" w:rsidRPr="00D06495">
        <w:t xml:space="preserve">entrée inscrits au budget et vendus fait apparaître les données </w:t>
      </w:r>
      <w:proofErr w:type="gramStart"/>
      <w:r w:rsidR="006C1BE5" w:rsidRPr="00D06495">
        <w:t>suivantes:</w:t>
      </w:r>
      <w:proofErr w:type="gramEnd"/>
    </w:p>
    <w:tbl>
      <w:tblPr>
        <w:tblStyle w:val="TableGrid"/>
        <w:tblW w:w="5000" w:type="pct"/>
        <w:tblLook w:val="04A0" w:firstRow="1" w:lastRow="0" w:firstColumn="1" w:lastColumn="0" w:noHBand="0" w:noVBand="1"/>
      </w:tblPr>
      <w:tblGrid>
        <w:gridCol w:w="3209"/>
        <w:gridCol w:w="3209"/>
        <w:gridCol w:w="3211"/>
      </w:tblGrid>
      <w:tr w:rsidR="00896DD4" w:rsidRPr="00D06495" w:rsidTr="00D70F11">
        <w:tc>
          <w:tcPr>
            <w:tcW w:w="1666" w:type="pct"/>
          </w:tcPr>
          <w:p w:rsidR="00896DD4" w:rsidRPr="00D06495" w:rsidRDefault="008C347F" w:rsidP="001A4146">
            <w:pPr>
              <w:pStyle w:val="Tablehead"/>
              <w:rPr>
                <w:i/>
                <w:iCs/>
              </w:rPr>
            </w:pPr>
            <w:r w:rsidRPr="00D06495">
              <w:rPr>
                <w:i/>
                <w:iCs/>
              </w:rPr>
              <w:t>Caté</w:t>
            </w:r>
            <w:r w:rsidR="00896DD4" w:rsidRPr="00D06495">
              <w:rPr>
                <w:i/>
                <w:iCs/>
              </w:rPr>
              <w:t>gories</w:t>
            </w:r>
          </w:p>
        </w:tc>
        <w:tc>
          <w:tcPr>
            <w:tcW w:w="1666" w:type="pct"/>
          </w:tcPr>
          <w:p w:rsidR="00896DD4" w:rsidRPr="00D06495" w:rsidRDefault="00DE4CA5" w:rsidP="001A4146">
            <w:pPr>
              <w:pStyle w:val="Tablehead"/>
              <w:rPr>
                <w:i/>
                <w:iCs/>
              </w:rPr>
            </w:pPr>
            <w:r w:rsidRPr="00D06495">
              <w:rPr>
                <w:i/>
                <w:iCs/>
              </w:rPr>
              <w:t>Nombre de billets inscrits</w:t>
            </w:r>
            <w:r w:rsidR="007E76BD" w:rsidRPr="00D06495">
              <w:rPr>
                <w:i/>
                <w:iCs/>
              </w:rPr>
              <w:t xml:space="preserve"> </w:t>
            </w:r>
            <w:r w:rsidRPr="00D06495">
              <w:rPr>
                <w:i/>
                <w:iCs/>
              </w:rPr>
              <w:t>au budget</w:t>
            </w:r>
            <w:r w:rsidR="007E76BD" w:rsidRPr="00D06495">
              <w:rPr>
                <w:i/>
                <w:iCs/>
              </w:rPr>
              <w:t xml:space="preserve"> </w:t>
            </w:r>
          </w:p>
        </w:tc>
        <w:tc>
          <w:tcPr>
            <w:tcW w:w="1667" w:type="pct"/>
          </w:tcPr>
          <w:p w:rsidR="00896DD4" w:rsidRPr="00D06495" w:rsidRDefault="00DE4CA5" w:rsidP="001A4146">
            <w:pPr>
              <w:pStyle w:val="Tablehead"/>
              <w:rPr>
                <w:i/>
                <w:iCs/>
              </w:rPr>
            </w:pPr>
            <w:r w:rsidRPr="00D06495">
              <w:rPr>
                <w:i/>
                <w:iCs/>
              </w:rPr>
              <w:t xml:space="preserve">Nombre de billets vendus </w:t>
            </w:r>
          </w:p>
        </w:tc>
      </w:tr>
      <w:tr w:rsidR="00896DD4" w:rsidRPr="00D06495" w:rsidTr="00D70F11">
        <w:tc>
          <w:tcPr>
            <w:tcW w:w="1666" w:type="pct"/>
          </w:tcPr>
          <w:p w:rsidR="00896DD4" w:rsidRPr="00D06495" w:rsidRDefault="00EE49C5" w:rsidP="001A4146">
            <w:pPr>
              <w:pStyle w:val="Tabletext"/>
            </w:pPr>
            <w:r w:rsidRPr="00D06495">
              <w:rPr>
                <w:color w:val="000000"/>
              </w:rPr>
              <w:t>B</w:t>
            </w:r>
            <w:r w:rsidR="006C1BE5" w:rsidRPr="00D06495">
              <w:rPr>
                <w:color w:val="000000"/>
              </w:rPr>
              <w:t xml:space="preserve">illets </w:t>
            </w:r>
            <w:r w:rsidRPr="00D06495">
              <w:rPr>
                <w:color w:val="000000"/>
              </w:rPr>
              <w:t>catégorie</w:t>
            </w:r>
            <w:r w:rsidR="006C1BE5" w:rsidRPr="00D06495">
              <w:rPr>
                <w:color w:val="000000"/>
              </w:rPr>
              <w:t xml:space="preserve"> dirigeant</w:t>
            </w:r>
          </w:p>
        </w:tc>
        <w:tc>
          <w:tcPr>
            <w:tcW w:w="1666" w:type="pct"/>
          </w:tcPr>
          <w:p w:rsidR="00896DD4" w:rsidRPr="00D06495" w:rsidRDefault="00896DD4" w:rsidP="001A4146">
            <w:pPr>
              <w:pStyle w:val="Tabletext"/>
              <w:jc w:val="center"/>
            </w:pPr>
            <w:r w:rsidRPr="00D06495">
              <w:t>10</w:t>
            </w:r>
          </w:p>
        </w:tc>
        <w:tc>
          <w:tcPr>
            <w:tcW w:w="1667" w:type="pct"/>
          </w:tcPr>
          <w:p w:rsidR="00896DD4" w:rsidRPr="00D06495" w:rsidRDefault="00896DD4" w:rsidP="001A4146">
            <w:pPr>
              <w:pStyle w:val="Tabletext"/>
              <w:jc w:val="center"/>
            </w:pPr>
            <w:r w:rsidRPr="00D06495">
              <w:t>18</w:t>
            </w:r>
          </w:p>
        </w:tc>
      </w:tr>
      <w:tr w:rsidR="00896DD4" w:rsidRPr="00D06495" w:rsidTr="00D70F11">
        <w:tc>
          <w:tcPr>
            <w:tcW w:w="1666" w:type="pct"/>
          </w:tcPr>
          <w:p w:rsidR="00896DD4" w:rsidRPr="00D06495" w:rsidRDefault="00896DD4" w:rsidP="001A4146">
            <w:pPr>
              <w:pStyle w:val="Tabletext"/>
            </w:pPr>
            <w:r w:rsidRPr="00D06495">
              <w:t>Forum plus</w:t>
            </w:r>
          </w:p>
        </w:tc>
        <w:tc>
          <w:tcPr>
            <w:tcW w:w="1666" w:type="pct"/>
          </w:tcPr>
          <w:p w:rsidR="00896DD4" w:rsidRPr="00D06495" w:rsidRDefault="00896DD4" w:rsidP="001A4146">
            <w:pPr>
              <w:pStyle w:val="Tabletext"/>
              <w:jc w:val="center"/>
            </w:pPr>
            <w:r w:rsidRPr="00D06495">
              <w:t>65</w:t>
            </w:r>
          </w:p>
        </w:tc>
        <w:tc>
          <w:tcPr>
            <w:tcW w:w="1667" w:type="pct"/>
          </w:tcPr>
          <w:p w:rsidR="00896DD4" w:rsidRPr="00D06495" w:rsidRDefault="00896DD4" w:rsidP="001A4146">
            <w:pPr>
              <w:pStyle w:val="Tabletext"/>
              <w:jc w:val="center"/>
            </w:pPr>
            <w:r w:rsidRPr="00D06495">
              <w:t>73</w:t>
            </w:r>
          </w:p>
        </w:tc>
      </w:tr>
      <w:tr w:rsidR="00896DD4" w:rsidRPr="00D06495" w:rsidTr="00D70F11">
        <w:tc>
          <w:tcPr>
            <w:tcW w:w="1666" w:type="pct"/>
          </w:tcPr>
          <w:p w:rsidR="00896DD4" w:rsidRPr="00D06495" w:rsidRDefault="00896DD4" w:rsidP="001A4146">
            <w:pPr>
              <w:pStyle w:val="Tabletext"/>
            </w:pPr>
            <w:r w:rsidRPr="00D06495">
              <w:t>Forum</w:t>
            </w:r>
          </w:p>
        </w:tc>
        <w:tc>
          <w:tcPr>
            <w:tcW w:w="1666" w:type="pct"/>
          </w:tcPr>
          <w:p w:rsidR="00896DD4" w:rsidRPr="00D06495" w:rsidRDefault="00896DD4" w:rsidP="001A4146">
            <w:pPr>
              <w:pStyle w:val="Tabletext"/>
              <w:jc w:val="center"/>
            </w:pPr>
            <w:r w:rsidRPr="00D06495">
              <w:t>87</w:t>
            </w:r>
          </w:p>
        </w:tc>
        <w:tc>
          <w:tcPr>
            <w:tcW w:w="1667" w:type="pct"/>
          </w:tcPr>
          <w:p w:rsidR="00896DD4" w:rsidRPr="00D06495" w:rsidRDefault="00896DD4" w:rsidP="001A4146">
            <w:pPr>
              <w:pStyle w:val="Tabletext"/>
              <w:jc w:val="center"/>
            </w:pPr>
            <w:r w:rsidRPr="00D06495">
              <w:t>66</w:t>
            </w:r>
          </w:p>
        </w:tc>
      </w:tr>
      <w:tr w:rsidR="00896DD4" w:rsidRPr="00D06495" w:rsidTr="00D70F11">
        <w:tc>
          <w:tcPr>
            <w:tcW w:w="1666" w:type="pct"/>
          </w:tcPr>
          <w:p w:rsidR="00896DD4" w:rsidRPr="00D06495" w:rsidRDefault="00896DD4" w:rsidP="001A4146">
            <w:pPr>
              <w:pStyle w:val="Tabletext"/>
              <w:rPr>
                <w:b/>
                <w:bCs/>
              </w:rPr>
            </w:pPr>
            <w:r w:rsidRPr="00D06495">
              <w:rPr>
                <w:b/>
                <w:bCs/>
              </w:rPr>
              <w:t>TOTAL</w:t>
            </w:r>
          </w:p>
        </w:tc>
        <w:tc>
          <w:tcPr>
            <w:tcW w:w="1666" w:type="pct"/>
          </w:tcPr>
          <w:p w:rsidR="00896DD4" w:rsidRPr="00D06495" w:rsidRDefault="00896DD4" w:rsidP="001A4146">
            <w:pPr>
              <w:pStyle w:val="Tabletext"/>
              <w:jc w:val="center"/>
              <w:rPr>
                <w:b/>
                <w:bCs/>
              </w:rPr>
            </w:pPr>
            <w:r w:rsidRPr="00D06495">
              <w:rPr>
                <w:b/>
                <w:bCs/>
              </w:rPr>
              <w:t>162</w:t>
            </w:r>
          </w:p>
        </w:tc>
        <w:tc>
          <w:tcPr>
            <w:tcW w:w="1667" w:type="pct"/>
          </w:tcPr>
          <w:p w:rsidR="00896DD4" w:rsidRPr="00D06495" w:rsidRDefault="00896DD4" w:rsidP="001A4146">
            <w:pPr>
              <w:pStyle w:val="Tabletext"/>
              <w:jc w:val="center"/>
              <w:rPr>
                <w:b/>
                <w:bCs/>
              </w:rPr>
            </w:pPr>
            <w:r w:rsidRPr="00D06495">
              <w:rPr>
                <w:b/>
                <w:bCs/>
              </w:rPr>
              <w:t>157</w:t>
            </w:r>
          </w:p>
        </w:tc>
      </w:tr>
    </w:tbl>
    <w:p w:rsidR="00896DD4" w:rsidRPr="00D06495" w:rsidRDefault="00D70F11" w:rsidP="00B86E31">
      <w:pPr>
        <w:spacing w:before="360"/>
      </w:pPr>
      <w:r w:rsidRPr="00D06495">
        <w:t>68</w:t>
      </w:r>
      <w:r w:rsidRPr="00D06495">
        <w:tab/>
      </w:r>
      <w:r w:rsidR="00EE49C5" w:rsidRPr="00D06495">
        <w:t>L</w:t>
      </w:r>
      <w:r w:rsidR="006C1BE5" w:rsidRPr="00D06495">
        <w:t>a vente</w:t>
      </w:r>
      <w:r w:rsidR="007E76BD" w:rsidRPr="00D06495">
        <w:t xml:space="preserve"> </w:t>
      </w:r>
      <w:r w:rsidR="006C1BE5" w:rsidRPr="00D06495">
        <w:t xml:space="preserve">de </w:t>
      </w:r>
      <w:r w:rsidR="00EE49C5" w:rsidRPr="00D06495">
        <w:rPr>
          <w:color w:val="000000"/>
        </w:rPr>
        <w:t>billets catégorie</w:t>
      </w:r>
      <w:r w:rsidR="006C1BE5" w:rsidRPr="00D06495">
        <w:rPr>
          <w:color w:val="000000"/>
        </w:rPr>
        <w:t xml:space="preserve"> dirigeant</w:t>
      </w:r>
      <w:r w:rsidR="0042742C" w:rsidRPr="00D06495">
        <w:rPr>
          <w:color w:val="000000"/>
        </w:rPr>
        <w:t xml:space="preserve"> a été beaucoup plus fructueuse</w:t>
      </w:r>
      <w:r w:rsidR="007E76BD" w:rsidRPr="00D06495">
        <w:rPr>
          <w:color w:val="000000"/>
        </w:rPr>
        <w:t xml:space="preserve"> </w:t>
      </w:r>
      <w:r w:rsidR="0042742C" w:rsidRPr="00D06495">
        <w:rPr>
          <w:color w:val="000000"/>
        </w:rPr>
        <w:t>que prévu, alors que la vente de</w:t>
      </w:r>
      <w:r w:rsidR="007E76BD" w:rsidRPr="00D06495">
        <w:rPr>
          <w:color w:val="000000"/>
        </w:rPr>
        <w:t xml:space="preserve"> </w:t>
      </w:r>
      <w:r w:rsidR="006C1BE5" w:rsidRPr="00D06495">
        <w:rPr>
          <w:color w:val="000000"/>
        </w:rPr>
        <w:t xml:space="preserve">billets d'entrée </w:t>
      </w:r>
      <w:r w:rsidR="0042742C" w:rsidRPr="00D06495">
        <w:rPr>
          <w:color w:val="000000"/>
        </w:rPr>
        <w:t xml:space="preserve">simples </w:t>
      </w:r>
      <w:r w:rsidR="006C1BE5" w:rsidRPr="00D06495">
        <w:rPr>
          <w:color w:val="000000"/>
        </w:rPr>
        <w:t>donnant</w:t>
      </w:r>
      <w:r w:rsidR="007E76BD" w:rsidRPr="00D06495">
        <w:rPr>
          <w:color w:val="000000"/>
        </w:rPr>
        <w:t xml:space="preserve"> </w:t>
      </w:r>
      <w:r w:rsidR="006C1BE5" w:rsidRPr="00D06495">
        <w:rPr>
          <w:color w:val="000000"/>
        </w:rPr>
        <w:t>accès</w:t>
      </w:r>
      <w:r w:rsidR="007E76BD" w:rsidRPr="00D06495">
        <w:rPr>
          <w:color w:val="000000"/>
        </w:rPr>
        <w:t xml:space="preserve"> </w:t>
      </w:r>
      <w:r w:rsidR="006C1BE5" w:rsidRPr="00D06495">
        <w:rPr>
          <w:color w:val="000000"/>
        </w:rPr>
        <w:t xml:space="preserve">au Forum </w:t>
      </w:r>
      <w:r w:rsidR="0042742C" w:rsidRPr="00D06495">
        <w:rPr>
          <w:color w:val="000000"/>
        </w:rPr>
        <w:t xml:space="preserve">a été nettement </w:t>
      </w:r>
      <w:r w:rsidR="0042742C" w:rsidRPr="00D06495">
        <w:t>inférieure à l</w:t>
      </w:r>
      <w:r w:rsidR="001D0125">
        <w:t>'</w:t>
      </w:r>
      <w:r w:rsidR="0042742C" w:rsidRPr="00D06495">
        <w:t>objectif</w:t>
      </w:r>
      <w:r w:rsidR="00C9329D" w:rsidRPr="00D06495">
        <w:t>.</w:t>
      </w:r>
    </w:p>
    <w:p w:rsidR="00896DD4" w:rsidRPr="00D06495" w:rsidRDefault="00D70F11" w:rsidP="001A4146">
      <w:r w:rsidRPr="00D06495">
        <w:t>69</w:t>
      </w:r>
      <w:r w:rsidRPr="00D06495">
        <w:tab/>
      </w:r>
      <w:r w:rsidR="00EE49C5" w:rsidRPr="00D06495">
        <w:t>Les données concernant le nombre de billets vendus pour le F</w:t>
      </w:r>
      <w:r w:rsidR="0042742C" w:rsidRPr="00D06495">
        <w:t>orum doivent être comparées au volume de billets d</w:t>
      </w:r>
      <w:r w:rsidR="001D0125">
        <w:t>'</w:t>
      </w:r>
      <w:r w:rsidR="0042742C" w:rsidRPr="00D06495">
        <w:t>entrée gratuit</w:t>
      </w:r>
      <w:r w:rsidR="00EE49C5" w:rsidRPr="00D06495">
        <w:t>s</w:t>
      </w:r>
      <w:r w:rsidR="0042742C" w:rsidRPr="00D06495">
        <w:t>, offerts dans le cadre d</w:t>
      </w:r>
      <w:r w:rsidR="001D0125">
        <w:t>'</w:t>
      </w:r>
      <w:r w:rsidR="0042742C" w:rsidRPr="00D06495">
        <w:t>accords avec des</w:t>
      </w:r>
      <w:r w:rsidR="0042742C" w:rsidRPr="00D06495">
        <w:rPr>
          <w:color w:val="000000"/>
        </w:rPr>
        <w:t xml:space="preserve"> entités ayant contribué financièrement à la manifestation</w:t>
      </w:r>
      <w:r w:rsidR="00C9329D" w:rsidRPr="00D06495">
        <w:rPr>
          <w:color w:val="000000"/>
        </w:rPr>
        <w:t>.</w:t>
      </w:r>
      <w:r w:rsidR="005D3BB9" w:rsidRPr="00D06495">
        <w:rPr>
          <w:color w:val="000000"/>
        </w:rPr>
        <w:t xml:space="preserve"> </w:t>
      </w:r>
      <w:r w:rsidR="0042742C" w:rsidRPr="00D06495">
        <w:rPr>
          <w:color w:val="000000"/>
        </w:rPr>
        <w:t>Sur 324 billets d</w:t>
      </w:r>
      <w:r w:rsidR="001D0125">
        <w:rPr>
          <w:color w:val="000000"/>
        </w:rPr>
        <w:t>'</w:t>
      </w:r>
      <w:r w:rsidR="0042742C" w:rsidRPr="00D06495">
        <w:rPr>
          <w:color w:val="000000"/>
        </w:rPr>
        <w:t>entrée gratuits</w:t>
      </w:r>
      <w:r w:rsidR="00C765F3" w:rsidRPr="00D06495">
        <w:t xml:space="preserve"> </w:t>
      </w:r>
      <w:r w:rsidR="00896DD4" w:rsidRPr="00D06495">
        <w:t>(</w:t>
      </w:r>
      <w:r w:rsidR="0042742C" w:rsidRPr="00D06495">
        <w:t>offerts à 35 entités ayant contribué financièrement à la manifestation), 182 ont été effectivement utilisés</w:t>
      </w:r>
      <w:r w:rsidR="00C765F3" w:rsidRPr="00D06495">
        <w:t xml:space="preserve"> </w:t>
      </w:r>
      <w:r w:rsidR="00896DD4" w:rsidRPr="00D06495">
        <w:t>(56%)</w:t>
      </w:r>
      <w:r w:rsidR="00700CBE" w:rsidRPr="00D06495">
        <w:t>.</w:t>
      </w:r>
    </w:p>
    <w:p w:rsidR="0042742C" w:rsidRPr="00D06495" w:rsidRDefault="0042742C" w:rsidP="0088260C">
      <w:pPr>
        <w:rPr>
          <w:i/>
          <w:iCs/>
        </w:rPr>
      </w:pPr>
      <w:bookmarkStart w:id="113" w:name="_Toc482778596"/>
      <w:bookmarkStart w:id="114" w:name="_Toc482780319"/>
      <w:bookmarkStart w:id="115" w:name="_Toc482780465"/>
      <w:r w:rsidRPr="00D06495">
        <w:rPr>
          <w:i/>
          <w:iCs/>
        </w:rPr>
        <w:t>Programme des dirigeants</w:t>
      </w:r>
      <w:bookmarkEnd w:id="113"/>
      <w:bookmarkEnd w:id="114"/>
      <w:bookmarkEnd w:id="115"/>
    </w:p>
    <w:p w:rsidR="00896DD4" w:rsidRPr="00D06495" w:rsidRDefault="00D70F11" w:rsidP="001A4146">
      <w:r w:rsidRPr="00D06495">
        <w:t>70</w:t>
      </w:r>
      <w:r w:rsidRPr="00D06495">
        <w:tab/>
      </w:r>
      <w:r w:rsidR="001D0125">
        <w:t>E</w:t>
      </w:r>
      <w:r w:rsidR="0042742C" w:rsidRPr="00D06495">
        <w:t>tant donné que lors de la dernière édition de la manifestation,</w:t>
      </w:r>
      <w:r w:rsidR="007E76BD" w:rsidRPr="00D06495">
        <w:t xml:space="preserve"> </w:t>
      </w:r>
      <w:r w:rsidR="0042742C" w:rsidRPr="00D06495">
        <w:rPr>
          <w:color w:val="000000"/>
        </w:rPr>
        <w:t>aucun produit effectif provenant du Programme des dirigeants n</w:t>
      </w:r>
      <w:r w:rsidR="001D0125">
        <w:rPr>
          <w:color w:val="000000"/>
        </w:rPr>
        <w:t>'</w:t>
      </w:r>
      <w:r w:rsidR="0042742C" w:rsidRPr="00D06495">
        <w:rPr>
          <w:color w:val="000000"/>
        </w:rPr>
        <w:t>avait été obtenu, nous avions demandé dans notre rapport précédent qu</w:t>
      </w:r>
      <w:r w:rsidR="001D0125">
        <w:rPr>
          <w:color w:val="000000"/>
        </w:rPr>
        <w:t>'</w:t>
      </w:r>
      <w:r w:rsidR="0042742C" w:rsidRPr="00D06495">
        <w:rPr>
          <w:color w:val="000000"/>
        </w:rPr>
        <w:t>il soit procédé à des ajustements importants</w:t>
      </w:r>
      <w:r w:rsidR="00C9329D" w:rsidRPr="00D06495">
        <w:rPr>
          <w:color w:val="000000"/>
        </w:rPr>
        <w:t>.</w:t>
      </w:r>
    </w:p>
    <w:p w:rsidR="00896DD4" w:rsidRPr="00D06495" w:rsidRDefault="00D70F11" w:rsidP="001A4146">
      <w:r w:rsidRPr="00D06495">
        <w:t>71</w:t>
      </w:r>
      <w:r w:rsidRPr="00D06495">
        <w:tab/>
      </w:r>
      <w:r w:rsidR="0003265D" w:rsidRPr="00D06495">
        <w:rPr>
          <w:color w:val="000000"/>
        </w:rPr>
        <w:t>Nous reconnaissons les efforts déployés par la direction ainsi que les résultats obtenus, puisque l</w:t>
      </w:r>
      <w:r w:rsidR="001D0125">
        <w:rPr>
          <w:color w:val="000000"/>
        </w:rPr>
        <w:t>'</w:t>
      </w:r>
      <w:r w:rsidR="0003265D" w:rsidRPr="00D06495">
        <w:rPr>
          <w:color w:val="000000"/>
        </w:rPr>
        <w:t>objectif a été atteint pour</w:t>
      </w:r>
      <w:r w:rsidR="007E76BD" w:rsidRPr="00D06495">
        <w:rPr>
          <w:color w:val="000000"/>
        </w:rPr>
        <w:t xml:space="preserve"> </w:t>
      </w:r>
      <w:r w:rsidR="00EE49C5" w:rsidRPr="00D06495">
        <w:rPr>
          <w:color w:val="000000"/>
        </w:rPr>
        <w:t>le D</w:t>
      </w:r>
      <w:r w:rsidR="0003265D" w:rsidRPr="00D06495">
        <w:rPr>
          <w:color w:val="000000"/>
        </w:rPr>
        <w:t>éjeuner des dirigeants</w:t>
      </w:r>
      <w:r w:rsidR="0003265D" w:rsidRPr="00D06495">
        <w:t xml:space="preserve"> </w:t>
      </w:r>
      <w:r w:rsidR="00EE49C5" w:rsidRPr="00D06495">
        <w:t xml:space="preserve">(150 </w:t>
      </w:r>
      <w:r w:rsidR="00896DD4" w:rsidRPr="00D06495">
        <w:t>000 CHF)</w:t>
      </w:r>
      <w:r w:rsidR="007E76BD" w:rsidRPr="00D06495">
        <w:t xml:space="preserve"> </w:t>
      </w:r>
      <w:r w:rsidR="0003265D" w:rsidRPr="00D06495">
        <w:t>et qu</w:t>
      </w:r>
      <w:r w:rsidR="001D0125">
        <w:t>'</w:t>
      </w:r>
      <w:r w:rsidR="0003265D" w:rsidRPr="00D06495">
        <w:t>un nouveau produit</w:t>
      </w:r>
      <w:r w:rsidR="007E76BD" w:rsidRPr="00D06495">
        <w:t xml:space="preserve"> </w:t>
      </w:r>
      <w:r w:rsidR="00896DD4" w:rsidRPr="00D06495">
        <w:t>(</w:t>
      </w:r>
      <w:r w:rsidR="0003265D" w:rsidRPr="00D06495">
        <w:t xml:space="preserve">à savoir le </w:t>
      </w:r>
      <w:r w:rsidR="0003265D" w:rsidRPr="00D06495">
        <w:rPr>
          <w:color w:val="000000"/>
        </w:rPr>
        <w:t>Sommet des hautes personnalités</w:t>
      </w:r>
      <w:r w:rsidR="00896DD4" w:rsidRPr="00D06495">
        <w:t xml:space="preserve">) </w:t>
      </w:r>
      <w:r w:rsidR="0003265D" w:rsidRPr="00D06495">
        <w:t>a permis de dégager de nouvelles recettes d</w:t>
      </w:r>
      <w:r w:rsidR="001D0125">
        <w:t>'</w:t>
      </w:r>
      <w:r w:rsidR="0003265D" w:rsidRPr="00D06495">
        <w:t xml:space="preserve">un montant de </w:t>
      </w:r>
      <w:r w:rsidR="00896DD4" w:rsidRPr="00D06495">
        <w:t>100</w:t>
      </w:r>
      <w:r w:rsidR="001B11BF">
        <w:t xml:space="preserve"> </w:t>
      </w:r>
      <w:r w:rsidR="00896DD4" w:rsidRPr="00D06495">
        <w:t>000 CHF</w:t>
      </w:r>
      <w:r w:rsidR="00C9329D" w:rsidRPr="00D06495">
        <w:t>.</w:t>
      </w:r>
    </w:p>
    <w:p w:rsidR="00896DD4" w:rsidRPr="00D06495" w:rsidRDefault="0003265D" w:rsidP="00871131">
      <w:pPr>
        <w:pStyle w:val="Headingi"/>
      </w:pPr>
      <w:bookmarkStart w:id="116" w:name="_Toc482780320"/>
      <w:bookmarkStart w:id="117" w:name="_Toc482780466"/>
      <w:bookmarkStart w:id="118" w:name="_Toc482785819"/>
      <w:r w:rsidRPr="00D06495">
        <w:t>Programme de contacts en réseau</w:t>
      </w:r>
      <w:bookmarkEnd w:id="116"/>
      <w:bookmarkEnd w:id="117"/>
      <w:bookmarkEnd w:id="118"/>
      <w:r w:rsidRPr="00D06495">
        <w:t xml:space="preserve"> </w:t>
      </w:r>
    </w:p>
    <w:p w:rsidR="00896DD4" w:rsidRPr="00D06495" w:rsidRDefault="00D70F11" w:rsidP="001A4146">
      <w:r w:rsidRPr="00D06495">
        <w:t>72</w:t>
      </w:r>
      <w:r w:rsidRPr="00D06495">
        <w:tab/>
      </w:r>
      <w:r w:rsidR="0003265D" w:rsidRPr="00D06495">
        <w:t>Des produits (+55%) et des charges (+313%) supérieurs aux montants inscrits au budget ont été comptabilisés pour ce Programme</w:t>
      </w:r>
      <w:r w:rsidR="00700CBE" w:rsidRPr="00D06495">
        <w:t>.</w:t>
      </w:r>
    </w:p>
    <w:p w:rsidR="00896DD4" w:rsidRPr="00D06495" w:rsidRDefault="00D70F11" w:rsidP="001A4146">
      <w:r w:rsidRPr="00D06495">
        <w:t>73</w:t>
      </w:r>
      <w:r w:rsidRPr="00D06495">
        <w:tab/>
      </w:r>
      <w:r w:rsidR="0003265D" w:rsidRPr="00D06495">
        <w:t>Un parrainage</w:t>
      </w:r>
      <w:r w:rsidR="007E76BD" w:rsidRPr="00D06495">
        <w:t xml:space="preserve"> </w:t>
      </w:r>
      <w:r w:rsidR="0003265D" w:rsidRPr="00D06495">
        <w:t>a été annulé</w:t>
      </w:r>
      <w:r w:rsidR="007E76BD" w:rsidRPr="00D06495">
        <w:t xml:space="preserve"> </w:t>
      </w:r>
      <w:r w:rsidR="0003265D" w:rsidRPr="00D06495">
        <w:t xml:space="preserve">et une pénalité de </w:t>
      </w:r>
      <w:r w:rsidR="00896DD4" w:rsidRPr="00D06495">
        <w:t xml:space="preserve">40 </w:t>
      </w:r>
      <w:r w:rsidR="0003265D" w:rsidRPr="00D06495">
        <w:t xml:space="preserve">000 </w:t>
      </w:r>
      <w:r w:rsidR="00896DD4" w:rsidRPr="00D06495">
        <w:t xml:space="preserve">CHF </w:t>
      </w:r>
      <w:r w:rsidR="0003265D" w:rsidRPr="00D06495">
        <w:t>a été comptabilisée</w:t>
      </w:r>
      <w:r w:rsidR="00C9329D" w:rsidRPr="00D06495">
        <w:t>.</w:t>
      </w:r>
      <w:r w:rsidR="005D3BB9" w:rsidRPr="00D06495">
        <w:t xml:space="preserve"> </w:t>
      </w:r>
      <w:r w:rsidR="007D6CC4">
        <w:t>E</w:t>
      </w:r>
      <w:r w:rsidR="00963BBD" w:rsidRPr="00D06495">
        <w:t>tant donné que cette pénalité n</w:t>
      </w:r>
      <w:r w:rsidR="001D0125">
        <w:t>'</w:t>
      </w:r>
      <w:r w:rsidR="00963BBD" w:rsidRPr="00D06495">
        <w:t xml:space="preserve">avait toujours </w:t>
      </w:r>
      <w:r w:rsidR="00EE49C5" w:rsidRPr="00D06495">
        <w:t>pas été réglée au 31 décembre 20</w:t>
      </w:r>
      <w:r w:rsidR="00963BBD" w:rsidRPr="00D06495">
        <w:t>16, une provision est comptabilisée au titre des charges de ce poste</w:t>
      </w:r>
      <w:r w:rsidR="00700CBE" w:rsidRPr="00D06495">
        <w:t>.</w:t>
      </w:r>
    </w:p>
    <w:p w:rsidR="00963BBD" w:rsidRPr="00D06495" w:rsidRDefault="00963BBD" w:rsidP="0088260C">
      <w:pPr>
        <w:pStyle w:val="Headingi"/>
      </w:pPr>
      <w:bookmarkStart w:id="119" w:name="_Toc482780321"/>
      <w:bookmarkStart w:id="120" w:name="_Toc482780467"/>
      <w:bookmarkStart w:id="121" w:name="_Toc482785820"/>
      <w:r w:rsidRPr="00D06495">
        <w:t>Activités de célébration</w:t>
      </w:r>
      <w:bookmarkEnd w:id="119"/>
      <w:bookmarkEnd w:id="120"/>
      <w:bookmarkEnd w:id="121"/>
      <w:r w:rsidRPr="00D06495">
        <w:t xml:space="preserve"> </w:t>
      </w:r>
    </w:p>
    <w:p w:rsidR="00896DD4" w:rsidRPr="00D06495" w:rsidRDefault="00D70F11" w:rsidP="001A4146">
      <w:r w:rsidRPr="00D06495">
        <w:t>74</w:t>
      </w:r>
      <w:r w:rsidRPr="00D06495">
        <w:tab/>
      </w:r>
      <w:r w:rsidR="00EE49C5" w:rsidRPr="00D06495">
        <w:t>A</w:t>
      </w:r>
      <w:r w:rsidR="00963BBD" w:rsidRPr="00D06495">
        <w:t>ucun produit</w:t>
      </w:r>
      <w:r w:rsidR="007E76BD" w:rsidRPr="00D06495">
        <w:t xml:space="preserve"> </w:t>
      </w:r>
      <w:r w:rsidR="00963BBD" w:rsidRPr="00D06495">
        <w:t>ni aucune</w:t>
      </w:r>
      <w:r w:rsidR="007E76BD" w:rsidRPr="00D06495">
        <w:t xml:space="preserve"> </w:t>
      </w:r>
      <w:r w:rsidR="00963BBD" w:rsidRPr="00D06495">
        <w:t>charge</w:t>
      </w:r>
      <w:r w:rsidR="007E76BD" w:rsidRPr="00D06495">
        <w:t xml:space="preserve"> </w:t>
      </w:r>
      <w:r w:rsidR="00963BBD" w:rsidRPr="00D06495">
        <w:t>n</w:t>
      </w:r>
      <w:r w:rsidR="001D0125">
        <w:t>'</w:t>
      </w:r>
      <w:r w:rsidR="00963BBD" w:rsidRPr="00D06495">
        <w:t>ont été comptabilisés pour les activités de célébration</w:t>
      </w:r>
      <w:r w:rsidR="00700CBE" w:rsidRPr="00D06495">
        <w:t>.</w:t>
      </w:r>
    </w:p>
    <w:p w:rsidR="00896DD4" w:rsidRPr="00D06495" w:rsidRDefault="00D70F11" w:rsidP="001A4146">
      <w:r w:rsidRPr="00D06495">
        <w:t>75</w:t>
      </w:r>
      <w:r w:rsidRPr="00D06495">
        <w:tab/>
      </w:r>
      <w:r w:rsidR="00963BBD" w:rsidRPr="00D06495">
        <w:t>Nous noton</w:t>
      </w:r>
      <w:r w:rsidR="00EE49C5" w:rsidRPr="00D06495">
        <w:t>s qu</w:t>
      </w:r>
      <w:r w:rsidR="001D0125">
        <w:t>'</w:t>
      </w:r>
      <w:r w:rsidR="00EE49C5" w:rsidRPr="00D06495">
        <w:t>il était prévu de créer une ligne budgétaire pour ce poste</w:t>
      </w:r>
      <w:r w:rsidR="00963BBD" w:rsidRPr="00D06495">
        <w:t>,</w:t>
      </w:r>
      <w:r w:rsidR="007E76BD" w:rsidRPr="00D06495">
        <w:t xml:space="preserve"> </w:t>
      </w:r>
      <w:r w:rsidR="00794366" w:rsidRPr="00D06495">
        <w:t>au titre d</w:t>
      </w:r>
      <w:r w:rsidR="001D0125">
        <w:t>'</w:t>
      </w:r>
      <w:r w:rsidR="00794366" w:rsidRPr="00D06495">
        <w:t>un parrainage pour le dîner, d</w:t>
      </w:r>
      <w:r w:rsidR="001D0125">
        <w:t>'</w:t>
      </w:r>
      <w:r w:rsidR="00794366" w:rsidRPr="00D06495">
        <w:t>un montant de</w:t>
      </w:r>
      <w:r w:rsidR="00C765F3" w:rsidRPr="00D06495">
        <w:t xml:space="preserve"> </w:t>
      </w:r>
      <w:r w:rsidR="00896DD4" w:rsidRPr="00D06495">
        <w:t xml:space="preserve">90 </w:t>
      </w:r>
      <w:r w:rsidR="00794366" w:rsidRPr="00D06495">
        <w:t>00</w:t>
      </w:r>
      <w:r w:rsidR="00EE49C5" w:rsidRPr="00D06495">
        <w:t>0</w:t>
      </w:r>
      <w:r w:rsidR="00794366" w:rsidRPr="00D06495">
        <w:t xml:space="preserve"> </w:t>
      </w:r>
      <w:r w:rsidR="00896DD4" w:rsidRPr="00D06495">
        <w:t>CHF,</w:t>
      </w:r>
      <w:r w:rsidR="00794366" w:rsidRPr="00D06495">
        <w:t xml:space="preserve"> et </w:t>
      </w:r>
      <w:r w:rsidR="00EE49C5" w:rsidRPr="00D06495">
        <w:t>qu'</w:t>
      </w:r>
      <w:r w:rsidR="00794366" w:rsidRPr="00D06495">
        <w:t>aucune charge n</w:t>
      </w:r>
      <w:r w:rsidR="001D0125">
        <w:t>'</w:t>
      </w:r>
      <w:r w:rsidR="00794366" w:rsidRPr="00D06495">
        <w:t>a été inscrite au budget, étant donné qu</w:t>
      </w:r>
      <w:r w:rsidR="001D0125">
        <w:t>'</w:t>
      </w:r>
      <w:r w:rsidR="00794366" w:rsidRPr="00D06495">
        <w:t>il était prévu que le sponsor organise et paie</w:t>
      </w:r>
      <w:r w:rsidR="007E76BD" w:rsidRPr="00D06495">
        <w:t xml:space="preserve"> </w:t>
      </w:r>
      <w:r w:rsidR="00794366" w:rsidRPr="00D06495">
        <w:t>le dîner</w:t>
      </w:r>
      <w:r w:rsidR="00700CBE" w:rsidRPr="00D06495">
        <w:t>.</w:t>
      </w:r>
    </w:p>
    <w:p w:rsidR="00896DD4" w:rsidRPr="00D06495" w:rsidRDefault="00794366" w:rsidP="0088260C">
      <w:pPr>
        <w:pStyle w:val="Headingi"/>
      </w:pPr>
      <w:bookmarkStart w:id="122" w:name="_Toc482780322"/>
      <w:bookmarkStart w:id="123" w:name="_Toc482780468"/>
      <w:bookmarkStart w:id="124" w:name="_Toc482785821"/>
      <w:r w:rsidRPr="00D06495">
        <w:lastRenderedPageBreak/>
        <w:t>Parrainage de remise de prix et dîner de gala</w:t>
      </w:r>
      <w:bookmarkEnd w:id="122"/>
      <w:bookmarkEnd w:id="123"/>
      <w:bookmarkEnd w:id="124"/>
      <w:r w:rsidR="007E76BD" w:rsidRPr="00D06495">
        <w:t xml:space="preserve"> </w:t>
      </w:r>
    </w:p>
    <w:p w:rsidR="00896DD4" w:rsidRPr="00D06495" w:rsidRDefault="00EE49C5" w:rsidP="001A4146">
      <w:r w:rsidRPr="00D06495">
        <w:rPr>
          <w:color w:val="000000"/>
        </w:rPr>
        <w:t>76</w:t>
      </w:r>
      <w:r w:rsidRPr="00D06495">
        <w:rPr>
          <w:color w:val="000000"/>
        </w:rPr>
        <w:tab/>
      </w:r>
      <w:r w:rsidR="00794366" w:rsidRPr="00D06495">
        <w:rPr>
          <w:color w:val="000000"/>
        </w:rPr>
        <w:t>Des prix de l'entreprenariat récompensant des</w:t>
      </w:r>
      <w:r w:rsidR="007E76BD" w:rsidRPr="00D06495">
        <w:rPr>
          <w:color w:val="000000"/>
        </w:rPr>
        <w:t xml:space="preserve"> </w:t>
      </w:r>
      <w:r w:rsidR="00794366" w:rsidRPr="00D06495">
        <w:rPr>
          <w:color w:val="000000"/>
        </w:rPr>
        <w:t>entreprises à l'origine d'initiatives</w:t>
      </w:r>
      <w:r w:rsidR="00794366" w:rsidRPr="00D06495">
        <w:t xml:space="preserve"> ont été sponsorisés à hauteur d</w:t>
      </w:r>
      <w:r w:rsidR="001D0125">
        <w:t>'</w:t>
      </w:r>
      <w:r w:rsidR="00794366" w:rsidRPr="00D06495">
        <w:t>un montant représentant le tiers du montant fixé</w:t>
      </w:r>
      <w:r w:rsidR="00700CBE" w:rsidRPr="00D06495">
        <w:t>.</w:t>
      </w:r>
    </w:p>
    <w:p w:rsidR="00700CBE" w:rsidRPr="00D06495" w:rsidRDefault="00EE49C5" w:rsidP="00B86E31">
      <w:pPr>
        <w:spacing w:after="240"/>
      </w:pPr>
      <w:r w:rsidRPr="00D06495">
        <w:t>77</w:t>
      </w:r>
      <w:r w:rsidRPr="00D06495">
        <w:tab/>
      </w:r>
      <w:r w:rsidR="006E3A62" w:rsidRPr="00D06495">
        <w:t xml:space="preserve">Le parrainage du dîner de gala, </w:t>
      </w:r>
      <w:r w:rsidR="00CB1E2A" w:rsidRPr="00D06495">
        <w:t>qui</w:t>
      </w:r>
      <w:r w:rsidR="007E76BD" w:rsidRPr="00D06495">
        <w:t xml:space="preserve"> </w:t>
      </w:r>
      <w:r w:rsidR="006E3A62" w:rsidRPr="00D06495">
        <w:t>ét</w:t>
      </w:r>
      <w:r w:rsidR="00CB1E2A" w:rsidRPr="00D06495">
        <w:t>ait</w:t>
      </w:r>
      <w:r w:rsidR="006E3A62" w:rsidRPr="00D06495">
        <w:t xml:space="preserve"> inscrit au budget, n</w:t>
      </w:r>
      <w:r w:rsidR="001D0125">
        <w:t>'</w:t>
      </w:r>
      <w:r w:rsidR="006E3A62" w:rsidRPr="00D06495">
        <w:t>a pas trouvé preneur</w:t>
      </w:r>
      <w:r w:rsidR="00700CBE" w:rsidRPr="00D06495">
        <w:t>.</w:t>
      </w:r>
    </w:p>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pPr>
            <w:r w:rsidRPr="00D06495">
              <w:t>Suggestion N° 3</w:t>
            </w:r>
          </w:p>
          <w:p w:rsidR="00FF6174" w:rsidRPr="00D06495" w:rsidRDefault="00FF6174" w:rsidP="001D0125">
            <w:pPr>
              <w:spacing w:after="120"/>
            </w:pPr>
            <w:r w:rsidRPr="00D06495">
              <w:t>78</w:t>
            </w:r>
            <w:r w:rsidRPr="00D06495">
              <w:tab/>
              <w:t>Nous suggérons d</w:t>
            </w:r>
            <w:r w:rsidR="001D0125">
              <w:t>'</w:t>
            </w:r>
            <w:r w:rsidRPr="00D06495">
              <w:t>analyser plus avant les raisons pour lesquelles le parrainage du dîner de gala qu</w:t>
            </w:r>
            <w:r w:rsidR="001D0125">
              <w:t>'</w:t>
            </w:r>
            <w:r w:rsidRPr="00D06495">
              <w:t>il était prévu d</w:t>
            </w:r>
            <w:r w:rsidR="001D0125">
              <w:t>'</w:t>
            </w:r>
            <w:r w:rsidRPr="00D06495">
              <w:t>organiser pour la remise des prix n</w:t>
            </w:r>
            <w:r w:rsidR="001D0125">
              <w:t>'</w:t>
            </w:r>
            <w:r w:rsidRPr="00D06495">
              <w:t>a suscité l</w:t>
            </w:r>
            <w:r w:rsidR="001D0125">
              <w:t>'</w:t>
            </w:r>
            <w:r w:rsidRPr="00D06495">
              <w:t>intérêt d</w:t>
            </w:r>
            <w:r w:rsidR="001D0125">
              <w:t>'</w:t>
            </w:r>
            <w:r w:rsidRPr="00D06495">
              <w:t>aucun sponsor. Voir également la Suggestion 8.</w:t>
            </w:r>
          </w:p>
        </w:tc>
      </w:tr>
    </w:tbl>
    <w:p w:rsidR="00FF6174" w:rsidRPr="00D06495" w:rsidRDefault="00FF6174" w:rsidP="001A4146"/>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pPr>
            <w:r w:rsidRPr="00D06495">
              <w:t xml:space="preserve">Commentaires du Secrétaire </w:t>
            </w:r>
            <w:proofErr w:type="gramStart"/>
            <w:r w:rsidRPr="00D06495">
              <w:t>général:</w:t>
            </w:r>
            <w:proofErr w:type="gramEnd"/>
          </w:p>
          <w:p w:rsidR="00FF6174" w:rsidRPr="00D06495" w:rsidRDefault="00FF6174" w:rsidP="001D0125">
            <w:pPr>
              <w:spacing w:after="120"/>
            </w:pPr>
            <w:r w:rsidRPr="00D06495">
              <w:t xml:space="preserve">Dans un souci de programmation optimale des activités liées aux manifestations, la cérémonie de remise des </w:t>
            </w:r>
            <w:r w:rsidR="001D0125">
              <w:t>p</w:t>
            </w:r>
            <w:r w:rsidRPr="00D06495">
              <w:t>rix pour 2016 a été déplacée l</w:t>
            </w:r>
            <w:r w:rsidR="001D0125">
              <w:t>'</w:t>
            </w:r>
            <w:r w:rsidRPr="00D06495">
              <w:t xml:space="preserve">après-midi du dernier jour de la manifestation et suivie par la réception </w:t>
            </w:r>
            <w:r w:rsidRPr="00D06495">
              <w:rPr>
                <w:color w:val="000000"/>
              </w:rPr>
              <w:t>d'adieu à la manifestation</w:t>
            </w:r>
            <w:r w:rsidRPr="00D06495">
              <w:t xml:space="preserve"> organisée par le pays hôte. En conséquence, le dîner de gala qui devait être organisé pour la remise des Prix a été annulé. Aucun parrainage du dîner de gala pour la remise des Prix n</w:t>
            </w:r>
            <w:r w:rsidR="001D0125">
              <w:t>'</w:t>
            </w:r>
            <w:r w:rsidRPr="00D06495">
              <w:t>est donc prévu pour 2017 et d</w:t>
            </w:r>
            <w:r w:rsidR="001D0125">
              <w:t>'</w:t>
            </w:r>
            <w:r w:rsidRPr="00D06495">
              <w:t xml:space="preserve">autres pistes sont actuellement testées et analysées pour la création de recettes associées à la remise des </w:t>
            </w:r>
            <w:r w:rsidR="001D0125">
              <w:t>p</w:t>
            </w:r>
            <w:r w:rsidRPr="00D06495">
              <w:t>rix.</w:t>
            </w:r>
          </w:p>
        </w:tc>
      </w:tr>
    </w:tbl>
    <w:p w:rsidR="00E70A58" w:rsidRPr="00D06495" w:rsidRDefault="00E70A58" w:rsidP="001D0125">
      <w:pPr>
        <w:pStyle w:val="Headingi"/>
        <w:spacing w:before="360"/>
        <w:rPr>
          <w:color w:val="000000"/>
        </w:rPr>
      </w:pPr>
      <w:bookmarkStart w:id="125" w:name="_Toc482780325"/>
      <w:bookmarkStart w:id="126" w:name="_Toc482780469"/>
      <w:bookmarkStart w:id="127" w:name="_Toc482785822"/>
      <w:r w:rsidRPr="00D06495">
        <w:t>Valeur des transactions échangées</w:t>
      </w:r>
      <w:bookmarkEnd w:id="125"/>
      <w:bookmarkEnd w:id="126"/>
      <w:bookmarkEnd w:id="127"/>
    </w:p>
    <w:p w:rsidR="00896DD4" w:rsidRPr="00D06495" w:rsidRDefault="00275CAF" w:rsidP="00663A8E">
      <w:r w:rsidRPr="00D06495">
        <w:t>79</w:t>
      </w:r>
      <w:r w:rsidRPr="00D06495">
        <w:tab/>
      </w:r>
      <w:r w:rsidR="00E70A58" w:rsidRPr="00D06495">
        <w:rPr>
          <w:color w:val="000000"/>
        </w:rPr>
        <w:t xml:space="preserve">La valeur des transactions échangées </w:t>
      </w:r>
      <w:r w:rsidR="00952AFE" w:rsidRPr="00D06495">
        <w:rPr>
          <w:color w:val="000000"/>
        </w:rPr>
        <w:t>inscrit</w:t>
      </w:r>
      <w:r w:rsidR="00642E88">
        <w:rPr>
          <w:color w:val="000000"/>
        </w:rPr>
        <w:t>e</w:t>
      </w:r>
      <w:r w:rsidR="00BA69C9" w:rsidRPr="00D06495">
        <w:rPr>
          <w:color w:val="000000"/>
        </w:rPr>
        <w:t xml:space="preserve"> au budget était de</w:t>
      </w:r>
      <w:r w:rsidR="007E76BD" w:rsidRPr="00D06495">
        <w:rPr>
          <w:color w:val="000000"/>
        </w:rPr>
        <w:t xml:space="preserve"> </w:t>
      </w:r>
      <w:r w:rsidR="00896DD4" w:rsidRPr="00D06495">
        <w:t>1</w:t>
      </w:r>
      <w:r w:rsidR="00BA69C9" w:rsidRPr="00D06495">
        <w:t xml:space="preserve"> </w:t>
      </w:r>
      <w:r w:rsidR="00BA69C9" w:rsidRPr="00D06495">
        <w:rPr>
          <w:color w:val="000000"/>
        </w:rPr>
        <w:t>million</w:t>
      </w:r>
      <w:r w:rsidR="00BA69C9" w:rsidRPr="00D06495">
        <w:t xml:space="preserve"> </w:t>
      </w:r>
      <w:r w:rsidR="00896DD4" w:rsidRPr="00D06495">
        <w:t>CHF</w:t>
      </w:r>
      <w:r w:rsidR="00C765F3" w:rsidRPr="00D06495">
        <w:t>,</w:t>
      </w:r>
      <w:r w:rsidR="00BA69C9" w:rsidRPr="00D06495">
        <w:t xml:space="preserve"> alors que le montant réel a été légèrement supérieur</w:t>
      </w:r>
      <w:r w:rsidR="007E76BD" w:rsidRPr="00D06495">
        <w:t xml:space="preserve"> </w:t>
      </w:r>
      <w:r w:rsidR="00896DD4" w:rsidRPr="00D06495">
        <w:t>(1</w:t>
      </w:r>
      <w:r w:rsidR="00952AFE" w:rsidRPr="00D06495">
        <w:t>,</w:t>
      </w:r>
      <w:r w:rsidR="00896DD4" w:rsidRPr="00D06495">
        <w:t>013</w:t>
      </w:r>
      <w:r w:rsidR="007E76BD" w:rsidRPr="00D06495">
        <w:t xml:space="preserve"> </w:t>
      </w:r>
      <w:r w:rsidR="00BA69C9" w:rsidRPr="00D06495">
        <w:rPr>
          <w:color w:val="000000"/>
        </w:rPr>
        <w:t>million</w:t>
      </w:r>
      <w:r w:rsidR="00BA69C9" w:rsidRPr="00D06495">
        <w:t xml:space="preserve"> </w:t>
      </w:r>
      <w:r w:rsidR="00952AFE" w:rsidRPr="00D06495">
        <w:t>CHF)</w:t>
      </w:r>
      <w:r w:rsidR="00081E1B" w:rsidRPr="00D06495">
        <w:t>.</w:t>
      </w:r>
    </w:p>
    <w:p w:rsidR="00896DD4" w:rsidRPr="00D06495" w:rsidRDefault="00275CAF" w:rsidP="001A4146">
      <w:r w:rsidRPr="00D06495">
        <w:t>80</w:t>
      </w:r>
      <w:r w:rsidRPr="00D06495">
        <w:tab/>
      </w:r>
      <w:r w:rsidR="00BA69C9" w:rsidRPr="00D06495">
        <w:t>B</w:t>
      </w:r>
      <w:r w:rsidRPr="00D06495">
        <w:t>on nombre de services ont été offerts par la contrepartie sur une période de plusieurs mois, pendant laquelle le taux de c</w:t>
      </w:r>
      <w:r w:rsidR="00952AFE" w:rsidRPr="00D06495">
        <w:t>hange a varié, comme indiqué ci-</w:t>
      </w:r>
      <w:r w:rsidRPr="00D06495">
        <w:t xml:space="preserve">dessous, dans le cas du taux de change </w:t>
      </w:r>
      <w:r w:rsidR="00BA69C9" w:rsidRPr="00D06495">
        <w:t>THB</w:t>
      </w:r>
      <w:r w:rsidRPr="00D06495">
        <w:t>-</w:t>
      </w:r>
      <w:proofErr w:type="gramStart"/>
      <w:r w:rsidRPr="00D06495">
        <w:t>CHF:</w:t>
      </w:r>
      <w:proofErr w:type="gramEnd"/>
    </w:p>
    <w:p w:rsidR="00896DD4" w:rsidRPr="00D06495" w:rsidRDefault="00275CAF" w:rsidP="001A4146">
      <w:pPr>
        <w:pStyle w:val="Figuretitle"/>
      </w:pPr>
      <w:r w:rsidRPr="00D06495">
        <w:t>Variation du taux de change</w:t>
      </w:r>
      <w:r w:rsidR="00314428">
        <w:t xml:space="preserve"> THB-</w:t>
      </w:r>
      <w:r w:rsidR="00896DD4" w:rsidRPr="00D06495">
        <w:t>CHF</w:t>
      </w:r>
    </w:p>
    <w:p w:rsidR="00896DD4" w:rsidRPr="00D06495" w:rsidRDefault="00896DD4" w:rsidP="001A4146">
      <w:pPr>
        <w:pStyle w:val="Figure"/>
      </w:pPr>
      <w:r w:rsidRPr="00D06495">
        <w:rPr>
          <w:noProof/>
          <w:lang w:val="en-US" w:eastAsia="zh-CN"/>
        </w:rPr>
        <w:drawing>
          <wp:inline distT="0" distB="0" distL="0" distR="0" wp14:anchorId="689DBF74" wp14:editId="06C6C45F">
            <wp:extent cx="4399915" cy="2381250"/>
            <wp:effectExtent l="0" t="0" r="635" b="0"/>
            <wp:docPr id="4" name="Immagine 3" descr="C:\Users\giacinto_dammicco\Desktop\SACEI\ITU\ITU2017\WT16\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into_dammicco\Desktop\SACEI\ITU\ITU2017\WT16\downloa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9915" cy="2381250"/>
                    </a:xfrm>
                    <a:prstGeom prst="rect">
                      <a:avLst/>
                    </a:prstGeom>
                    <a:noFill/>
                    <a:ln>
                      <a:noFill/>
                    </a:ln>
                  </pic:spPr>
                </pic:pic>
              </a:graphicData>
            </a:graphic>
          </wp:inline>
        </w:drawing>
      </w:r>
    </w:p>
    <w:p w:rsidR="00314428" w:rsidRDefault="00314428" w:rsidP="00642E88">
      <w:pPr>
        <w:spacing w:before="240"/>
      </w:pPr>
      <w:r>
        <w:br w:type="page"/>
      </w:r>
    </w:p>
    <w:p w:rsidR="00896DD4" w:rsidRPr="00D06495" w:rsidRDefault="00275CAF" w:rsidP="00642E88">
      <w:pPr>
        <w:spacing w:before="240"/>
      </w:pPr>
      <w:r w:rsidRPr="00D06495">
        <w:lastRenderedPageBreak/>
        <w:t>81</w:t>
      </w:r>
      <w:r w:rsidRPr="00D06495">
        <w:tab/>
      </w:r>
      <w:r w:rsidR="001E4089" w:rsidRPr="00D06495">
        <w:t xml:space="preserve">Conformément à notre recommandation, </w:t>
      </w:r>
      <w:r w:rsidR="001E4089" w:rsidRPr="00D06495">
        <w:rPr>
          <w:color w:val="000000"/>
        </w:rPr>
        <w:t xml:space="preserve">le taux de change au moment de la fourniture du service, </w:t>
      </w:r>
      <w:r w:rsidR="00952AFE" w:rsidRPr="00D06495">
        <w:rPr>
          <w:color w:val="000000"/>
        </w:rPr>
        <w:t>aux termes des</w:t>
      </w:r>
      <w:r w:rsidR="001E4089" w:rsidRPr="00D06495">
        <w:rPr>
          <w:color w:val="000000"/>
        </w:rPr>
        <w:t xml:space="preserve"> accords portant sur des échanges de services, a été appliqué</w:t>
      </w:r>
      <w:r w:rsidR="00C9329D" w:rsidRPr="00D06495">
        <w:rPr>
          <w:color w:val="000000"/>
        </w:rPr>
        <w:t>.</w:t>
      </w:r>
      <w:r w:rsidR="005D3BB9" w:rsidRPr="00D06495">
        <w:rPr>
          <w:color w:val="000000"/>
        </w:rPr>
        <w:t xml:space="preserve"> </w:t>
      </w:r>
      <w:r w:rsidR="001E4089" w:rsidRPr="00D06495">
        <w:rPr>
          <w:color w:val="000000"/>
        </w:rPr>
        <w:t>La moyenne des taux de change a été utilisée au cas où un type de services serait fourni à des moments différents</w:t>
      </w:r>
      <w:r w:rsidR="00C9329D" w:rsidRPr="00D06495">
        <w:rPr>
          <w:color w:val="000000"/>
        </w:rPr>
        <w:t>.</w:t>
      </w:r>
    </w:p>
    <w:p w:rsidR="00896DD4" w:rsidRPr="00D06495" w:rsidRDefault="00275CAF" w:rsidP="001A4146">
      <w:r w:rsidRPr="00D06495">
        <w:t>82</w:t>
      </w:r>
      <w:r w:rsidRPr="00D06495">
        <w:tab/>
      </w:r>
      <w:r w:rsidR="001E4089" w:rsidRPr="00D06495">
        <w:rPr>
          <w:color w:val="000000"/>
        </w:rPr>
        <w:t>Nous prenons acte des efforts entrepris</w:t>
      </w:r>
      <w:r w:rsidR="001E4089" w:rsidRPr="00D06495">
        <w:t xml:space="preserve"> et des améliorations apportées pour mieux </w:t>
      </w:r>
      <w:r w:rsidR="000F030F" w:rsidRPr="00D06495">
        <w:t>cont</w:t>
      </w:r>
      <w:r w:rsidR="00952AFE" w:rsidRPr="00D06495">
        <w:t>r</w:t>
      </w:r>
      <w:r w:rsidR="000F030F" w:rsidRPr="00D06495">
        <w:t>ôler</w:t>
      </w:r>
      <w:r w:rsidR="001E4089" w:rsidRPr="00D06495">
        <w:t xml:space="preserve"> les services réellement fournis par les partenaires des</w:t>
      </w:r>
      <w:r w:rsidR="007E76BD" w:rsidRPr="00D06495">
        <w:t xml:space="preserve"> </w:t>
      </w:r>
      <w:r w:rsidR="001E4089" w:rsidRPr="00D06495">
        <w:rPr>
          <w:color w:val="000000"/>
        </w:rPr>
        <w:t>échanges de services</w:t>
      </w:r>
      <w:r w:rsidR="00081E1B" w:rsidRPr="00D06495">
        <w:rPr>
          <w:color w:val="000000"/>
        </w:rPr>
        <w:t>.</w:t>
      </w:r>
    </w:p>
    <w:p w:rsidR="00896DD4" w:rsidRPr="00D06495" w:rsidRDefault="00D358B8" w:rsidP="0088260C">
      <w:pPr>
        <w:pStyle w:val="Headingb"/>
      </w:pPr>
      <w:bookmarkStart w:id="128" w:name="_Toc482780326"/>
      <w:bookmarkStart w:id="129" w:name="_Toc482780470"/>
      <w:bookmarkStart w:id="130" w:name="_Toc482785823"/>
      <w:r w:rsidRPr="00D06495">
        <w:t>Produits non versés</w:t>
      </w:r>
      <w:bookmarkEnd w:id="128"/>
      <w:bookmarkEnd w:id="129"/>
      <w:bookmarkEnd w:id="130"/>
      <w:r w:rsidR="007E76BD" w:rsidRPr="00D06495">
        <w:t xml:space="preserve"> </w:t>
      </w:r>
    </w:p>
    <w:p w:rsidR="00896DD4" w:rsidRPr="00D06495" w:rsidRDefault="00275CAF" w:rsidP="001A4146">
      <w:r w:rsidRPr="00D06495">
        <w:t>83</w:t>
      </w:r>
      <w:r w:rsidRPr="00D06495">
        <w:tab/>
      </w:r>
      <w:r w:rsidR="00D358B8" w:rsidRPr="00D06495">
        <w:t>Au 31 décembre 2016, neuf</w:t>
      </w:r>
      <w:r w:rsidR="007E76BD" w:rsidRPr="00D06495">
        <w:t xml:space="preserve"> </w:t>
      </w:r>
      <w:r w:rsidR="00896DD4" w:rsidRPr="00D06495">
        <w:t xml:space="preserve">(9) </w:t>
      </w:r>
      <w:r w:rsidR="00D358B8" w:rsidRPr="00D06495">
        <w:t>débiteurs étaient comptabilisés, pour un montant facturé en souffrance de</w:t>
      </w:r>
      <w:r w:rsidR="007E76BD" w:rsidRPr="00D06495">
        <w:t xml:space="preserve"> </w:t>
      </w:r>
      <w:r w:rsidR="00952AFE" w:rsidRPr="00D06495">
        <w:t xml:space="preserve">206 </w:t>
      </w:r>
      <w:r w:rsidR="00D358B8" w:rsidRPr="00D06495">
        <w:t xml:space="preserve">700 </w:t>
      </w:r>
      <w:r w:rsidR="00896DD4" w:rsidRPr="00D06495">
        <w:t>CHF</w:t>
      </w:r>
      <w:r w:rsidR="00C9329D" w:rsidRPr="00D06495">
        <w:t>.</w:t>
      </w:r>
      <w:r w:rsidR="005D3BB9" w:rsidRPr="00D06495">
        <w:t xml:space="preserve"> </w:t>
      </w:r>
      <w:r w:rsidR="00D358B8" w:rsidRPr="00D06495">
        <w:t>Quatre d</w:t>
      </w:r>
      <w:r w:rsidR="001D0125">
        <w:t>'</w:t>
      </w:r>
      <w:r w:rsidR="00D358B8" w:rsidRPr="00D06495">
        <w:t>entre eux ont réglé leur facture après le 31 décembre 2016, de sorte qu</w:t>
      </w:r>
      <w:r w:rsidR="001D0125">
        <w:t>'</w:t>
      </w:r>
      <w:r w:rsidR="00D358B8" w:rsidRPr="00D06495">
        <w:t xml:space="preserve">un montant de </w:t>
      </w:r>
      <w:r w:rsidR="00952AFE" w:rsidRPr="00D06495">
        <w:t xml:space="preserve">92 </w:t>
      </w:r>
      <w:r w:rsidR="00D358B8" w:rsidRPr="00D06495">
        <w:t>400</w:t>
      </w:r>
      <w:r w:rsidR="007E76BD" w:rsidRPr="00D06495">
        <w:t xml:space="preserve"> </w:t>
      </w:r>
      <w:r w:rsidR="00D358B8" w:rsidRPr="00D06495">
        <w:t>CHF</w:t>
      </w:r>
      <w:r w:rsidR="00D8548F" w:rsidRPr="00D06495">
        <w:t xml:space="preserve"> </w:t>
      </w:r>
      <w:r w:rsidR="00D358B8" w:rsidRPr="00D06495">
        <w:t>a été provisionné pour</w:t>
      </w:r>
      <w:r w:rsidR="007E76BD" w:rsidRPr="00D06495">
        <w:t xml:space="preserve"> </w:t>
      </w:r>
      <w:r w:rsidR="00D358B8" w:rsidRPr="00D06495">
        <w:rPr>
          <w:color w:val="000000"/>
        </w:rPr>
        <w:t>les factures non payées</w:t>
      </w:r>
      <w:r w:rsidR="00081E1B" w:rsidRPr="00D06495">
        <w:t>.</w:t>
      </w:r>
    </w:p>
    <w:p w:rsidR="00896DD4" w:rsidRPr="00D06495" w:rsidRDefault="00275CAF" w:rsidP="00642E88">
      <w:pPr>
        <w:spacing w:after="240"/>
      </w:pPr>
      <w:r w:rsidRPr="00D06495">
        <w:t>84</w:t>
      </w:r>
      <w:r w:rsidRPr="00D06495">
        <w:tab/>
      </w:r>
      <w:r w:rsidR="00D8548F" w:rsidRPr="00D06495">
        <w:t>Une valeur</w:t>
      </w:r>
      <w:r w:rsidR="007E76BD" w:rsidRPr="00D06495">
        <w:t xml:space="preserve"> </w:t>
      </w:r>
      <w:r w:rsidR="00D8548F" w:rsidRPr="00D06495">
        <w:t>de</w:t>
      </w:r>
      <w:r w:rsidR="00952AFE" w:rsidRPr="00D06495">
        <w:t xml:space="preserve"> 23 </w:t>
      </w:r>
      <w:r w:rsidR="00896DD4" w:rsidRPr="00D06495">
        <w:t>1</w:t>
      </w:r>
      <w:r w:rsidR="00D8548F" w:rsidRPr="00D06495">
        <w:t>00</w:t>
      </w:r>
      <w:r w:rsidR="007E76BD" w:rsidRPr="00D06495">
        <w:t xml:space="preserve"> </w:t>
      </w:r>
      <w:r w:rsidR="00896DD4" w:rsidRPr="00D06495">
        <w:t>CHF</w:t>
      </w:r>
      <w:r w:rsidR="00D8548F" w:rsidRPr="00D06495">
        <w:t>,</w:t>
      </w:r>
      <w:r w:rsidR="00896DD4" w:rsidRPr="00D06495">
        <w:t xml:space="preserve"> </w:t>
      </w:r>
      <w:r w:rsidR="00D8548F" w:rsidRPr="00D06495">
        <w:t xml:space="preserve">correspondant aux services non </w:t>
      </w:r>
      <w:r w:rsidR="000F030F" w:rsidRPr="00D06495">
        <w:t>fournis</w:t>
      </w:r>
      <w:r w:rsidR="00D8548F" w:rsidRPr="00D06495">
        <w:t>, en partie ou en</w:t>
      </w:r>
      <w:r w:rsidR="007E76BD" w:rsidRPr="00D06495">
        <w:t xml:space="preserve"> </w:t>
      </w:r>
      <w:r w:rsidR="00D8548F" w:rsidRPr="00D06495">
        <w:t>totalité,</w:t>
      </w:r>
      <w:r w:rsidR="007E76BD" w:rsidRPr="00D06495">
        <w:t xml:space="preserve"> </w:t>
      </w:r>
      <w:r w:rsidR="00D8548F" w:rsidRPr="00D06495">
        <w:t>par</w:t>
      </w:r>
      <w:r w:rsidR="007E76BD" w:rsidRPr="00D06495">
        <w:t xml:space="preserve"> </w:t>
      </w:r>
      <w:r w:rsidR="000F030F" w:rsidRPr="00D06495">
        <w:t>l</w:t>
      </w:r>
      <w:r w:rsidR="00D8548F" w:rsidRPr="00D06495">
        <w:t>es partenaires des</w:t>
      </w:r>
      <w:r w:rsidR="007E76BD" w:rsidRPr="00D06495">
        <w:t xml:space="preserve"> </w:t>
      </w:r>
      <w:r w:rsidR="00D8548F" w:rsidRPr="00D06495">
        <w:rPr>
          <w:color w:val="000000"/>
        </w:rPr>
        <w:t xml:space="preserve">échanges de services, </w:t>
      </w:r>
      <w:r w:rsidR="00D8548F" w:rsidRPr="00D06495">
        <w:t>a été in</w:t>
      </w:r>
      <w:r w:rsidR="00B66B07" w:rsidRPr="00D06495">
        <w:t xml:space="preserve">scrite </w:t>
      </w:r>
      <w:r w:rsidR="00D8548F" w:rsidRPr="00D06495">
        <w:t>dans les comptes</w:t>
      </w:r>
      <w:r w:rsidR="00C9329D" w:rsidRPr="00D06495">
        <w:t>.</w:t>
      </w:r>
      <w:r w:rsidR="005D3BB9" w:rsidRPr="00D06495">
        <w:t xml:space="preserve"> </w:t>
      </w:r>
      <w:r w:rsidR="00D8548F" w:rsidRPr="00D06495">
        <w:t>Nous avons obtenu une explication plus détaillée de</w:t>
      </w:r>
      <w:r w:rsidR="00B66B07" w:rsidRPr="00D06495">
        <w:t xml:space="preserve"> l</w:t>
      </w:r>
      <w:r w:rsidR="001D0125">
        <w:t>'</w:t>
      </w:r>
      <w:r w:rsidR="00B66B07" w:rsidRPr="00D06495">
        <w:t xml:space="preserve">inscription de cette valeur </w:t>
      </w:r>
      <w:r w:rsidR="00D8548F" w:rsidRPr="00D06495">
        <w:t xml:space="preserve">dans </w:t>
      </w:r>
      <w:r w:rsidR="00B66B07" w:rsidRPr="00D06495">
        <w:t xml:space="preserve">le cadre de </w:t>
      </w:r>
      <w:r w:rsidR="00D8548F" w:rsidRPr="00D06495">
        <w:t>nos vérifications</w:t>
      </w:r>
      <w:r w:rsidR="00081E1B" w:rsidRPr="00D06495">
        <w:t>.</w:t>
      </w:r>
    </w:p>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pPr>
            <w:r w:rsidRPr="00D06495">
              <w:t>Suggestion N° 4</w:t>
            </w:r>
          </w:p>
          <w:p w:rsidR="00FF6174" w:rsidRPr="00D06495" w:rsidRDefault="00FF6174" w:rsidP="00642E88">
            <w:pPr>
              <w:spacing w:after="120"/>
            </w:pPr>
            <w:r w:rsidRPr="00D06495">
              <w:t>85</w:t>
            </w:r>
            <w:r w:rsidRPr="00D06495">
              <w:tab/>
              <w:t>Nous suggérons de prendre note des partenaires qui semblent moins fiables pour l</w:t>
            </w:r>
            <w:r w:rsidR="001D0125">
              <w:t>'</w:t>
            </w:r>
            <w:r w:rsidRPr="00D06495">
              <w:t>échange de prestations de services, et d</w:t>
            </w:r>
            <w:r w:rsidR="001D0125">
              <w:t>'</w:t>
            </w:r>
            <w:r w:rsidRPr="00D06495">
              <w:t>envisager de les exclure des manifestations futures pour ce même motif.</w:t>
            </w:r>
          </w:p>
        </w:tc>
      </w:tr>
    </w:tbl>
    <w:p w:rsidR="00275CAF" w:rsidRPr="00D06495" w:rsidRDefault="00275CAF" w:rsidP="001A4146"/>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pPr>
            <w:r w:rsidRPr="00D06495">
              <w:t xml:space="preserve">Commentaires du Secrétaire </w:t>
            </w:r>
            <w:proofErr w:type="gramStart"/>
            <w:r w:rsidRPr="00D06495">
              <w:t>général:</w:t>
            </w:r>
            <w:proofErr w:type="gramEnd"/>
          </w:p>
          <w:p w:rsidR="00FF6174" w:rsidRPr="00D06495" w:rsidRDefault="00FF6174" w:rsidP="00642E88">
            <w:pPr>
              <w:spacing w:after="120"/>
            </w:pPr>
            <w:r w:rsidRPr="00D06495">
              <w:t>Cette recommandation est déjà prise en compte pour 2017, puisqu</w:t>
            </w:r>
            <w:r w:rsidR="001D0125">
              <w:t>'</w:t>
            </w:r>
            <w:r w:rsidRPr="00D06495">
              <w:t>on a inclus dans les accords portant sur des échanges de services un article stipulant que l</w:t>
            </w:r>
            <w:r w:rsidR="001D0125">
              <w:t>'</w:t>
            </w:r>
            <w:r w:rsidRPr="00D06495">
              <w:t>UIT se réserve le droit de ne conclure aucun accord futur avec le partenaire d</w:t>
            </w:r>
            <w:r w:rsidR="001D0125">
              <w:t>'</w:t>
            </w:r>
            <w:r w:rsidRPr="00D06495">
              <w:t>un média, au cas où l</w:t>
            </w:r>
            <w:r w:rsidR="001D0125">
              <w:t>'</w:t>
            </w:r>
            <w:r w:rsidRPr="00D06495">
              <w:t>entité ne se conformerait pas à ses obligations à l</w:t>
            </w:r>
            <w:r w:rsidR="001D0125">
              <w:t>'</w:t>
            </w:r>
            <w:r w:rsidRPr="00D06495">
              <w:t>égard de l</w:t>
            </w:r>
            <w:r w:rsidR="001D0125">
              <w:t>'</w:t>
            </w:r>
            <w:r w:rsidRPr="00D06495">
              <w:t>UIT.</w:t>
            </w:r>
          </w:p>
        </w:tc>
      </w:tr>
    </w:tbl>
    <w:p w:rsidR="00896DD4" w:rsidRPr="00D06495" w:rsidRDefault="00E0008C" w:rsidP="001A4146">
      <w:pPr>
        <w:pStyle w:val="Heading1"/>
      </w:pPr>
      <w:bookmarkStart w:id="131" w:name="_Toc482778597"/>
      <w:bookmarkStart w:id="132" w:name="_Toc482780329"/>
      <w:bookmarkStart w:id="133" w:name="_Toc482780471"/>
      <w:bookmarkStart w:id="134" w:name="_Toc482785824"/>
      <w:r w:rsidRPr="00D06495">
        <w:t>CHARGES</w:t>
      </w:r>
      <w:bookmarkEnd w:id="131"/>
      <w:bookmarkEnd w:id="132"/>
      <w:bookmarkEnd w:id="133"/>
      <w:bookmarkEnd w:id="134"/>
    </w:p>
    <w:p w:rsidR="000F030F" w:rsidRPr="00D06495" w:rsidRDefault="000F030F" w:rsidP="0088260C">
      <w:pPr>
        <w:pStyle w:val="Headingb"/>
      </w:pPr>
      <w:bookmarkStart w:id="135" w:name="_Toc482778598"/>
      <w:bookmarkStart w:id="136" w:name="_Toc482780330"/>
      <w:bookmarkStart w:id="137" w:name="_Toc482780472"/>
      <w:bookmarkStart w:id="138" w:name="_Toc482785825"/>
      <w:r w:rsidRPr="00D06495">
        <w:t>Charges de base</w:t>
      </w:r>
      <w:bookmarkEnd w:id="135"/>
      <w:bookmarkEnd w:id="136"/>
      <w:bookmarkEnd w:id="137"/>
      <w:bookmarkEnd w:id="138"/>
    </w:p>
    <w:p w:rsidR="00896DD4" w:rsidRPr="00D06495" w:rsidRDefault="00275CAF" w:rsidP="001A4146">
      <w:pPr>
        <w:pStyle w:val="Headingi"/>
      </w:pPr>
      <w:bookmarkStart w:id="139" w:name="_Toc482780331"/>
      <w:bookmarkStart w:id="140" w:name="_Toc482780473"/>
      <w:bookmarkStart w:id="141" w:name="_Toc482785826"/>
      <w:r w:rsidRPr="00D06495">
        <w:t>Recouvrement des coûts</w:t>
      </w:r>
      <w:bookmarkEnd w:id="139"/>
      <w:bookmarkEnd w:id="140"/>
      <w:bookmarkEnd w:id="141"/>
    </w:p>
    <w:p w:rsidR="00896DD4" w:rsidRPr="00D06495" w:rsidRDefault="00275CAF" w:rsidP="001A4146">
      <w:r w:rsidRPr="00D06495">
        <w:t>86</w:t>
      </w:r>
      <w:r w:rsidRPr="00D06495">
        <w:tab/>
        <w:t xml:space="preserve">Un montant fixe de 1,5 million CHF au titre du recouvrement des coûts par l'UIT (qui fait partie des charges de base), représentant les traitements et autres rémunérations des fonctionnaires d'autres départements fournissant des services à ITU Telecom </w:t>
      </w:r>
      <w:r w:rsidR="00896DD4" w:rsidRPr="00D06495">
        <w:t>World 2016,</w:t>
      </w:r>
      <w:r w:rsidR="007E76BD" w:rsidRPr="00D06495">
        <w:t xml:space="preserve"> </w:t>
      </w:r>
      <w:r w:rsidR="000F030F" w:rsidRPr="00D06495">
        <w:t xml:space="preserve">a été indiqué </w:t>
      </w:r>
      <w:r w:rsidR="000F030F" w:rsidRPr="00D06495">
        <w:rPr>
          <w:color w:val="000000"/>
        </w:rPr>
        <w:t>au titre des charges dans le budget de la manifestation</w:t>
      </w:r>
      <w:r w:rsidR="00C9329D" w:rsidRPr="00D06495">
        <w:rPr>
          <w:color w:val="000000"/>
        </w:rPr>
        <w:t>.</w:t>
      </w:r>
    </w:p>
    <w:p w:rsidR="00896DD4" w:rsidRPr="00D06495" w:rsidRDefault="00275CAF" w:rsidP="00E0008C">
      <w:r w:rsidRPr="00D06495">
        <w:t>87</w:t>
      </w:r>
      <w:r w:rsidRPr="00D06495">
        <w:tab/>
      </w:r>
      <w:r w:rsidR="00952AFE" w:rsidRPr="00D06495">
        <w:t>C</w:t>
      </w:r>
      <w:r w:rsidR="000F030F" w:rsidRPr="00D06495">
        <w:t>omme nous l</w:t>
      </w:r>
      <w:r w:rsidR="001D0125">
        <w:t>'</w:t>
      </w:r>
      <w:r w:rsidR="000F030F" w:rsidRPr="00D06495">
        <w:t>av</w:t>
      </w:r>
      <w:r w:rsidR="005815B4" w:rsidRPr="00D06495">
        <w:t>i</w:t>
      </w:r>
      <w:r w:rsidR="000F030F" w:rsidRPr="00D06495">
        <w:t xml:space="preserve">ons déjà noté ces dernières années, </w:t>
      </w:r>
      <w:r w:rsidR="000F030F" w:rsidRPr="00D06495">
        <w:rPr>
          <w:color w:val="000000"/>
        </w:rPr>
        <w:t>le montant du recouvrement des coûts (charges de base) a été arrêté précédemment par le Secrétaire général</w:t>
      </w:r>
      <w:r w:rsidR="00C9329D" w:rsidRPr="00D06495">
        <w:rPr>
          <w:color w:val="000000"/>
        </w:rPr>
        <w:t>.</w:t>
      </w:r>
      <w:r w:rsidR="005D3BB9" w:rsidRPr="00D06495">
        <w:rPr>
          <w:color w:val="000000"/>
        </w:rPr>
        <w:t xml:space="preserve"> </w:t>
      </w:r>
      <w:r w:rsidR="005815B4" w:rsidRPr="00D06495">
        <w:rPr>
          <w:color w:val="000000"/>
        </w:rPr>
        <w:t>U</w:t>
      </w:r>
      <w:r w:rsidR="000F030F" w:rsidRPr="00D06495">
        <w:rPr>
          <w:color w:val="000000"/>
        </w:rPr>
        <w:t>ne étude sur le degré suffisant de ce recouvrement des coûts</w:t>
      </w:r>
      <w:r w:rsidR="005815B4" w:rsidRPr="00D06495">
        <w:rPr>
          <w:color w:val="000000"/>
        </w:rPr>
        <w:t xml:space="preserve"> a été menée et transmise pour observations au personnel</w:t>
      </w:r>
      <w:r w:rsidR="005D3BB9" w:rsidRPr="00D06495">
        <w:rPr>
          <w:color w:val="000000"/>
        </w:rPr>
        <w:t xml:space="preserve"> </w:t>
      </w:r>
      <w:r w:rsidR="00E0008C">
        <w:t>d</w:t>
      </w:r>
      <w:r w:rsidR="005F0586" w:rsidRPr="00D06495">
        <w:t>'ITU</w:t>
      </w:r>
      <w:r w:rsidR="00896DD4" w:rsidRPr="00D06495">
        <w:t xml:space="preserve"> Telecom World </w:t>
      </w:r>
      <w:r w:rsidR="005815B4" w:rsidRPr="00D06495">
        <w:t>en octobre 2014</w:t>
      </w:r>
      <w:r w:rsidR="00081E1B" w:rsidRPr="00D06495">
        <w:t>.</w:t>
      </w:r>
    </w:p>
    <w:p w:rsidR="00314428" w:rsidRDefault="00314428" w:rsidP="00663A8E">
      <w:pPr>
        <w:pStyle w:val="Headingi"/>
      </w:pPr>
      <w:bookmarkStart w:id="142" w:name="_Toc482780332"/>
      <w:bookmarkStart w:id="143" w:name="_Toc482780474"/>
      <w:bookmarkStart w:id="144" w:name="_Toc482785827"/>
      <w:r>
        <w:br w:type="page"/>
      </w:r>
    </w:p>
    <w:p w:rsidR="005815B4" w:rsidRPr="00D06495" w:rsidRDefault="00952AFE" w:rsidP="00663A8E">
      <w:pPr>
        <w:pStyle w:val="Headingi"/>
      </w:pPr>
      <w:r w:rsidRPr="00D06495">
        <w:lastRenderedPageBreak/>
        <w:t>S</w:t>
      </w:r>
      <w:r w:rsidR="005815B4" w:rsidRPr="00D06495">
        <w:t>ecrétariat d</w:t>
      </w:r>
      <w:r w:rsidR="00663A8E">
        <w:t>'ITU</w:t>
      </w:r>
      <w:r w:rsidR="005815B4" w:rsidRPr="00D06495">
        <w:t xml:space="preserve"> Telecom</w:t>
      </w:r>
      <w:bookmarkEnd w:id="142"/>
      <w:bookmarkEnd w:id="143"/>
      <w:bookmarkEnd w:id="144"/>
    </w:p>
    <w:p w:rsidR="00896DD4" w:rsidRPr="00D06495" w:rsidRDefault="00275CAF" w:rsidP="001A4146">
      <w:r w:rsidRPr="00D06495">
        <w:t>88</w:t>
      </w:r>
      <w:r w:rsidRPr="00D06495">
        <w:tab/>
        <w:t>Conformément aux méthodes de travail actuel</w:t>
      </w:r>
      <w:r w:rsidR="00952AFE" w:rsidRPr="00D06495">
        <w:t>les</w:t>
      </w:r>
      <w:r w:rsidRPr="00D06495">
        <w:t>, les coûts du secrétariat d'ITU Telecom sont imputés à chaque manifestation ITU Telecom</w:t>
      </w:r>
      <w:r w:rsidR="005815B4" w:rsidRPr="00D06495">
        <w:rPr>
          <w:color w:val="000000"/>
        </w:rPr>
        <w:t xml:space="preserve"> en fonction du pourcentage de temps consacré par le personnel</w:t>
      </w:r>
      <w:r w:rsidR="007E76BD" w:rsidRPr="00D06495">
        <w:rPr>
          <w:color w:val="000000"/>
        </w:rPr>
        <w:t xml:space="preserve"> </w:t>
      </w:r>
      <w:r w:rsidR="005815B4" w:rsidRPr="00D06495">
        <w:rPr>
          <w:color w:val="000000"/>
        </w:rPr>
        <w:t>à la manifestation</w:t>
      </w:r>
      <w:r w:rsidR="00C9329D" w:rsidRPr="00D06495">
        <w:t>.</w:t>
      </w:r>
      <w:r w:rsidR="005D3BB9" w:rsidRPr="00D06495">
        <w:t xml:space="preserve"> </w:t>
      </w:r>
      <w:r w:rsidRPr="00D06495">
        <w:t>Le coût réel afférent au secrétariat d'ITU Telecom (charges de base) qui a été imputé à ITU Telecom World 201</w:t>
      </w:r>
      <w:r w:rsidR="00952AFE" w:rsidRPr="00D06495">
        <w:t xml:space="preserve">6 s'élève à 3 </w:t>
      </w:r>
      <w:r w:rsidR="005815B4" w:rsidRPr="00D06495">
        <w:t>489 600</w:t>
      </w:r>
      <w:r w:rsidRPr="00D06495">
        <w:t xml:space="preserve"> </w:t>
      </w:r>
      <w:r w:rsidR="005815B4" w:rsidRPr="00D06495">
        <w:t>CHF</w:t>
      </w:r>
      <w:r w:rsidR="00C9329D" w:rsidRPr="00D06495">
        <w:t>.</w:t>
      </w:r>
      <w:r w:rsidR="005D3BB9" w:rsidRPr="00D06495">
        <w:t xml:space="preserve"> </w:t>
      </w:r>
      <w:r w:rsidR="005815B4" w:rsidRPr="00D06495">
        <w:t>Bien que ce montant soit légèrement inférieur au</w:t>
      </w:r>
      <w:r w:rsidR="007E76BD" w:rsidRPr="00D06495">
        <w:t xml:space="preserve"> </w:t>
      </w:r>
      <w:r w:rsidR="005815B4" w:rsidRPr="00D06495">
        <w:t>montant</w:t>
      </w:r>
      <w:r w:rsidR="007E76BD" w:rsidRPr="00D06495">
        <w:t xml:space="preserve"> </w:t>
      </w:r>
      <w:r w:rsidR="005815B4" w:rsidRPr="00D06495">
        <w:t>inscrit</w:t>
      </w:r>
      <w:r w:rsidR="007E76BD" w:rsidRPr="00D06495">
        <w:t xml:space="preserve"> </w:t>
      </w:r>
      <w:r w:rsidR="005815B4" w:rsidRPr="00D06495">
        <w:t>au budget, nous notons que les mêmes chiffres pour la manifestation précédente (</w:t>
      </w:r>
      <w:r w:rsidR="00722C7A" w:rsidRPr="00D06495">
        <w:rPr>
          <w:color w:val="000000"/>
        </w:rPr>
        <w:t>ITU World Telecom 20</w:t>
      </w:r>
      <w:r w:rsidR="005815B4" w:rsidRPr="00D06495">
        <w:t>15) ont</w:t>
      </w:r>
      <w:r w:rsidR="007E76BD" w:rsidRPr="00D06495">
        <w:t xml:space="preserve"> </w:t>
      </w:r>
      <w:r w:rsidRPr="00D06495">
        <w:t>représenté 85% du budget pour ce poste budgétaire</w:t>
      </w:r>
      <w:r w:rsidR="00081E1B" w:rsidRPr="00D06495">
        <w:t>.</w:t>
      </w:r>
    </w:p>
    <w:p w:rsidR="00896DD4" w:rsidRPr="00D06495" w:rsidRDefault="00275CAF" w:rsidP="00592EC1">
      <w:r w:rsidRPr="00D06495">
        <w:t>Ces dépenses ont été calculées sur la base des informations transmises par la direction d'ITU Telecom concernant le</w:t>
      </w:r>
      <w:r w:rsidR="007E76BD" w:rsidRPr="00D06495">
        <w:t xml:space="preserve"> </w:t>
      </w:r>
      <w:r w:rsidR="00A80DF2" w:rsidRPr="00D06495">
        <w:t>temps de travail</w:t>
      </w:r>
      <w:r w:rsidR="00952AFE" w:rsidRPr="00D06495">
        <w:t xml:space="preserve"> (en</w:t>
      </w:r>
      <w:r w:rsidR="00592EC1">
        <w:t xml:space="preserve"> </w:t>
      </w:r>
      <w:r w:rsidR="0060670F">
        <w:t>%</w:t>
      </w:r>
      <w:r w:rsidR="00952AFE" w:rsidRPr="00D06495">
        <w:t>)</w:t>
      </w:r>
      <w:r w:rsidRPr="00D06495">
        <w:t xml:space="preserve"> consacré par le personnel d'ITU Telecom à la manifestation en </w:t>
      </w:r>
      <w:r w:rsidR="00896DD4" w:rsidRPr="00D06495">
        <w:t>2015 and 2016</w:t>
      </w:r>
      <w:r w:rsidR="00C9329D" w:rsidRPr="00D06495">
        <w:t>.</w:t>
      </w:r>
      <w:r w:rsidR="005D3BB9" w:rsidRPr="00D06495">
        <w:t xml:space="preserve"> </w:t>
      </w:r>
      <w:r w:rsidR="00722C7A" w:rsidRPr="00D06495">
        <w:t>Cependant, alors que pour la manifestation précédente, le pourcentage avait été estimé à 40</w:t>
      </w:r>
      <w:r w:rsidR="0060670F">
        <w:t>%</w:t>
      </w:r>
      <w:r w:rsidR="00722C7A" w:rsidRPr="00D06495">
        <w:t xml:space="preserve"> pour l</w:t>
      </w:r>
      <w:r w:rsidR="001D0125">
        <w:t>'</w:t>
      </w:r>
      <w:r w:rsidR="00722C7A" w:rsidRPr="00D06495">
        <w:t>année précédant la manifestation et à 60</w:t>
      </w:r>
      <w:r w:rsidR="0060670F">
        <w:t>%</w:t>
      </w:r>
      <w:r w:rsidR="00722C7A" w:rsidRPr="00D06495">
        <w:t xml:space="preserve"> pour l</w:t>
      </w:r>
      <w:r w:rsidR="001D0125">
        <w:t>'</w:t>
      </w:r>
      <w:r w:rsidR="00722C7A" w:rsidRPr="00D06495">
        <w:t>année de la manifestation,</w:t>
      </w:r>
      <w:r w:rsidR="000B3DE6">
        <w:t xml:space="preserve"> </w:t>
      </w:r>
      <w:r w:rsidR="00722C7A" w:rsidRPr="00D06495">
        <w:t xml:space="preserve">à partir </w:t>
      </w:r>
      <w:r w:rsidR="005F0586" w:rsidRPr="00D06495">
        <w:t>d</w:t>
      </w:r>
      <w:r w:rsidR="005F0586">
        <w:t>'</w:t>
      </w:r>
      <w:r w:rsidR="005F0586" w:rsidRPr="00D06495">
        <w:rPr>
          <w:color w:val="000000"/>
        </w:rPr>
        <w:t>ITU</w:t>
      </w:r>
      <w:r w:rsidR="00722C7A" w:rsidRPr="00D06495">
        <w:rPr>
          <w:color w:val="000000"/>
        </w:rPr>
        <w:t xml:space="preserve"> World Telecom 2016, les pourcentages ont été modifiés</w:t>
      </w:r>
      <w:r w:rsidR="00C9329D" w:rsidRPr="00D06495">
        <w:rPr>
          <w:color w:val="000000"/>
        </w:rPr>
        <w:t>.</w:t>
      </w:r>
      <w:r w:rsidR="005D3BB9" w:rsidRPr="00D06495">
        <w:rPr>
          <w:color w:val="000000"/>
        </w:rPr>
        <w:t xml:space="preserve"> </w:t>
      </w:r>
      <w:r w:rsidR="00722C7A" w:rsidRPr="00D06495">
        <w:t>Toutefois, pendant cette phase de transition, les comptes présentent une ventilation des charges de base du secrétariat</w:t>
      </w:r>
      <w:r w:rsidR="00896DD4" w:rsidRPr="00D06495">
        <w:t xml:space="preserve"> </w:t>
      </w:r>
      <w:r w:rsidR="00722C7A" w:rsidRPr="00D06495">
        <w:t>d'ITU Telecom correspondant à</w:t>
      </w:r>
      <w:r w:rsidR="00C765F3" w:rsidRPr="00D06495">
        <w:t xml:space="preserve"> </w:t>
      </w:r>
      <w:r w:rsidR="00896DD4" w:rsidRPr="00D06495">
        <w:rPr>
          <w:b/>
        </w:rPr>
        <w:t>40%</w:t>
      </w:r>
      <w:r w:rsidR="00896DD4" w:rsidRPr="00D06495">
        <w:t xml:space="preserve"> </w:t>
      </w:r>
      <w:r w:rsidR="000575D3" w:rsidRPr="00D06495">
        <w:t>pour 2015 et à</w:t>
      </w:r>
      <w:r w:rsidR="007E76BD" w:rsidRPr="00D06495">
        <w:t xml:space="preserve"> </w:t>
      </w:r>
      <w:r w:rsidR="00896DD4" w:rsidRPr="00D06495">
        <w:rPr>
          <w:b/>
        </w:rPr>
        <w:t>80%</w:t>
      </w:r>
      <w:r w:rsidR="007E76BD" w:rsidRPr="00D06495">
        <w:t xml:space="preserve"> </w:t>
      </w:r>
      <w:r w:rsidR="00722C7A" w:rsidRPr="00D06495">
        <w:t>pour</w:t>
      </w:r>
      <w:r w:rsidR="00896DD4" w:rsidRPr="00D06495">
        <w:t xml:space="preserve"> 2016</w:t>
      </w:r>
      <w:r w:rsidR="00C9329D" w:rsidRPr="00D06495">
        <w:t>.</w:t>
      </w:r>
      <w:r w:rsidR="005D3BB9" w:rsidRPr="00D06495">
        <w:t xml:space="preserve"> </w:t>
      </w:r>
      <w:r w:rsidR="00722C7A" w:rsidRPr="00D06495">
        <w:t>L</w:t>
      </w:r>
      <w:r w:rsidR="001D0125">
        <w:t>'</w:t>
      </w:r>
      <w:r w:rsidR="00592EC1">
        <w:t>UIT a </w:t>
      </w:r>
      <w:r w:rsidR="00722C7A" w:rsidRPr="00D06495">
        <w:t>fourni des renseignements additionnels indiquant que, si l</w:t>
      </w:r>
      <w:r w:rsidR="001D0125">
        <w:t>'</w:t>
      </w:r>
      <w:r w:rsidR="00722C7A" w:rsidRPr="00D06495">
        <w:t>on avait appliqué les pourcentages</w:t>
      </w:r>
      <w:r w:rsidR="007E76BD" w:rsidRPr="00D06495">
        <w:t xml:space="preserve"> </w:t>
      </w:r>
      <w:r w:rsidR="00896DD4" w:rsidRPr="00D06495">
        <w:t xml:space="preserve">20%-80% </w:t>
      </w:r>
      <w:r w:rsidR="00722C7A" w:rsidRPr="00D06495">
        <w:t>en 2016, les coûts afférents au secrétariat d</w:t>
      </w:r>
      <w:r w:rsidR="000575D3" w:rsidRPr="00D06495">
        <w:t>'ITU</w:t>
      </w:r>
      <w:r w:rsidR="00896DD4" w:rsidRPr="00D06495">
        <w:t xml:space="preserve"> Telecom </w:t>
      </w:r>
      <w:r w:rsidR="00592EC1">
        <w:t>auraient diminué </w:t>
      </w:r>
      <w:r w:rsidR="00722C7A" w:rsidRPr="00D06495">
        <w:t>de</w:t>
      </w:r>
      <w:r w:rsidR="007E76BD" w:rsidRPr="00D06495">
        <w:t xml:space="preserve"> </w:t>
      </w:r>
      <w:r w:rsidR="000575D3" w:rsidRPr="00D06495">
        <w:t xml:space="preserve">493 </w:t>
      </w:r>
      <w:r w:rsidR="00896DD4" w:rsidRPr="00D06495">
        <w:t>025</w:t>
      </w:r>
      <w:r w:rsidR="000B3DE6">
        <w:t>,</w:t>
      </w:r>
      <w:r w:rsidR="00896DD4" w:rsidRPr="00D06495">
        <w:t>04 CHF</w:t>
      </w:r>
      <w:r w:rsidR="00081E1B" w:rsidRPr="00D06495">
        <w:t>.</w:t>
      </w:r>
    </w:p>
    <w:p w:rsidR="00BB14AF" w:rsidRPr="00D06495" w:rsidRDefault="00275CAF" w:rsidP="001A4146">
      <w:r w:rsidRPr="00D06495">
        <w:t>89</w:t>
      </w:r>
      <w:r w:rsidRPr="00D06495">
        <w:tab/>
      </w:r>
      <w:r w:rsidR="00722C7A" w:rsidRPr="00D06495">
        <w:t>Nous notons que ce calcul des charges de base ne prend pas en considération le temps de travail que le personnel d'ITU Telecom</w:t>
      </w:r>
      <w:r w:rsidR="00A80DF2" w:rsidRPr="00D06495">
        <w:t xml:space="preserve"> consacre </w:t>
      </w:r>
      <w:r w:rsidR="000575D3" w:rsidRPr="00D06495">
        <w:t>occasionnellement à la fourniture</w:t>
      </w:r>
      <w:r w:rsidR="007E76BD" w:rsidRPr="00D06495">
        <w:t xml:space="preserve"> </w:t>
      </w:r>
      <w:r w:rsidR="00722C7A" w:rsidRPr="00D06495">
        <w:t>d</w:t>
      </w:r>
      <w:r w:rsidR="001D0125">
        <w:t>'</w:t>
      </w:r>
      <w:r w:rsidR="00722C7A" w:rsidRPr="00D06495">
        <w:t>autres services de l</w:t>
      </w:r>
      <w:r w:rsidR="001D0125">
        <w:t>'</w:t>
      </w:r>
      <w:r w:rsidR="00722C7A" w:rsidRPr="00D06495">
        <w:t>UIT</w:t>
      </w:r>
      <w:r w:rsidR="00C9329D" w:rsidRPr="00D06495">
        <w:t>.</w:t>
      </w:r>
      <w:r w:rsidR="005D3BB9" w:rsidRPr="00D06495">
        <w:t xml:space="preserve"> </w:t>
      </w:r>
      <w:r w:rsidR="00A80DF2" w:rsidRPr="00D06495">
        <w:t>C</w:t>
      </w:r>
      <w:r w:rsidR="001D0125">
        <w:t>'</w:t>
      </w:r>
      <w:r w:rsidR="00A80DF2" w:rsidRPr="00D06495">
        <w:t>est notamment pour cette raison que les charges de base ont été calculées sur la base du temps de travail estimé</w:t>
      </w:r>
      <w:r w:rsidR="007D6CC4">
        <w:t>.</w:t>
      </w:r>
    </w:p>
    <w:p w:rsidR="00896DD4" w:rsidRPr="00D06495" w:rsidRDefault="00BB14AF" w:rsidP="00592EC1">
      <w:pPr>
        <w:spacing w:after="240"/>
        <w:rPr>
          <w:color w:val="000000"/>
        </w:rPr>
      </w:pPr>
      <w:r w:rsidRPr="00D06495">
        <w:t>90</w:t>
      </w:r>
      <w:r w:rsidRPr="00D06495">
        <w:tab/>
      </w:r>
      <w:r w:rsidR="000575D3" w:rsidRPr="00D06495">
        <w:t>N</w:t>
      </w:r>
      <w:r w:rsidR="00A80DF2" w:rsidRPr="00D06495">
        <w:t xml:space="preserve">ous ne disposons pas de </w:t>
      </w:r>
      <w:r w:rsidR="00A80DF2" w:rsidRPr="00D06495">
        <w:rPr>
          <w:color w:val="000000"/>
        </w:rPr>
        <w:t>suffisamment d'éléments</w:t>
      </w:r>
      <w:r w:rsidR="00A80DF2" w:rsidRPr="00D06495">
        <w:t xml:space="preserve"> sur la mesure dans laquelle</w:t>
      </w:r>
      <w:r w:rsidR="00C765F3" w:rsidRPr="00D06495">
        <w:t xml:space="preserve"> </w:t>
      </w:r>
      <w:r w:rsidR="00A80DF2" w:rsidRPr="00D06495">
        <w:t xml:space="preserve">la mise en </w:t>
      </w:r>
      <w:r w:rsidR="002A5BEE">
        <w:t>oe</w:t>
      </w:r>
      <w:r w:rsidR="00A80DF2" w:rsidRPr="00D06495">
        <w:t>uvre d</w:t>
      </w:r>
      <w:r w:rsidR="001D0125">
        <w:t>'</w:t>
      </w:r>
      <w:r w:rsidR="00A80DF2" w:rsidRPr="00D06495">
        <w:t>une méthode de comptabilisation du temps permettrait d</w:t>
      </w:r>
      <w:r w:rsidR="001D0125">
        <w:t>'</w:t>
      </w:r>
      <w:r w:rsidR="00A80DF2" w:rsidRPr="00D06495">
        <w:t>améliorer la fiabilité des chiffres correspondants</w:t>
      </w:r>
      <w:r w:rsidR="00C9329D" w:rsidRPr="00D06495">
        <w:t>.</w:t>
      </w:r>
      <w:r w:rsidR="005D3BB9" w:rsidRPr="00D06495">
        <w:t xml:space="preserve"> </w:t>
      </w:r>
      <w:r w:rsidR="000575D3" w:rsidRPr="00D06495">
        <w:t>Cette amélioration doit</w:t>
      </w:r>
      <w:r w:rsidR="00A80DF2" w:rsidRPr="00D06495">
        <w:t xml:space="preserve"> alors être comparée au coût</w:t>
      </w:r>
      <w:r w:rsidR="007E76BD" w:rsidRPr="00D06495">
        <w:t xml:space="preserve"> </w:t>
      </w:r>
      <w:r w:rsidR="00896DD4" w:rsidRPr="00D06495">
        <w:t>(</w:t>
      </w:r>
      <w:r w:rsidR="00A80DF2" w:rsidRPr="00D06495">
        <w:t>en termes de temps et de ressources financières</w:t>
      </w:r>
      <w:r w:rsidR="00FF6174" w:rsidRPr="00D06495">
        <w:t>)</w:t>
      </w:r>
      <w:r w:rsidR="00896DD4" w:rsidRPr="00D06495">
        <w:t xml:space="preserve"> </w:t>
      </w:r>
      <w:r w:rsidR="00A80DF2" w:rsidRPr="00D06495">
        <w:t>de cette méthode</w:t>
      </w:r>
      <w:r w:rsidR="00C9329D" w:rsidRPr="00D06495">
        <w:t>.</w:t>
      </w:r>
      <w:r w:rsidR="005D3BB9" w:rsidRPr="00D06495">
        <w:t xml:space="preserve"> </w:t>
      </w:r>
      <w:r w:rsidR="00A80DF2" w:rsidRPr="00D06495">
        <w:t>En outre, nous avons noté qu</w:t>
      </w:r>
      <w:r w:rsidR="001D0125">
        <w:t>'</w:t>
      </w:r>
      <w:r w:rsidR="00A80DF2" w:rsidRPr="00D06495">
        <w:t>un système de comptabilisation du temps a été supprimé il y a quelques années à la suite de la recommandation formulée par les</w:t>
      </w:r>
      <w:r w:rsidR="007E76BD" w:rsidRPr="00D06495">
        <w:t xml:space="preserve"> </w:t>
      </w:r>
      <w:r w:rsidR="00A80DF2" w:rsidRPr="00D06495">
        <w:rPr>
          <w:color w:val="000000"/>
        </w:rPr>
        <w:t>Vérificateurs extérieurs précédents</w:t>
      </w:r>
      <w:r w:rsidR="00081E1B" w:rsidRPr="00D06495">
        <w:rPr>
          <w:color w:val="000000"/>
        </w:rPr>
        <w:t>.</w:t>
      </w:r>
    </w:p>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pPr>
            <w:r w:rsidRPr="00D06495">
              <w:t>Suggestion N° 5</w:t>
            </w:r>
          </w:p>
          <w:p w:rsidR="00FF6174" w:rsidRPr="00D06495" w:rsidRDefault="00FF6174" w:rsidP="00642E88">
            <w:pPr>
              <w:spacing w:after="120"/>
            </w:pPr>
            <w:r w:rsidRPr="00D06495">
              <w:t>91</w:t>
            </w:r>
            <w:r w:rsidRPr="00D06495">
              <w:tab/>
              <w:t>Nous suggérons de suivre le temps de travail consacré par le personnel d'ITU Telecom à la manifestation ainsi qu</w:t>
            </w:r>
            <w:r w:rsidR="001D0125">
              <w:t>'</w:t>
            </w:r>
            <w:r w:rsidRPr="00D06495">
              <w:t>à d</w:t>
            </w:r>
            <w:r w:rsidR="001D0125">
              <w:t>'</w:t>
            </w:r>
            <w:r w:rsidRPr="00D06495">
              <w:t>autres activités de l</w:t>
            </w:r>
            <w:r w:rsidR="001D0125">
              <w:t>'</w:t>
            </w:r>
            <w:r w:rsidRPr="00D06495">
              <w:t>UIT, afin de mieux comprendre les services fournis à d</w:t>
            </w:r>
            <w:r w:rsidR="001D0125">
              <w:t>'</w:t>
            </w:r>
            <w:r w:rsidRPr="00D06495">
              <w:t>autres départements de l</w:t>
            </w:r>
            <w:r w:rsidR="001D0125">
              <w:t>'</w:t>
            </w:r>
            <w:r w:rsidRPr="00D06495">
              <w:t>Union.</w:t>
            </w:r>
          </w:p>
        </w:tc>
      </w:tr>
    </w:tbl>
    <w:p w:rsidR="00BB14AF" w:rsidRPr="00D06495" w:rsidRDefault="00BB14AF" w:rsidP="001A4146"/>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rPr>
                <w:u w:val="single"/>
              </w:rPr>
            </w:pPr>
            <w:r w:rsidRPr="00D06495">
              <w:t xml:space="preserve">Commentaires du Secrétaire </w:t>
            </w:r>
            <w:proofErr w:type="gramStart"/>
            <w:r w:rsidRPr="00D06495">
              <w:t>général:</w:t>
            </w:r>
            <w:proofErr w:type="gramEnd"/>
          </w:p>
          <w:p w:rsidR="00FF6174" w:rsidRPr="00D06495" w:rsidRDefault="00FF6174" w:rsidP="00642E88">
            <w:pPr>
              <w:spacing w:after="120"/>
            </w:pPr>
            <w:r w:rsidRPr="00D06495">
              <w:t>Les efforts se poursuivront en vue de faire en sorte que l</w:t>
            </w:r>
            <w:r w:rsidR="001D0125">
              <w:t>'</w:t>
            </w:r>
            <w:r w:rsidRPr="00D06495">
              <w:t>on conserve une trace du temps de travail consacré par le personnel aux manifestations Telecom et à d</w:t>
            </w:r>
            <w:r w:rsidR="001D0125">
              <w:t>'</w:t>
            </w:r>
            <w:r w:rsidRPr="00D06495">
              <w:t>autres activités de l</w:t>
            </w:r>
            <w:r w:rsidR="001D0125">
              <w:t>'</w:t>
            </w:r>
            <w:r w:rsidRPr="00D06495">
              <w:t>UIT.</w:t>
            </w:r>
          </w:p>
        </w:tc>
      </w:tr>
    </w:tbl>
    <w:p w:rsidR="00896DD4" w:rsidRPr="00D06495" w:rsidRDefault="006D14CB" w:rsidP="0088260C">
      <w:pPr>
        <w:pStyle w:val="Headingb"/>
      </w:pPr>
      <w:bookmarkStart w:id="145" w:name="_Toc482780335"/>
      <w:bookmarkStart w:id="146" w:name="_Toc482780475"/>
      <w:bookmarkStart w:id="147" w:name="_Toc482785828"/>
      <w:r w:rsidRPr="00D06495">
        <w:t>Charges directes</w:t>
      </w:r>
      <w:bookmarkEnd w:id="145"/>
      <w:bookmarkEnd w:id="146"/>
      <w:bookmarkEnd w:id="147"/>
    </w:p>
    <w:p w:rsidR="00896DD4" w:rsidRPr="00D06495" w:rsidRDefault="00A25C4D" w:rsidP="001A4146">
      <w:r w:rsidRPr="00D06495">
        <w:t>92</w:t>
      </w:r>
      <w:r w:rsidRPr="00D06495">
        <w:tab/>
      </w:r>
      <w:r w:rsidR="006D14CB" w:rsidRPr="00D06495">
        <w:rPr>
          <w:color w:val="000000"/>
        </w:rPr>
        <w:t xml:space="preserve">Les charges directes, qui se sont chiffrées à </w:t>
      </w:r>
      <w:r w:rsidR="000575D3" w:rsidRPr="00D06495">
        <w:t xml:space="preserve">2 930 </w:t>
      </w:r>
      <w:r w:rsidR="006D14CB" w:rsidRPr="00D06495">
        <w:t>500</w:t>
      </w:r>
      <w:r w:rsidR="007E76BD" w:rsidRPr="00D06495">
        <w:t xml:space="preserve"> </w:t>
      </w:r>
      <w:r w:rsidR="006D14CB" w:rsidRPr="00D06495">
        <w:t>CHF</w:t>
      </w:r>
      <w:r w:rsidR="000575D3" w:rsidRPr="00D06495">
        <w:t>,</w:t>
      </w:r>
      <w:r w:rsidR="006D14CB" w:rsidRPr="00D06495">
        <w:rPr>
          <w:color w:val="000000"/>
        </w:rPr>
        <w:t xml:space="preserve"> ont été inférieures au montant</w:t>
      </w:r>
      <w:r w:rsidR="000575D3" w:rsidRPr="00D06495">
        <w:rPr>
          <w:color w:val="000000"/>
        </w:rPr>
        <w:t xml:space="preserve"> inscrit</w:t>
      </w:r>
      <w:r w:rsidR="006D14CB" w:rsidRPr="00D06495">
        <w:rPr>
          <w:color w:val="000000"/>
        </w:rPr>
        <w:t xml:space="preserve"> au budget</w:t>
      </w:r>
      <w:r w:rsidR="007E76BD" w:rsidRPr="00D06495">
        <w:rPr>
          <w:color w:val="000000"/>
        </w:rPr>
        <w:t xml:space="preserve"> </w:t>
      </w:r>
      <w:r w:rsidR="00896DD4" w:rsidRPr="00D06495">
        <w:t>(3</w:t>
      </w:r>
      <w:r w:rsidR="000575D3" w:rsidRPr="00D06495">
        <w:t xml:space="preserve"> </w:t>
      </w:r>
      <w:r w:rsidR="00896DD4" w:rsidRPr="00D06495">
        <w:t>930</w:t>
      </w:r>
      <w:r w:rsidR="000575D3" w:rsidRPr="00D06495">
        <w:t xml:space="preserve"> </w:t>
      </w:r>
      <w:r w:rsidR="00896DD4" w:rsidRPr="00D06495">
        <w:t>6</w:t>
      </w:r>
      <w:r w:rsidR="006D14CB" w:rsidRPr="00D06495">
        <w:t>00</w:t>
      </w:r>
      <w:r w:rsidR="007E76BD" w:rsidRPr="00D06495">
        <w:t xml:space="preserve"> </w:t>
      </w:r>
      <w:r w:rsidR="00896DD4" w:rsidRPr="00D06495">
        <w:t>CHF)</w:t>
      </w:r>
      <w:r w:rsidR="00C9329D" w:rsidRPr="00D06495">
        <w:t>.</w:t>
      </w:r>
      <w:r w:rsidR="005D3BB9" w:rsidRPr="00D06495">
        <w:t xml:space="preserve"> </w:t>
      </w:r>
      <w:r w:rsidR="00A72A79" w:rsidRPr="00D06495">
        <w:t>Le montant des</w:t>
      </w:r>
      <w:r w:rsidR="007E76BD" w:rsidRPr="00D06495">
        <w:t xml:space="preserve"> </w:t>
      </w:r>
      <w:r w:rsidR="00A72A79" w:rsidRPr="00D06495">
        <w:t>charges afférentes au Forum, en particulier, a baissé de</w:t>
      </w:r>
      <w:r w:rsidR="007E76BD" w:rsidRPr="00D06495">
        <w:t xml:space="preserve"> </w:t>
      </w:r>
      <w:r w:rsidR="00896DD4" w:rsidRPr="00D06495">
        <w:t>43%</w:t>
      </w:r>
      <w:r w:rsidR="00C9329D" w:rsidRPr="00D06495">
        <w:t>.</w:t>
      </w:r>
      <w:r w:rsidR="005D3BB9" w:rsidRPr="00D06495">
        <w:t xml:space="preserve"> </w:t>
      </w:r>
      <w:r w:rsidR="00A72A79" w:rsidRPr="00D06495">
        <w:t xml:space="preserve">En outre, les charges afférentes aux Expositions ont été sensiblement inférieures </w:t>
      </w:r>
      <w:r w:rsidR="000575D3" w:rsidRPr="00D06495">
        <w:t>au montant</w:t>
      </w:r>
      <w:r w:rsidR="00A72A79" w:rsidRPr="00D06495">
        <w:t xml:space="preserve"> inscrit au budget, mais différentes considérations doivent être présentées à cet égard</w:t>
      </w:r>
      <w:r w:rsidR="00081E1B" w:rsidRPr="00D06495">
        <w:t>.</w:t>
      </w:r>
    </w:p>
    <w:p w:rsidR="00896DD4" w:rsidRPr="00D06495" w:rsidRDefault="00A25C4D" w:rsidP="001A4146">
      <w:r w:rsidRPr="00D06495">
        <w:lastRenderedPageBreak/>
        <w:t>93</w:t>
      </w:r>
      <w:r w:rsidRPr="00D06495">
        <w:tab/>
      </w:r>
      <w:r w:rsidR="00A72A79" w:rsidRPr="00D06495">
        <w:t>De fait,</w:t>
      </w:r>
      <w:r w:rsidR="007E76BD" w:rsidRPr="00D06495">
        <w:t xml:space="preserve"> </w:t>
      </w:r>
      <w:r w:rsidR="00A72A79" w:rsidRPr="00D06495">
        <w:rPr>
          <w:color w:val="000000"/>
        </w:rPr>
        <w:t>u</w:t>
      </w:r>
      <w:r w:rsidR="000575D3" w:rsidRPr="00D06495">
        <w:rPr>
          <w:color w:val="000000"/>
        </w:rPr>
        <w:t>n écart plus important est</w:t>
      </w:r>
      <w:r w:rsidR="00A72A79" w:rsidRPr="00D06495">
        <w:rPr>
          <w:color w:val="000000"/>
        </w:rPr>
        <w:t xml:space="preserve"> observé en ce qui concerne les charges directes liées aux services fournis</w:t>
      </w:r>
      <w:r w:rsidR="007E76BD" w:rsidRPr="00D06495">
        <w:rPr>
          <w:color w:val="000000"/>
        </w:rPr>
        <w:t xml:space="preserve"> </w:t>
      </w:r>
      <w:r w:rsidR="00A72A79" w:rsidRPr="00D06495">
        <w:rPr>
          <w:color w:val="000000"/>
        </w:rPr>
        <w:t>dont le volume a été inférieur aux prévisions</w:t>
      </w:r>
      <w:r w:rsidR="00C9329D" w:rsidRPr="00D06495">
        <w:rPr>
          <w:color w:val="000000"/>
        </w:rPr>
        <w:t>.</w:t>
      </w:r>
      <w:r w:rsidR="005D3BB9" w:rsidRPr="00D06495">
        <w:rPr>
          <w:color w:val="000000"/>
        </w:rPr>
        <w:t xml:space="preserve"> </w:t>
      </w:r>
      <w:r w:rsidR="00A72A79" w:rsidRPr="00D06495">
        <w:rPr>
          <w:color w:val="000000"/>
        </w:rPr>
        <w:t>Celles-ci ne doivent pas être considérées comme des économies</w:t>
      </w:r>
      <w:r w:rsidR="00C9329D" w:rsidRPr="00D06495">
        <w:t>.</w:t>
      </w:r>
      <w:r w:rsidR="005D3BB9" w:rsidRPr="00D06495">
        <w:t xml:space="preserve"> </w:t>
      </w:r>
      <w:r w:rsidR="00A72A79" w:rsidRPr="00D06495">
        <w:t>Ainsi,</w:t>
      </w:r>
      <w:r w:rsidR="007E76BD" w:rsidRPr="00D06495">
        <w:t xml:space="preserve"> </w:t>
      </w:r>
      <w:r w:rsidR="00A72A79" w:rsidRPr="00D06495">
        <w:t>la différence négative observée en ce qui concerne</w:t>
      </w:r>
      <w:r w:rsidR="007E76BD" w:rsidRPr="00D06495">
        <w:t xml:space="preserve"> </w:t>
      </w:r>
      <w:r w:rsidR="00A72A79" w:rsidRPr="00D06495">
        <w:t>les charges relatives à la</w:t>
      </w:r>
      <w:r w:rsidR="007E76BD" w:rsidRPr="00D06495">
        <w:t xml:space="preserve"> </w:t>
      </w:r>
      <w:r w:rsidR="00A72A79" w:rsidRPr="00D06495">
        <w:rPr>
          <w:color w:val="000000"/>
        </w:rPr>
        <w:t>construction et</w:t>
      </w:r>
      <w:r w:rsidR="007E76BD" w:rsidRPr="00D06495">
        <w:rPr>
          <w:color w:val="000000"/>
        </w:rPr>
        <w:t xml:space="preserve"> </w:t>
      </w:r>
      <w:r w:rsidR="00A72A79" w:rsidRPr="00D06495">
        <w:rPr>
          <w:color w:val="000000"/>
        </w:rPr>
        <w:t>au montage de solution clés en main</w:t>
      </w:r>
      <w:r w:rsidR="00A72A79" w:rsidRPr="00D06495">
        <w:t xml:space="preserve"> </w:t>
      </w:r>
      <w:r w:rsidR="002A5BEE">
        <w:t>(–</w:t>
      </w:r>
      <w:r w:rsidR="00896DD4" w:rsidRPr="00D06495">
        <w:t>66%)</w:t>
      </w:r>
      <w:r w:rsidR="000575D3" w:rsidRPr="00D06495">
        <w:t xml:space="preserve"> est</w:t>
      </w:r>
      <w:r w:rsidR="00A72A79" w:rsidRPr="00D06495">
        <w:t xml:space="preserve"> strictement liée à la baisse des produits tirés de la location</w:t>
      </w:r>
      <w:r w:rsidR="00081E1B" w:rsidRPr="00D06495">
        <w:t>.</w:t>
      </w:r>
    </w:p>
    <w:p w:rsidR="00896DD4" w:rsidRPr="00D06495" w:rsidRDefault="00A25C4D" w:rsidP="001A4146">
      <w:r w:rsidRPr="00D06495">
        <w:t>94</w:t>
      </w:r>
      <w:r w:rsidRPr="00D06495">
        <w:tab/>
      </w:r>
      <w:r w:rsidR="00A72A79" w:rsidRPr="00D06495">
        <w:t>S</w:t>
      </w:r>
      <w:r w:rsidR="001D0125">
        <w:t>'</w:t>
      </w:r>
      <w:r w:rsidR="00A72A79" w:rsidRPr="00D06495">
        <w:t>agissant des économies, nous constatons</w:t>
      </w:r>
      <w:r w:rsidR="00C765F3" w:rsidRPr="00D06495">
        <w:t xml:space="preserve"> </w:t>
      </w:r>
      <w:r w:rsidR="00544535" w:rsidRPr="00D06495">
        <w:t>que</w:t>
      </w:r>
      <w:r w:rsidR="00D135E6" w:rsidRPr="00D06495">
        <w:t xml:space="preserve"> certaines charges</w:t>
      </w:r>
      <w:r w:rsidR="00A72A79" w:rsidRPr="00D06495">
        <w:t xml:space="preserve"> </w:t>
      </w:r>
      <w:r w:rsidR="00D135E6" w:rsidRPr="00D06495">
        <w:t xml:space="preserve">liées aux </w:t>
      </w:r>
      <w:r w:rsidR="00D135E6" w:rsidRPr="00D06495">
        <w:rPr>
          <w:color w:val="000000"/>
        </w:rPr>
        <w:t>frais de voyage et à</w:t>
      </w:r>
      <w:r w:rsidR="007E76BD" w:rsidRPr="00D06495">
        <w:rPr>
          <w:color w:val="000000"/>
        </w:rPr>
        <w:t xml:space="preserve"> </w:t>
      </w:r>
      <w:r w:rsidR="00D135E6" w:rsidRPr="00D06495">
        <w:rPr>
          <w:color w:val="000000"/>
        </w:rPr>
        <w:t>l'indemnité journalière de subsistance pour les fonctionnaires</w:t>
      </w:r>
      <w:r w:rsidR="00544535" w:rsidRPr="00D06495">
        <w:rPr>
          <w:color w:val="000000"/>
        </w:rPr>
        <w:t xml:space="preserve"> ont sensiblement diminué</w:t>
      </w:r>
      <w:r w:rsidR="00C9329D" w:rsidRPr="00D06495">
        <w:rPr>
          <w:color w:val="000000"/>
        </w:rPr>
        <w:t>.</w:t>
      </w:r>
      <w:r w:rsidR="005D3BB9" w:rsidRPr="00D06495">
        <w:rPr>
          <w:color w:val="000000"/>
        </w:rPr>
        <w:t xml:space="preserve"> </w:t>
      </w:r>
      <w:r w:rsidR="00D135E6" w:rsidRPr="00D06495">
        <w:rPr>
          <w:color w:val="000000"/>
        </w:rPr>
        <w:t>Dans le cadre de nos vérifications,</w:t>
      </w:r>
      <w:r w:rsidR="007E76BD" w:rsidRPr="00D06495">
        <w:t xml:space="preserve"> </w:t>
      </w:r>
      <w:r w:rsidR="00D135E6" w:rsidRPr="00D06495">
        <w:t xml:space="preserve">nous </w:t>
      </w:r>
      <w:r w:rsidR="00D135E6" w:rsidRPr="00D06495">
        <w:rPr>
          <w:color w:val="000000"/>
        </w:rPr>
        <w:t xml:space="preserve">avons </w:t>
      </w:r>
      <w:r w:rsidR="000575D3" w:rsidRPr="00D06495">
        <w:rPr>
          <w:color w:val="000000"/>
        </w:rPr>
        <w:t xml:space="preserve">également </w:t>
      </w:r>
      <w:r w:rsidR="00D135E6" w:rsidRPr="00D06495">
        <w:rPr>
          <w:color w:val="000000"/>
        </w:rPr>
        <w:t xml:space="preserve">obtenu </w:t>
      </w:r>
      <w:r w:rsidR="000575D3" w:rsidRPr="00D06495">
        <w:rPr>
          <w:color w:val="000000"/>
        </w:rPr>
        <w:t xml:space="preserve">à cet égard </w:t>
      </w:r>
      <w:r w:rsidR="00D135E6" w:rsidRPr="00D06495">
        <w:rPr>
          <w:color w:val="000000"/>
        </w:rPr>
        <w:t xml:space="preserve">des éléments </w:t>
      </w:r>
      <w:r w:rsidR="000575D3" w:rsidRPr="00D06495">
        <w:rPr>
          <w:color w:val="000000"/>
        </w:rPr>
        <w:t>de preuve</w:t>
      </w:r>
      <w:r w:rsidR="00D135E6" w:rsidRPr="00D06495">
        <w:rPr>
          <w:color w:val="000000"/>
        </w:rPr>
        <w:t xml:space="preserve"> attestant que la coopération entre les bureaux de l</w:t>
      </w:r>
      <w:r w:rsidR="001D0125">
        <w:rPr>
          <w:color w:val="000000"/>
        </w:rPr>
        <w:t>'</w:t>
      </w:r>
      <w:r w:rsidR="00D135E6" w:rsidRPr="00D06495">
        <w:rPr>
          <w:color w:val="000000"/>
        </w:rPr>
        <w:t>UIT s</w:t>
      </w:r>
      <w:r w:rsidR="001D0125">
        <w:rPr>
          <w:color w:val="000000"/>
        </w:rPr>
        <w:t>'</w:t>
      </w:r>
      <w:r w:rsidR="00D135E6" w:rsidRPr="00D06495">
        <w:rPr>
          <w:color w:val="000000"/>
        </w:rPr>
        <w:t xml:space="preserve">était </w:t>
      </w:r>
      <w:r w:rsidR="00544535" w:rsidRPr="00D06495">
        <w:rPr>
          <w:color w:val="000000"/>
        </w:rPr>
        <w:t>nettement</w:t>
      </w:r>
      <w:r w:rsidR="000575D3" w:rsidRPr="00D06495">
        <w:rPr>
          <w:color w:val="000000"/>
        </w:rPr>
        <w:t xml:space="preserve"> améliorée</w:t>
      </w:r>
      <w:r w:rsidR="00C9329D" w:rsidRPr="00D06495">
        <w:rPr>
          <w:color w:val="000000"/>
        </w:rPr>
        <w:t>.</w:t>
      </w:r>
    </w:p>
    <w:p w:rsidR="00896DD4" w:rsidRPr="00D06495" w:rsidRDefault="00896DD4" w:rsidP="0088260C">
      <w:pPr>
        <w:pStyle w:val="Headingb"/>
      </w:pPr>
      <w:bookmarkStart w:id="148" w:name="_Toc482780336"/>
      <w:bookmarkStart w:id="149" w:name="_Toc482780476"/>
      <w:bookmarkStart w:id="150" w:name="_Toc482785829"/>
      <w:r w:rsidRPr="00D06495">
        <w:t>Services</w:t>
      </w:r>
      <w:r w:rsidR="00544535" w:rsidRPr="00D06495">
        <w:rPr>
          <w:color w:val="000000"/>
        </w:rPr>
        <w:t xml:space="preserve"> médias</w:t>
      </w:r>
      <w:r w:rsidR="00544535" w:rsidRPr="00D06495">
        <w:t xml:space="preserve"> pour Telecom</w:t>
      </w:r>
      <w:bookmarkEnd w:id="148"/>
      <w:bookmarkEnd w:id="149"/>
      <w:bookmarkEnd w:id="150"/>
    </w:p>
    <w:p w:rsidR="00896DD4" w:rsidRPr="00D06495" w:rsidRDefault="00A25C4D" w:rsidP="001A4146">
      <w:r w:rsidRPr="00D06495">
        <w:t>95</w:t>
      </w:r>
      <w:r w:rsidRPr="00D06495">
        <w:tab/>
      </w:r>
      <w:r w:rsidR="00544535" w:rsidRPr="00D06495">
        <w:rPr>
          <w:color w:val="000000"/>
        </w:rPr>
        <w:t>Les résultats obtenus pour ce poste</w:t>
      </w:r>
      <w:r w:rsidR="00544535" w:rsidRPr="00D06495">
        <w:t xml:space="preserve"> font apparaître des économies en ce qui concerne les</w:t>
      </w:r>
      <w:r w:rsidR="007E76BD" w:rsidRPr="00D06495">
        <w:t xml:space="preserve"> </w:t>
      </w:r>
      <w:r w:rsidR="00544535" w:rsidRPr="00D06495">
        <w:t>installations offertes par le pays hôte</w:t>
      </w:r>
      <w:r w:rsidR="00081E1B" w:rsidRPr="00D06495">
        <w:t>.</w:t>
      </w:r>
    </w:p>
    <w:p w:rsidR="00896DD4" w:rsidRPr="00D06495" w:rsidRDefault="00A25C4D" w:rsidP="001A4146">
      <w:pPr>
        <w:pStyle w:val="Heading1"/>
      </w:pPr>
      <w:bookmarkStart w:id="151" w:name="_Toc482778599"/>
      <w:bookmarkStart w:id="152" w:name="_Toc482780337"/>
      <w:bookmarkStart w:id="153" w:name="_Toc482780477"/>
      <w:bookmarkStart w:id="154" w:name="_Toc482785830"/>
      <w:r w:rsidRPr="00D06495">
        <w:t>INDICATEURS IFP ET ENQUÊTE POST-MANIFESTATION</w:t>
      </w:r>
      <w:bookmarkEnd w:id="151"/>
      <w:bookmarkEnd w:id="152"/>
      <w:bookmarkEnd w:id="153"/>
      <w:bookmarkEnd w:id="154"/>
    </w:p>
    <w:p w:rsidR="00896DD4" w:rsidRPr="00D06495" w:rsidRDefault="00A25C4D" w:rsidP="001A4146">
      <w:r w:rsidRPr="00D06495">
        <w:t>96</w:t>
      </w:r>
      <w:r w:rsidRPr="00D06495">
        <w:tab/>
        <w:t>Comme cela avait été le cas au cours de</w:t>
      </w:r>
      <w:r w:rsidR="00DB50CC" w:rsidRPr="00D06495">
        <w:t>s</w:t>
      </w:r>
      <w:r w:rsidR="007E76BD" w:rsidRPr="00D06495">
        <w:t xml:space="preserve"> </w:t>
      </w:r>
      <w:r w:rsidRPr="00D06495">
        <w:t>manifestation</w:t>
      </w:r>
      <w:r w:rsidR="00DB50CC" w:rsidRPr="00D06495">
        <w:t>s des années précédentes,</w:t>
      </w:r>
      <w:r w:rsidR="00C765F3" w:rsidRPr="00D06495">
        <w:t xml:space="preserve"> </w:t>
      </w:r>
      <w:r w:rsidRPr="00D06495">
        <w:t>un certain nombre d'analyses démographiques ont été effectuées pendant la manifestation et d'autres analyses, portant notamment sur la satisfaction des clients, ont été faites dans le cadre d'une enquête post-manifestation</w:t>
      </w:r>
      <w:r w:rsidR="00081E1B" w:rsidRPr="00D06495">
        <w:t>.</w:t>
      </w:r>
    </w:p>
    <w:p w:rsidR="00DB50CC" w:rsidRPr="00D06495" w:rsidRDefault="00DB50CC" w:rsidP="0088260C">
      <w:pPr>
        <w:pStyle w:val="Headingi"/>
      </w:pPr>
      <w:bookmarkStart w:id="155" w:name="_Toc482780338"/>
      <w:bookmarkStart w:id="156" w:name="_Toc482780478"/>
      <w:bookmarkStart w:id="157" w:name="_Toc482785831"/>
      <w:r w:rsidRPr="00D06495">
        <w:t>Question liée à</w:t>
      </w:r>
      <w:r w:rsidR="000575D3" w:rsidRPr="00D06495">
        <w:t xml:space="preserve"> l'âge des participants</w:t>
      </w:r>
      <w:bookmarkEnd w:id="155"/>
      <w:bookmarkEnd w:id="156"/>
      <w:bookmarkEnd w:id="157"/>
    </w:p>
    <w:p w:rsidR="00896DD4" w:rsidRPr="00D06495" w:rsidRDefault="00C652BE" w:rsidP="001A4146">
      <w:r w:rsidRPr="00D06495">
        <w:t>97</w:t>
      </w:r>
      <w:r w:rsidRPr="00D06495">
        <w:tab/>
      </w:r>
      <w:r w:rsidR="00DB50CC" w:rsidRPr="00D06495">
        <w:t>Nous avons constaté qu</w:t>
      </w:r>
      <w:r w:rsidR="001D0125">
        <w:t>'</w:t>
      </w:r>
      <w:r w:rsidR="00DB50CC" w:rsidRPr="00D06495">
        <w:t>une attention croissante était accordée à</w:t>
      </w:r>
      <w:r w:rsidR="007E76BD" w:rsidRPr="00D06495">
        <w:t xml:space="preserve"> </w:t>
      </w:r>
      <w:r w:rsidR="00DB50CC" w:rsidRPr="00D06495">
        <w:t>la question de l</w:t>
      </w:r>
      <w:r w:rsidR="001D0125">
        <w:t>'</w:t>
      </w:r>
      <w:r w:rsidR="00DB50CC" w:rsidRPr="00D06495">
        <w:t>âge</w:t>
      </w:r>
      <w:r w:rsidR="000575D3" w:rsidRPr="00D06495">
        <w:t>, en ce sens que l</w:t>
      </w:r>
      <w:r w:rsidR="001D0125">
        <w:t>'</w:t>
      </w:r>
      <w:r w:rsidR="000575D3" w:rsidRPr="00D06495">
        <w:t>on s</w:t>
      </w:r>
      <w:r w:rsidR="001D0125">
        <w:t>'</w:t>
      </w:r>
      <w:r w:rsidR="000575D3" w:rsidRPr="00D06495">
        <w:t>emploie</w:t>
      </w:r>
      <w:r w:rsidR="00F1138D" w:rsidRPr="00D06495">
        <w:t xml:space="preserve"> tout particulièrement à organis</w:t>
      </w:r>
      <w:r w:rsidR="000575D3" w:rsidRPr="00D06495">
        <w:t>er certaines activités spécialement</w:t>
      </w:r>
      <w:r w:rsidR="00F1138D" w:rsidRPr="00D06495">
        <w:t xml:space="preserve"> </w:t>
      </w:r>
      <w:r w:rsidR="000575D3" w:rsidRPr="00D06495">
        <w:t xml:space="preserve">destinées aux </w:t>
      </w:r>
      <w:r w:rsidR="00F1138D" w:rsidRPr="00D06495">
        <w:t>jeunes durant</w:t>
      </w:r>
      <w:r w:rsidR="007E76BD" w:rsidRPr="00D06495">
        <w:t xml:space="preserve"> </w:t>
      </w:r>
      <w:r w:rsidR="00F1138D" w:rsidRPr="00D06495">
        <w:t>la manifestation</w:t>
      </w:r>
      <w:r w:rsidR="007E76BD" w:rsidRPr="00D06495">
        <w:t xml:space="preserve"> </w:t>
      </w:r>
    </w:p>
    <w:p w:rsidR="00896DD4" w:rsidRPr="00D06495" w:rsidRDefault="00C652BE" w:rsidP="002A5BEE">
      <w:pPr>
        <w:spacing w:after="240"/>
      </w:pPr>
      <w:r w:rsidRPr="00D06495">
        <w:t>98</w:t>
      </w:r>
      <w:r w:rsidRPr="00D06495">
        <w:tab/>
      </w:r>
      <w:r w:rsidR="00F1138D" w:rsidRPr="00D06495">
        <w:t>Pour ce qui est des intervenants, nous sommes conscients du fait qu</w:t>
      </w:r>
      <w:r w:rsidR="001D0125">
        <w:t>'</w:t>
      </w:r>
      <w:r w:rsidR="00F1138D" w:rsidRPr="00D06495">
        <w:t>il est difficile de tenir compte à la fois de l</w:t>
      </w:r>
      <w:r w:rsidR="001D0125">
        <w:t>'</w:t>
      </w:r>
      <w:r w:rsidR="00F1138D" w:rsidRPr="00D06495">
        <w:t>importance de l</w:t>
      </w:r>
      <w:r w:rsidR="001D0125">
        <w:t>'</w:t>
      </w:r>
      <w:r w:rsidR="00F1138D" w:rsidRPr="00D06495">
        <w:t>intervenant et du jeune âge de cette personne</w:t>
      </w:r>
      <w:r w:rsidR="00081E1B" w:rsidRPr="00D06495">
        <w:t>.</w:t>
      </w:r>
    </w:p>
    <w:tbl>
      <w:tblPr>
        <w:tblStyle w:val="TableGrid"/>
        <w:tblW w:w="0" w:type="auto"/>
        <w:tblLook w:val="04A0" w:firstRow="1" w:lastRow="0" w:firstColumn="1" w:lastColumn="0" w:noHBand="0" w:noVBand="1"/>
      </w:tblPr>
      <w:tblGrid>
        <w:gridCol w:w="9629"/>
      </w:tblGrid>
      <w:tr w:rsidR="00FF6174" w:rsidRPr="00D06495" w:rsidTr="00FF6174">
        <w:tc>
          <w:tcPr>
            <w:tcW w:w="9629" w:type="dxa"/>
          </w:tcPr>
          <w:p w:rsidR="00FF6174" w:rsidRPr="00D06495" w:rsidRDefault="00FF6174" w:rsidP="00FF6174">
            <w:pPr>
              <w:pStyle w:val="Heading4"/>
              <w:outlineLvl w:val="3"/>
            </w:pPr>
            <w:r w:rsidRPr="00D06495">
              <w:t>Suggestion N° 6</w:t>
            </w:r>
          </w:p>
          <w:p w:rsidR="00FF6174" w:rsidRPr="00D06495" w:rsidRDefault="00FF6174" w:rsidP="00642E88">
            <w:pPr>
              <w:spacing w:after="120"/>
            </w:pPr>
            <w:r w:rsidRPr="00D06495">
              <w:t>99</w:t>
            </w:r>
            <w:r w:rsidRPr="00D06495">
              <w:tab/>
              <w:t>En conséquence, nous suggérons d</w:t>
            </w:r>
            <w:r w:rsidR="001D0125">
              <w:t>'</w:t>
            </w:r>
            <w:r w:rsidRPr="00D06495">
              <w:t>accorder de l</w:t>
            </w:r>
            <w:r w:rsidR="001D0125">
              <w:t>'</w:t>
            </w:r>
            <w:r w:rsidRPr="00D06495">
              <w:t>importance à la nécessité de faire participer activement des jeunes à la manifestation, compte tenu des perspectives de renouvellement générationnel</w:t>
            </w:r>
            <w:r w:rsidRPr="00D06495">
              <w:rPr>
                <w:rStyle w:val="Heading1Char"/>
                <w:rFonts w:ascii="Arial" w:hAnsi="Arial" w:cs="Arial"/>
                <w:color w:val="545454"/>
              </w:rPr>
              <w:t xml:space="preserve"> </w:t>
            </w:r>
            <w:r w:rsidRPr="00D06495">
              <w:t>qu</w:t>
            </w:r>
            <w:r w:rsidR="001D0125">
              <w:t>'</w:t>
            </w:r>
            <w:r w:rsidRPr="00D06495">
              <w:t>ouvre la place croissante des PME dans le secteur des télécommunications.</w:t>
            </w:r>
          </w:p>
        </w:tc>
      </w:tr>
    </w:tbl>
    <w:p w:rsidR="00FF6174" w:rsidRPr="00D06495" w:rsidRDefault="00FF6174" w:rsidP="001A4146"/>
    <w:tbl>
      <w:tblPr>
        <w:tblStyle w:val="TableGrid"/>
        <w:tblW w:w="0" w:type="auto"/>
        <w:tblLook w:val="04A0" w:firstRow="1" w:lastRow="0" w:firstColumn="1" w:lastColumn="0" w:noHBand="0" w:noVBand="1"/>
      </w:tblPr>
      <w:tblGrid>
        <w:gridCol w:w="9629"/>
      </w:tblGrid>
      <w:tr w:rsidR="00D06495" w:rsidRPr="00D06495" w:rsidTr="00D06495">
        <w:tc>
          <w:tcPr>
            <w:tcW w:w="9629" w:type="dxa"/>
          </w:tcPr>
          <w:p w:rsidR="00D06495" w:rsidRPr="00D06495" w:rsidRDefault="00D06495" w:rsidP="00D06495">
            <w:pPr>
              <w:pStyle w:val="Heading4"/>
              <w:outlineLvl w:val="3"/>
              <w:rPr>
                <w:u w:val="single"/>
              </w:rPr>
            </w:pPr>
            <w:r w:rsidRPr="00D06495">
              <w:lastRenderedPageBreak/>
              <w:t xml:space="preserve">Commentaires du Secrétaire </w:t>
            </w:r>
            <w:proofErr w:type="gramStart"/>
            <w:r w:rsidRPr="00D06495">
              <w:t>général:</w:t>
            </w:r>
            <w:proofErr w:type="gramEnd"/>
          </w:p>
          <w:p w:rsidR="00D06495" w:rsidRPr="00D06495" w:rsidRDefault="00D06495" w:rsidP="00642E88">
            <w:pPr>
              <w:spacing w:after="120"/>
            </w:pPr>
            <w:r w:rsidRPr="00D06495">
              <w:t>ITU Telecom World</w:t>
            </w:r>
            <w:r w:rsidRPr="00D06495">
              <w:rPr>
                <w:color w:val="000000"/>
              </w:rPr>
              <w:t xml:space="preserve"> poursuit la réforme engagée en 2015, pour devenir la tribune internationale qui propose des services aux PME du secteur des TIC. </w:t>
            </w:r>
            <w:r w:rsidRPr="00D06495">
              <w:t>Le nombre de produits et services destinés spécialement aux PME continue en conséquence d</w:t>
            </w:r>
            <w:r w:rsidR="001D0125">
              <w:t>'</w:t>
            </w:r>
            <w:r w:rsidRPr="00D06495">
              <w:t xml:space="preserve">être développé et encouragé. En 2017, un Programme spécial pour les PME, qui proposera </w:t>
            </w:r>
            <w:r w:rsidRPr="00D06495">
              <w:rPr>
                <w:color w:val="000000"/>
              </w:rPr>
              <w:t>des rencontres entre les différentes entreprises</w:t>
            </w:r>
            <w:r w:rsidRPr="00D06495">
              <w:t xml:space="preserve"> et d</w:t>
            </w:r>
            <w:r w:rsidR="001D0125">
              <w:t>'</w:t>
            </w:r>
            <w:r w:rsidRPr="00D06495">
              <w:t>autres possibilités, viendra s</w:t>
            </w:r>
            <w:r w:rsidR="001D0125">
              <w:t>'</w:t>
            </w:r>
            <w:r w:rsidRPr="00D06495">
              <w:t>ajouter aux solutions à prix réduit offertes aux PME ainsi qu</w:t>
            </w:r>
            <w:r w:rsidR="001D0125">
              <w:t>'</w:t>
            </w:r>
            <w:r w:rsidRPr="00D06495">
              <w:t>au Programme de remise de prix. En outre, en collaboration avec les pays hôte, tout continuera d</w:t>
            </w:r>
            <w:r w:rsidR="001D0125">
              <w:t>'</w:t>
            </w:r>
            <w:r w:rsidRPr="00D06495">
              <w:t xml:space="preserve">être mis en </w:t>
            </w:r>
            <w:r w:rsidR="002A5BEE">
              <w:t>oe</w:t>
            </w:r>
            <w:r w:rsidRPr="00D06495">
              <w:t xml:space="preserve">uvre pour organiser et promouvoir, le dernier jour de la manifestation, des sessions destinées à des étudiants et à de </w:t>
            </w:r>
            <w:r w:rsidRPr="00D06495">
              <w:rPr>
                <w:color w:val="000000"/>
              </w:rPr>
              <w:t>jeunes entrepreneurs du pays considéré</w:t>
            </w:r>
            <w:r w:rsidRPr="00D06495">
              <w:t>. Le succès de ces programmes et leurs incidences sur le profil d</w:t>
            </w:r>
            <w:r w:rsidR="001D0125">
              <w:t>'</w:t>
            </w:r>
            <w:r w:rsidRPr="00D06495">
              <w:t>âge des participants seront mesurés et évalués.</w:t>
            </w:r>
          </w:p>
        </w:tc>
      </w:tr>
    </w:tbl>
    <w:p w:rsidR="00BF2506" w:rsidRPr="00D06495" w:rsidRDefault="000575D3" w:rsidP="0088260C">
      <w:pPr>
        <w:pStyle w:val="Headingi"/>
      </w:pPr>
      <w:bookmarkStart w:id="158" w:name="_Toc482780341"/>
      <w:bookmarkStart w:id="159" w:name="_Toc482780479"/>
      <w:bookmarkStart w:id="160" w:name="_Toc482785832"/>
      <w:r w:rsidRPr="00D06495">
        <w:t>Q</w:t>
      </w:r>
      <w:r w:rsidR="00BF2506" w:rsidRPr="00D06495">
        <w:t>uestions de parité femmes/hommes</w:t>
      </w:r>
      <w:bookmarkEnd w:id="158"/>
      <w:bookmarkEnd w:id="159"/>
      <w:bookmarkEnd w:id="160"/>
    </w:p>
    <w:p w:rsidR="00896DD4" w:rsidRPr="00D06495" w:rsidRDefault="00600E43" w:rsidP="002A5BEE">
      <w:pPr>
        <w:spacing w:after="240"/>
        <w:rPr>
          <w:rFonts w:asciiTheme="minorHAnsi" w:hAnsiTheme="minorHAnsi"/>
        </w:rPr>
      </w:pPr>
      <w:r w:rsidRPr="00D06495">
        <w:rPr>
          <w:rFonts w:asciiTheme="minorHAnsi" w:hAnsiTheme="minorHAnsi"/>
        </w:rPr>
        <w:t>100</w:t>
      </w:r>
      <w:r w:rsidRPr="00D06495">
        <w:rPr>
          <w:rFonts w:asciiTheme="minorHAnsi" w:hAnsiTheme="minorHAnsi"/>
        </w:rPr>
        <w:tab/>
      </w:r>
      <w:r w:rsidR="0002691E" w:rsidRPr="00D06495">
        <w:rPr>
          <w:rFonts w:asciiTheme="minorHAnsi" w:hAnsiTheme="minorHAnsi"/>
          <w:color w:val="000000"/>
        </w:rPr>
        <w:t>La r</w:t>
      </w:r>
      <w:r w:rsidR="00BF2506" w:rsidRPr="00D06495">
        <w:rPr>
          <w:rFonts w:asciiTheme="minorHAnsi" w:hAnsiTheme="minorHAnsi"/>
          <w:color w:val="000000"/>
        </w:rPr>
        <w:t>épartition hommes/femmes</w:t>
      </w:r>
      <w:r w:rsidR="007E76BD" w:rsidRPr="00D06495">
        <w:rPr>
          <w:rFonts w:asciiTheme="minorHAnsi" w:hAnsiTheme="minorHAnsi"/>
        </w:rPr>
        <w:t xml:space="preserve"> </w:t>
      </w:r>
      <w:r w:rsidR="0002691E" w:rsidRPr="00D06495">
        <w:rPr>
          <w:rFonts w:asciiTheme="minorHAnsi" w:hAnsiTheme="minorHAnsi"/>
        </w:rPr>
        <w:t>est satisfaisante</w:t>
      </w:r>
      <w:r w:rsidR="007E76BD" w:rsidRPr="00D06495">
        <w:rPr>
          <w:rFonts w:asciiTheme="minorHAnsi" w:hAnsiTheme="minorHAnsi"/>
        </w:rPr>
        <w:t xml:space="preserve"> </w:t>
      </w:r>
      <w:r w:rsidR="0002691E" w:rsidRPr="00D06495">
        <w:rPr>
          <w:rFonts w:asciiTheme="minorHAnsi" w:hAnsiTheme="minorHAnsi"/>
        </w:rPr>
        <w:t>pour ce qui est des participants</w:t>
      </w:r>
      <w:r w:rsidR="007E76BD" w:rsidRPr="00D06495">
        <w:rPr>
          <w:rFonts w:asciiTheme="minorHAnsi" w:hAnsiTheme="minorHAnsi"/>
        </w:rPr>
        <w:t xml:space="preserve"> </w:t>
      </w:r>
      <w:r w:rsidR="00896DD4" w:rsidRPr="00D06495">
        <w:rPr>
          <w:rFonts w:asciiTheme="minorHAnsi" w:hAnsiTheme="minorHAnsi"/>
        </w:rPr>
        <w:t>(</w:t>
      </w:r>
      <w:r w:rsidR="000575D3" w:rsidRPr="00D06495">
        <w:rPr>
          <w:rFonts w:asciiTheme="minorHAnsi" w:hAnsiTheme="minorHAnsi"/>
        </w:rPr>
        <w:t xml:space="preserve">le </w:t>
      </w:r>
      <w:r w:rsidR="002A5BEE">
        <w:rPr>
          <w:rFonts w:asciiTheme="minorHAnsi" w:hAnsiTheme="minorHAnsi"/>
        </w:rPr>
        <w:t>rapport femmes-</w:t>
      </w:r>
      <w:r w:rsidR="0002691E" w:rsidRPr="00D06495">
        <w:rPr>
          <w:rFonts w:asciiTheme="minorHAnsi" w:hAnsiTheme="minorHAnsi"/>
        </w:rPr>
        <w:t>hommes</w:t>
      </w:r>
      <w:r w:rsidR="007E76BD" w:rsidRPr="00D06495">
        <w:rPr>
          <w:rFonts w:asciiTheme="minorHAnsi" w:hAnsiTheme="minorHAnsi" w:cs="MS Gothic"/>
        </w:rPr>
        <w:t xml:space="preserve"> </w:t>
      </w:r>
      <w:r w:rsidR="000575D3" w:rsidRPr="00D06495">
        <w:rPr>
          <w:rFonts w:asciiTheme="minorHAnsi" w:hAnsiTheme="minorHAnsi" w:cs="MS Gothic"/>
        </w:rPr>
        <w:t xml:space="preserve">est </w:t>
      </w:r>
      <w:r w:rsidR="0002691E" w:rsidRPr="00D06495">
        <w:rPr>
          <w:rFonts w:asciiTheme="minorHAnsi" w:hAnsiTheme="minorHAnsi"/>
        </w:rPr>
        <w:t xml:space="preserve">de </w:t>
      </w:r>
      <w:r w:rsidR="00896DD4" w:rsidRPr="00D06495">
        <w:rPr>
          <w:rFonts w:asciiTheme="minorHAnsi" w:hAnsiTheme="minorHAnsi"/>
        </w:rPr>
        <w:t xml:space="preserve">37/63, </w:t>
      </w:r>
      <w:r w:rsidR="0002691E" w:rsidRPr="00D06495">
        <w:rPr>
          <w:rFonts w:asciiTheme="minorHAnsi" w:hAnsiTheme="minorHAnsi"/>
        </w:rPr>
        <w:t>contre</w:t>
      </w:r>
      <w:r w:rsidR="007E76BD" w:rsidRPr="00D06495">
        <w:rPr>
          <w:rFonts w:asciiTheme="minorHAnsi" w:hAnsiTheme="minorHAnsi"/>
        </w:rPr>
        <w:t xml:space="preserve"> </w:t>
      </w:r>
      <w:r w:rsidR="00896DD4" w:rsidRPr="00D06495">
        <w:rPr>
          <w:rFonts w:asciiTheme="minorHAnsi" w:hAnsiTheme="minorHAnsi"/>
        </w:rPr>
        <w:t xml:space="preserve">25/75 </w:t>
      </w:r>
      <w:r w:rsidR="0002691E" w:rsidRPr="00D06495">
        <w:rPr>
          <w:rFonts w:asciiTheme="minorHAnsi" w:hAnsiTheme="minorHAnsi"/>
        </w:rPr>
        <w:t>e</w:t>
      </w:r>
      <w:r w:rsidR="00896DD4" w:rsidRPr="00D06495">
        <w:rPr>
          <w:rFonts w:asciiTheme="minorHAnsi" w:hAnsiTheme="minorHAnsi"/>
        </w:rPr>
        <w:t>n 2015</w:t>
      </w:r>
      <w:r w:rsidR="000575D3" w:rsidRPr="00D06495">
        <w:rPr>
          <w:rFonts w:asciiTheme="minorHAnsi" w:hAnsiTheme="minorHAnsi"/>
        </w:rPr>
        <w:t>,</w:t>
      </w:r>
      <w:r w:rsidR="00896DD4" w:rsidRPr="00D06495">
        <w:rPr>
          <w:rFonts w:asciiTheme="minorHAnsi" w:hAnsiTheme="minorHAnsi"/>
        </w:rPr>
        <w:t xml:space="preserve"> </w:t>
      </w:r>
      <w:r w:rsidR="000575D3" w:rsidRPr="00D06495">
        <w:rPr>
          <w:rFonts w:asciiTheme="minorHAnsi" w:hAnsiTheme="minorHAnsi"/>
        </w:rPr>
        <w:t>et est</w:t>
      </w:r>
      <w:r w:rsidR="007E76BD" w:rsidRPr="00D06495">
        <w:rPr>
          <w:rFonts w:asciiTheme="minorHAnsi" w:hAnsiTheme="minorHAnsi"/>
        </w:rPr>
        <w:t xml:space="preserve"> </w:t>
      </w:r>
      <w:r w:rsidR="0002691E" w:rsidRPr="00D06495">
        <w:rPr>
          <w:rFonts w:asciiTheme="minorHAnsi" w:hAnsiTheme="minorHAnsi"/>
        </w:rPr>
        <w:t>conforme</w:t>
      </w:r>
      <w:r w:rsidR="007E76BD" w:rsidRPr="00D06495">
        <w:rPr>
          <w:rFonts w:asciiTheme="minorHAnsi" w:hAnsiTheme="minorHAnsi"/>
        </w:rPr>
        <w:t xml:space="preserve"> </w:t>
      </w:r>
      <w:r w:rsidR="0002691E" w:rsidRPr="00D06495">
        <w:rPr>
          <w:rFonts w:asciiTheme="minorHAnsi" w:hAnsiTheme="minorHAnsi"/>
        </w:rPr>
        <w:t>à l</w:t>
      </w:r>
      <w:r w:rsidR="001D0125">
        <w:rPr>
          <w:rFonts w:asciiTheme="minorHAnsi" w:hAnsiTheme="minorHAnsi"/>
        </w:rPr>
        <w:t>'</w:t>
      </w:r>
      <w:r w:rsidR="002A5BEE">
        <w:rPr>
          <w:rFonts w:asciiTheme="minorHAnsi" w:hAnsiTheme="minorHAnsi"/>
        </w:rPr>
        <w:t>objectif fixé pour </w:t>
      </w:r>
      <w:r w:rsidR="0002691E" w:rsidRPr="00D06495">
        <w:rPr>
          <w:rFonts w:asciiTheme="minorHAnsi" w:hAnsiTheme="minorHAnsi"/>
        </w:rPr>
        <w:t>2016</w:t>
      </w:r>
      <w:r w:rsidR="00896DD4" w:rsidRPr="00D06495">
        <w:rPr>
          <w:rFonts w:asciiTheme="minorHAnsi" w:hAnsiTheme="minorHAnsi"/>
        </w:rPr>
        <w:t xml:space="preserve">), </w:t>
      </w:r>
      <w:r w:rsidR="0002691E" w:rsidRPr="00D06495">
        <w:rPr>
          <w:rFonts w:asciiTheme="minorHAnsi" w:hAnsiTheme="minorHAnsi"/>
        </w:rPr>
        <w:t>mais non pour ce qui est des intervenants</w:t>
      </w:r>
      <w:r w:rsidR="007E76BD" w:rsidRPr="00D06495">
        <w:rPr>
          <w:rFonts w:asciiTheme="minorHAnsi" w:hAnsiTheme="minorHAnsi"/>
        </w:rPr>
        <w:t xml:space="preserve"> </w:t>
      </w:r>
      <w:r w:rsidR="00896DD4" w:rsidRPr="00D06495">
        <w:rPr>
          <w:rFonts w:asciiTheme="minorHAnsi" w:hAnsiTheme="minorHAnsi"/>
        </w:rPr>
        <w:t>(15/85)</w:t>
      </w:r>
      <w:r w:rsidR="00C9329D" w:rsidRPr="00D06495">
        <w:rPr>
          <w:rFonts w:asciiTheme="minorHAnsi" w:hAnsiTheme="minorHAnsi"/>
        </w:rPr>
        <w:t>.</w:t>
      </w:r>
    </w:p>
    <w:tbl>
      <w:tblPr>
        <w:tblStyle w:val="TableGrid"/>
        <w:tblW w:w="0" w:type="auto"/>
        <w:tblLook w:val="04A0" w:firstRow="1" w:lastRow="0" w:firstColumn="1" w:lastColumn="0" w:noHBand="0" w:noVBand="1"/>
      </w:tblPr>
      <w:tblGrid>
        <w:gridCol w:w="9629"/>
      </w:tblGrid>
      <w:tr w:rsidR="00D06495" w:rsidRPr="00D06495" w:rsidTr="00D06495">
        <w:tc>
          <w:tcPr>
            <w:tcW w:w="9629" w:type="dxa"/>
          </w:tcPr>
          <w:p w:rsidR="00D06495" w:rsidRPr="00D06495" w:rsidRDefault="00D06495" w:rsidP="00D06495">
            <w:pPr>
              <w:pStyle w:val="Heading4"/>
              <w:outlineLvl w:val="3"/>
            </w:pPr>
            <w:r w:rsidRPr="00D06495">
              <w:t>Suggestion N° 7</w:t>
            </w:r>
          </w:p>
          <w:p w:rsidR="00D06495" w:rsidRPr="00D06495" w:rsidRDefault="00D06495" w:rsidP="00642E88">
            <w:pPr>
              <w:spacing w:after="120"/>
            </w:pPr>
            <w:r w:rsidRPr="00D06495">
              <w:t>101</w:t>
            </w:r>
            <w:r w:rsidRPr="00D06495">
              <w:tab/>
              <w:t>Nous suggérons d</w:t>
            </w:r>
            <w:r w:rsidR="001D0125">
              <w:t>'</w:t>
            </w:r>
            <w:r w:rsidRPr="00D06495">
              <w:t>intensifier les efforts en vue de parvenir à une composition plus équilibrée de chaque catégorie de participants, en particulier ceux qui ont une plus grande visibilité, comme les intervenants.</w:t>
            </w:r>
          </w:p>
        </w:tc>
      </w:tr>
    </w:tbl>
    <w:p w:rsidR="00600E43" w:rsidRPr="00D06495" w:rsidRDefault="00600E43" w:rsidP="001A4146"/>
    <w:tbl>
      <w:tblPr>
        <w:tblStyle w:val="TableGrid"/>
        <w:tblW w:w="0" w:type="auto"/>
        <w:tblLook w:val="04A0" w:firstRow="1" w:lastRow="0" w:firstColumn="1" w:lastColumn="0" w:noHBand="0" w:noVBand="1"/>
      </w:tblPr>
      <w:tblGrid>
        <w:gridCol w:w="9629"/>
      </w:tblGrid>
      <w:tr w:rsidR="00D06495" w:rsidRPr="00D06495" w:rsidTr="00D06495">
        <w:tc>
          <w:tcPr>
            <w:tcW w:w="9629" w:type="dxa"/>
          </w:tcPr>
          <w:p w:rsidR="00D06495" w:rsidRPr="00D06495" w:rsidRDefault="00D06495" w:rsidP="00D06495">
            <w:pPr>
              <w:pStyle w:val="Heading4"/>
              <w:outlineLvl w:val="3"/>
              <w:rPr>
                <w:u w:val="single"/>
              </w:rPr>
            </w:pPr>
            <w:r w:rsidRPr="00D06495">
              <w:t xml:space="preserve">Commentaires du Secrétaire </w:t>
            </w:r>
            <w:proofErr w:type="gramStart"/>
            <w:r w:rsidRPr="00D06495">
              <w:t>général:</w:t>
            </w:r>
            <w:proofErr w:type="gramEnd"/>
          </w:p>
          <w:p w:rsidR="00D06495" w:rsidRPr="00D06495" w:rsidRDefault="00D06495" w:rsidP="00642E88">
            <w:pPr>
              <w:spacing w:after="120"/>
            </w:pPr>
            <w:r w:rsidRPr="00D06495">
              <w:t>Nous redoublons d</w:t>
            </w:r>
            <w:r w:rsidR="001D0125">
              <w:t>'</w:t>
            </w:r>
            <w:r w:rsidRPr="00D06495">
              <w:t>efforts pour parvenir à une composition plus équilibrée des intervenants et d</w:t>
            </w:r>
            <w:r w:rsidR="001D0125">
              <w:t>'</w:t>
            </w:r>
            <w:r w:rsidRPr="00D06495">
              <w:t xml:space="preserve">autres catégories de participants, en accordant une attention toute particulière à la </w:t>
            </w:r>
            <w:r w:rsidRPr="00D06495">
              <w:rPr>
                <w:color w:val="000000"/>
              </w:rPr>
              <w:t>répartition hommes/femmes</w:t>
            </w:r>
            <w:r w:rsidRPr="00D06495">
              <w:t>.</w:t>
            </w:r>
          </w:p>
        </w:tc>
      </w:tr>
    </w:tbl>
    <w:p w:rsidR="00896DD4" w:rsidRPr="00D06495" w:rsidRDefault="0002691E" w:rsidP="0088260C">
      <w:pPr>
        <w:pStyle w:val="Headingi"/>
      </w:pPr>
      <w:bookmarkStart w:id="161" w:name="_Toc482780344"/>
      <w:bookmarkStart w:id="162" w:name="_Toc482780480"/>
      <w:bookmarkStart w:id="163" w:name="_Toc482785833"/>
      <w:r w:rsidRPr="00D06495">
        <w:t>Manque d</w:t>
      </w:r>
      <w:r w:rsidR="001D0125">
        <w:t>'</w:t>
      </w:r>
      <w:r w:rsidRPr="00D06495">
        <w:t>attrait des déjeuners/dîners</w:t>
      </w:r>
      <w:bookmarkEnd w:id="161"/>
      <w:bookmarkEnd w:id="162"/>
      <w:bookmarkEnd w:id="163"/>
    </w:p>
    <w:p w:rsidR="00896DD4" w:rsidRPr="00D06495" w:rsidRDefault="00836867" w:rsidP="002A5BEE">
      <w:pPr>
        <w:spacing w:after="240"/>
      </w:pPr>
      <w:r w:rsidRPr="00D06495">
        <w:t>102</w:t>
      </w:r>
      <w:r w:rsidRPr="00D06495">
        <w:tab/>
      </w:r>
      <w:r w:rsidR="00100A1E" w:rsidRPr="00D06495">
        <w:t>Les données recueillies à l</w:t>
      </w:r>
      <w:r w:rsidR="001D0125">
        <w:t>'</w:t>
      </w:r>
      <w:r w:rsidR="00100A1E" w:rsidRPr="00D06495">
        <w:t xml:space="preserve">aide des </w:t>
      </w:r>
      <w:r w:rsidR="00C9329D" w:rsidRPr="00D06495">
        <w:t xml:space="preserve">indicateurs </w:t>
      </w:r>
      <w:r w:rsidR="00100A1E" w:rsidRPr="00D06495">
        <w:t>IFP confirment</w:t>
      </w:r>
      <w:r w:rsidR="007E76BD" w:rsidRPr="00D06495">
        <w:t xml:space="preserve"> </w:t>
      </w:r>
      <w:r w:rsidR="00100A1E" w:rsidRPr="00D06495">
        <w:t>la tendance</w:t>
      </w:r>
      <w:r w:rsidR="007E76BD" w:rsidRPr="00D06495">
        <w:t xml:space="preserve"> </w:t>
      </w:r>
      <w:r w:rsidR="00100A1E" w:rsidRPr="00D06495">
        <w:t>selon laquelle les r</w:t>
      </w:r>
      <w:r w:rsidR="00C9329D" w:rsidRPr="00D06495">
        <w:t>encontres entre professionnels</w:t>
      </w:r>
      <w:r w:rsidR="00100A1E" w:rsidRPr="00D06495">
        <w:t xml:space="preserve"> ou les possibilités d</w:t>
      </w:r>
      <w:r w:rsidR="001D0125">
        <w:t>'</w:t>
      </w:r>
      <w:r w:rsidR="00100A1E" w:rsidRPr="00D06495">
        <w:t>organiser des célébrations à l</w:t>
      </w:r>
      <w:r w:rsidR="001D0125">
        <w:t>'</w:t>
      </w:r>
      <w:r w:rsidR="00100A1E" w:rsidRPr="00D06495">
        <w:t>occasion de déjeuners ou</w:t>
      </w:r>
      <w:r w:rsidR="007E76BD" w:rsidRPr="00D06495">
        <w:t xml:space="preserve"> </w:t>
      </w:r>
      <w:r w:rsidR="00100A1E" w:rsidRPr="00D06495">
        <w:t>de dîners, ne suscitent qu</w:t>
      </w:r>
      <w:r w:rsidR="001D0125">
        <w:t>'</w:t>
      </w:r>
      <w:r w:rsidR="00100A1E" w:rsidRPr="00D06495">
        <w:t>un intérêt limité</w:t>
      </w:r>
      <w:r w:rsidR="00C9329D" w:rsidRPr="00D06495">
        <w:t>.</w:t>
      </w:r>
      <w:r w:rsidR="005D3BB9" w:rsidRPr="00D06495">
        <w:t xml:space="preserve"> </w:t>
      </w:r>
      <w:r w:rsidR="00100A1E" w:rsidRPr="00D06495">
        <w:t>Il ressort des données relatives au</w:t>
      </w:r>
      <w:r w:rsidR="007E76BD" w:rsidRPr="00D06495">
        <w:t xml:space="preserve"> </w:t>
      </w:r>
      <w:r w:rsidR="0002691E" w:rsidRPr="00D06495">
        <w:rPr>
          <w:color w:val="000000"/>
        </w:rPr>
        <w:t>déjeuner des dirigeants</w:t>
      </w:r>
      <w:r w:rsidR="0002691E" w:rsidRPr="00D06495">
        <w:t xml:space="preserve"> </w:t>
      </w:r>
      <w:r w:rsidR="00100A1E" w:rsidRPr="00D06495">
        <w:t xml:space="preserve">que </w:t>
      </w:r>
      <w:r w:rsidR="00896DD4" w:rsidRPr="00D06495">
        <w:t xml:space="preserve">54 </w:t>
      </w:r>
      <w:r w:rsidR="00100A1E" w:rsidRPr="00D06495">
        <w:t>personnes étaient présentes à ce déjeuner, alors que l</w:t>
      </w:r>
      <w:r w:rsidR="001D0125">
        <w:t>'</w:t>
      </w:r>
      <w:r w:rsidR="00100A1E" w:rsidRPr="00D06495">
        <w:t>objectif</w:t>
      </w:r>
      <w:r w:rsidR="007E76BD" w:rsidRPr="00D06495">
        <w:t xml:space="preserve"> </w:t>
      </w:r>
      <w:r w:rsidR="00100A1E" w:rsidRPr="00D06495">
        <w:t>était de réunir 250 personnes</w:t>
      </w:r>
      <w:r w:rsidR="007E76BD" w:rsidRPr="00D06495">
        <w:t xml:space="preserve"> </w:t>
      </w:r>
      <w:r w:rsidR="00896DD4" w:rsidRPr="00D06495">
        <w:t xml:space="preserve">(104 </w:t>
      </w:r>
      <w:r w:rsidR="00100A1E" w:rsidRPr="00D06495">
        <w:t>e</w:t>
      </w:r>
      <w:r w:rsidR="00896DD4" w:rsidRPr="00D06495">
        <w:t xml:space="preserve">n 2014, 93 </w:t>
      </w:r>
      <w:r w:rsidR="00100A1E" w:rsidRPr="00D06495">
        <w:t>e</w:t>
      </w:r>
      <w:r w:rsidR="00896DD4" w:rsidRPr="00D06495">
        <w:t>n 2015)</w:t>
      </w:r>
      <w:r w:rsidR="00C9329D" w:rsidRPr="00D06495">
        <w:t>.</w:t>
      </w:r>
      <w:r w:rsidR="005D3BB9" w:rsidRPr="00D06495">
        <w:t xml:space="preserve"> </w:t>
      </w:r>
      <w:r w:rsidR="00F805E4" w:rsidRPr="00D06495">
        <w:t>A</w:t>
      </w:r>
      <w:r w:rsidR="00100A1E" w:rsidRPr="00D06495">
        <w:t xml:space="preserve"> cela s</w:t>
      </w:r>
      <w:r w:rsidR="001D0125">
        <w:t>'</w:t>
      </w:r>
      <w:r w:rsidR="00100A1E" w:rsidRPr="00D06495">
        <w:t>ajoute l</w:t>
      </w:r>
      <w:r w:rsidR="001D0125">
        <w:t>'</w:t>
      </w:r>
      <w:r w:rsidR="00100A1E" w:rsidRPr="00D06495">
        <w:t>annulation du Dîner de gala</w:t>
      </w:r>
      <w:r w:rsidR="00C9329D" w:rsidRPr="00D06495">
        <w:t>.</w:t>
      </w:r>
      <w:r w:rsidR="005D3BB9" w:rsidRPr="00D06495">
        <w:t xml:space="preserve"> </w:t>
      </w:r>
      <w:r w:rsidR="00100A1E" w:rsidRPr="00D06495">
        <w:t>Autant d</w:t>
      </w:r>
      <w:r w:rsidR="001D0125">
        <w:t>'</w:t>
      </w:r>
      <w:r w:rsidR="00100A1E" w:rsidRPr="00D06495">
        <w:t>éléments de preuve qui viennent confirmer cette</w:t>
      </w:r>
      <w:r w:rsidR="007E76BD" w:rsidRPr="00D06495">
        <w:t xml:space="preserve"> </w:t>
      </w:r>
      <w:r w:rsidR="00100A1E" w:rsidRPr="00D06495">
        <w:t>tendance</w:t>
      </w:r>
      <w:r w:rsidR="00081E1B" w:rsidRPr="00D06495">
        <w:t>.</w:t>
      </w:r>
    </w:p>
    <w:tbl>
      <w:tblPr>
        <w:tblStyle w:val="TableGrid"/>
        <w:tblW w:w="0" w:type="auto"/>
        <w:tblLook w:val="04A0" w:firstRow="1" w:lastRow="0" w:firstColumn="1" w:lastColumn="0" w:noHBand="0" w:noVBand="1"/>
      </w:tblPr>
      <w:tblGrid>
        <w:gridCol w:w="9629"/>
      </w:tblGrid>
      <w:tr w:rsidR="00D06495" w:rsidRPr="00D06495" w:rsidTr="00D06495">
        <w:tc>
          <w:tcPr>
            <w:tcW w:w="9629" w:type="dxa"/>
          </w:tcPr>
          <w:p w:rsidR="00D06495" w:rsidRPr="00D06495" w:rsidRDefault="00D06495" w:rsidP="00D06495">
            <w:pPr>
              <w:pStyle w:val="Heading4"/>
              <w:outlineLvl w:val="3"/>
            </w:pPr>
            <w:r w:rsidRPr="00D06495">
              <w:t>Suggestion N° 8</w:t>
            </w:r>
          </w:p>
          <w:p w:rsidR="00D06495" w:rsidRPr="00D06495" w:rsidRDefault="00D06495" w:rsidP="00642E88">
            <w:pPr>
              <w:spacing w:after="120"/>
            </w:pPr>
            <w:r w:rsidRPr="00D06495">
              <w:t>103</w:t>
            </w:r>
            <w:r w:rsidRPr="00D06495">
              <w:tab/>
              <w:t>Nous suggérons de revoir à la baisse les attentes en ce qui concerne la participation aux déjeuners et dîners organisés pour des participants de haut rang.</w:t>
            </w:r>
          </w:p>
        </w:tc>
      </w:tr>
    </w:tbl>
    <w:p w:rsidR="00836867" w:rsidRPr="00D06495" w:rsidRDefault="00836867" w:rsidP="001A4146"/>
    <w:tbl>
      <w:tblPr>
        <w:tblStyle w:val="TableGrid"/>
        <w:tblW w:w="0" w:type="auto"/>
        <w:tblLook w:val="04A0" w:firstRow="1" w:lastRow="0" w:firstColumn="1" w:lastColumn="0" w:noHBand="0" w:noVBand="1"/>
      </w:tblPr>
      <w:tblGrid>
        <w:gridCol w:w="9629"/>
      </w:tblGrid>
      <w:tr w:rsidR="00D06495" w:rsidRPr="00D06495" w:rsidTr="00D06495">
        <w:tc>
          <w:tcPr>
            <w:tcW w:w="9629" w:type="dxa"/>
          </w:tcPr>
          <w:p w:rsidR="00D06495" w:rsidRPr="00D06495" w:rsidRDefault="00D06495" w:rsidP="00D06495">
            <w:pPr>
              <w:pStyle w:val="Heading4"/>
              <w:outlineLvl w:val="3"/>
            </w:pPr>
            <w:r w:rsidRPr="00D06495">
              <w:lastRenderedPageBreak/>
              <w:t xml:space="preserve">Commentaires du Secrétaire </w:t>
            </w:r>
            <w:proofErr w:type="gramStart"/>
            <w:r w:rsidRPr="00D06495">
              <w:t>général:</w:t>
            </w:r>
            <w:proofErr w:type="gramEnd"/>
          </w:p>
          <w:p w:rsidR="00D06495" w:rsidRPr="00D06495" w:rsidRDefault="00D06495" w:rsidP="00642E88">
            <w:pPr>
              <w:spacing w:after="120"/>
            </w:pPr>
            <w:r w:rsidRPr="00D06495">
              <w:t>Une attention accrue sera accordée à l</w:t>
            </w:r>
            <w:r w:rsidR="001D0125">
              <w:t>'</w:t>
            </w:r>
            <w:r w:rsidRPr="00D06495">
              <w:t>estimation de la participation aux déjeuners et aux dîners réservés à de hautes personnalités lors d</w:t>
            </w:r>
            <w:r w:rsidR="001D0125">
              <w:t>'</w:t>
            </w:r>
            <w:r w:rsidRPr="00D06495">
              <w:t>ITU Telecom World 2017 et, comme par le passé, les résultats continueront d</w:t>
            </w:r>
            <w:r w:rsidR="001D0125">
              <w:t>'</w:t>
            </w:r>
            <w:r w:rsidRPr="00D06495">
              <w:t>être suivis et évalués. Les statistiques montrent que les dates et les autres activités qui ont lieu en parallèle influent sensiblement sur la participation, de sorte qu</w:t>
            </w:r>
            <w:r w:rsidR="001D0125">
              <w:t>'</w:t>
            </w:r>
            <w:r w:rsidRPr="00D06495">
              <w:t>il sera tenu compte de ce facteur.</w:t>
            </w:r>
          </w:p>
        </w:tc>
      </w:tr>
    </w:tbl>
    <w:p w:rsidR="00896DD4" w:rsidRPr="00D06495" w:rsidRDefault="00AD2A4B" w:rsidP="0088260C">
      <w:pPr>
        <w:pStyle w:val="Headingb"/>
        <w:rPr>
          <w:bCs/>
        </w:rPr>
      </w:pPr>
      <w:bookmarkStart w:id="164" w:name="_Toc482780347"/>
      <w:bookmarkStart w:id="165" w:name="_Toc482780481"/>
      <w:bookmarkStart w:id="166" w:name="_Toc482785834"/>
      <w:r w:rsidRPr="00D06495">
        <w:t>Dimension mondiale</w:t>
      </w:r>
      <w:bookmarkEnd w:id="164"/>
      <w:bookmarkEnd w:id="165"/>
      <w:bookmarkEnd w:id="166"/>
    </w:p>
    <w:p w:rsidR="00896DD4" w:rsidRPr="00D06495" w:rsidRDefault="00BE33A5" w:rsidP="00E0008C">
      <w:r w:rsidRPr="00D06495">
        <w:t>10</w:t>
      </w:r>
      <w:r w:rsidR="00E0008C">
        <w:t>4</w:t>
      </w:r>
      <w:r w:rsidRPr="00D06495">
        <w:tab/>
      </w:r>
      <w:r w:rsidR="00AD2A4B" w:rsidRPr="00D06495">
        <w:t>Les participants inscrits à la manifestation venaient de 128 pays</w:t>
      </w:r>
      <w:r w:rsidR="00C765F3" w:rsidRPr="00D06495">
        <w:t>,</w:t>
      </w:r>
      <w:r w:rsidR="007E76BD" w:rsidRPr="00D06495">
        <w:t xml:space="preserve"> </w:t>
      </w:r>
      <w:r w:rsidR="00AD2A4B" w:rsidRPr="00D06495">
        <w:t>chiffre inférieur à l</w:t>
      </w:r>
      <w:r w:rsidR="001D0125">
        <w:t>'</w:t>
      </w:r>
      <w:r w:rsidR="00AD2A4B" w:rsidRPr="00D06495">
        <w:t>objectif fixé</w:t>
      </w:r>
      <w:r w:rsidR="00642E88">
        <w:t xml:space="preserve"> </w:t>
      </w:r>
      <w:r w:rsidR="00F805E4" w:rsidRPr="00D06495">
        <w:t>(</w:t>
      </w:r>
      <w:r w:rsidR="00896DD4" w:rsidRPr="00D06495">
        <w:t>135</w:t>
      </w:r>
      <w:r w:rsidR="00AD2A4B" w:rsidRPr="00D06495">
        <w:t xml:space="preserve"> pays)</w:t>
      </w:r>
      <w:r w:rsidR="00896DD4" w:rsidRPr="00D06495">
        <w:t xml:space="preserve">, </w:t>
      </w:r>
      <w:r w:rsidR="00AD2A4B" w:rsidRPr="00D06495">
        <w:t>mais supérieur à celui</w:t>
      </w:r>
      <w:r w:rsidR="007E76BD" w:rsidRPr="00D06495">
        <w:t xml:space="preserve"> </w:t>
      </w:r>
      <w:r w:rsidR="00AD2A4B" w:rsidRPr="00D06495">
        <w:t>de 2015</w:t>
      </w:r>
      <w:r w:rsidR="00642E88">
        <w:t xml:space="preserve"> </w:t>
      </w:r>
      <w:r w:rsidR="00F805E4" w:rsidRPr="00D06495">
        <w:t>(</w:t>
      </w:r>
      <w:r w:rsidR="00896DD4" w:rsidRPr="00D06495">
        <w:t>116</w:t>
      </w:r>
      <w:r w:rsidR="00AD2A4B" w:rsidRPr="00D06495">
        <w:t>)</w:t>
      </w:r>
      <w:r w:rsidR="000B3DE6">
        <w:t>.</w:t>
      </w:r>
    </w:p>
    <w:p w:rsidR="00896DD4" w:rsidRPr="00D06495" w:rsidRDefault="00BE33A5" w:rsidP="00E0008C">
      <w:r w:rsidRPr="00D06495">
        <w:t>10</w:t>
      </w:r>
      <w:r w:rsidR="00E0008C">
        <w:t>5</w:t>
      </w:r>
      <w:r w:rsidRPr="00D06495">
        <w:tab/>
      </w:r>
      <w:r w:rsidR="00C9329D" w:rsidRPr="00D06495">
        <w:t>La répartition</w:t>
      </w:r>
      <w:r w:rsidR="00AD2A4B" w:rsidRPr="00D06495">
        <w:t xml:space="preserve"> des participants par région est déséquilibrée, puisque 87</w:t>
      </w:r>
      <w:r w:rsidR="0060670F">
        <w:t>%</w:t>
      </w:r>
      <w:r w:rsidR="00AD2A4B" w:rsidRPr="00D06495">
        <w:t xml:space="preserve"> des participants venaient de la région Asie-Pacifique, ce qui pourrait mettre à mal la dimension mondiale de la manifestation</w:t>
      </w:r>
      <w:r w:rsidR="000B3DE6">
        <w:t>.</w:t>
      </w:r>
    </w:p>
    <w:p w:rsidR="00896DD4" w:rsidRPr="00D06495" w:rsidRDefault="00BE33A5" w:rsidP="00E0008C">
      <w:r w:rsidRPr="00D06495">
        <w:t>10</w:t>
      </w:r>
      <w:r w:rsidR="00E0008C">
        <w:t>6</w:t>
      </w:r>
      <w:r w:rsidRPr="00D06495">
        <w:tab/>
      </w:r>
      <w:r w:rsidR="00AD2A4B" w:rsidRPr="00D06495">
        <w:t>En outre, il convient de rappeler ici la</w:t>
      </w:r>
      <w:r w:rsidR="007E76BD" w:rsidRPr="00D06495">
        <w:t xml:space="preserve"> </w:t>
      </w:r>
      <w:r w:rsidR="009729F5" w:rsidRPr="00D06495">
        <w:t>Suggestion</w:t>
      </w:r>
      <w:r w:rsidR="007E76BD" w:rsidRPr="00D06495">
        <w:t xml:space="preserve"> </w:t>
      </w:r>
      <w:r w:rsidR="002A5BEE">
        <w:t>N</w:t>
      </w:r>
      <w:r w:rsidR="00642E88">
        <w:t>°</w:t>
      </w:r>
      <w:r w:rsidR="00C9329D" w:rsidRPr="00D06495">
        <w:t xml:space="preserve"> </w:t>
      </w:r>
      <w:r w:rsidR="00896DD4" w:rsidRPr="00D06495">
        <w:t>1,</w:t>
      </w:r>
      <w:r w:rsidR="00AD2A4B" w:rsidRPr="00D06495">
        <w:t xml:space="preserve"> présentée ci-dessus,</w:t>
      </w:r>
      <w:r w:rsidR="00896DD4" w:rsidRPr="00D06495">
        <w:t xml:space="preserve"> </w:t>
      </w:r>
      <w:r w:rsidR="006322A4" w:rsidRPr="00D06495">
        <w:t xml:space="preserve">selon laquelle pour </w:t>
      </w:r>
      <w:r w:rsidR="006322A4" w:rsidRPr="00D06495">
        <w:rPr>
          <w:color w:val="000000"/>
        </w:rPr>
        <w:t>parvenir à une meilleure réalisation</w:t>
      </w:r>
      <w:r w:rsidR="007E76BD" w:rsidRPr="00D06495">
        <w:rPr>
          <w:color w:val="000000"/>
        </w:rPr>
        <w:t xml:space="preserve"> </w:t>
      </w:r>
      <w:r w:rsidR="006322A4" w:rsidRPr="00D06495">
        <w:rPr>
          <w:color w:val="000000"/>
        </w:rPr>
        <w:t>de la dimension mondiale, il conviendrait d'assurer un meilleur roulement pour le choix du lieu des manifestations</w:t>
      </w:r>
      <w:r w:rsidR="00C9329D" w:rsidRPr="00D06495">
        <w:rPr>
          <w:color w:val="000000"/>
        </w:rPr>
        <w:t>.</w:t>
      </w:r>
      <w:r w:rsidR="005D3BB9" w:rsidRPr="00D06495">
        <w:rPr>
          <w:color w:val="000000"/>
        </w:rPr>
        <w:t xml:space="preserve"> </w:t>
      </w:r>
      <w:r w:rsidR="006322A4" w:rsidRPr="00D06495">
        <w:rPr>
          <w:color w:val="000000"/>
        </w:rPr>
        <w:t>Ce problème n'a toujours pas été résolu</w:t>
      </w:r>
      <w:r w:rsidR="00C9329D" w:rsidRPr="00D06495">
        <w:rPr>
          <w:color w:val="000000"/>
        </w:rPr>
        <w:t>.</w:t>
      </w:r>
    </w:p>
    <w:p w:rsidR="00896DD4" w:rsidRPr="00D06495" w:rsidRDefault="00BE33A5" w:rsidP="001A4146">
      <w:pPr>
        <w:pStyle w:val="Heading1"/>
      </w:pPr>
      <w:bookmarkStart w:id="167" w:name="_Toc482778600"/>
      <w:bookmarkStart w:id="168" w:name="_Toc482780348"/>
      <w:bookmarkStart w:id="169" w:name="_Toc482780482"/>
      <w:bookmarkStart w:id="170" w:name="_Toc482785835"/>
      <w:r w:rsidRPr="00D06495">
        <w:t>SUIVI DE NOS RECOMMANDATIONS ET SUGGESTIONS</w:t>
      </w:r>
      <w:bookmarkEnd w:id="167"/>
      <w:bookmarkEnd w:id="168"/>
      <w:bookmarkEnd w:id="169"/>
      <w:bookmarkEnd w:id="170"/>
    </w:p>
    <w:p w:rsidR="00081E1B" w:rsidRPr="00D06495" w:rsidRDefault="00BE33A5" w:rsidP="00081E1B">
      <w:r w:rsidRPr="00D06495">
        <w:t>107</w:t>
      </w:r>
      <w:r w:rsidRPr="00D06495">
        <w:tab/>
        <w:t>Nous avons suivi la mise en oeuvre des recommandations et suggestions formulées dans nos précédents rapports</w:t>
      </w:r>
      <w:r w:rsidR="00C9329D" w:rsidRPr="00D06495">
        <w:t>.</w:t>
      </w:r>
      <w:r w:rsidR="005D3BB9" w:rsidRPr="00D06495">
        <w:t xml:space="preserve"> </w:t>
      </w:r>
      <w:r w:rsidRPr="00D06495">
        <w:t>On trouvera dans l'Annexe 1 les tableaux de suivi, qui comprennent les commentaires fournis par la direction de l'UIT et l'état d'avancement de la mise en oeuvre</w:t>
      </w:r>
      <w:r w:rsidR="00081E1B" w:rsidRPr="00D06495">
        <w:t>.</w:t>
      </w:r>
    </w:p>
    <w:p w:rsidR="00896DD4" w:rsidRPr="00D06495" w:rsidRDefault="00BE33A5" w:rsidP="00081E1B">
      <w:r w:rsidRPr="00D06495">
        <w:t>108</w:t>
      </w:r>
      <w:r w:rsidRPr="00D06495">
        <w:tab/>
        <w:t xml:space="preserve">Les recommandations considérées comme </w:t>
      </w:r>
      <w:r w:rsidR="00B56B10">
        <w:t>"</w:t>
      </w:r>
      <w:r w:rsidRPr="00D06495">
        <w:t>closes</w:t>
      </w:r>
      <w:r w:rsidR="00B56B10">
        <w:t>"</w:t>
      </w:r>
      <w:r w:rsidRPr="00D06495">
        <w:t xml:space="preserve"> cette année ne seront pas reprises dans le rapport de vérification des comptes de l'année prochaine, sauf si elles nécessitent un suivi annuel</w:t>
      </w:r>
      <w:r w:rsidR="00081E1B" w:rsidRPr="00D06495">
        <w:t>.</w:t>
      </w:r>
    </w:p>
    <w:p w:rsidR="00896DD4" w:rsidRPr="00D06495" w:rsidRDefault="00896DD4" w:rsidP="001A4146">
      <w:pPr>
        <w:pStyle w:val="testobase"/>
        <w:numPr>
          <w:ilvl w:val="0"/>
          <w:numId w:val="0"/>
        </w:numPr>
        <w:spacing w:line="240" w:lineRule="auto"/>
        <w:ind w:left="425"/>
        <w:rPr>
          <w:lang w:val="fr-FR"/>
        </w:rPr>
      </w:pPr>
    </w:p>
    <w:p w:rsidR="00BE33A5" w:rsidRPr="00D06495" w:rsidRDefault="00BE33A5" w:rsidP="001A4146">
      <w:pPr>
        <w:pStyle w:val="testobase"/>
        <w:numPr>
          <w:ilvl w:val="0"/>
          <w:numId w:val="0"/>
        </w:numPr>
        <w:spacing w:line="240" w:lineRule="auto"/>
        <w:ind w:left="425"/>
        <w:rPr>
          <w:lang w:val="fr-FR"/>
        </w:rPr>
        <w:sectPr w:rsidR="00BE33A5" w:rsidRPr="00D06495" w:rsidSect="00896DD4">
          <w:headerReference w:type="even" r:id="rId17"/>
          <w:headerReference w:type="default" r:id="rId18"/>
          <w:pgSz w:w="11907" w:h="16840" w:code="9"/>
          <w:pgMar w:top="1134" w:right="1134" w:bottom="1134" w:left="1134" w:header="720" w:footer="720" w:gutter="0"/>
          <w:cols w:space="720"/>
          <w:docGrid w:linePitch="360"/>
        </w:sectPr>
      </w:pPr>
    </w:p>
    <w:p w:rsidR="00896DD4" w:rsidRPr="00D06495" w:rsidRDefault="00896DD4" w:rsidP="001A4146">
      <w:pPr>
        <w:pStyle w:val="Annextitle"/>
        <w:rPr>
          <w:rFonts w:eastAsia="Calibri"/>
        </w:rPr>
      </w:pPr>
      <w:bookmarkStart w:id="171" w:name="_Toc449736428"/>
      <w:bookmarkStart w:id="172" w:name="_Toc448907212"/>
      <w:r w:rsidRPr="00D06495">
        <w:rPr>
          <w:rFonts w:eastAsia="Calibri"/>
        </w:rPr>
        <w:lastRenderedPageBreak/>
        <w:t>ANNEX</w:t>
      </w:r>
      <w:r w:rsidR="00040558" w:rsidRPr="00D06495">
        <w:rPr>
          <w:rFonts w:eastAsia="Calibri"/>
        </w:rPr>
        <w:t>E</w:t>
      </w:r>
      <w:r w:rsidRPr="00D06495">
        <w:rPr>
          <w:rFonts w:eastAsia="Calibri"/>
        </w:rPr>
        <w:t xml:space="preserve"> I – </w:t>
      </w:r>
      <w:bookmarkEnd w:id="171"/>
      <w:bookmarkEnd w:id="172"/>
      <w:r w:rsidR="002F486A" w:rsidRPr="00D06495">
        <w:rPr>
          <w:rFonts w:eastAsia="Calibri"/>
        </w:rPr>
        <w:t>Suivi des observations présentées dans les rapports précédents</w:t>
      </w:r>
    </w:p>
    <w:p w:rsidR="00896DD4" w:rsidRPr="00D06495" w:rsidRDefault="00D55E09" w:rsidP="001A4146">
      <w:pPr>
        <w:pStyle w:val="Annextitle"/>
        <w:rPr>
          <w:rFonts w:eastAsia="Calibri"/>
          <w:highlight w:val="yellow"/>
          <w:lang w:eastAsia="zh-CN"/>
        </w:rPr>
      </w:pPr>
      <w:bookmarkStart w:id="173" w:name="_Toc449736429"/>
      <w:r w:rsidRPr="00D06495">
        <w:rPr>
          <w:rFonts w:eastAsia="Calibri"/>
          <w:lang w:eastAsia="zh-CN"/>
        </w:rPr>
        <w:t>Recommandation</w:t>
      </w:r>
      <w:r w:rsidR="00896DD4" w:rsidRPr="00D06495">
        <w:rPr>
          <w:rFonts w:eastAsia="Calibri"/>
          <w:lang w:eastAsia="zh-CN"/>
        </w:rPr>
        <w:t>s</w:t>
      </w:r>
      <w:bookmarkEnd w:id="173"/>
    </w:p>
    <w:tbl>
      <w:tblPr>
        <w:tblW w:w="5000" w:type="pct"/>
        <w:tblCellMar>
          <w:left w:w="113" w:type="dxa"/>
          <w:right w:w="113" w:type="dxa"/>
        </w:tblCellMar>
        <w:tblLook w:val="04A0" w:firstRow="1" w:lastRow="0" w:firstColumn="1" w:lastColumn="0" w:noHBand="0" w:noVBand="1"/>
      </w:tblPr>
      <w:tblGrid>
        <w:gridCol w:w="1413"/>
        <w:gridCol w:w="3272"/>
        <w:gridCol w:w="3272"/>
        <w:gridCol w:w="3415"/>
        <w:gridCol w:w="2622"/>
      </w:tblGrid>
      <w:tr w:rsidR="00896DD4" w:rsidRPr="00364744" w:rsidTr="00642E88">
        <w:tc>
          <w:tcPr>
            <w:tcW w:w="505" w:type="pct"/>
            <w:tcBorders>
              <w:top w:val="single" w:sz="4" w:space="0" w:color="auto"/>
              <w:left w:val="single" w:sz="4" w:space="0" w:color="auto"/>
              <w:bottom w:val="single" w:sz="4" w:space="0" w:color="auto"/>
              <w:right w:val="single" w:sz="4" w:space="0" w:color="auto"/>
            </w:tcBorders>
            <w:vAlign w:val="center"/>
          </w:tcPr>
          <w:p w:rsidR="00896DD4" w:rsidRPr="00364744" w:rsidRDefault="00896DD4" w:rsidP="00364744">
            <w:pPr>
              <w:pStyle w:val="Tablehead"/>
              <w:spacing w:before="0" w:after="0"/>
              <w:rPr>
                <w:rFonts w:asciiTheme="minorHAnsi" w:hAnsiTheme="minorHAnsi"/>
                <w:sz w:val="20"/>
                <w:lang w:eastAsia="zh-CN"/>
              </w:rPr>
            </w:pP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40558" w:rsidRPr="00364744" w:rsidRDefault="00040558" w:rsidP="00364744">
            <w:pPr>
              <w:pStyle w:val="Tablehead"/>
              <w:spacing w:before="0" w:after="0"/>
              <w:rPr>
                <w:rFonts w:asciiTheme="minorHAnsi" w:hAnsiTheme="minorHAnsi"/>
                <w:spacing w:val="-1"/>
                <w:sz w:val="20"/>
                <w:lang w:eastAsia="it-IT"/>
              </w:rPr>
            </w:pPr>
            <w:r w:rsidRPr="00364744">
              <w:rPr>
                <w:rFonts w:asciiTheme="minorHAnsi" w:hAnsiTheme="minorHAnsi"/>
                <w:spacing w:val="-1"/>
                <w:sz w:val="20"/>
                <w:lang w:eastAsia="it-IT"/>
              </w:rPr>
              <w:t>Recommandation formulée par le Vérificateur Extérieur des comptes</w:t>
            </w:r>
          </w:p>
          <w:p w:rsidR="00896DD4" w:rsidRPr="00364744" w:rsidRDefault="00040558" w:rsidP="00364744">
            <w:pPr>
              <w:pStyle w:val="Tablehead"/>
              <w:spacing w:before="0" w:after="0"/>
              <w:rPr>
                <w:rFonts w:asciiTheme="minorHAnsi" w:hAnsiTheme="minorHAnsi"/>
                <w:sz w:val="20"/>
                <w:lang w:eastAsia="it-IT"/>
              </w:rPr>
            </w:pPr>
            <w:r w:rsidRPr="00364744">
              <w:rPr>
                <w:rFonts w:asciiTheme="minorHAnsi" w:hAnsiTheme="minorHAnsi"/>
                <w:spacing w:val="-1"/>
                <w:sz w:val="20"/>
                <w:lang w:eastAsia="it-IT"/>
              </w:rPr>
              <w:t>(Cour des comptes italienne)</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DD4" w:rsidRPr="00364744" w:rsidRDefault="00642E88" w:rsidP="00364744">
            <w:pPr>
              <w:pStyle w:val="Tablehead"/>
              <w:spacing w:before="0" w:after="0"/>
              <w:rPr>
                <w:rFonts w:asciiTheme="minorHAnsi" w:hAnsiTheme="minorHAnsi"/>
                <w:sz w:val="20"/>
                <w:lang w:eastAsia="it-IT"/>
              </w:rPr>
            </w:pPr>
            <w:r w:rsidRPr="00364744">
              <w:rPr>
                <w:rFonts w:asciiTheme="minorHAnsi" w:hAnsiTheme="minorHAnsi"/>
                <w:spacing w:val="-1"/>
                <w:sz w:val="20"/>
                <w:lang w:eastAsia="it-IT"/>
              </w:rPr>
              <w:t>Commentaires fournis par le </w:t>
            </w:r>
            <w:r w:rsidR="00040558" w:rsidRPr="00364744">
              <w:rPr>
                <w:rFonts w:asciiTheme="minorHAnsi" w:hAnsiTheme="minorHAnsi"/>
                <w:spacing w:val="-1"/>
                <w:sz w:val="20"/>
                <w:lang w:eastAsia="it-IT"/>
              </w:rPr>
              <w:t>Secrétaire général au moment de la publication du rapport du Vérificateur Extérieur des comptes</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DD4" w:rsidRPr="00364744" w:rsidRDefault="00040558" w:rsidP="00364744">
            <w:pPr>
              <w:pStyle w:val="Tablehead"/>
              <w:spacing w:before="0" w:after="0"/>
              <w:rPr>
                <w:rFonts w:asciiTheme="minorHAnsi" w:hAnsiTheme="minorHAnsi"/>
                <w:sz w:val="20"/>
                <w:lang w:eastAsia="it-IT"/>
              </w:rPr>
            </w:pPr>
            <w:r w:rsidRPr="00364744">
              <w:rPr>
                <w:rFonts w:asciiTheme="minorHAnsi" w:hAnsiTheme="minorHAnsi"/>
                <w:spacing w:val="-1"/>
                <w:sz w:val="20"/>
                <w:lang w:eastAsia="it-IT"/>
              </w:rPr>
              <w:t>Etat</w:t>
            </w:r>
            <w:r w:rsidR="00642E88" w:rsidRPr="00364744">
              <w:rPr>
                <w:rFonts w:asciiTheme="minorHAnsi" w:hAnsiTheme="minorHAnsi"/>
                <w:spacing w:val="-1"/>
                <w:sz w:val="20"/>
                <w:lang w:eastAsia="it-IT"/>
              </w:rPr>
              <w:t xml:space="preserve"> de la situation indiqué par la </w:t>
            </w:r>
            <w:r w:rsidRPr="00364744">
              <w:rPr>
                <w:rFonts w:asciiTheme="minorHAnsi" w:hAnsiTheme="minorHAnsi"/>
                <w:spacing w:val="-1"/>
                <w:sz w:val="20"/>
                <w:lang w:eastAsia="it-IT"/>
              </w:rPr>
              <w:t>direction de l'UIT</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6DD4" w:rsidRPr="00364744" w:rsidRDefault="00040558" w:rsidP="00364744">
            <w:pPr>
              <w:pStyle w:val="Tablehead"/>
              <w:spacing w:before="0" w:after="0"/>
              <w:rPr>
                <w:rFonts w:asciiTheme="minorHAnsi" w:hAnsiTheme="minorHAnsi"/>
                <w:sz w:val="20"/>
                <w:lang w:eastAsia="it-IT"/>
              </w:rPr>
            </w:pPr>
            <w:r w:rsidRPr="00364744">
              <w:rPr>
                <w:rFonts w:asciiTheme="minorHAnsi" w:eastAsia="Times New Roman,SimSun" w:hAnsiTheme="minorHAnsi" w:cs="Times New Roman,SimSun"/>
                <w:sz w:val="20"/>
                <w:lang w:eastAsia="zh-CN"/>
              </w:rPr>
              <w:t>Etat des mesures prises par la direction se</w:t>
            </w:r>
            <w:r w:rsidR="00642E88" w:rsidRPr="00364744">
              <w:rPr>
                <w:rFonts w:asciiTheme="minorHAnsi" w:eastAsia="Times New Roman,SimSun" w:hAnsiTheme="minorHAnsi" w:cs="Times New Roman,SimSun"/>
                <w:sz w:val="20"/>
                <w:lang w:eastAsia="zh-CN"/>
              </w:rPr>
              <w:t>lon l'évaluation de la Cour des </w:t>
            </w:r>
            <w:r w:rsidRPr="00364744">
              <w:rPr>
                <w:rFonts w:asciiTheme="minorHAnsi" w:eastAsia="Times New Roman,SimSun" w:hAnsiTheme="minorHAnsi" w:cs="Times New Roman,SimSun"/>
                <w:sz w:val="20"/>
                <w:lang w:eastAsia="zh-CN"/>
              </w:rPr>
              <w:t>comptes italienne</w:t>
            </w:r>
          </w:p>
        </w:tc>
      </w:tr>
      <w:tr w:rsidR="00642E88" w:rsidRPr="00364744" w:rsidTr="00642E88">
        <w:trPr>
          <w:cantSplit/>
        </w:trPr>
        <w:tc>
          <w:tcPr>
            <w:tcW w:w="505"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b/>
                <w:sz w:val="20"/>
                <w:lang w:eastAsia="it-IT"/>
              </w:rPr>
            </w:pPr>
            <w:r w:rsidRPr="00364744">
              <w:rPr>
                <w:rFonts w:asciiTheme="minorHAnsi" w:hAnsiTheme="minorHAnsi"/>
                <w:b/>
                <w:sz w:val="20"/>
                <w:lang w:eastAsia="it-IT"/>
              </w:rPr>
              <w:t>Rec. 1</w:t>
            </w:r>
          </w:p>
          <w:p w:rsidR="00642E88" w:rsidRPr="00364744" w:rsidRDefault="00642E88" w:rsidP="00364744">
            <w:pPr>
              <w:pStyle w:val="Tabletext"/>
              <w:spacing w:before="0" w:after="0"/>
              <w:rPr>
                <w:rFonts w:asciiTheme="minorHAnsi" w:hAnsiTheme="minorHAnsi"/>
                <w:b/>
                <w:sz w:val="20"/>
                <w:lang w:eastAsia="it-IT"/>
              </w:rPr>
            </w:pPr>
            <w:r w:rsidRPr="00364744">
              <w:rPr>
                <w:rFonts w:asciiTheme="minorHAnsi" w:hAnsiTheme="minorHAnsi"/>
                <w:b/>
                <w:sz w:val="20"/>
                <w:lang w:eastAsia="it-IT"/>
              </w:rPr>
              <w:t>2015</w:t>
            </w:r>
          </w:p>
        </w:tc>
        <w:tc>
          <w:tcPr>
            <w:tcW w:w="1169"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b/>
                <w:bCs/>
                <w:color w:val="000000"/>
                <w:sz w:val="20"/>
              </w:rPr>
            </w:pPr>
            <w:r w:rsidRPr="00364744">
              <w:rPr>
                <w:b/>
                <w:bCs/>
                <w:color w:val="000000"/>
                <w:sz w:val="20"/>
              </w:rPr>
              <w:t>Valeur des transactions échangées</w:t>
            </w:r>
            <w:r w:rsidRPr="00364744">
              <w:rPr>
                <w:rFonts w:asciiTheme="minorHAnsi" w:eastAsia="Times New Roman,SimSun" w:hAnsiTheme="minorHAnsi" w:cs="Times New Roman,SimSun"/>
                <w:b/>
                <w:bCs/>
                <w:sz w:val="20"/>
                <w:lang w:eastAsia="zh-CN"/>
              </w:rPr>
              <w:t xml:space="preserve"> dans d'autres devises</w:t>
            </w:r>
          </w:p>
        </w:tc>
        <w:tc>
          <w:tcPr>
            <w:tcW w:w="1169"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eastAsia="SimSun" w:hAnsiTheme="minorHAnsi"/>
                <w:sz w:val="20"/>
                <w:lang w:eastAsia="zh-CN"/>
              </w:rPr>
            </w:pPr>
          </w:p>
        </w:tc>
        <w:tc>
          <w:tcPr>
            <w:tcW w:w="1220"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eastAsia="Times New Roman,SimSun" w:hAnsiTheme="minorHAnsi" w:cs="Times New Roman,SimSun"/>
                <w:sz w:val="20"/>
                <w:lang w:eastAsia="zh-CN"/>
              </w:rPr>
            </w:pPr>
          </w:p>
        </w:tc>
        <w:tc>
          <w:tcPr>
            <w:tcW w:w="937"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sz w:val="20"/>
                <w:lang w:eastAsia="it-IT"/>
              </w:rPr>
            </w:pPr>
          </w:p>
        </w:tc>
      </w:tr>
      <w:tr w:rsidR="00896DD4" w:rsidRPr="00364744" w:rsidTr="00642E88">
        <w:trPr>
          <w:cantSplit/>
        </w:trPr>
        <w:tc>
          <w:tcPr>
            <w:tcW w:w="505" w:type="pct"/>
            <w:tcBorders>
              <w:left w:val="single" w:sz="4" w:space="0" w:color="auto"/>
              <w:bottom w:val="single" w:sz="4" w:space="0" w:color="auto"/>
              <w:right w:val="single" w:sz="4" w:space="0" w:color="auto"/>
            </w:tcBorders>
            <w:hideMark/>
          </w:tcPr>
          <w:p w:rsidR="00896DD4" w:rsidRPr="00364744" w:rsidRDefault="00896DD4" w:rsidP="00364744">
            <w:pPr>
              <w:pStyle w:val="Tabletext"/>
              <w:spacing w:before="0" w:after="0"/>
              <w:rPr>
                <w:rFonts w:asciiTheme="minorHAnsi" w:hAnsiTheme="minorHAnsi"/>
                <w:b/>
                <w:sz w:val="20"/>
                <w:lang w:eastAsia="it-IT"/>
              </w:rPr>
            </w:pPr>
            <w:r w:rsidRPr="00364744">
              <w:rPr>
                <w:rFonts w:asciiTheme="minorHAnsi" w:hAnsiTheme="minorHAnsi"/>
                <w:b/>
                <w:sz w:val="20"/>
                <w:lang w:eastAsia="it-IT"/>
              </w:rPr>
              <w:t xml:space="preserve"> </w:t>
            </w:r>
          </w:p>
        </w:tc>
        <w:tc>
          <w:tcPr>
            <w:tcW w:w="1169" w:type="pct"/>
            <w:tcBorders>
              <w:left w:val="single" w:sz="4" w:space="0" w:color="auto"/>
              <w:bottom w:val="single" w:sz="4" w:space="0" w:color="auto"/>
              <w:right w:val="single" w:sz="4" w:space="0" w:color="auto"/>
            </w:tcBorders>
          </w:tcPr>
          <w:p w:rsidR="00896DD4" w:rsidRPr="00364744" w:rsidRDefault="00CB2222"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Bien que les incidences des gains ou des pertes de change ne soient pas importantes pour cette manifestation, nous recommandons qu'il soit tenu compte du taux de change lors de la fourniture du service, conformément à l'accord portant sur des échanges de services, en cas de variations importantes et de périodes assez étendues, afin d'obtenir une image fidèle des résultats</w:t>
            </w:r>
            <w:r w:rsidR="00C9329D" w:rsidRPr="00364744">
              <w:rPr>
                <w:rFonts w:asciiTheme="minorHAnsi" w:eastAsia="Times New Roman,SimSun" w:hAnsiTheme="minorHAnsi" w:cs="Times New Roman,SimSun"/>
                <w:sz w:val="20"/>
                <w:lang w:eastAsia="zh-CN"/>
              </w:rPr>
              <w:t xml:space="preserve">. </w:t>
            </w:r>
          </w:p>
        </w:tc>
        <w:tc>
          <w:tcPr>
            <w:tcW w:w="1169" w:type="pct"/>
            <w:tcBorders>
              <w:left w:val="single" w:sz="4" w:space="0" w:color="auto"/>
              <w:bottom w:val="single" w:sz="4" w:space="0" w:color="auto"/>
              <w:right w:val="single" w:sz="4" w:space="0" w:color="auto"/>
            </w:tcBorders>
          </w:tcPr>
          <w:p w:rsidR="00896DD4" w:rsidRPr="00364744" w:rsidRDefault="00D84821"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Le taux de change au moment de la fourniture du service, conformément aux accords portant sur des échanges de services, sera appliqué dès 2016</w:t>
            </w:r>
            <w:r w:rsidR="00C9329D" w:rsidRPr="00364744">
              <w:rPr>
                <w:rFonts w:asciiTheme="minorHAnsi" w:eastAsia="SimSun" w:hAnsiTheme="minorHAnsi"/>
                <w:sz w:val="20"/>
                <w:lang w:eastAsia="zh-CN"/>
              </w:rPr>
              <w:t>.</w:t>
            </w:r>
            <w:r w:rsidR="005D3BB9" w:rsidRPr="00364744">
              <w:rPr>
                <w:rFonts w:asciiTheme="minorHAnsi" w:eastAsia="SimSun" w:hAnsiTheme="minorHAnsi"/>
                <w:sz w:val="20"/>
                <w:lang w:eastAsia="zh-CN"/>
              </w:rPr>
              <w:t xml:space="preserve"> </w:t>
            </w:r>
            <w:r w:rsidRPr="00364744">
              <w:rPr>
                <w:rFonts w:asciiTheme="minorHAnsi" w:eastAsia="SimSun" w:hAnsiTheme="minorHAnsi"/>
                <w:sz w:val="20"/>
                <w:lang w:eastAsia="zh-CN"/>
              </w:rPr>
              <w:t>La moyenne des taux de change sera utilisée au cas où un type de services serait fourni à des moments différents</w:t>
            </w:r>
            <w:r w:rsidR="00C9329D" w:rsidRPr="00364744">
              <w:rPr>
                <w:rFonts w:asciiTheme="minorHAnsi" w:eastAsia="SimSun" w:hAnsiTheme="minorHAnsi"/>
                <w:sz w:val="20"/>
                <w:lang w:eastAsia="zh-CN"/>
              </w:rPr>
              <w:t xml:space="preserve">. </w:t>
            </w:r>
          </w:p>
        </w:tc>
        <w:tc>
          <w:tcPr>
            <w:tcW w:w="1220" w:type="pct"/>
            <w:tcBorders>
              <w:left w:val="single" w:sz="4" w:space="0" w:color="auto"/>
              <w:bottom w:val="single" w:sz="4" w:space="0" w:color="auto"/>
              <w:right w:val="single" w:sz="4" w:space="0" w:color="auto"/>
            </w:tcBorders>
          </w:tcPr>
          <w:p w:rsidR="00896DD4" w:rsidRPr="00364744" w:rsidRDefault="00C9329D" w:rsidP="002A5BEE">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C</w:t>
            </w:r>
            <w:r w:rsidR="00200FEF" w:rsidRPr="00364744">
              <w:rPr>
                <w:rFonts w:asciiTheme="minorHAnsi" w:eastAsia="Times New Roman,SimSun" w:hAnsiTheme="minorHAnsi" w:cs="Times New Roman,SimSun"/>
                <w:sz w:val="20"/>
                <w:lang w:eastAsia="zh-CN"/>
              </w:rPr>
              <w:t>onformément aux</w:t>
            </w:r>
            <w:r w:rsidR="007E76BD" w:rsidRPr="00364744">
              <w:rPr>
                <w:rFonts w:asciiTheme="minorHAnsi" w:eastAsia="Times New Roman,SimSun" w:hAnsiTheme="minorHAnsi" w:cs="Times New Roman,SimSun"/>
                <w:sz w:val="20"/>
                <w:lang w:eastAsia="zh-CN"/>
              </w:rPr>
              <w:t xml:space="preserve"> </w:t>
            </w:r>
            <w:r w:rsidR="00200FEF" w:rsidRPr="00364744">
              <w:rPr>
                <w:rFonts w:asciiTheme="minorHAnsi" w:eastAsia="Times New Roman,SimSun" w:hAnsiTheme="minorHAnsi" w:cs="Times New Roman,SimSun"/>
                <w:sz w:val="20"/>
                <w:lang w:eastAsia="zh-CN"/>
              </w:rPr>
              <w:t xml:space="preserve">accords portant sur des échanges de services, </w:t>
            </w:r>
            <w:r w:rsidR="00200FEF" w:rsidRPr="00364744">
              <w:rPr>
                <w:color w:val="000000"/>
                <w:sz w:val="20"/>
              </w:rPr>
              <w:t xml:space="preserve">le taux de change </w:t>
            </w:r>
            <w:r w:rsidRPr="00364744">
              <w:rPr>
                <w:color w:val="000000"/>
                <w:sz w:val="20"/>
              </w:rPr>
              <w:t xml:space="preserve">en vigueur </w:t>
            </w:r>
            <w:r w:rsidR="00200FEF" w:rsidRPr="00364744">
              <w:rPr>
                <w:color w:val="000000"/>
                <w:sz w:val="20"/>
              </w:rPr>
              <w:t>au moment de la fourniture du service</w:t>
            </w:r>
            <w:r w:rsidR="007E76BD" w:rsidRPr="00364744">
              <w:rPr>
                <w:color w:val="000000"/>
                <w:sz w:val="20"/>
              </w:rPr>
              <w:t xml:space="preserve"> </w:t>
            </w:r>
            <w:r w:rsidR="00200FEF" w:rsidRPr="00364744">
              <w:rPr>
                <w:color w:val="000000"/>
                <w:sz w:val="20"/>
              </w:rPr>
              <w:t>a été</w:t>
            </w:r>
            <w:r w:rsidR="007E76BD" w:rsidRPr="00364744">
              <w:rPr>
                <w:color w:val="000000"/>
                <w:sz w:val="20"/>
              </w:rPr>
              <w:t xml:space="preserve"> </w:t>
            </w:r>
            <w:r w:rsidR="00200FEF" w:rsidRPr="00364744">
              <w:rPr>
                <w:color w:val="000000"/>
                <w:sz w:val="20"/>
              </w:rPr>
              <w:t>appliqué</w:t>
            </w:r>
            <w:r w:rsidR="007E76BD" w:rsidRPr="00364744">
              <w:rPr>
                <w:color w:val="000000"/>
                <w:sz w:val="20"/>
              </w:rPr>
              <w:t xml:space="preserve"> </w:t>
            </w:r>
            <w:r w:rsidR="00200FEF" w:rsidRPr="00364744">
              <w:rPr>
                <w:color w:val="000000"/>
                <w:sz w:val="20"/>
              </w:rPr>
              <w:t>en</w:t>
            </w:r>
            <w:r w:rsidR="002A5BEE">
              <w:rPr>
                <w:color w:val="000000"/>
                <w:sz w:val="20"/>
              </w:rPr>
              <w:t> </w:t>
            </w:r>
            <w:r w:rsidR="00200FEF" w:rsidRPr="00364744">
              <w:rPr>
                <w:color w:val="000000"/>
                <w:sz w:val="20"/>
              </w:rPr>
              <w:t>2016</w:t>
            </w:r>
            <w:r w:rsidRPr="00364744">
              <w:rPr>
                <w:color w:val="000000"/>
                <w:sz w:val="20"/>
              </w:rPr>
              <w:t>.</w:t>
            </w:r>
            <w:r w:rsidR="005D3BB9" w:rsidRPr="00364744">
              <w:rPr>
                <w:color w:val="000000"/>
                <w:sz w:val="20"/>
              </w:rPr>
              <w:t xml:space="preserve"> </w:t>
            </w:r>
            <w:r w:rsidR="00200FEF" w:rsidRPr="00364744">
              <w:rPr>
                <w:color w:val="000000"/>
                <w:sz w:val="20"/>
              </w:rPr>
              <w:t>Il en sera de même</w:t>
            </w:r>
            <w:r w:rsidR="007E76BD" w:rsidRPr="00364744">
              <w:rPr>
                <w:color w:val="000000"/>
                <w:sz w:val="20"/>
              </w:rPr>
              <w:t xml:space="preserve"> </w:t>
            </w:r>
            <w:r w:rsidR="00200FEF" w:rsidRPr="00364744">
              <w:rPr>
                <w:color w:val="000000"/>
                <w:sz w:val="20"/>
              </w:rPr>
              <w:t>lors des manifestations</w:t>
            </w:r>
            <w:r w:rsidRPr="00364744">
              <w:rPr>
                <w:color w:val="000000"/>
                <w:sz w:val="20"/>
              </w:rPr>
              <w:t xml:space="preserve"> futures. </w:t>
            </w:r>
          </w:p>
        </w:tc>
        <w:tc>
          <w:tcPr>
            <w:tcW w:w="937" w:type="pct"/>
            <w:tcBorders>
              <w:left w:val="single" w:sz="4" w:space="0" w:color="auto"/>
              <w:bottom w:val="single" w:sz="4" w:space="0" w:color="auto"/>
              <w:right w:val="single" w:sz="4" w:space="0" w:color="auto"/>
            </w:tcBorders>
          </w:tcPr>
          <w:p w:rsidR="00896DD4" w:rsidRPr="00364744" w:rsidRDefault="00905A59" w:rsidP="00364744">
            <w:pPr>
              <w:pStyle w:val="Tabletext"/>
              <w:spacing w:before="0" w:after="0"/>
              <w:rPr>
                <w:rFonts w:asciiTheme="minorHAnsi" w:eastAsia="SimSun" w:hAnsiTheme="minorHAnsi"/>
                <w:i/>
                <w:iCs/>
                <w:sz w:val="20"/>
                <w:lang w:eastAsia="zh-CN"/>
              </w:rPr>
            </w:pPr>
            <w:r w:rsidRPr="00364744">
              <w:rPr>
                <w:rFonts w:asciiTheme="minorHAnsi" w:hAnsiTheme="minorHAnsi"/>
                <w:sz w:val="20"/>
                <w:lang w:eastAsia="it-IT"/>
              </w:rPr>
              <w:t>Clos</w:t>
            </w:r>
            <w:r w:rsidR="00C9329D" w:rsidRPr="00364744">
              <w:rPr>
                <w:rFonts w:asciiTheme="minorHAnsi" w:hAnsiTheme="minorHAnsi"/>
                <w:sz w:val="20"/>
                <w:lang w:eastAsia="it-IT"/>
              </w:rPr>
              <w:t xml:space="preserve">. </w:t>
            </w:r>
          </w:p>
        </w:tc>
      </w:tr>
      <w:tr w:rsidR="00642E88" w:rsidRPr="00364744" w:rsidTr="00642E88">
        <w:trPr>
          <w:cantSplit/>
        </w:trPr>
        <w:tc>
          <w:tcPr>
            <w:tcW w:w="505"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b/>
                <w:sz w:val="20"/>
                <w:lang w:eastAsia="it-IT"/>
              </w:rPr>
            </w:pPr>
            <w:r w:rsidRPr="00364744">
              <w:rPr>
                <w:rFonts w:asciiTheme="minorHAnsi" w:hAnsiTheme="minorHAnsi"/>
                <w:b/>
                <w:sz w:val="20"/>
                <w:lang w:eastAsia="it-IT"/>
              </w:rPr>
              <w:t>Rec. 2</w:t>
            </w:r>
          </w:p>
          <w:p w:rsidR="00642E88" w:rsidRPr="00364744" w:rsidRDefault="00642E88" w:rsidP="00364744">
            <w:pPr>
              <w:pStyle w:val="Tabletext"/>
              <w:spacing w:before="0" w:after="0"/>
              <w:rPr>
                <w:rFonts w:asciiTheme="minorHAnsi" w:hAnsiTheme="minorHAnsi"/>
                <w:b/>
                <w:sz w:val="20"/>
                <w:lang w:eastAsia="it-IT"/>
              </w:rPr>
            </w:pPr>
            <w:r w:rsidRPr="00364744">
              <w:rPr>
                <w:rFonts w:asciiTheme="minorHAnsi" w:hAnsiTheme="minorHAnsi"/>
                <w:b/>
                <w:sz w:val="20"/>
                <w:lang w:eastAsia="it-IT"/>
              </w:rPr>
              <w:t>2015</w:t>
            </w:r>
          </w:p>
        </w:tc>
        <w:tc>
          <w:tcPr>
            <w:tcW w:w="1169"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b/>
                <w:bCs/>
                <w:sz w:val="20"/>
                <w:lang w:eastAsia="it-IT"/>
              </w:rPr>
            </w:pPr>
            <w:r w:rsidRPr="00364744">
              <w:rPr>
                <w:rFonts w:asciiTheme="minorHAnsi" w:hAnsiTheme="minorHAnsi"/>
                <w:b/>
                <w:bCs/>
                <w:sz w:val="20"/>
                <w:lang w:eastAsia="it-IT"/>
              </w:rPr>
              <w:t xml:space="preserve">Définition d'une </w:t>
            </w:r>
            <w:r w:rsidR="00B56B10">
              <w:rPr>
                <w:rFonts w:asciiTheme="minorHAnsi" w:hAnsiTheme="minorHAnsi"/>
                <w:b/>
                <w:bCs/>
                <w:sz w:val="20"/>
                <w:lang w:eastAsia="it-IT"/>
              </w:rPr>
              <w:t>"</w:t>
            </w:r>
            <w:r w:rsidRPr="00364744">
              <w:rPr>
                <w:b/>
                <w:bCs/>
                <w:color w:val="000000"/>
                <w:sz w:val="20"/>
              </w:rPr>
              <w:t>promotion régulière</w:t>
            </w:r>
            <w:r w:rsidR="00B56B10">
              <w:rPr>
                <w:rFonts w:asciiTheme="minorHAnsi" w:hAnsiTheme="minorHAnsi"/>
                <w:b/>
                <w:bCs/>
                <w:sz w:val="20"/>
                <w:lang w:eastAsia="it-IT"/>
              </w:rPr>
              <w:t>"</w:t>
            </w:r>
          </w:p>
        </w:tc>
        <w:tc>
          <w:tcPr>
            <w:tcW w:w="1169"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sz w:val="20"/>
                <w:lang w:eastAsia="it-IT"/>
              </w:rPr>
            </w:pPr>
          </w:p>
        </w:tc>
        <w:tc>
          <w:tcPr>
            <w:tcW w:w="1220"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eastAsia="Times New Roman,SimSun" w:hAnsiTheme="minorHAnsi" w:cs="Times New Roman,SimSun"/>
                <w:sz w:val="20"/>
                <w:lang w:eastAsia="zh-CN"/>
              </w:rPr>
            </w:pPr>
          </w:p>
        </w:tc>
        <w:tc>
          <w:tcPr>
            <w:tcW w:w="937"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sz w:val="20"/>
                <w:lang w:eastAsia="it-IT"/>
              </w:rPr>
            </w:pPr>
          </w:p>
        </w:tc>
      </w:tr>
      <w:tr w:rsidR="00896DD4" w:rsidRPr="00364744" w:rsidTr="00642E88">
        <w:trPr>
          <w:cantSplit/>
        </w:trPr>
        <w:tc>
          <w:tcPr>
            <w:tcW w:w="505" w:type="pct"/>
            <w:tcBorders>
              <w:left w:val="single" w:sz="4" w:space="0" w:color="auto"/>
              <w:bottom w:val="single" w:sz="4" w:space="0" w:color="auto"/>
              <w:right w:val="single" w:sz="4" w:space="0" w:color="auto"/>
            </w:tcBorders>
            <w:hideMark/>
          </w:tcPr>
          <w:p w:rsidR="00896DD4" w:rsidRPr="00364744" w:rsidRDefault="00896DD4" w:rsidP="00364744">
            <w:pPr>
              <w:pStyle w:val="Tabletext"/>
              <w:spacing w:before="0" w:after="0"/>
              <w:rPr>
                <w:rFonts w:asciiTheme="minorHAnsi" w:hAnsiTheme="minorHAnsi"/>
                <w:b/>
                <w:sz w:val="20"/>
                <w:lang w:eastAsia="zh-CN"/>
              </w:rPr>
            </w:pPr>
          </w:p>
        </w:tc>
        <w:tc>
          <w:tcPr>
            <w:tcW w:w="1169" w:type="pct"/>
            <w:tcBorders>
              <w:left w:val="single" w:sz="4" w:space="0" w:color="auto"/>
              <w:bottom w:val="single" w:sz="4" w:space="0" w:color="auto"/>
              <w:right w:val="single" w:sz="4" w:space="0" w:color="auto"/>
            </w:tcBorders>
            <w:hideMark/>
          </w:tcPr>
          <w:p w:rsidR="00896DD4" w:rsidRPr="00364744" w:rsidRDefault="00905A59" w:rsidP="00364744">
            <w:pPr>
              <w:pStyle w:val="Tabletext"/>
              <w:spacing w:before="0" w:after="0"/>
              <w:rPr>
                <w:rFonts w:asciiTheme="minorHAnsi" w:hAnsiTheme="minorHAnsi"/>
                <w:sz w:val="20"/>
                <w:lang w:eastAsia="it-IT"/>
              </w:rPr>
            </w:pPr>
            <w:r w:rsidRPr="00364744">
              <w:rPr>
                <w:rFonts w:asciiTheme="minorHAnsi" w:hAnsiTheme="minorHAnsi"/>
                <w:sz w:val="20"/>
                <w:lang w:eastAsia="it-IT"/>
              </w:rPr>
              <w:t>[…]</w:t>
            </w:r>
            <w:r w:rsidR="00D84821" w:rsidRPr="00364744">
              <w:rPr>
                <w:rFonts w:asciiTheme="minorHAnsi" w:hAnsiTheme="minorHAnsi"/>
                <w:sz w:val="20"/>
                <w:lang w:eastAsia="it-IT"/>
              </w:rPr>
              <w:t xml:space="preserve"> nous recommandons que le service devant être rendu par le partenaire au titre d'une </w:t>
            </w:r>
            <w:r w:rsidR="00B56B10">
              <w:rPr>
                <w:rFonts w:asciiTheme="minorHAnsi" w:hAnsiTheme="minorHAnsi"/>
                <w:sz w:val="20"/>
                <w:lang w:eastAsia="it-IT"/>
              </w:rPr>
              <w:t>"</w:t>
            </w:r>
            <w:r w:rsidR="00D84821" w:rsidRPr="00364744">
              <w:rPr>
                <w:rFonts w:asciiTheme="minorHAnsi" w:hAnsiTheme="minorHAnsi"/>
                <w:sz w:val="20"/>
                <w:lang w:eastAsia="it-IT"/>
              </w:rPr>
              <w:t>promotion régulière</w:t>
            </w:r>
            <w:r w:rsidR="00B56B10">
              <w:rPr>
                <w:rFonts w:asciiTheme="minorHAnsi" w:hAnsiTheme="minorHAnsi"/>
                <w:sz w:val="20"/>
                <w:lang w:eastAsia="it-IT"/>
              </w:rPr>
              <w:t>"</w:t>
            </w:r>
            <w:r w:rsidR="00D84821" w:rsidRPr="00364744">
              <w:rPr>
                <w:rFonts w:asciiTheme="minorHAnsi" w:hAnsiTheme="minorHAnsi"/>
                <w:sz w:val="20"/>
                <w:lang w:eastAsia="it-IT"/>
              </w:rPr>
              <w:t xml:space="preserve"> soit indiqué de manière plus détaillée et de vérifier par la suite que cela a été fait, notamment en suivant le nombre de messages postés et l'ut</w:t>
            </w:r>
            <w:r w:rsidR="00C9329D" w:rsidRPr="00364744">
              <w:rPr>
                <w:rFonts w:asciiTheme="minorHAnsi" w:hAnsiTheme="minorHAnsi"/>
                <w:sz w:val="20"/>
                <w:lang w:eastAsia="it-IT"/>
              </w:rPr>
              <w:t xml:space="preserve">ilisation du mot-dièse officiel. </w:t>
            </w:r>
          </w:p>
        </w:tc>
        <w:tc>
          <w:tcPr>
            <w:tcW w:w="1169" w:type="pct"/>
            <w:tcBorders>
              <w:left w:val="single" w:sz="4" w:space="0" w:color="auto"/>
              <w:bottom w:val="single" w:sz="4" w:space="0" w:color="auto"/>
              <w:right w:val="single" w:sz="4" w:space="0" w:color="auto"/>
            </w:tcBorders>
          </w:tcPr>
          <w:p w:rsidR="00896DD4" w:rsidRPr="00364744" w:rsidRDefault="00D84821" w:rsidP="00364744">
            <w:pPr>
              <w:pStyle w:val="Tabletext"/>
              <w:spacing w:before="0" w:after="0"/>
              <w:rPr>
                <w:rFonts w:asciiTheme="minorHAnsi" w:hAnsiTheme="minorHAnsi"/>
                <w:sz w:val="20"/>
                <w:lang w:eastAsia="it-IT"/>
              </w:rPr>
            </w:pPr>
            <w:r w:rsidRPr="00364744">
              <w:rPr>
                <w:rFonts w:asciiTheme="minorHAnsi" w:hAnsiTheme="minorHAnsi"/>
                <w:sz w:val="20"/>
                <w:lang w:eastAsia="it-IT"/>
              </w:rPr>
              <w:t>Les accords portant sur des échanges de services pour 2016 et les manifestations ultérieures indiqueront clairement la quantité et le volume de services devant être fournis à l'UIT</w:t>
            </w:r>
            <w:r w:rsidR="00C9329D" w:rsidRPr="00364744">
              <w:rPr>
                <w:rFonts w:asciiTheme="minorHAnsi" w:hAnsiTheme="minorHAnsi"/>
                <w:sz w:val="20"/>
                <w:lang w:eastAsia="it-IT"/>
              </w:rPr>
              <w:t>.</w:t>
            </w:r>
            <w:r w:rsidR="005D3BB9" w:rsidRPr="00364744">
              <w:rPr>
                <w:rFonts w:asciiTheme="minorHAnsi" w:hAnsiTheme="minorHAnsi"/>
                <w:sz w:val="20"/>
                <w:lang w:eastAsia="it-IT"/>
              </w:rPr>
              <w:t xml:space="preserve"> </w:t>
            </w:r>
            <w:r w:rsidRPr="00364744">
              <w:rPr>
                <w:rFonts w:asciiTheme="minorHAnsi" w:hAnsiTheme="minorHAnsi"/>
                <w:sz w:val="20"/>
                <w:lang w:eastAsia="it-IT"/>
              </w:rPr>
              <w:t>Les produits attendus feront l'objet d'un contrôle et d'un suivi</w:t>
            </w:r>
            <w:r w:rsidR="00C9329D" w:rsidRPr="00364744">
              <w:rPr>
                <w:rFonts w:asciiTheme="minorHAnsi" w:hAnsiTheme="minorHAnsi"/>
                <w:sz w:val="20"/>
                <w:lang w:eastAsia="it-IT"/>
              </w:rPr>
              <w:t xml:space="preserve">. </w:t>
            </w:r>
          </w:p>
        </w:tc>
        <w:tc>
          <w:tcPr>
            <w:tcW w:w="1220" w:type="pct"/>
            <w:tcBorders>
              <w:left w:val="single" w:sz="4" w:space="0" w:color="auto"/>
              <w:bottom w:val="single" w:sz="4" w:space="0" w:color="auto"/>
              <w:right w:val="single" w:sz="4" w:space="0" w:color="auto"/>
            </w:tcBorders>
          </w:tcPr>
          <w:p w:rsidR="00896DD4" w:rsidRPr="00364744" w:rsidRDefault="00905A59" w:rsidP="00364744">
            <w:pPr>
              <w:pStyle w:val="Tabletext"/>
              <w:spacing w:before="0" w:after="0"/>
              <w:rPr>
                <w:rFonts w:asciiTheme="minorHAnsi" w:hAnsiTheme="minorHAnsi"/>
                <w:sz w:val="20"/>
                <w:lang w:eastAsia="it-IT"/>
              </w:rPr>
            </w:pPr>
            <w:r w:rsidRPr="00364744">
              <w:rPr>
                <w:color w:val="000000"/>
                <w:sz w:val="20"/>
              </w:rPr>
              <w:t>Les accords portant sur des échanges de services pour 2016</w:t>
            </w:r>
            <w:r w:rsidR="007E76BD" w:rsidRPr="00364744">
              <w:rPr>
                <w:color w:val="000000"/>
                <w:sz w:val="20"/>
              </w:rPr>
              <w:t xml:space="preserve"> </w:t>
            </w:r>
            <w:r w:rsidRPr="00364744">
              <w:rPr>
                <w:color w:val="000000"/>
                <w:sz w:val="20"/>
              </w:rPr>
              <w:t>ont été révisé</w:t>
            </w:r>
            <w:r w:rsidR="00C9329D" w:rsidRPr="00364744">
              <w:rPr>
                <w:color w:val="000000"/>
                <w:sz w:val="20"/>
              </w:rPr>
              <w:t>s</w:t>
            </w:r>
            <w:r w:rsidRPr="00364744">
              <w:rPr>
                <w:color w:val="000000"/>
                <w:sz w:val="20"/>
              </w:rPr>
              <w:t xml:space="preserve"> et indiquaient clairement</w:t>
            </w:r>
            <w:r w:rsidR="007E76BD" w:rsidRPr="00364744">
              <w:rPr>
                <w:color w:val="000000"/>
                <w:sz w:val="20"/>
              </w:rPr>
              <w:t xml:space="preserve"> </w:t>
            </w:r>
            <w:r w:rsidRPr="00364744">
              <w:rPr>
                <w:color w:val="000000"/>
                <w:sz w:val="20"/>
              </w:rPr>
              <w:t>la quantité et le volume de services devant être fournis à l'UIT</w:t>
            </w:r>
            <w:r w:rsidR="00C9329D" w:rsidRPr="00364744">
              <w:rPr>
                <w:color w:val="000000"/>
                <w:sz w:val="20"/>
              </w:rPr>
              <w:t>.</w:t>
            </w:r>
            <w:r w:rsidR="005D3BB9" w:rsidRPr="00364744">
              <w:rPr>
                <w:color w:val="000000"/>
                <w:sz w:val="20"/>
              </w:rPr>
              <w:t xml:space="preserve"> </w:t>
            </w:r>
            <w:r w:rsidRPr="00364744">
              <w:rPr>
                <w:rFonts w:asciiTheme="minorHAnsi" w:eastAsia="Times New Roman,SimSun" w:hAnsiTheme="minorHAnsi" w:cs="Times New Roman,SimSun"/>
                <w:sz w:val="20"/>
                <w:lang w:eastAsia="zh-CN"/>
              </w:rPr>
              <w:t>Il en sera de même pour les manifestations futures</w:t>
            </w:r>
            <w:r w:rsidR="00C9329D" w:rsidRPr="00364744">
              <w:rPr>
                <w:rFonts w:asciiTheme="minorHAnsi" w:eastAsia="Times New Roman,SimSun" w:hAnsiTheme="minorHAnsi" w:cs="Times New Roman,SimSun"/>
                <w:sz w:val="20"/>
                <w:lang w:eastAsia="zh-CN"/>
              </w:rPr>
              <w:t>.</w:t>
            </w:r>
            <w:r w:rsidR="005D3BB9" w:rsidRPr="00364744">
              <w:rPr>
                <w:rFonts w:asciiTheme="minorHAnsi" w:eastAsia="Times New Roman,SimSun" w:hAnsiTheme="minorHAnsi" w:cs="Times New Roman,SimSun"/>
                <w:sz w:val="20"/>
                <w:lang w:eastAsia="zh-CN"/>
              </w:rPr>
              <w:t xml:space="preserve"> </w:t>
            </w:r>
          </w:p>
        </w:tc>
        <w:tc>
          <w:tcPr>
            <w:tcW w:w="937" w:type="pct"/>
            <w:tcBorders>
              <w:left w:val="single" w:sz="4" w:space="0" w:color="auto"/>
              <w:bottom w:val="single" w:sz="4" w:space="0" w:color="auto"/>
              <w:right w:val="single" w:sz="4" w:space="0" w:color="auto"/>
            </w:tcBorders>
          </w:tcPr>
          <w:p w:rsidR="00896DD4" w:rsidRPr="00364744" w:rsidRDefault="00905A59" w:rsidP="00364744">
            <w:pPr>
              <w:pStyle w:val="Tabletext"/>
              <w:spacing w:before="0" w:after="0"/>
              <w:rPr>
                <w:rFonts w:asciiTheme="minorHAnsi" w:hAnsiTheme="minorHAnsi"/>
                <w:sz w:val="20"/>
                <w:lang w:eastAsia="it-IT"/>
              </w:rPr>
            </w:pPr>
            <w:r w:rsidRPr="00364744">
              <w:rPr>
                <w:rFonts w:asciiTheme="minorHAnsi" w:hAnsiTheme="minorHAnsi"/>
                <w:sz w:val="20"/>
                <w:lang w:eastAsia="it-IT"/>
              </w:rPr>
              <w:t>Clos</w:t>
            </w:r>
            <w:r w:rsidR="00C9329D" w:rsidRPr="00364744">
              <w:rPr>
                <w:rFonts w:asciiTheme="minorHAnsi" w:hAnsiTheme="minorHAnsi"/>
                <w:sz w:val="20"/>
                <w:lang w:eastAsia="it-IT"/>
              </w:rPr>
              <w:t xml:space="preserve">. </w:t>
            </w:r>
          </w:p>
        </w:tc>
      </w:tr>
    </w:tbl>
    <w:p w:rsidR="00642E88" w:rsidRDefault="00642E88"/>
    <w:p w:rsidR="00642E88" w:rsidRDefault="00642E88">
      <w:r>
        <w:br w:type="page"/>
      </w:r>
    </w:p>
    <w:tbl>
      <w:tblPr>
        <w:tblW w:w="5000" w:type="pct"/>
        <w:tblCellMar>
          <w:left w:w="113" w:type="dxa"/>
          <w:right w:w="113" w:type="dxa"/>
        </w:tblCellMar>
        <w:tblLook w:val="04A0" w:firstRow="1" w:lastRow="0" w:firstColumn="1" w:lastColumn="0" w:noHBand="0" w:noVBand="1"/>
      </w:tblPr>
      <w:tblGrid>
        <w:gridCol w:w="1413"/>
        <w:gridCol w:w="3272"/>
        <w:gridCol w:w="3272"/>
        <w:gridCol w:w="3415"/>
        <w:gridCol w:w="2622"/>
      </w:tblGrid>
      <w:tr w:rsidR="0060670F" w:rsidRPr="00364744" w:rsidTr="0060670F">
        <w:trPr>
          <w:cantSplit/>
        </w:trPr>
        <w:tc>
          <w:tcPr>
            <w:tcW w:w="505" w:type="pct"/>
            <w:tcBorders>
              <w:top w:val="single" w:sz="4" w:space="0" w:color="auto"/>
              <w:left w:val="single" w:sz="4" w:space="0" w:color="auto"/>
              <w:right w:val="single" w:sz="4" w:space="0" w:color="auto"/>
            </w:tcBorders>
          </w:tcPr>
          <w:p w:rsidR="0060670F" w:rsidRPr="00364744" w:rsidRDefault="0060670F" w:rsidP="00364744">
            <w:pPr>
              <w:pStyle w:val="Tabletext"/>
              <w:spacing w:before="0" w:after="0"/>
              <w:rPr>
                <w:rFonts w:asciiTheme="minorHAnsi" w:hAnsiTheme="minorHAnsi"/>
                <w:b/>
                <w:sz w:val="20"/>
                <w:lang w:eastAsia="it-IT"/>
              </w:rPr>
            </w:pPr>
          </w:p>
        </w:tc>
        <w:tc>
          <w:tcPr>
            <w:tcW w:w="1169" w:type="pct"/>
            <w:tcBorders>
              <w:top w:val="single" w:sz="4" w:space="0" w:color="auto"/>
              <w:left w:val="single" w:sz="4" w:space="0" w:color="auto"/>
              <w:right w:val="single" w:sz="4" w:space="0" w:color="auto"/>
            </w:tcBorders>
            <w:shd w:val="clear" w:color="auto" w:fill="FFFFFF"/>
          </w:tcPr>
          <w:p w:rsidR="0060670F" w:rsidRPr="00364744" w:rsidRDefault="0060670F" w:rsidP="00364744">
            <w:pPr>
              <w:pStyle w:val="Tablehead"/>
              <w:spacing w:before="0" w:after="0"/>
              <w:rPr>
                <w:sz w:val="20"/>
              </w:rPr>
            </w:pPr>
            <w:r w:rsidRPr="00364744">
              <w:rPr>
                <w:sz w:val="20"/>
              </w:rPr>
              <w:t>Recommandation formulée par le Vérificateur Extérieur des comptes</w:t>
            </w:r>
          </w:p>
          <w:p w:rsidR="0060670F" w:rsidRPr="00364744" w:rsidRDefault="0060670F" w:rsidP="00364744">
            <w:pPr>
              <w:pStyle w:val="Tablehead"/>
              <w:spacing w:before="0" w:after="0"/>
              <w:rPr>
                <w:sz w:val="20"/>
              </w:rPr>
            </w:pPr>
            <w:r w:rsidRPr="00364744">
              <w:rPr>
                <w:sz w:val="20"/>
              </w:rPr>
              <w:t>(Cour des comptes italienne)</w:t>
            </w:r>
          </w:p>
        </w:tc>
        <w:tc>
          <w:tcPr>
            <w:tcW w:w="1169" w:type="pct"/>
            <w:tcBorders>
              <w:top w:val="single" w:sz="4" w:space="0" w:color="auto"/>
              <w:left w:val="single" w:sz="4" w:space="0" w:color="auto"/>
              <w:right w:val="single" w:sz="4" w:space="0" w:color="auto"/>
            </w:tcBorders>
            <w:shd w:val="clear" w:color="auto" w:fill="FFFFFF"/>
          </w:tcPr>
          <w:p w:rsidR="0060670F" w:rsidRPr="00364744" w:rsidRDefault="0060670F" w:rsidP="00364744">
            <w:pPr>
              <w:pStyle w:val="Tablehead"/>
              <w:spacing w:before="0" w:after="0"/>
              <w:rPr>
                <w:sz w:val="20"/>
                <w:lang w:eastAsia="it-IT"/>
              </w:rPr>
            </w:pPr>
            <w:r w:rsidRPr="00364744">
              <w:rPr>
                <w:sz w:val="20"/>
                <w:lang w:eastAsia="it-IT"/>
              </w:rPr>
              <w:t>Commentaires fournis par le Secrétaire général au moment de la publication du rapport du Vérificateur Extérieur des comptes</w:t>
            </w:r>
          </w:p>
        </w:tc>
        <w:tc>
          <w:tcPr>
            <w:tcW w:w="1220" w:type="pct"/>
            <w:tcBorders>
              <w:top w:val="single" w:sz="4" w:space="0" w:color="auto"/>
              <w:left w:val="single" w:sz="4" w:space="0" w:color="auto"/>
              <w:right w:val="single" w:sz="4" w:space="0" w:color="auto"/>
            </w:tcBorders>
            <w:shd w:val="clear" w:color="auto" w:fill="FFFFFF"/>
          </w:tcPr>
          <w:p w:rsidR="0060670F" w:rsidRPr="00364744" w:rsidRDefault="0060670F" w:rsidP="00364744">
            <w:pPr>
              <w:pStyle w:val="Tablehead"/>
              <w:spacing w:before="0" w:after="0"/>
              <w:rPr>
                <w:sz w:val="20"/>
                <w:lang w:eastAsia="it-IT"/>
              </w:rPr>
            </w:pPr>
            <w:r w:rsidRPr="00364744">
              <w:rPr>
                <w:sz w:val="20"/>
                <w:lang w:eastAsia="it-IT"/>
              </w:rPr>
              <w:t>Etat de la situation indiqué par la direction de l'UIT</w:t>
            </w:r>
          </w:p>
        </w:tc>
        <w:tc>
          <w:tcPr>
            <w:tcW w:w="937" w:type="pct"/>
            <w:tcBorders>
              <w:top w:val="single" w:sz="4" w:space="0" w:color="auto"/>
              <w:left w:val="single" w:sz="4" w:space="0" w:color="auto"/>
              <w:right w:val="single" w:sz="4" w:space="0" w:color="auto"/>
            </w:tcBorders>
            <w:shd w:val="clear" w:color="auto" w:fill="FFFFFF"/>
          </w:tcPr>
          <w:p w:rsidR="0060670F" w:rsidRPr="00364744" w:rsidRDefault="0060670F" w:rsidP="00364744">
            <w:pPr>
              <w:pStyle w:val="Tablehead"/>
              <w:spacing w:before="0" w:after="0"/>
              <w:rPr>
                <w:sz w:val="20"/>
                <w:lang w:eastAsia="it-IT"/>
              </w:rPr>
            </w:pPr>
            <w:r w:rsidRPr="00364744">
              <w:rPr>
                <w:sz w:val="20"/>
                <w:lang w:eastAsia="it-IT"/>
              </w:rPr>
              <w:t>Etat des mesures prises par la direction selon l'évaluation de la Cour des comptes italienne</w:t>
            </w:r>
          </w:p>
        </w:tc>
      </w:tr>
      <w:tr w:rsidR="00642E88" w:rsidRPr="00364744" w:rsidTr="002A5BEE">
        <w:trPr>
          <w:cantSplit/>
        </w:trPr>
        <w:tc>
          <w:tcPr>
            <w:tcW w:w="505"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b/>
                <w:sz w:val="20"/>
                <w:lang w:eastAsia="it-IT"/>
              </w:rPr>
            </w:pPr>
            <w:r w:rsidRPr="00364744">
              <w:rPr>
                <w:rFonts w:asciiTheme="minorHAnsi" w:hAnsiTheme="minorHAnsi"/>
                <w:b/>
                <w:sz w:val="20"/>
                <w:lang w:eastAsia="it-IT"/>
              </w:rPr>
              <w:t>Rec. 3/2014</w:t>
            </w:r>
          </w:p>
        </w:tc>
        <w:tc>
          <w:tcPr>
            <w:tcW w:w="1169"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b/>
                <w:bCs/>
                <w:color w:val="000000"/>
                <w:sz w:val="20"/>
              </w:rPr>
            </w:pPr>
            <w:r w:rsidRPr="00364744">
              <w:rPr>
                <w:b/>
                <w:bCs/>
                <w:color w:val="000000"/>
                <w:sz w:val="20"/>
              </w:rPr>
              <w:t>Baisse du nombre d'exposants et de participants</w:t>
            </w:r>
          </w:p>
        </w:tc>
        <w:tc>
          <w:tcPr>
            <w:tcW w:w="1169"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sz w:val="20"/>
                <w:lang w:eastAsia="it-IT"/>
              </w:rPr>
            </w:pPr>
          </w:p>
        </w:tc>
        <w:tc>
          <w:tcPr>
            <w:tcW w:w="1220" w:type="pct"/>
            <w:tcBorders>
              <w:top w:val="single" w:sz="4" w:space="0" w:color="auto"/>
              <w:left w:val="single" w:sz="4" w:space="0" w:color="auto"/>
              <w:right w:val="single" w:sz="4" w:space="0" w:color="auto"/>
            </w:tcBorders>
          </w:tcPr>
          <w:p w:rsidR="00642E88" w:rsidRPr="00364744" w:rsidRDefault="008546D2" w:rsidP="00364744">
            <w:pPr>
              <w:pStyle w:val="Tabletext"/>
              <w:spacing w:before="0" w:after="0"/>
              <w:rPr>
                <w:rFonts w:asciiTheme="minorHAnsi" w:hAnsiTheme="minorHAnsi"/>
                <w:b/>
                <w:bCs/>
                <w:sz w:val="20"/>
                <w:lang w:eastAsia="it-IT"/>
              </w:rPr>
            </w:pPr>
            <w:r w:rsidRPr="00364744">
              <w:rPr>
                <w:rFonts w:asciiTheme="minorHAnsi" w:hAnsiTheme="minorHAnsi"/>
                <w:b/>
                <w:bCs/>
                <w:sz w:val="20"/>
                <w:lang w:eastAsia="it-IT"/>
              </w:rPr>
              <w:t>Avril 2016</w:t>
            </w:r>
          </w:p>
        </w:tc>
        <w:tc>
          <w:tcPr>
            <w:tcW w:w="937" w:type="pct"/>
            <w:tcBorders>
              <w:top w:val="single" w:sz="4" w:space="0" w:color="auto"/>
              <w:left w:val="single" w:sz="4" w:space="0" w:color="auto"/>
              <w:right w:val="single" w:sz="4" w:space="0" w:color="auto"/>
            </w:tcBorders>
          </w:tcPr>
          <w:p w:rsidR="00642E88" w:rsidRPr="00364744" w:rsidRDefault="00642E88" w:rsidP="00364744">
            <w:pPr>
              <w:pStyle w:val="Tabletext"/>
              <w:spacing w:before="0" w:after="0"/>
              <w:rPr>
                <w:rFonts w:asciiTheme="minorHAnsi" w:hAnsiTheme="minorHAnsi"/>
                <w:sz w:val="20"/>
                <w:lang w:eastAsia="it-IT"/>
              </w:rPr>
            </w:pPr>
          </w:p>
        </w:tc>
      </w:tr>
      <w:tr w:rsidR="00896DD4" w:rsidRPr="00364744" w:rsidTr="002A5BEE">
        <w:trPr>
          <w:cantSplit/>
          <w:trHeight w:val="2527"/>
        </w:trPr>
        <w:tc>
          <w:tcPr>
            <w:tcW w:w="505" w:type="pct"/>
            <w:vMerge w:val="restart"/>
            <w:tcBorders>
              <w:left w:val="single" w:sz="4" w:space="0" w:color="auto"/>
              <w:right w:val="single" w:sz="4" w:space="0" w:color="auto"/>
            </w:tcBorders>
            <w:hideMark/>
          </w:tcPr>
          <w:p w:rsidR="00896DD4" w:rsidRPr="00364744" w:rsidRDefault="00896DD4" w:rsidP="00364744">
            <w:pPr>
              <w:pStyle w:val="Tabletext"/>
              <w:spacing w:before="0" w:after="0"/>
              <w:rPr>
                <w:rFonts w:asciiTheme="minorHAnsi" w:hAnsiTheme="minorHAnsi"/>
                <w:b/>
                <w:sz w:val="20"/>
                <w:lang w:eastAsia="it-IT"/>
              </w:rPr>
            </w:pPr>
          </w:p>
        </w:tc>
        <w:tc>
          <w:tcPr>
            <w:tcW w:w="1169" w:type="pct"/>
            <w:vMerge w:val="restart"/>
            <w:tcBorders>
              <w:left w:val="single" w:sz="4" w:space="0" w:color="auto"/>
              <w:right w:val="single" w:sz="4" w:space="0" w:color="auto"/>
            </w:tcBorders>
          </w:tcPr>
          <w:p w:rsidR="00896DD4" w:rsidRPr="00364744" w:rsidRDefault="00D84821" w:rsidP="00364744">
            <w:pPr>
              <w:pStyle w:val="Tabletext"/>
              <w:spacing w:before="0" w:after="0"/>
              <w:rPr>
                <w:rFonts w:asciiTheme="minorHAnsi" w:hAnsiTheme="minorHAnsi"/>
                <w:sz w:val="20"/>
                <w:lang w:eastAsia="it-IT"/>
              </w:rPr>
            </w:pPr>
            <w:r w:rsidRPr="00364744">
              <w:rPr>
                <w:rFonts w:asciiTheme="minorHAnsi" w:hAnsiTheme="minorHAnsi"/>
                <w:sz w:val="20"/>
                <w:lang w:eastAsia="it-IT"/>
              </w:rPr>
              <w:t>Nous recommandons à la direction de poursuivre les efforts déployés pour renforcer la présence des exposants ainsi que le nombre de participants</w:t>
            </w:r>
            <w:r w:rsidR="00C9329D" w:rsidRPr="00364744">
              <w:rPr>
                <w:rFonts w:asciiTheme="minorHAnsi" w:hAnsiTheme="minorHAnsi"/>
                <w:sz w:val="20"/>
                <w:lang w:eastAsia="it-IT"/>
              </w:rPr>
              <w:t>.</w:t>
            </w:r>
          </w:p>
        </w:tc>
        <w:tc>
          <w:tcPr>
            <w:tcW w:w="1169" w:type="pct"/>
            <w:vMerge w:val="restart"/>
            <w:tcBorders>
              <w:left w:val="single" w:sz="4" w:space="0" w:color="auto"/>
              <w:right w:val="single" w:sz="4" w:space="0" w:color="auto"/>
            </w:tcBorders>
          </w:tcPr>
          <w:p w:rsidR="00896DD4" w:rsidRPr="00364744" w:rsidRDefault="00D84821" w:rsidP="00364744">
            <w:pPr>
              <w:pStyle w:val="Tabletext"/>
              <w:spacing w:before="0" w:after="0"/>
              <w:rPr>
                <w:rFonts w:asciiTheme="minorHAnsi" w:hAnsiTheme="minorHAnsi"/>
                <w:sz w:val="20"/>
                <w:lang w:eastAsia="it-IT"/>
              </w:rPr>
            </w:pPr>
            <w:r w:rsidRPr="00364744">
              <w:rPr>
                <w:rFonts w:asciiTheme="minorHAnsi" w:hAnsiTheme="minorHAnsi"/>
                <w:sz w:val="20"/>
                <w:lang w:eastAsia="it-IT"/>
              </w:rPr>
              <w:t>A partir de 2015, ITU Telecom entrera dans une période de transition au cours de laquelle la manifestation se présentera comme une plate-forme internationale axée sur l'entreprenariat dans le secteur des TIC et les initiatives à l'appui des PME</w:t>
            </w:r>
            <w:r w:rsidR="00C9329D" w:rsidRPr="00364744">
              <w:rPr>
                <w:rFonts w:asciiTheme="minorHAnsi" w:hAnsiTheme="minorHAnsi"/>
                <w:sz w:val="20"/>
                <w:lang w:eastAsia="it-IT"/>
              </w:rPr>
              <w:t>.</w:t>
            </w:r>
            <w:r w:rsidR="005D3BB9" w:rsidRPr="00364744">
              <w:rPr>
                <w:rFonts w:asciiTheme="minorHAnsi" w:hAnsiTheme="minorHAnsi"/>
                <w:sz w:val="20"/>
                <w:lang w:eastAsia="it-IT"/>
              </w:rPr>
              <w:t xml:space="preserve"> </w:t>
            </w:r>
            <w:r w:rsidRPr="00364744">
              <w:rPr>
                <w:rFonts w:asciiTheme="minorHAnsi" w:hAnsiTheme="minorHAnsi"/>
                <w:sz w:val="20"/>
                <w:lang w:eastAsia="it-IT"/>
              </w:rPr>
              <w:t>Ce repositionnement permettra de toucher un nouveau public plus large, tout en continuant de répondre aux besoins des Etats Membres selon le mandat qui lui est confié</w:t>
            </w:r>
            <w:r w:rsidR="00C9329D" w:rsidRPr="00364744">
              <w:rPr>
                <w:rFonts w:asciiTheme="minorHAnsi" w:hAnsiTheme="minorHAnsi"/>
                <w:sz w:val="20"/>
                <w:lang w:eastAsia="it-IT"/>
              </w:rPr>
              <w:t>.</w:t>
            </w:r>
            <w:r w:rsidR="005D3BB9" w:rsidRPr="00364744">
              <w:rPr>
                <w:rFonts w:asciiTheme="minorHAnsi" w:hAnsiTheme="minorHAnsi"/>
                <w:sz w:val="20"/>
                <w:lang w:eastAsia="it-IT"/>
              </w:rPr>
              <w:t xml:space="preserve"> </w:t>
            </w:r>
            <w:r w:rsidRPr="00364744">
              <w:rPr>
                <w:rFonts w:asciiTheme="minorHAnsi" w:hAnsiTheme="minorHAnsi"/>
                <w:sz w:val="20"/>
                <w:lang w:eastAsia="it-IT"/>
              </w:rPr>
              <w:t>L'accent est mis davantage sur l'Exposition et sur son intérêt afin d'accroître le nombre de participants de manière significative</w:t>
            </w:r>
            <w:r w:rsidR="00C9329D" w:rsidRPr="00364744">
              <w:rPr>
                <w:rFonts w:asciiTheme="minorHAnsi" w:hAnsiTheme="minorHAnsi"/>
                <w:sz w:val="20"/>
                <w:lang w:eastAsia="it-IT"/>
              </w:rPr>
              <w:t>.</w:t>
            </w:r>
            <w:r w:rsidR="005D3BB9" w:rsidRPr="00364744">
              <w:rPr>
                <w:rFonts w:asciiTheme="minorHAnsi" w:hAnsiTheme="minorHAnsi"/>
                <w:sz w:val="20"/>
                <w:lang w:eastAsia="it-IT"/>
              </w:rPr>
              <w:t xml:space="preserve"> </w:t>
            </w:r>
            <w:r w:rsidRPr="00364744">
              <w:rPr>
                <w:rFonts w:asciiTheme="minorHAnsi" w:hAnsiTheme="minorHAnsi"/>
                <w:sz w:val="20"/>
                <w:lang w:eastAsia="it-IT"/>
              </w:rPr>
              <w:t>Des indicateurs fondamentaux de performance sont en cours d'élaboration afin de suivre les progrès accomplis à cet égard</w:t>
            </w:r>
            <w:r w:rsidR="00C9329D" w:rsidRPr="00364744">
              <w:rPr>
                <w:rFonts w:asciiTheme="minorHAnsi" w:hAnsiTheme="minorHAnsi"/>
                <w:sz w:val="20"/>
                <w:lang w:eastAsia="it-IT"/>
              </w:rPr>
              <w:t xml:space="preserve">. </w:t>
            </w:r>
          </w:p>
        </w:tc>
        <w:tc>
          <w:tcPr>
            <w:tcW w:w="1220" w:type="pct"/>
            <w:tcBorders>
              <w:left w:val="single" w:sz="4" w:space="0" w:color="auto"/>
              <w:right w:val="single" w:sz="4" w:space="0" w:color="auto"/>
            </w:tcBorders>
          </w:tcPr>
          <w:p w:rsidR="00D84821" w:rsidRPr="00364744" w:rsidRDefault="00D84821"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Outre la priorité désormais accordée aux PME en vue de les associer à tous les aspects de la manifestation, les prix des produits pour 2015 ont été réduits toutes lignes de produits confondues</w:t>
            </w:r>
            <w:r w:rsidR="00C9329D" w:rsidRPr="00364744">
              <w:rPr>
                <w:rFonts w:asciiTheme="minorHAnsi" w:eastAsia="Times New Roman,SimSun" w:hAnsiTheme="minorHAnsi" w:cs="Times New Roman,SimSun"/>
                <w:sz w:val="20"/>
                <w:lang w:eastAsia="zh-CN"/>
              </w:rPr>
              <w:t>.</w:t>
            </w:r>
            <w:r w:rsidR="005D3BB9" w:rsidRPr="00364744">
              <w:rPr>
                <w:rFonts w:asciiTheme="minorHAnsi" w:eastAsia="Times New Roman,SimSun" w:hAnsiTheme="minorHAnsi" w:cs="Times New Roman,SimSun"/>
                <w:sz w:val="20"/>
                <w:lang w:eastAsia="zh-CN"/>
              </w:rPr>
              <w:t xml:space="preserve"> </w:t>
            </w:r>
            <w:r w:rsidRPr="00364744">
              <w:rPr>
                <w:rFonts w:asciiTheme="minorHAnsi" w:eastAsia="Times New Roman,SimSun" w:hAnsiTheme="minorHAnsi" w:cs="Times New Roman,SimSun"/>
                <w:sz w:val="20"/>
                <w:lang w:eastAsia="zh-CN"/>
              </w:rPr>
              <w:t>Les résultats pour 2015 font apparaître une nette augmentation du nombre d'exposants (41%), d</w:t>
            </w:r>
            <w:r w:rsidR="00C9329D" w:rsidRPr="00364744">
              <w:rPr>
                <w:rFonts w:asciiTheme="minorHAnsi" w:eastAsia="Times New Roman,SimSun" w:hAnsiTheme="minorHAnsi" w:cs="Times New Roman,SimSun"/>
                <w:sz w:val="20"/>
                <w:lang w:eastAsia="zh-CN"/>
              </w:rPr>
              <w:t xml:space="preserve">ont 40% représentaient une PME. </w:t>
            </w:r>
          </w:p>
          <w:p w:rsidR="00896DD4" w:rsidRPr="00364744" w:rsidRDefault="00D84821" w:rsidP="002A5BEE">
            <w:pPr>
              <w:pStyle w:val="Tabletext"/>
              <w:spacing w:before="0"/>
              <w:rPr>
                <w:rFonts w:asciiTheme="minorHAnsi" w:hAnsiTheme="minorHAnsi"/>
                <w:sz w:val="20"/>
                <w:lang w:eastAsia="it-IT"/>
              </w:rPr>
            </w:pPr>
            <w:r w:rsidRPr="00364744">
              <w:rPr>
                <w:rFonts w:asciiTheme="minorHAnsi" w:eastAsia="Times New Roman,SimSun" w:hAnsiTheme="minorHAnsi" w:cs="Times New Roman,SimSun"/>
                <w:sz w:val="20"/>
                <w:lang w:eastAsia="zh-CN"/>
              </w:rPr>
              <w:t>L'UIT poursuivra ses efforts en vue de maintenir et de renforcer la participation</w:t>
            </w:r>
            <w:r w:rsidR="00C9329D" w:rsidRPr="00364744">
              <w:rPr>
                <w:rFonts w:asciiTheme="minorHAnsi" w:eastAsia="Times New Roman,SimSun" w:hAnsiTheme="minorHAnsi" w:cs="Times New Roman,SimSun"/>
                <w:sz w:val="20"/>
                <w:lang w:eastAsia="zh-CN"/>
              </w:rPr>
              <w:t>.</w:t>
            </w:r>
          </w:p>
        </w:tc>
        <w:tc>
          <w:tcPr>
            <w:tcW w:w="937" w:type="pct"/>
            <w:vMerge w:val="restart"/>
            <w:tcBorders>
              <w:left w:val="single" w:sz="4" w:space="0" w:color="auto"/>
              <w:right w:val="single" w:sz="4" w:space="0" w:color="auto"/>
            </w:tcBorders>
          </w:tcPr>
          <w:p w:rsidR="00896DD4" w:rsidRPr="00364744" w:rsidRDefault="00905A59" w:rsidP="00364744">
            <w:pPr>
              <w:pStyle w:val="Tabletext"/>
              <w:spacing w:before="0" w:after="0"/>
              <w:rPr>
                <w:rFonts w:asciiTheme="minorHAnsi" w:hAnsiTheme="minorHAnsi"/>
                <w:sz w:val="20"/>
                <w:lang w:eastAsia="it-IT"/>
              </w:rPr>
            </w:pPr>
            <w:r w:rsidRPr="00364744">
              <w:rPr>
                <w:rFonts w:asciiTheme="minorHAnsi" w:hAnsiTheme="minorHAnsi"/>
                <w:sz w:val="20"/>
                <w:lang w:eastAsia="it-IT"/>
              </w:rPr>
              <w:t>Clos en tant que Recommandation</w:t>
            </w:r>
            <w:r w:rsidR="005F0586">
              <w:rPr>
                <w:rFonts w:asciiTheme="minorHAnsi" w:hAnsiTheme="minorHAnsi"/>
                <w:sz w:val="20"/>
                <w:lang w:eastAsia="it-IT"/>
              </w:rPr>
              <w:t>.</w:t>
            </w:r>
          </w:p>
          <w:p w:rsidR="00896DD4" w:rsidRPr="00364744" w:rsidRDefault="00905A59" w:rsidP="00364744">
            <w:pPr>
              <w:pStyle w:val="Tabletext"/>
              <w:spacing w:before="0" w:after="0"/>
              <w:rPr>
                <w:rFonts w:asciiTheme="minorHAnsi" w:hAnsiTheme="minorHAnsi"/>
                <w:sz w:val="20"/>
                <w:lang w:eastAsia="it-IT"/>
              </w:rPr>
            </w:pPr>
            <w:r w:rsidRPr="00364744">
              <w:rPr>
                <w:rFonts w:asciiTheme="minorHAnsi" w:hAnsiTheme="minorHAnsi"/>
                <w:sz w:val="20"/>
                <w:lang w:eastAsia="it-IT"/>
              </w:rPr>
              <w:t>La question sera suivie lors des manifestations futures</w:t>
            </w:r>
            <w:r w:rsidR="00C9329D" w:rsidRPr="00364744">
              <w:rPr>
                <w:rFonts w:asciiTheme="minorHAnsi" w:hAnsiTheme="minorHAnsi"/>
                <w:sz w:val="20"/>
                <w:lang w:eastAsia="it-IT"/>
              </w:rPr>
              <w:t>.</w:t>
            </w:r>
          </w:p>
        </w:tc>
      </w:tr>
      <w:tr w:rsidR="00896DD4" w:rsidRPr="00364744" w:rsidTr="002A5BEE">
        <w:trPr>
          <w:cantSplit/>
          <w:trHeight w:val="2526"/>
        </w:trPr>
        <w:tc>
          <w:tcPr>
            <w:tcW w:w="505" w:type="pct"/>
            <w:vMerge/>
            <w:tcBorders>
              <w:left w:val="single" w:sz="4" w:space="0" w:color="auto"/>
              <w:bottom w:val="single" w:sz="4" w:space="0" w:color="auto"/>
              <w:right w:val="single" w:sz="4" w:space="0" w:color="auto"/>
            </w:tcBorders>
          </w:tcPr>
          <w:p w:rsidR="00896DD4" w:rsidRPr="00364744" w:rsidRDefault="00896DD4" w:rsidP="00364744">
            <w:pPr>
              <w:pStyle w:val="Tabletext"/>
              <w:spacing w:before="0" w:after="0"/>
              <w:rPr>
                <w:rFonts w:asciiTheme="minorHAnsi" w:hAnsiTheme="minorHAnsi"/>
                <w:b/>
                <w:sz w:val="20"/>
                <w:lang w:eastAsia="it-IT"/>
              </w:rPr>
            </w:pPr>
          </w:p>
        </w:tc>
        <w:tc>
          <w:tcPr>
            <w:tcW w:w="1169" w:type="pct"/>
            <w:vMerge/>
            <w:tcBorders>
              <w:left w:val="single" w:sz="4" w:space="0" w:color="auto"/>
              <w:bottom w:val="single" w:sz="4" w:space="0" w:color="auto"/>
              <w:right w:val="single" w:sz="4" w:space="0" w:color="auto"/>
            </w:tcBorders>
          </w:tcPr>
          <w:p w:rsidR="00896DD4" w:rsidRPr="00364744" w:rsidRDefault="00896DD4" w:rsidP="00364744">
            <w:pPr>
              <w:pStyle w:val="Tabletext"/>
              <w:spacing w:before="0" w:after="0"/>
              <w:rPr>
                <w:rFonts w:asciiTheme="minorHAnsi" w:hAnsiTheme="minorHAnsi"/>
                <w:sz w:val="20"/>
                <w:lang w:eastAsia="it-IT"/>
              </w:rPr>
            </w:pPr>
          </w:p>
        </w:tc>
        <w:tc>
          <w:tcPr>
            <w:tcW w:w="1169" w:type="pct"/>
            <w:vMerge/>
            <w:tcBorders>
              <w:left w:val="single" w:sz="4" w:space="0" w:color="auto"/>
              <w:bottom w:val="single" w:sz="4" w:space="0" w:color="auto"/>
              <w:right w:val="single" w:sz="4" w:space="0" w:color="auto"/>
            </w:tcBorders>
          </w:tcPr>
          <w:p w:rsidR="00896DD4" w:rsidRPr="00364744" w:rsidRDefault="00896DD4" w:rsidP="00364744">
            <w:pPr>
              <w:pStyle w:val="Tabletext"/>
              <w:spacing w:before="0" w:after="0"/>
              <w:rPr>
                <w:rFonts w:asciiTheme="minorHAnsi" w:hAnsiTheme="minorHAnsi"/>
                <w:sz w:val="20"/>
                <w:lang w:eastAsia="it-IT"/>
              </w:rPr>
            </w:pPr>
          </w:p>
        </w:tc>
        <w:tc>
          <w:tcPr>
            <w:tcW w:w="1220" w:type="pct"/>
            <w:tcBorders>
              <w:left w:val="single" w:sz="4" w:space="0" w:color="auto"/>
              <w:bottom w:val="single" w:sz="4" w:space="0" w:color="auto"/>
              <w:right w:val="single" w:sz="4" w:space="0" w:color="auto"/>
            </w:tcBorders>
          </w:tcPr>
          <w:p w:rsidR="00896DD4" w:rsidRPr="00364744" w:rsidRDefault="00C9329D" w:rsidP="00364744">
            <w:pPr>
              <w:pStyle w:val="Tabletext"/>
              <w:spacing w:before="0" w:after="0"/>
              <w:rPr>
                <w:rFonts w:asciiTheme="minorHAnsi" w:hAnsiTheme="minorHAnsi"/>
                <w:b/>
                <w:bCs/>
                <w:sz w:val="20"/>
                <w:lang w:eastAsia="it-IT"/>
              </w:rPr>
            </w:pPr>
            <w:r w:rsidRPr="00364744">
              <w:rPr>
                <w:rFonts w:asciiTheme="minorHAnsi" w:hAnsiTheme="minorHAnsi"/>
                <w:b/>
                <w:bCs/>
                <w:sz w:val="20"/>
                <w:lang w:eastAsia="it-IT"/>
              </w:rPr>
              <w:t>Avril</w:t>
            </w:r>
            <w:r w:rsidR="00896DD4" w:rsidRPr="00364744">
              <w:rPr>
                <w:rFonts w:asciiTheme="minorHAnsi" w:hAnsiTheme="minorHAnsi"/>
                <w:b/>
                <w:bCs/>
                <w:sz w:val="20"/>
                <w:lang w:eastAsia="it-IT"/>
              </w:rPr>
              <w:t xml:space="preserve"> 2017</w:t>
            </w:r>
          </w:p>
          <w:p w:rsidR="00896DD4" w:rsidRPr="00364744" w:rsidRDefault="00905A59" w:rsidP="00364744">
            <w:pPr>
              <w:pStyle w:val="Tabletext"/>
              <w:spacing w:before="0" w:after="0"/>
              <w:rPr>
                <w:rFonts w:asciiTheme="minorHAnsi" w:hAnsiTheme="minorHAnsi"/>
                <w:sz w:val="20"/>
                <w:lang w:eastAsia="it-IT"/>
              </w:rPr>
            </w:pPr>
            <w:r w:rsidRPr="00364744">
              <w:rPr>
                <w:rFonts w:asciiTheme="minorHAnsi" w:hAnsiTheme="minorHAnsi"/>
                <w:sz w:val="20"/>
                <w:lang w:eastAsia="it-IT"/>
              </w:rPr>
              <w:t>Le nombre d</w:t>
            </w:r>
            <w:r w:rsidR="001D0125" w:rsidRPr="00364744">
              <w:rPr>
                <w:rFonts w:asciiTheme="minorHAnsi" w:hAnsiTheme="minorHAnsi"/>
                <w:sz w:val="20"/>
                <w:lang w:eastAsia="it-IT"/>
              </w:rPr>
              <w:t>'</w:t>
            </w:r>
            <w:r w:rsidRPr="00364744">
              <w:rPr>
                <w:rFonts w:asciiTheme="minorHAnsi" w:hAnsiTheme="minorHAnsi"/>
                <w:sz w:val="20"/>
                <w:lang w:eastAsia="it-IT"/>
              </w:rPr>
              <w:t>exposants pour 2016 continue</w:t>
            </w:r>
            <w:r w:rsidR="007E76BD" w:rsidRPr="00364744">
              <w:rPr>
                <w:rFonts w:asciiTheme="minorHAnsi" w:hAnsiTheme="minorHAnsi"/>
                <w:sz w:val="20"/>
                <w:lang w:eastAsia="it-IT"/>
              </w:rPr>
              <w:t xml:space="preserve"> </w:t>
            </w:r>
            <w:r w:rsidRPr="00364744">
              <w:rPr>
                <w:rFonts w:asciiTheme="minorHAnsi" w:hAnsiTheme="minorHAnsi"/>
                <w:sz w:val="20"/>
                <w:lang w:eastAsia="it-IT"/>
              </w:rPr>
              <w:t>d</w:t>
            </w:r>
            <w:r w:rsidR="001D0125" w:rsidRPr="00364744">
              <w:rPr>
                <w:rFonts w:asciiTheme="minorHAnsi" w:hAnsiTheme="minorHAnsi"/>
                <w:sz w:val="20"/>
                <w:lang w:eastAsia="it-IT"/>
              </w:rPr>
              <w:t>'</w:t>
            </w:r>
            <w:r w:rsidRPr="00364744">
              <w:rPr>
                <w:rFonts w:asciiTheme="minorHAnsi" w:hAnsiTheme="minorHAnsi"/>
                <w:sz w:val="20"/>
                <w:lang w:eastAsia="it-IT"/>
              </w:rPr>
              <w:t>afficher une croissance globale</w:t>
            </w:r>
            <w:r w:rsidR="007E76BD" w:rsidRPr="00364744">
              <w:rPr>
                <w:rFonts w:asciiTheme="minorHAnsi" w:hAnsiTheme="minorHAnsi"/>
                <w:sz w:val="20"/>
                <w:lang w:eastAsia="it-IT"/>
              </w:rPr>
              <w:t xml:space="preserve"> </w:t>
            </w:r>
            <w:r w:rsidRPr="00364744">
              <w:rPr>
                <w:rFonts w:asciiTheme="minorHAnsi" w:hAnsiTheme="minorHAnsi"/>
                <w:sz w:val="20"/>
                <w:lang w:eastAsia="it-IT"/>
              </w:rPr>
              <w:t>positive</w:t>
            </w:r>
            <w:r w:rsidR="00C765F3" w:rsidRPr="00364744">
              <w:rPr>
                <w:rFonts w:asciiTheme="minorHAnsi" w:hAnsiTheme="minorHAnsi"/>
                <w:sz w:val="20"/>
                <w:lang w:eastAsia="it-IT"/>
              </w:rPr>
              <w:t>,</w:t>
            </w:r>
            <w:r w:rsidRPr="00364744">
              <w:rPr>
                <w:rFonts w:asciiTheme="minorHAnsi" w:hAnsiTheme="minorHAnsi"/>
                <w:sz w:val="20"/>
                <w:lang w:eastAsia="it-IT"/>
              </w:rPr>
              <w:t xml:space="preserve"> la part des exposants de la catégorie PME étant passée à</w:t>
            </w:r>
            <w:r w:rsidR="00462A50">
              <w:rPr>
                <w:rFonts w:asciiTheme="minorHAnsi" w:hAnsiTheme="minorHAnsi"/>
                <w:sz w:val="20"/>
                <w:lang w:eastAsia="it-IT"/>
              </w:rPr>
              <w:t> </w:t>
            </w:r>
            <w:r w:rsidR="00896DD4" w:rsidRPr="00364744">
              <w:rPr>
                <w:rFonts w:asciiTheme="minorHAnsi" w:hAnsiTheme="minorHAnsi"/>
                <w:sz w:val="20"/>
                <w:lang w:eastAsia="it-IT"/>
              </w:rPr>
              <w:t>51%</w:t>
            </w:r>
            <w:r w:rsidR="00C9329D" w:rsidRPr="00364744">
              <w:rPr>
                <w:rFonts w:asciiTheme="minorHAnsi" w:hAnsiTheme="minorHAnsi"/>
                <w:sz w:val="20"/>
                <w:lang w:eastAsia="it-IT"/>
              </w:rPr>
              <w:t>.</w:t>
            </w:r>
          </w:p>
        </w:tc>
        <w:tc>
          <w:tcPr>
            <w:tcW w:w="937" w:type="pct"/>
            <w:vMerge/>
            <w:tcBorders>
              <w:left w:val="single" w:sz="4" w:space="0" w:color="auto"/>
              <w:bottom w:val="single" w:sz="4" w:space="0" w:color="auto"/>
              <w:right w:val="single" w:sz="4" w:space="0" w:color="auto"/>
            </w:tcBorders>
          </w:tcPr>
          <w:p w:rsidR="00896DD4" w:rsidRPr="00364744" w:rsidRDefault="00896DD4" w:rsidP="00364744">
            <w:pPr>
              <w:pStyle w:val="Tabletext"/>
              <w:spacing w:before="0" w:after="0"/>
              <w:rPr>
                <w:rFonts w:asciiTheme="minorHAnsi" w:hAnsiTheme="minorHAnsi"/>
                <w:sz w:val="20"/>
                <w:lang w:eastAsia="it-IT"/>
              </w:rPr>
            </w:pPr>
          </w:p>
        </w:tc>
      </w:tr>
    </w:tbl>
    <w:p w:rsidR="00896DD4" w:rsidRPr="00D06495" w:rsidRDefault="00896DD4" w:rsidP="001A4146">
      <w:pPr>
        <w:adjustRightInd/>
        <w:spacing w:before="0"/>
        <w:rPr>
          <w:rFonts w:ascii="Times New Roman" w:eastAsia="SimSun" w:hAnsi="Times New Roman"/>
          <w:highlight w:val="yellow"/>
          <w:lang w:eastAsia="zh-CN"/>
        </w:rPr>
      </w:pPr>
    </w:p>
    <w:p w:rsidR="00896DD4" w:rsidRPr="00D06495" w:rsidRDefault="00896DD4" w:rsidP="001A4146">
      <w:pPr>
        <w:adjustRightInd/>
        <w:spacing w:before="0" w:after="200"/>
        <w:rPr>
          <w:rFonts w:ascii="Times New Roman" w:eastAsia="SimSun" w:hAnsi="Times New Roman"/>
          <w:highlight w:val="yellow"/>
          <w:lang w:eastAsia="zh-CN"/>
        </w:rPr>
      </w:pPr>
      <w:r w:rsidRPr="00D06495">
        <w:rPr>
          <w:rFonts w:ascii="Times New Roman" w:eastAsia="SimSun" w:hAnsi="Times New Roman"/>
          <w:lang w:eastAsia="zh-CN"/>
        </w:rPr>
        <w:br w:type="page"/>
      </w:r>
    </w:p>
    <w:p w:rsidR="00896DD4" w:rsidRPr="00D06495" w:rsidRDefault="009729F5" w:rsidP="001A4146">
      <w:pPr>
        <w:pStyle w:val="Annextitle"/>
        <w:rPr>
          <w:rFonts w:eastAsia="Calibri"/>
        </w:rPr>
      </w:pPr>
      <w:bookmarkStart w:id="174" w:name="_Toc449736430"/>
      <w:bookmarkStart w:id="175" w:name="_Toc448907213"/>
      <w:r w:rsidRPr="00D06495">
        <w:rPr>
          <w:rFonts w:eastAsia="Calibri"/>
        </w:rPr>
        <w:lastRenderedPageBreak/>
        <w:t>Suggestion</w:t>
      </w:r>
      <w:r w:rsidR="00896DD4" w:rsidRPr="00D06495">
        <w:rPr>
          <w:rFonts w:eastAsia="Calibri"/>
        </w:rPr>
        <w:t>s</w:t>
      </w:r>
      <w:bookmarkEnd w:id="174"/>
      <w:bookmarkEnd w:id="175"/>
    </w:p>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896DD4" w:rsidRPr="00364744" w:rsidTr="00462A50">
        <w:trPr>
          <w:cantSplit/>
        </w:trPr>
        <w:tc>
          <w:tcPr>
            <w:tcW w:w="357" w:type="pct"/>
            <w:tcBorders>
              <w:top w:val="single" w:sz="4" w:space="0" w:color="auto"/>
              <w:left w:val="single" w:sz="4" w:space="0" w:color="auto"/>
              <w:bottom w:val="single" w:sz="4" w:space="0" w:color="auto"/>
              <w:right w:val="single" w:sz="4" w:space="0" w:color="auto"/>
            </w:tcBorders>
          </w:tcPr>
          <w:p w:rsidR="00896DD4" w:rsidRPr="00364744" w:rsidRDefault="00896DD4"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hideMark/>
          </w:tcPr>
          <w:p w:rsidR="00896DD4" w:rsidRPr="00364744" w:rsidRDefault="00A14947" w:rsidP="00462A50">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w:t>
            </w:r>
            <w:r w:rsidR="00462A50">
              <w:rPr>
                <w:rFonts w:asciiTheme="minorHAnsi" w:eastAsia="Times New Roman,SimSun" w:hAnsiTheme="minorHAnsi" w:cs="Times New Roman,SimSun"/>
                <w:sz w:val="20"/>
                <w:lang w:eastAsia="zh-CN"/>
              </w:rPr>
              <w:t> </w:t>
            </w:r>
            <w:r w:rsidRPr="00364744">
              <w:rPr>
                <w:rFonts w:asciiTheme="minorHAnsi" w:eastAsia="Times New Roman,SimSun" w:hAnsiTheme="minorHAnsi" w:cs="Times New Roman,SimSun"/>
                <w:sz w:val="20"/>
                <w:lang w:eastAsia="zh-CN"/>
              </w:rPr>
              <w:t>Comptes italienne</w:t>
            </w:r>
          </w:p>
        </w:tc>
        <w:tc>
          <w:tcPr>
            <w:tcW w:w="1206" w:type="pct"/>
            <w:tcBorders>
              <w:top w:val="single" w:sz="4" w:space="0" w:color="auto"/>
              <w:left w:val="single" w:sz="4" w:space="0" w:color="auto"/>
              <w:bottom w:val="single" w:sz="4" w:space="0" w:color="auto"/>
              <w:right w:val="single" w:sz="4" w:space="0" w:color="auto"/>
            </w:tcBorders>
            <w:hideMark/>
          </w:tcPr>
          <w:p w:rsidR="00896DD4" w:rsidRPr="00364744" w:rsidRDefault="0060670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w:t>
            </w:r>
            <w:r w:rsidR="00A14947" w:rsidRPr="00364744">
              <w:rPr>
                <w:rFonts w:asciiTheme="minorHAnsi" w:eastAsia="Times New Roman,SimSun" w:hAnsiTheme="minorHAnsi" w:cs="Times New Roman,SimSun"/>
                <w:sz w:val="20"/>
                <w:lang w:eastAsia="zh-CN"/>
              </w:rPr>
              <w:t>Sec</w:t>
            </w:r>
            <w:r w:rsidRPr="00364744">
              <w:rPr>
                <w:rFonts w:asciiTheme="minorHAnsi" w:eastAsia="Times New Roman,SimSun" w:hAnsiTheme="minorHAnsi" w:cs="Times New Roman,SimSun"/>
                <w:sz w:val="20"/>
                <w:lang w:eastAsia="zh-CN"/>
              </w:rPr>
              <w:t>rétaire général au moment de la </w:t>
            </w:r>
            <w:r w:rsidR="00A14947" w:rsidRPr="00364744">
              <w:rPr>
                <w:rFonts w:asciiTheme="minorHAnsi" w:eastAsia="Times New Roman,SimSun" w:hAnsiTheme="minorHAnsi" w:cs="Times New Roman,SimSun"/>
                <w:sz w:val="20"/>
                <w:lang w:eastAsia="zh-CN"/>
              </w:rPr>
              <w:t>publication du rapport</w:t>
            </w:r>
          </w:p>
        </w:tc>
        <w:tc>
          <w:tcPr>
            <w:tcW w:w="1158" w:type="pct"/>
            <w:tcBorders>
              <w:top w:val="single" w:sz="4" w:space="0" w:color="auto"/>
              <w:left w:val="single" w:sz="4" w:space="0" w:color="auto"/>
              <w:bottom w:val="single" w:sz="4" w:space="0" w:color="auto"/>
              <w:right w:val="single" w:sz="4" w:space="0" w:color="auto"/>
            </w:tcBorders>
            <w:hideMark/>
          </w:tcPr>
          <w:p w:rsidR="00896DD4" w:rsidRPr="00364744" w:rsidRDefault="00A1494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Etat de la situation indiqué par </w:t>
            </w:r>
            <w:r w:rsidR="0060670F" w:rsidRPr="00364744">
              <w:rPr>
                <w:rFonts w:asciiTheme="minorHAnsi" w:eastAsia="Times New Roman,SimSun" w:hAnsiTheme="minorHAnsi" w:cs="Times New Roman,SimSun"/>
                <w:sz w:val="20"/>
                <w:lang w:eastAsia="zh-CN"/>
              </w:rPr>
              <w:t>la </w:t>
            </w:r>
            <w:r w:rsidRPr="00364744">
              <w:rPr>
                <w:rFonts w:asciiTheme="minorHAnsi" w:eastAsia="Times New Roman,SimSun" w:hAnsiTheme="minorHAnsi" w:cs="Times New Roman,SimSun"/>
                <w:sz w:val="20"/>
                <w:lang w:eastAsia="zh-CN"/>
              </w:rPr>
              <w:t>direction de l'UIT</w:t>
            </w:r>
          </w:p>
        </w:tc>
        <w:tc>
          <w:tcPr>
            <w:tcW w:w="1120" w:type="pct"/>
            <w:tcBorders>
              <w:top w:val="single" w:sz="4" w:space="0" w:color="auto"/>
              <w:left w:val="single" w:sz="4" w:space="0" w:color="auto"/>
              <w:bottom w:val="single" w:sz="4" w:space="0" w:color="auto"/>
              <w:right w:val="single" w:sz="4" w:space="0" w:color="auto"/>
            </w:tcBorders>
            <w:hideMark/>
          </w:tcPr>
          <w:p w:rsidR="00896DD4" w:rsidRPr="00364744" w:rsidRDefault="0060670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w:t>
            </w:r>
            <w:r w:rsidR="00A14947" w:rsidRPr="00364744">
              <w:rPr>
                <w:rFonts w:asciiTheme="minorHAnsi" w:eastAsia="Times New Roman,SimSun" w:hAnsiTheme="minorHAnsi" w:cs="Times New Roman,SimSun"/>
                <w:sz w:val="20"/>
                <w:lang w:eastAsia="zh-CN"/>
              </w:rPr>
              <w:t>direction selon l'évaluation de la Cour des Comptes italienne</w:t>
            </w:r>
          </w:p>
        </w:tc>
      </w:tr>
      <w:tr w:rsidR="008546D2" w:rsidRPr="00364744" w:rsidTr="008546D2">
        <w:trPr>
          <w:cantSplit/>
        </w:trPr>
        <w:tc>
          <w:tcPr>
            <w:tcW w:w="357"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1</w:t>
            </w:r>
          </w:p>
          <w:p w:rsidR="008546D2" w:rsidRPr="00364744" w:rsidRDefault="008546D2"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b/>
                <w:bCs/>
                <w:color w:val="000000"/>
                <w:sz w:val="20"/>
              </w:rPr>
            </w:pPr>
            <w:r w:rsidRPr="00364744">
              <w:rPr>
                <w:b/>
                <w:bCs/>
                <w:color w:val="000000"/>
                <w:sz w:val="20"/>
              </w:rPr>
              <w:t>Programme des dirigeants</w:t>
            </w:r>
          </w:p>
        </w:tc>
        <w:tc>
          <w:tcPr>
            <w:tcW w:w="1206"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Times New Roman,SimSun" w:hAnsiTheme="minorHAnsi" w:cs="Times New Roman,SimSun"/>
                <w:sz w:val="20"/>
                <w:lang w:eastAsia="zh-CN"/>
              </w:rPr>
            </w:pPr>
          </w:p>
        </w:tc>
        <w:tc>
          <w:tcPr>
            <w:tcW w:w="1120"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SimSun" w:hAnsiTheme="minorHAnsi"/>
                <w:sz w:val="20"/>
                <w:lang w:eastAsia="zh-CN"/>
              </w:rPr>
            </w:pPr>
          </w:p>
        </w:tc>
      </w:tr>
      <w:tr w:rsidR="00896DD4" w:rsidRPr="00364744" w:rsidTr="008546D2">
        <w:trPr>
          <w:cantSplit/>
        </w:trPr>
        <w:tc>
          <w:tcPr>
            <w:tcW w:w="357" w:type="pct"/>
            <w:tcBorders>
              <w:left w:val="single" w:sz="4" w:space="0" w:color="auto"/>
              <w:bottom w:val="single" w:sz="4" w:space="0" w:color="auto"/>
              <w:right w:val="single" w:sz="4" w:space="0" w:color="auto"/>
            </w:tcBorders>
            <w:hideMark/>
          </w:tcPr>
          <w:p w:rsidR="00896DD4" w:rsidRPr="00364744" w:rsidRDefault="00896DD4"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896DD4" w:rsidRPr="00364744" w:rsidRDefault="003871FD"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Etant donné que certaines activités, telles que les parrainages du Programme des dirigeants, notamment le déjeuner, les dîners et l'espace </w:t>
            </w:r>
            <w:r w:rsidR="00B56B10">
              <w:rPr>
                <w:rFonts w:asciiTheme="minorHAnsi" w:eastAsia="Times New Roman,SimSun" w:hAnsiTheme="minorHAnsi" w:cs="Times New Roman,SimSun"/>
                <w:sz w:val="20"/>
                <w:lang w:eastAsia="zh-CN"/>
              </w:rPr>
              <w:t>"</w:t>
            </w:r>
            <w:r w:rsidRPr="00364744">
              <w:rPr>
                <w:rFonts w:asciiTheme="minorHAnsi" w:eastAsia="Times New Roman,SimSun" w:hAnsiTheme="minorHAnsi" w:cs="Times New Roman,SimSun"/>
                <w:sz w:val="20"/>
                <w:lang w:eastAsia="zh-CN"/>
              </w:rPr>
              <w:t>LeaderSpace</w:t>
            </w:r>
            <w:r w:rsidR="00B56B10">
              <w:rPr>
                <w:rFonts w:asciiTheme="minorHAnsi" w:eastAsia="Times New Roman,SimSun" w:hAnsiTheme="minorHAnsi" w:cs="Times New Roman,SimSun"/>
                <w:sz w:val="20"/>
                <w:lang w:eastAsia="zh-CN"/>
              </w:rPr>
              <w:t>"</w:t>
            </w:r>
            <w:r w:rsidRPr="00364744">
              <w:rPr>
                <w:rFonts w:asciiTheme="minorHAnsi" w:eastAsia="Times New Roman,SimSun" w:hAnsiTheme="minorHAnsi" w:cs="Times New Roman,SimSun"/>
                <w:sz w:val="20"/>
                <w:lang w:eastAsia="zh-CN"/>
              </w:rPr>
              <w:t xml:space="preserve"> n'ont suscité l'intérêt d'aucun sponsor, nous suggérons que la direction procède à une analyse précise des raisons à l'origine de cette situation et tienne compte des résultats de cette analyse dans le processus de mise en oeuvre du budget</w:t>
            </w:r>
            <w:r w:rsidR="00C9329D" w:rsidRPr="00364744">
              <w:rPr>
                <w:rFonts w:asciiTheme="minorHAnsi" w:eastAsia="Times New Roman,SimSun" w:hAnsiTheme="minorHAnsi" w:cs="Times New Roman,SimSun"/>
                <w:sz w:val="20"/>
                <w:lang w:eastAsia="zh-CN"/>
              </w:rPr>
              <w:t>.</w:t>
            </w:r>
          </w:p>
        </w:tc>
        <w:tc>
          <w:tcPr>
            <w:tcW w:w="1206" w:type="pct"/>
            <w:tcBorders>
              <w:left w:val="single" w:sz="4" w:space="0" w:color="auto"/>
              <w:bottom w:val="single" w:sz="4" w:space="0" w:color="auto"/>
              <w:right w:val="single" w:sz="4" w:space="0" w:color="auto"/>
            </w:tcBorders>
          </w:tcPr>
          <w:p w:rsidR="00896DD4" w:rsidRPr="00364744" w:rsidRDefault="003871FD"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Les coûts et avantages associés de ces parrainages pour 2016 ont déjà été soigneusement examinés et il a été procédé à des ajustements importants</w:t>
            </w:r>
            <w:r w:rsidR="00C9329D" w:rsidRPr="00364744">
              <w:rPr>
                <w:rFonts w:asciiTheme="minorHAnsi" w:eastAsia="Times New Roman,SimSun" w:hAnsiTheme="minorHAnsi" w:cs="Times New Roman,SimSun"/>
                <w:sz w:val="20"/>
                <w:lang w:eastAsia="zh-CN"/>
              </w:rPr>
              <w:t>.</w:t>
            </w:r>
            <w:r w:rsidR="005D3BB9" w:rsidRPr="00364744">
              <w:rPr>
                <w:rFonts w:asciiTheme="minorHAnsi" w:eastAsia="Times New Roman,SimSun" w:hAnsiTheme="minorHAnsi" w:cs="Times New Roman,SimSun"/>
                <w:sz w:val="20"/>
                <w:lang w:eastAsia="zh-CN"/>
              </w:rPr>
              <w:t xml:space="preserve"> </w:t>
            </w:r>
            <w:r w:rsidRPr="00364744">
              <w:rPr>
                <w:rFonts w:asciiTheme="minorHAnsi" w:eastAsia="Times New Roman,SimSun" w:hAnsiTheme="minorHAnsi" w:cs="Times New Roman,SimSun"/>
                <w:sz w:val="20"/>
                <w:lang w:eastAsia="zh-CN"/>
              </w:rPr>
              <w:t>Les intérêts des clients et les résultats finals feront l'objet d'un suivi, en vue d'une révision complémentaire, le cas échéant, à terme</w:t>
            </w:r>
            <w:r w:rsidR="00C9329D" w:rsidRPr="00364744">
              <w:rPr>
                <w:rFonts w:asciiTheme="minorHAnsi" w:eastAsia="Times New Roman,SimSun" w:hAnsiTheme="minorHAnsi" w:cs="Times New Roman,SimSun"/>
                <w:sz w:val="20"/>
                <w:lang w:eastAsia="zh-CN"/>
              </w:rPr>
              <w:t>.</w:t>
            </w:r>
          </w:p>
        </w:tc>
        <w:tc>
          <w:tcPr>
            <w:tcW w:w="1158" w:type="pct"/>
            <w:tcBorders>
              <w:left w:val="single" w:sz="4" w:space="0" w:color="auto"/>
              <w:bottom w:val="single" w:sz="4" w:space="0" w:color="auto"/>
              <w:right w:val="single" w:sz="4" w:space="0" w:color="auto"/>
            </w:tcBorders>
          </w:tcPr>
          <w:p w:rsidR="00896DD4" w:rsidRPr="00364744" w:rsidRDefault="00F21F5F" w:rsidP="00364744">
            <w:pPr>
              <w:pStyle w:val="Tabletext"/>
              <w:spacing w:before="0" w:after="0"/>
              <w:rPr>
                <w:rFonts w:asciiTheme="minorHAnsi" w:eastAsia="Times New Roman,SimSun" w:hAnsiTheme="minorHAnsi" w:cs="Times New Roman,SimSun"/>
                <w:sz w:val="20"/>
                <w:lang w:eastAsia="zh-CN"/>
              </w:rPr>
            </w:pPr>
            <w:r w:rsidRPr="00364744">
              <w:rPr>
                <w:color w:val="000000"/>
                <w:sz w:val="20"/>
              </w:rPr>
              <w:t xml:space="preserve">Les parrainages </w:t>
            </w:r>
            <w:r w:rsidR="00B45A91" w:rsidRPr="00364744">
              <w:rPr>
                <w:color w:val="000000"/>
                <w:sz w:val="20"/>
              </w:rPr>
              <w:t xml:space="preserve">du </w:t>
            </w:r>
            <w:r w:rsidRPr="00364744">
              <w:rPr>
                <w:color w:val="000000"/>
                <w:sz w:val="20"/>
              </w:rPr>
              <w:t>Programme des dirigeants</w:t>
            </w:r>
            <w:r w:rsidRPr="00364744">
              <w:rPr>
                <w:rFonts w:asciiTheme="minorHAnsi" w:eastAsia="Times New Roman,SimSun" w:hAnsiTheme="minorHAnsi" w:cs="Times New Roman,SimSun"/>
                <w:sz w:val="20"/>
                <w:lang w:eastAsia="zh-CN"/>
              </w:rPr>
              <w:t xml:space="preserve"> </w:t>
            </w:r>
            <w:r w:rsidR="009729F5" w:rsidRPr="00364744">
              <w:rPr>
                <w:rFonts w:asciiTheme="minorHAnsi" w:eastAsia="Times New Roman,SimSun" w:hAnsiTheme="minorHAnsi" w:cs="Times New Roman,SimSun"/>
                <w:sz w:val="20"/>
                <w:lang w:eastAsia="zh-CN"/>
              </w:rPr>
              <w:t>ont suscité de l</w:t>
            </w:r>
            <w:r w:rsidR="001D0125" w:rsidRPr="00364744">
              <w:rPr>
                <w:rFonts w:asciiTheme="minorHAnsi" w:eastAsia="Times New Roman,SimSun" w:hAnsiTheme="minorHAnsi" w:cs="Times New Roman,SimSun"/>
                <w:sz w:val="20"/>
                <w:lang w:eastAsia="zh-CN"/>
              </w:rPr>
              <w:t>'</w:t>
            </w:r>
            <w:r w:rsidR="009729F5" w:rsidRPr="00364744">
              <w:rPr>
                <w:rFonts w:asciiTheme="minorHAnsi" w:eastAsia="Times New Roman,SimSun" w:hAnsiTheme="minorHAnsi" w:cs="Times New Roman,SimSun"/>
                <w:sz w:val="20"/>
                <w:lang w:eastAsia="zh-CN"/>
              </w:rPr>
              <w:t>intérêt et ont permis de dégager des recettes en</w:t>
            </w:r>
            <w:r w:rsidR="007E76BD" w:rsidRPr="00364744">
              <w:rPr>
                <w:rFonts w:asciiTheme="minorHAnsi" w:eastAsia="Times New Roman,SimSun" w:hAnsiTheme="minorHAnsi" w:cs="Times New Roman,SimSun"/>
                <w:sz w:val="20"/>
                <w:lang w:eastAsia="zh-CN"/>
              </w:rPr>
              <w:t xml:space="preserve"> </w:t>
            </w:r>
            <w:r w:rsidR="00896DD4" w:rsidRPr="00364744">
              <w:rPr>
                <w:rFonts w:asciiTheme="minorHAnsi" w:eastAsia="Times New Roman,SimSun" w:hAnsiTheme="minorHAnsi" w:cs="Times New Roman,SimSun"/>
                <w:sz w:val="20"/>
                <w:lang w:eastAsia="zh-CN"/>
              </w:rPr>
              <w:t>2016</w:t>
            </w:r>
            <w:r w:rsidR="00C765F3" w:rsidRPr="00364744">
              <w:rPr>
                <w:rFonts w:asciiTheme="minorHAnsi" w:eastAsia="Times New Roman,SimSun" w:hAnsiTheme="minorHAnsi" w:cs="Times New Roman,SimSun"/>
                <w:sz w:val="20"/>
                <w:lang w:eastAsia="zh-CN"/>
              </w:rPr>
              <w:t>,</w:t>
            </w:r>
            <w:r w:rsidR="009729F5" w:rsidRPr="00364744">
              <w:rPr>
                <w:rFonts w:asciiTheme="minorHAnsi" w:eastAsia="Times New Roman,SimSun" w:hAnsiTheme="minorHAnsi" w:cs="Times New Roman,SimSun"/>
                <w:sz w:val="20"/>
                <w:lang w:eastAsia="zh-CN"/>
              </w:rPr>
              <w:t xml:space="preserve"> </w:t>
            </w:r>
            <w:r w:rsidR="00C9329D" w:rsidRPr="00364744">
              <w:rPr>
                <w:rFonts w:asciiTheme="minorHAnsi" w:eastAsia="Times New Roman,SimSun" w:hAnsiTheme="minorHAnsi" w:cs="Times New Roman,SimSun"/>
                <w:sz w:val="20"/>
                <w:lang w:eastAsia="zh-CN"/>
              </w:rPr>
              <w:t>en</w:t>
            </w:r>
            <w:r w:rsidR="009729F5" w:rsidRPr="00364744">
              <w:rPr>
                <w:rFonts w:asciiTheme="minorHAnsi" w:eastAsia="Times New Roman,SimSun" w:hAnsiTheme="minorHAnsi" w:cs="Times New Roman,SimSun"/>
                <w:sz w:val="20"/>
                <w:lang w:eastAsia="zh-CN"/>
              </w:rPr>
              <w:t xml:space="preserve"> ce qui </w:t>
            </w:r>
            <w:r w:rsidR="00C9329D" w:rsidRPr="00364744">
              <w:rPr>
                <w:rFonts w:asciiTheme="minorHAnsi" w:eastAsia="Times New Roman,SimSun" w:hAnsiTheme="minorHAnsi" w:cs="Times New Roman,SimSun"/>
                <w:sz w:val="20"/>
                <w:lang w:eastAsia="zh-CN"/>
              </w:rPr>
              <w:t xml:space="preserve">concerne </w:t>
            </w:r>
            <w:r w:rsidR="009729F5" w:rsidRPr="00364744">
              <w:rPr>
                <w:rFonts w:asciiTheme="minorHAnsi" w:eastAsia="Times New Roman,SimSun" w:hAnsiTheme="minorHAnsi" w:cs="Times New Roman,SimSun"/>
                <w:sz w:val="20"/>
                <w:lang w:eastAsia="zh-CN"/>
              </w:rPr>
              <w:t>un déjeuner (inscrit</w:t>
            </w:r>
            <w:r w:rsidR="007E76BD" w:rsidRPr="00364744">
              <w:rPr>
                <w:rFonts w:asciiTheme="minorHAnsi" w:eastAsia="Times New Roman,SimSun" w:hAnsiTheme="minorHAnsi" w:cs="Times New Roman,SimSun"/>
                <w:sz w:val="20"/>
                <w:lang w:eastAsia="zh-CN"/>
              </w:rPr>
              <w:t xml:space="preserve"> </w:t>
            </w:r>
            <w:r w:rsidR="009729F5" w:rsidRPr="00364744">
              <w:rPr>
                <w:rFonts w:asciiTheme="minorHAnsi" w:eastAsia="Times New Roman,SimSun" w:hAnsiTheme="minorHAnsi" w:cs="Times New Roman,SimSun"/>
                <w:sz w:val="20"/>
                <w:lang w:eastAsia="zh-CN"/>
              </w:rPr>
              <w:t>au budget) et</w:t>
            </w:r>
            <w:r w:rsidR="007E76BD" w:rsidRPr="00364744">
              <w:rPr>
                <w:rFonts w:asciiTheme="minorHAnsi" w:eastAsia="Times New Roman,SimSun" w:hAnsiTheme="minorHAnsi" w:cs="Times New Roman,SimSun"/>
                <w:sz w:val="20"/>
                <w:lang w:eastAsia="zh-CN"/>
              </w:rPr>
              <w:t xml:space="preserve"> </w:t>
            </w:r>
            <w:r w:rsidR="00C9329D" w:rsidRPr="00364744">
              <w:rPr>
                <w:rFonts w:asciiTheme="minorHAnsi" w:eastAsia="Times New Roman,SimSun" w:hAnsiTheme="minorHAnsi" w:cs="Times New Roman,SimSun"/>
                <w:sz w:val="20"/>
                <w:lang w:eastAsia="zh-CN"/>
              </w:rPr>
              <w:t>le</w:t>
            </w:r>
            <w:r w:rsidR="009729F5" w:rsidRPr="00364744">
              <w:rPr>
                <w:rFonts w:asciiTheme="minorHAnsi" w:eastAsia="Times New Roman,SimSun" w:hAnsiTheme="minorHAnsi" w:cs="Times New Roman,SimSun"/>
                <w:sz w:val="20"/>
                <w:lang w:eastAsia="zh-CN"/>
              </w:rPr>
              <w:t xml:space="preserve"> Sommet proprement dit (non inscrit au budget</w:t>
            </w:r>
            <w:r w:rsidR="007E76BD" w:rsidRPr="00364744">
              <w:rPr>
                <w:rFonts w:asciiTheme="minorHAnsi" w:eastAsia="Times New Roman,SimSun" w:hAnsiTheme="minorHAnsi" w:cs="Times New Roman,SimSun"/>
                <w:sz w:val="20"/>
                <w:lang w:eastAsia="zh-CN"/>
              </w:rPr>
              <w:t xml:space="preserve"> </w:t>
            </w:r>
            <w:r w:rsidR="009729F5" w:rsidRPr="00364744">
              <w:rPr>
                <w:rFonts w:asciiTheme="minorHAnsi" w:eastAsia="Times New Roman,SimSun" w:hAnsiTheme="minorHAnsi" w:cs="Times New Roman,SimSun"/>
                <w:sz w:val="20"/>
                <w:lang w:eastAsia="zh-CN"/>
              </w:rPr>
              <w:t>à titre de mesure de précaution</w:t>
            </w:r>
            <w:r w:rsidR="00FF6174" w:rsidRPr="00364744">
              <w:rPr>
                <w:rFonts w:asciiTheme="minorHAnsi" w:eastAsia="Times New Roman,SimSun" w:hAnsiTheme="minorHAnsi" w:cs="Times New Roman,SimSun"/>
                <w:sz w:val="20"/>
                <w:lang w:eastAsia="zh-CN"/>
              </w:rPr>
              <w:t>)</w:t>
            </w:r>
            <w:r w:rsidR="00C9329D" w:rsidRPr="00364744">
              <w:rPr>
                <w:rFonts w:asciiTheme="minorHAnsi" w:eastAsia="Times New Roman,SimSun" w:hAnsiTheme="minorHAnsi" w:cs="Times New Roman,SimSun"/>
                <w:sz w:val="20"/>
                <w:lang w:eastAsia="zh-CN"/>
              </w:rPr>
              <w:t xml:space="preserve">. </w:t>
            </w:r>
            <w:r w:rsidR="009729F5" w:rsidRPr="00364744">
              <w:rPr>
                <w:rFonts w:asciiTheme="minorHAnsi" w:eastAsia="Times New Roman,SimSun" w:hAnsiTheme="minorHAnsi" w:cs="Times New Roman,SimSun"/>
                <w:sz w:val="20"/>
                <w:lang w:eastAsia="zh-CN"/>
              </w:rPr>
              <w:t>En conséquence, les options de parrainage associé</w:t>
            </w:r>
            <w:r w:rsidR="00C40A93" w:rsidRPr="00364744">
              <w:rPr>
                <w:rFonts w:asciiTheme="minorHAnsi" w:eastAsia="Times New Roman,SimSun" w:hAnsiTheme="minorHAnsi" w:cs="Times New Roman,SimSun"/>
                <w:sz w:val="20"/>
                <w:lang w:eastAsia="zh-CN"/>
              </w:rPr>
              <w:t>es</w:t>
            </w:r>
            <w:r w:rsidR="009729F5" w:rsidRPr="00364744">
              <w:rPr>
                <w:rFonts w:asciiTheme="minorHAnsi" w:eastAsia="Times New Roman,SimSun" w:hAnsiTheme="minorHAnsi" w:cs="Times New Roman,SimSun"/>
                <w:sz w:val="20"/>
                <w:lang w:eastAsia="zh-CN"/>
              </w:rPr>
              <w:t xml:space="preserve"> au Programme</w:t>
            </w:r>
            <w:r w:rsidR="00C40A93" w:rsidRPr="00364744">
              <w:rPr>
                <w:rFonts w:asciiTheme="minorHAnsi" w:eastAsia="Times New Roman,SimSun" w:hAnsiTheme="minorHAnsi" w:cs="Times New Roman,SimSun"/>
                <w:sz w:val="20"/>
                <w:lang w:eastAsia="zh-CN"/>
              </w:rPr>
              <w:t xml:space="preserve"> ont été élaborées plus avant pour 2017 et continueront</w:t>
            </w:r>
            <w:r w:rsidR="007E76BD"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de faire l</w:t>
            </w:r>
            <w:r w:rsidR="001D0125"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objet d</w:t>
            </w:r>
            <w:r w:rsidR="001D0125"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un suivi, moyennant les</w:t>
            </w:r>
            <w:r w:rsidR="007E76BD"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révisions qui pourraient être nécessaires lors de l</w:t>
            </w:r>
            <w:r w:rsidR="001D0125"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examen ultérieur du budget</w:t>
            </w:r>
            <w:r w:rsidR="00C9329D" w:rsidRPr="00364744">
              <w:rPr>
                <w:rFonts w:asciiTheme="minorHAnsi" w:eastAsia="Times New Roman,SimSun" w:hAnsiTheme="minorHAnsi" w:cs="Times New Roman,SimSun"/>
                <w:sz w:val="20"/>
                <w:lang w:eastAsia="zh-CN"/>
              </w:rPr>
              <w:t>.</w:t>
            </w:r>
          </w:p>
        </w:tc>
        <w:tc>
          <w:tcPr>
            <w:tcW w:w="1120" w:type="pct"/>
            <w:tcBorders>
              <w:left w:val="single" w:sz="4" w:space="0" w:color="auto"/>
              <w:bottom w:val="single" w:sz="4" w:space="0" w:color="auto"/>
              <w:right w:val="single" w:sz="4" w:space="0" w:color="auto"/>
            </w:tcBorders>
          </w:tcPr>
          <w:p w:rsidR="00896DD4" w:rsidRPr="00364744" w:rsidRDefault="00905A59" w:rsidP="00364744">
            <w:pPr>
              <w:pStyle w:val="Tabletext"/>
              <w:spacing w:before="0" w:after="0"/>
              <w:rPr>
                <w:rFonts w:asciiTheme="minorHAnsi" w:eastAsia="Times New Roman,SimSun" w:hAnsiTheme="minorHAnsi" w:cs="Times New Roman,SimSun"/>
                <w:sz w:val="20"/>
                <w:lang w:eastAsia="zh-CN"/>
              </w:rPr>
            </w:pPr>
            <w:r w:rsidRPr="00364744">
              <w:rPr>
                <w:rFonts w:asciiTheme="minorHAnsi" w:hAnsiTheme="minorHAnsi"/>
                <w:sz w:val="20"/>
                <w:lang w:eastAsia="it-IT"/>
              </w:rPr>
              <w:t>Clos</w:t>
            </w:r>
            <w:r w:rsidR="00C9329D" w:rsidRPr="00364744">
              <w:rPr>
                <w:rFonts w:asciiTheme="minorHAnsi" w:hAnsiTheme="minorHAnsi"/>
                <w:sz w:val="20"/>
                <w:lang w:eastAsia="it-IT"/>
              </w:rPr>
              <w:t>.</w:t>
            </w:r>
            <w:r w:rsidR="005D3BB9" w:rsidRPr="00364744">
              <w:rPr>
                <w:rFonts w:asciiTheme="minorHAnsi" w:hAnsiTheme="minorHAnsi"/>
                <w:sz w:val="20"/>
                <w:lang w:eastAsia="it-IT"/>
              </w:rPr>
              <w:t xml:space="preserve"> </w:t>
            </w:r>
            <w:r w:rsidR="00C40A93" w:rsidRPr="00364744">
              <w:rPr>
                <w:rFonts w:asciiTheme="minorHAnsi" w:hAnsiTheme="minorHAnsi"/>
                <w:sz w:val="20"/>
                <w:lang w:eastAsia="it-IT"/>
              </w:rPr>
              <w:t>La question continuera d</w:t>
            </w:r>
            <w:r w:rsidR="001D0125" w:rsidRPr="00364744">
              <w:rPr>
                <w:rFonts w:asciiTheme="minorHAnsi" w:hAnsiTheme="minorHAnsi"/>
                <w:sz w:val="20"/>
                <w:lang w:eastAsia="it-IT"/>
              </w:rPr>
              <w:t>'</w:t>
            </w:r>
            <w:r w:rsidR="00C40A93" w:rsidRPr="00364744">
              <w:rPr>
                <w:rFonts w:asciiTheme="minorHAnsi" w:hAnsiTheme="minorHAnsi"/>
                <w:sz w:val="20"/>
                <w:lang w:eastAsia="it-IT"/>
              </w:rPr>
              <w:t>être suivie et des mesures continueront d</w:t>
            </w:r>
            <w:r w:rsidR="001D0125" w:rsidRPr="00364744">
              <w:rPr>
                <w:rFonts w:asciiTheme="minorHAnsi" w:hAnsiTheme="minorHAnsi"/>
                <w:sz w:val="20"/>
                <w:lang w:eastAsia="it-IT"/>
              </w:rPr>
              <w:t>'</w:t>
            </w:r>
            <w:r w:rsidR="00C40A93" w:rsidRPr="00364744">
              <w:rPr>
                <w:rFonts w:asciiTheme="minorHAnsi" w:hAnsiTheme="minorHAnsi"/>
                <w:sz w:val="20"/>
                <w:lang w:eastAsia="it-IT"/>
              </w:rPr>
              <w:t>être prises en fonction</w:t>
            </w:r>
            <w:r w:rsidR="007E76BD" w:rsidRPr="00364744">
              <w:rPr>
                <w:rFonts w:asciiTheme="minorHAnsi" w:hAnsiTheme="minorHAnsi"/>
                <w:sz w:val="20"/>
                <w:lang w:eastAsia="it-IT"/>
              </w:rPr>
              <w:t xml:space="preserve"> </w:t>
            </w:r>
            <w:r w:rsidR="00C40A93" w:rsidRPr="00364744">
              <w:rPr>
                <w:rFonts w:asciiTheme="minorHAnsi" w:hAnsiTheme="minorHAnsi"/>
                <w:sz w:val="20"/>
                <w:lang w:eastAsia="it-IT"/>
              </w:rPr>
              <w:t>des besoins</w:t>
            </w:r>
            <w:r w:rsidR="00C9329D" w:rsidRPr="00364744">
              <w:rPr>
                <w:rFonts w:asciiTheme="minorHAnsi" w:hAnsiTheme="minorHAnsi"/>
                <w:sz w:val="20"/>
                <w:lang w:eastAsia="it-IT"/>
              </w:rPr>
              <w:t>.</w:t>
            </w:r>
          </w:p>
        </w:tc>
      </w:tr>
    </w:tbl>
    <w:p w:rsidR="008546D2" w:rsidRDefault="008546D2">
      <w:r>
        <w:br w:type="page"/>
      </w:r>
    </w:p>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60670F" w:rsidRPr="00364744" w:rsidTr="0060670F">
        <w:trPr>
          <w:cantSplit/>
        </w:trPr>
        <w:tc>
          <w:tcPr>
            <w:tcW w:w="357" w:type="pct"/>
            <w:tcBorders>
              <w:top w:val="single" w:sz="4" w:space="0" w:color="auto"/>
              <w:left w:val="single" w:sz="4" w:space="0" w:color="auto"/>
              <w:bottom w:val="single" w:sz="4" w:space="0" w:color="auto"/>
              <w:right w:val="single" w:sz="4" w:space="0" w:color="auto"/>
            </w:tcBorders>
            <w:vAlign w:val="center"/>
          </w:tcPr>
          <w:p w:rsidR="0060670F" w:rsidRPr="00364744" w:rsidRDefault="0060670F"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hideMark/>
          </w:tcPr>
          <w:p w:rsidR="0060670F" w:rsidRPr="00364744" w:rsidRDefault="0060670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hideMark/>
          </w:tcPr>
          <w:p w:rsidR="0060670F" w:rsidRPr="00364744" w:rsidRDefault="0060670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hideMark/>
          </w:tcPr>
          <w:p w:rsidR="0060670F" w:rsidRPr="00364744" w:rsidRDefault="0060670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hideMark/>
          </w:tcPr>
          <w:p w:rsidR="0060670F" w:rsidRPr="00364744" w:rsidRDefault="0060670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8546D2" w:rsidRPr="00364744" w:rsidTr="0060670F">
        <w:trPr>
          <w:cantSplit/>
        </w:trPr>
        <w:tc>
          <w:tcPr>
            <w:tcW w:w="357"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2</w:t>
            </w:r>
          </w:p>
          <w:p w:rsidR="008546D2" w:rsidRPr="00364744" w:rsidRDefault="008546D2"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Tarif des droits d'admission</w:t>
            </w:r>
          </w:p>
        </w:tc>
        <w:tc>
          <w:tcPr>
            <w:tcW w:w="1206"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Times New Roman,SimSun" w:hAnsiTheme="minorHAnsi" w:cs="Times New Roman,SimSun"/>
                <w:sz w:val="20"/>
                <w:lang w:eastAsia="zh-CN"/>
              </w:rPr>
            </w:pPr>
          </w:p>
        </w:tc>
        <w:tc>
          <w:tcPr>
            <w:tcW w:w="1120" w:type="pct"/>
            <w:tcBorders>
              <w:top w:val="single" w:sz="4" w:space="0" w:color="auto"/>
              <w:left w:val="single" w:sz="4" w:space="0" w:color="auto"/>
              <w:right w:val="single" w:sz="4" w:space="0" w:color="auto"/>
            </w:tcBorders>
          </w:tcPr>
          <w:p w:rsidR="008546D2" w:rsidRPr="00364744" w:rsidRDefault="008546D2" w:rsidP="00364744">
            <w:pPr>
              <w:pStyle w:val="Tabletext"/>
              <w:spacing w:before="0" w:after="0"/>
              <w:rPr>
                <w:rFonts w:asciiTheme="minorHAnsi" w:eastAsia="Times New Roman,SimSun" w:hAnsiTheme="minorHAnsi" w:cs="Times New Roman,SimSun"/>
                <w:sz w:val="20"/>
                <w:lang w:eastAsia="zh-CN"/>
              </w:rPr>
            </w:pPr>
          </w:p>
        </w:tc>
      </w:tr>
      <w:tr w:rsidR="00896DD4" w:rsidRPr="00364744" w:rsidTr="0060670F">
        <w:trPr>
          <w:cantSplit/>
        </w:trPr>
        <w:tc>
          <w:tcPr>
            <w:tcW w:w="357" w:type="pct"/>
            <w:tcBorders>
              <w:left w:val="single" w:sz="4" w:space="0" w:color="auto"/>
              <w:bottom w:val="single" w:sz="4" w:space="0" w:color="auto"/>
              <w:right w:val="single" w:sz="4" w:space="0" w:color="auto"/>
            </w:tcBorders>
            <w:hideMark/>
          </w:tcPr>
          <w:p w:rsidR="00896DD4" w:rsidRPr="00364744" w:rsidRDefault="00896DD4"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896DD4" w:rsidRPr="00364744" w:rsidRDefault="003871FD"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En raison de la baisse des produits provenant de la vente de billets d'entrée et des résultats décevants du nombre de participants payants à la manifestation, nous suggérons que la direction mène les études nécessaires et examine plus avant le tarif des droits d'admission</w:t>
            </w:r>
            <w:r w:rsidR="00C9329D" w:rsidRPr="00364744">
              <w:rPr>
                <w:rFonts w:asciiTheme="minorHAnsi" w:eastAsia="Times New Roman,SimSun" w:hAnsiTheme="minorHAnsi" w:cs="Times New Roman,SimSun"/>
                <w:sz w:val="20"/>
                <w:lang w:eastAsia="zh-CN"/>
              </w:rPr>
              <w:t>.</w:t>
            </w:r>
          </w:p>
        </w:tc>
        <w:tc>
          <w:tcPr>
            <w:tcW w:w="1206" w:type="pct"/>
            <w:tcBorders>
              <w:left w:val="single" w:sz="4" w:space="0" w:color="auto"/>
              <w:bottom w:val="single" w:sz="4" w:space="0" w:color="auto"/>
              <w:right w:val="single" w:sz="4" w:space="0" w:color="auto"/>
            </w:tcBorders>
          </w:tcPr>
          <w:p w:rsidR="00896DD4" w:rsidRPr="00364744" w:rsidRDefault="003871FD"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La pratique consistant à examiner minutieusement le tarif des droits d'admission pour chaque manifestation se poursuivra, compte tenu des facteurs susceptibles d'influer sur la détermination des prix (marché, réactions des clients, négociations avec le pays hôte, lieu de la manifestation, etc</w:t>
            </w:r>
            <w:r w:rsidR="00C9329D" w:rsidRPr="00364744">
              <w:rPr>
                <w:rFonts w:asciiTheme="minorHAnsi" w:eastAsia="Times New Roman,SimSun" w:hAnsiTheme="minorHAnsi" w:cs="Times New Roman,SimSun"/>
                <w:sz w:val="20"/>
                <w:lang w:eastAsia="zh-CN"/>
              </w:rPr>
              <w:t>.</w:t>
            </w:r>
            <w:r w:rsidR="00FF6174" w:rsidRPr="00364744">
              <w:rPr>
                <w:rFonts w:asciiTheme="minorHAnsi" w:eastAsia="Times New Roman,SimSun" w:hAnsiTheme="minorHAnsi" w:cs="Times New Roman,SimSun"/>
                <w:sz w:val="20"/>
                <w:lang w:eastAsia="zh-CN"/>
              </w:rPr>
              <w:t>)</w:t>
            </w:r>
            <w:r w:rsidR="00C9329D" w:rsidRPr="00364744">
              <w:rPr>
                <w:rFonts w:asciiTheme="minorHAnsi" w:eastAsia="Times New Roman,SimSun" w:hAnsiTheme="minorHAnsi" w:cs="Times New Roman,SimSun"/>
                <w:sz w:val="20"/>
                <w:lang w:eastAsia="zh-CN"/>
              </w:rPr>
              <w:t>.</w:t>
            </w:r>
          </w:p>
        </w:tc>
        <w:tc>
          <w:tcPr>
            <w:tcW w:w="1158" w:type="pct"/>
            <w:tcBorders>
              <w:left w:val="single" w:sz="4" w:space="0" w:color="auto"/>
              <w:bottom w:val="single" w:sz="4" w:space="0" w:color="auto"/>
              <w:right w:val="single" w:sz="4" w:space="0" w:color="auto"/>
            </w:tcBorders>
          </w:tcPr>
          <w:p w:rsidR="00896DD4" w:rsidRPr="00364744" w:rsidRDefault="00F805E4"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A</w:t>
            </w:r>
            <w:r w:rsidR="00C40A93" w:rsidRPr="00364744">
              <w:rPr>
                <w:rFonts w:asciiTheme="minorHAnsi" w:eastAsia="Times New Roman,SimSun" w:hAnsiTheme="minorHAnsi" w:cs="Times New Roman,SimSun"/>
                <w:sz w:val="20"/>
                <w:lang w:eastAsia="zh-CN"/>
              </w:rPr>
              <w:t xml:space="preserve"> l</w:t>
            </w:r>
            <w:r w:rsidR="001D0125"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issue d</w:t>
            </w:r>
            <w:r w:rsidR="001D0125"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un examen approfondi</w:t>
            </w:r>
            <w:r w:rsidR="007E76BD"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du tarif des droits d</w:t>
            </w:r>
            <w:r w:rsidR="001D0125"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admission,</w:t>
            </w:r>
            <w:r w:rsidR="007E76BD" w:rsidRPr="00364744">
              <w:rPr>
                <w:rFonts w:asciiTheme="minorHAnsi" w:eastAsia="Times New Roman,SimSun" w:hAnsiTheme="minorHAnsi" w:cs="Times New Roman,SimSun"/>
                <w:sz w:val="20"/>
                <w:lang w:eastAsia="zh-CN"/>
              </w:rPr>
              <w:t xml:space="preserve"> </w:t>
            </w:r>
            <w:r w:rsidR="00E97537">
              <w:rPr>
                <w:rFonts w:asciiTheme="minorHAnsi" w:eastAsia="Times New Roman,SimSun" w:hAnsiTheme="minorHAnsi" w:cs="Times New Roman,SimSun"/>
                <w:sz w:val="20"/>
                <w:lang w:eastAsia="zh-CN"/>
              </w:rPr>
              <w:t>pour </w:t>
            </w:r>
            <w:r w:rsidR="00C40A93" w:rsidRPr="00364744">
              <w:rPr>
                <w:rFonts w:asciiTheme="minorHAnsi" w:eastAsia="Times New Roman,SimSun" w:hAnsiTheme="minorHAnsi" w:cs="Times New Roman,SimSun"/>
                <w:sz w:val="20"/>
                <w:lang w:eastAsia="zh-CN"/>
              </w:rPr>
              <w:t>2016, le ta</w:t>
            </w:r>
            <w:r w:rsidR="00C9329D" w:rsidRPr="00364744">
              <w:rPr>
                <w:rFonts w:asciiTheme="minorHAnsi" w:eastAsia="Times New Roman,SimSun" w:hAnsiTheme="minorHAnsi" w:cs="Times New Roman,SimSun"/>
                <w:sz w:val="20"/>
                <w:lang w:eastAsia="zh-CN"/>
              </w:rPr>
              <w:t>rif des droits d</w:t>
            </w:r>
            <w:r w:rsidR="001D0125" w:rsidRPr="00364744">
              <w:rPr>
                <w:rFonts w:asciiTheme="minorHAnsi" w:eastAsia="Times New Roman,SimSun" w:hAnsiTheme="minorHAnsi" w:cs="Times New Roman,SimSun"/>
                <w:sz w:val="20"/>
                <w:lang w:eastAsia="zh-CN"/>
              </w:rPr>
              <w:t>'</w:t>
            </w:r>
            <w:r w:rsidR="00C9329D" w:rsidRPr="00364744">
              <w:rPr>
                <w:rFonts w:asciiTheme="minorHAnsi" w:eastAsia="Times New Roman,SimSun" w:hAnsiTheme="minorHAnsi" w:cs="Times New Roman,SimSun"/>
                <w:sz w:val="20"/>
                <w:lang w:eastAsia="zh-CN"/>
              </w:rPr>
              <w:t>admission à l</w:t>
            </w:r>
            <w:r w:rsidR="001D0125" w:rsidRPr="00364744">
              <w:rPr>
                <w:rFonts w:asciiTheme="minorHAnsi" w:eastAsia="Times New Roman,SimSun" w:hAnsiTheme="minorHAnsi" w:cs="Times New Roman,SimSun"/>
                <w:sz w:val="20"/>
                <w:lang w:eastAsia="zh-CN"/>
              </w:rPr>
              <w:t>'</w:t>
            </w:r>
            <w:r w:rsidR="00C9329D" w:rsidRPr="00364744">
              <w:rPr>
                <w:rFonts w:asciiTheme="minorHAnsi" w:eastAsia="Times New Roman,SimSun" w:hAnsiTheme="minorHAnsi" w:cs="Times New Roman,SimSun"/>
                <w:sz w:val="20"/>
                <w:lang w:eastAsia="zh-CN"/>
              </w:rPr>
              <w:t>E</w:t>
            </w:r>
            <w:r w:rsidR="00C40A93" w:rsidRPr="00364744">
              <w:rPr>
                <w:rFonts w:asciiTheme="minorHAnsi" w:eastAsia="Times New Roman,SimSun" w:hAnsiTheme="minorHAnsi" w:cs="Times New Roman,SimSun"/>
                <w:sz w:val="20"/>
                <w:lang w:eastAsia="zh-CN"/>
              </w:rPr>
              <w:t xml:space="preserve">xposition </w:t>
            </w:r>
            <w:r w:rsidR="000D4DFA" w:rsidRPr="00364744">
              <w:rPr>
                <w:rFonts w:asciiTheme="minorHAnsi" w:eastAsia="Times New Roman,SimSun" w:hAnsiTheme="minorHAnsi" w:cs="Times New Roman,SimSun"/>
                <w:sz w:val="20"/>
                <w:lang w:eastAsia="zh-CN"/>
              </w:rPr>
              <w:t xml:space="preserve">a </w:t>
            </w:r>
            <w:r w:rsidR="00C40A93" w:rsidRPr="00364744">
              <w:rPr>
                <w:rFonts w:asciiTheme="minorHAnsi" w:eastAsia="Times New Roman,SimSun" w:hAnsiTheme="minorHAnsi" w:cs="Times New Roman,SimSun"/>
                <w:sz w:val="20"/>
                <w:lang w:eastAsia="zh-CN"/>
              </w:rPr>
              <w:t>été réduit</w:t>
            </w:r>
            <w:r w:rsidR="007E76BD"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par rapport à 2015</w:t>
            </w:r>
            <w:r w:rsidR="00C765F3"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 xml:space="preserve"> ce qui a entraîné un accroissement </w:t>
            </w:r>
            <w:r w:rsidR="000D4DFA" w:rsidRPr="00364744">
              <w:rPr>
                <w:rFonts w:asciiTheme="minorHAnsi" w:eastAsia="Times New Roman,SimSun" w:hAnsiTheme="minorHAnsi" w:cs="Times New Roman,SimSun"/>
                <w:sz w:val="20"/>
                <w:lang w:eastAsia="zh-CN"/>
              </w:rPr>
              <w:t>de 52</w:t>
            </w:r>
            <w:r w:rsidR="0060670F" w:rsidRPr="00364744">
              <w:rPr>
                <w:rFonts w:asciiTheme="minorHAnsi" w:eastAsia="Times New Roman,SimSun" w:hAnsiTheme="minorHAnsi" w:cs="Times New Roman,SimSun"/>
                <w:sz w:val="20"/>
                <w:lang w:eastAsia="zh-CN"/>
              </w:rPr>
              <w:t>%</w:t>
            </w:r>
            <w:r w:rsidR="000D4DFA"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des produits par rapport au budget</w:t>
            </w:r>
            <w:r w:rsidR="007E76BD"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et une augmentation de 80</w:t>
            </w:r>
            <w:r w:rsidR="0060670F"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 xml:space="preserve"> du nombre de visiteurs payants par rapport à 2015</w:t>
            </w:r>
            <w:r w:rsidR="00C9329D"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En 2016, les produits tirés des droits d</w:t>
            </w:r>
            <w:r w:rsidR="001D0125"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 xml:space="preserve">admission au </w:t>
            </w:r>
            <w:r w:rsidR="00C9329D" w:rsidRPr="00364744">
              <w:rPr>
                <w:rFonts w:asciiTheme="minorHAnsi" w:eastAsia="Times New Roman,SimSun" w:hAnsiTheme="minorHAnsi" w:cs="Times New Roman,SimSun"/>
                <w:sz w:val="20"/>
                <w:lang w:eastAsia="zh-CN"/>
              </w:rPr>
              <w:t>F</w:t>
            </w:r>
            <w:r w:rsidR="00C40A93" w:rsidRPr="00364744">
              <w:rPr>
                <w:rFonts w:asciiTheme="minorHAnsi" w:eastAsia="Times New Roman,SimSun" w:hAnsiTheme="minorHAnsi" w:cs="Times New Roman,SimSun"/>
                <w:sz w:val="20"/>
                <w:lang w:eastAsia="zh-CN"/>
              </w:rPr>
              <w:t>orum ont été supérieurs de 6</w:t>
            </w:r>
            <w:r w:rsidR="0060670F"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 xml:space="preserve"> à ceux de</w:t>
            </w:r>
            <w:r w:rsidR="007E76BD"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2015</w:t>
            </w:r>
            <w:r w:rsidR="00C9329D" w:rsidRPr="00364744">
              <w:rPr>
                <w:rFonts w:asciiTheme="minorHAnsi" w:eastAsia="Times New Roman,SimSun" w:hAnsiTheme="minorHAnsi" w:cs="Times New Roman,SimSun"/>
                <w:sz w:val="20"/>
                <w:lang w:eastAsia="zh-CN"/>
              </w:rPr>
              <w:t xml:space="preserve">. </w:t>
            </w:r>
            <w:r w:rsidR="00C40A93" w:rsidRPr="00364744">
              <w:rPr>
                <w:rFonts w:asciiTheme="minorHAnsi" w:eastAsia="Times New Roman,SimSun" w:hAnsiTheme="minorHAnsi" w:cs="Times New Roman,SimSun"/>
                <w:sz w:val="20"/>
                <w:lang w:eastAsia="zh-CN"/>
              </w:rPr>
              <w:t>Le tarif des droits d</w:t>
            </w:r>
            <w:r w:rsidR="001D0125" w:rsidRPr="00364744">
              <w:rPr>
                <w:rFonts w:asciiTheme="minorHAnsi" w:eastAsia="Times New Roman,SimSun" w:hAnsiTheme="minorHAnsi" w:cs="Times New Roman,SimSun"/>
                <w:sz w:val="20"/>
                <w:lang w:eastAsia="zh-CN"/>
              </w:rPr>
              <w:t>'</w:t>
            </w:r>
            <w:r w:rsidR="00C40A93" w:rsidRPr="00364744">
              <w:rPr>
                <w:rFonts w:asciiTheme="minorHAnsi" w:eastAsia="Times New Roman,SimSun" w:hAnsiTheme="minorHAnsi" w:cs="Times New Roman,SimSun"/>
                <w:sz w:val="20"/>
                <w:lang w:eastAsia="zh-CN"/>
              </w:rPr>
              <w:t>admission sera constamment réexaminé</w:t>
            </w:r>
            <w:r w:rsidR="007E76BD" w:rsidRPr="00364744">
              <w:rPr>
                <w:rFonts w:asciiTheme="minorHAnsi" w:eastAsia="Times New Roman,SimSun" w:hAnsiTheme="minorHAnsi" w:cs="Times New Roman,SimSun"/>
                <w:sz w:val="20"/>
                <w:lang w:eastAsia="zh-CN"/>
              </w:rPr>
              <w:t xml:space="preserve"> </w:t>
            </w:r>
            <w:r w:rsidR="00C40A93" w:rsidRPr="00364744">
              <w:rPr>
                <w:color w:val="000000"/>
                <w:sz w:val="20"/>
              </w:rPr>
              <w:t>pour chaque manifestation,</w:t>
            </w:r>
            <w:r w:rsidR="00C40A93" w:rsidRPr="00364744">
              <w:rPr>
                <w:rFonts w:asciiTheme="minorHAnsi" w:eastAsia="Times New Roman,SimSun" w:hAnsiTheme="minorHAnsi" w:cs="Times New Roman,SimSun"/>
                <w:sz w:val="20"/>
                <w:lang w:eastAsia="zh-CN"/>
              </w:rPr>
              <w:t xml:space="preserve"> compte tenu des facteurs susceptibles d'influer sur la détermination des prix (marché, réactions des clients, négociations avec le pays hôte, lieu de la manifestation, etc</w:t>
            </w:r>
            <w:r w:rsidR="00C9329D" w:rsidRPr="00364744">
              <w:rPr>
                <w:rFonts w:asciiTheme="minorHAnsi" w:eastAsia="Times New Roman,SimSun" w:hAnsiTheme="minorHAnsi" w:cs="Times New Roman,SimSun"/>
                <w:sz w:val="20"/>
                <w:lang w:eastAsia="zh-CN"/>
              </w:rPr>
              <w:t>.</w:t>
            </w:r>
            <w:r w:rsidR="00FF6174" w:rsidRPr="00364744">
              <w:rPr>
                <w:rFonts w:asciiTheme="minorHAnsi" w:eastAsia="Times New Roman,SimSun" w:hAnsiTheme="minorHAnsi" w:cs="Times New Roman,SimSun"/>
                <w:sz w:val="20"/>
                <w:lang w:eastAsia="zh-CN"/>
              </w:rPr>
              <w:t>)</w:t>
            </w:r>
            <w:r w:rsidR="00C9329D" w:rsidRPr="00364744">
              <w:rPr>
                <w:rFonts w:asciiTheme="minorHAnsi" w:eastAsia="Times New Roman,SimSun" w:hAnsiTheme="minorHAnsi" w:cs="Times New Roman,SimSun"/>
                <w:sz w:val="20"/>
                <w:lang w:eastAsia="zh-CN"/>
              </w:rPr>
              <w:t>.</w:t>
            </w:r>
            <w:r w:rsidR="005D3BB9" w:rsidRPr="00364744">
              <w:rPr>
                <w:rFonts w:asciiTheme="minorHAnsi" w:eastAsia="Times New Roman,SimSun" w:hAnsiTheme="minorHAnsi" w:cs="Times New Roman,SimSun"/>
                <w:sz w:val="20"/>
                <w:lang w:eastAsia="zh-CN"/>
              </w:rPr>
              <w:t xml:space="preserve"> </w:t>
            </w:r>
            <w:r w:rsidR="000D4DFA" w:rsidRPr="00364744">
              <w:rPr>
                <w:rFonts w:asciiTheme="minorHAnsi" w:eastAsia="Times New Roman,SimSun" w:hAnsiTheme="minorHAnsi" w:cs="Times New Roman,SimSun"/>
                <w:sz w:val="20"/>
                <w:lang w:eastAsia="zh-CN"/>
              </w:rPr>
              <w:t>Parallèlement, on s</w:t>
            </w:r>
            <w:r w:rsidR="001D0125" w:rsidRPr="00364744">
              <w:rPr>
                <w:rFonts w:asciiTheme="minorHAnsi" w:eastAsia="Times New Roman,SimSun" w:hAnsiTheme="minorHAnsi" w:cs="Times New Roman,SimSun"/>
                <w:sz w:val="20"/>
                <w:lang w:eastAsia="zh-CN"/>
              </w:rPr>
              <w:t>'</w:t>
            </w:r>
            <w:r w:rsidR="000D4DFA" w:rsidRPr="00364744">
              <w:rPr>
                <w:rFonts w:asciiTheme="minorHAnsi" w:eastAsia="Times New Roman,SimSun" w:hAnsiTheme="minorHAnsi" w:cs="Times New Roman,SimSun"/>
                <w:sz w:val="20"/>
                <w:lang w:eastAsia="zh-CN"/>
              </w:rPr>
              <w:t>efforcera d</w:t>
            </w:r>
            <w:r w:rsidR="001D0125" w:rsidRPr="00364744">
              <w:rPr>
                <w:rFonts w:asciiTheme="minorHAnsi" w:eastAsia="Times New Roman,SimSun" w:hAnsiTheme="minorHAnsi" w:cs="Times New Roman,SimSun"/>
                <w:sz w:val="20"/>
                <w:lang w:eastAsia="zh-CN"/>
              </w:rPr>
              <w:t>'</w:t>
            </w:r>
            <w:r w:rsidR="000D4DFA" w:rsidRPr="00364744">
              <w:rPr>
                <w:rFonts w:asciiTheme="minorHAnsi" w:eastAsia="Times New Roman,SimSun" w:hAnsiTheme="minorHAnsi" w:cs="Times New Roman,SimSun"/>
                <w:sz w:val="20"/>
                <w:lang w:eastAsia="zh-CN"/>
              </w:rPr>
              <w:t>accroître les produits ainsi que le nombre de participants payants par rapport au budget et aux manifestations précédentes</w:t>
            </w:r>
            <w:r w:rsidR="00C9329D" w:rsidRPr="00364744">
              <w:rPr>
                <w:rFonts w:asciiTheme="minorHAnsi" w:eastAsia="Times New Roman,SimSun" w:hAnsiTheme="minorHAnsi" w:cs="Times New Roman,SimSun"/>
                <w:sz w:val="20"/>
                <w:lang w:eastAsia="zh-CN"/>
              </w:rPr>
              <w:t>.</w:t>
            </w:r>
            <w:r w:rsidR="005D3BB9" w:rsidRPr="00364744">
              <w:rPr>
                <w:rFonts w:asciiTheme="minorHAnsi" w:eastAsia="Times New Roman,SimSun" w:hAnsiTheme="minorHAnsi" w:cs="Times New Roman,SimSun"/>
                <w:sz w:val="20"/>
                <w:lang w:eastAsia="zh-CN"/>
              </w:rPr>
              <w:t xml:space="preserve"> </w:t>
            </w:r>
          </w:p>
        </w:tc>
        <w:tc>
          <w:tcPr>
            <w:tcW w:w="1120" w:type="pct"/>
            <w:tcBorders>
              <w:left w:val="single" w:sz="4" w:space="0" w:color="auto"/>
              <w:bottom w:val="single" w:sz="4" w:space="0" w:color="auto"/>
              <w:right w:val="single" w:sz="4" w:space="0" w:color="auto"/>
            </w:tcBorders>
          </w:tcPr>
          <w:p w:rsidR="00896DD4" w:rsidRPr="00364744" w:rsidRDefault="00905A59"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Clos</w:t>
            </w:r>
            <w:r w:rsidR="00C9329D" w:rsidRPr="00364744">
              <w:rPr>
                <w:rFonts w:asciiTheme="minorHAnsi" w:eastAsia="Times New Roman,SimSun" w:hAnsiTheme="minorHAnsi" w:cs="Times New Roman,SimSun"/>
                <w:sz w:val="20"/>
                <w:lang w:eastAsia="zh-CN"/>
              </w:rPr>
              <w:t xml:space="preserve">. </w:t>
            </w:r>
          </w:p>
        </w:tc>
      </w:tr>
    </w:tbl>
    <w:p w:rsidR="00364744" w:rsidRDefault="00364744">
      <w:r>
        <w:rPr>
          <w:b/>
        </w:rPr>
        <w:br w:type="page"/>
      </w:r>
    </w:p>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566127" w:rsidRPr="00364744" w:rsidTr="001525C3">
        <w:trPr>
          <w:cantSplit/>
        </w:trPr>
        <w:tc>
          <w:tcPr>
            <w:tcW w:w="357"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566127" w:rsidRPr="00364744" w:rsidTr="001525C3">
        <w:trPr>
          <w:cantSplit/>
        </w:trPr>
        <w:tc>
          <w:tcPr>
            <w:tcW w:w="357"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3</w:t>
            </w:r>
          </w:p>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Salles de réunion</w:t>
            </w:r>
          </w:p>
        </w:tc>
        <w:tc>
          <w:tcPr>
            <w:tcW w:w="1206"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c>
          <w:tcPr>
            <w:tcW w:w="1158"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c>
          <w:tcPr>
            <w:tcW w:w="1120"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r>
      <w:tr w:rsidR="00566127" w:rsidRPr="00364744" w:rsidTr="001525C3">
        <w:trPr>
          <w:cantSplit/>
        </w:trPr>
        <w:tc>
          <w:tcPr>
            <w:tcW w:w="357"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suggérons qu'une hypothèse budgétaire raisonnable pour les salles de réunion soit prise en compte dans le prochain exercice budgétaire, compte tenu de l'expérience acquise en 2015.</w:t>
            </w:r>
          </w:p>
        </w:tc>
        <w:tc>
          <w:tcPr>
            <w:tcW w:w="1206"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Le volume des ventes estimées pour les salles de réunion a déjà été réduit dans les prévisions budgétaires pour 2016.</w:t>
            </w:r>
          </w:p>
        </w:tc>
        <w:tc>
          <w:tcPr>
            <w:tcW w:w="1158"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Le montant effectif des produits provenant des salles d</w:t>
            </w:r>
            <w:r w:rsidR="00E97537">
              <w:rPr>
                <w:rFonts w:asciiTheme="minorHAnsi" w:eastAsia="SimSun" w:hAnsiTheme="minorHAnsi"/>
                <w:sz w:val="20"/>
                <w:lang w:eastAsia="zh-CN"/>
              </w:rPr>
              <w:t>e réunion en </w:t>
            </w:r>
            <w:r w:rsidRPr="00364744">
              <w:rPr>
                <w:rFonts w:asciiTheme="minorHAnsi" w:eastAsia="SimSun" w:hAnsiTheme="minorHAnsi"/>
                <w:sz w:val="20"/>
                <w:lang w:eastAsia="zh-CN"/>
              </w:rPr>
              <w:t>2016 a été supérieur de 58% au montant inscrit au budget et de 50% au montant effectif de ces produits en 2015. Cela s'explique également par le mécanisme privilégié mis en place sur le lieu de la manifestation, qui a permis à l'UIT de louer des salles de réunion à des tarifs plus élevés. Des recettes raisonnables seront également inscrites au budget pour les salles de réunion lors des manifestations futures.</w:t>
            </w:r>
          </w:p>
        </w:tc>
        <w:tc>
          <w:tcPr>
            <w:tcW w:w="1120"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Clos.</w:t>
            </w:r>
          </w:p>
        </w:tc>
      </w:tr>
      <w:tr w:rsidR="00566127" w:rsidRPr="00364744" w:rsidTr="001525C3">
        <w:trPr>
          <w:cantSplit/>
        </w:trPr>
        <w:tc>
          <w:tcPr>
            <w:tcW w:w="357"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4</w:t>
            </w:r>
          </w:p>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Coexposants</w:t>
            </w:r>
          </w:p>
        </w:tc>
        <w:tc>
          <w:tcPr>
            <w:tcW w:w="1206"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c>
          <w:tcPr>
            <w:tcW w:w="1158"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c>
          <w:tcPr>
            <w:tcW w:w="1120"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r>
      <w:tr w:rsidR="00566127" w:rsidRPr="00364744" w:rsidTr="001525C3">
        <w:trPr>
          <w:cantSplit/>
        </w:trPr>
        <w:tc>
          <w:tcPr>
            <w:tcW w:w="357" w:type="pct"/>
            <w:tcBorders>
              <w:left w:val="single" w:sz="4" w:space="0" w:color="auto"/>
              <w:bottom w:val="single" w:sz="4" w:space="0" w:color="auto"/>
              <w:right w:val="single" w:sz="4" w:space="0" w:color="auto"/>
            </w:tcBorders>
            <w:hideMark/>
          </w:tcPr>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suggérons de consacrer un poste budgétaire pour les coexposants lors de la prochaine manifestation, s'il s'avère que ce poste constitue une source de recettes récurrentes.</w:t>
            </w:r>
          </w:p>
        </w:tc>
        <w:tc>
          <w:tcPr>
            <w:tcW w:w="1206"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SimSun" w:hAnsiTheme="minorHAnsi"/>
                <w:sz w:val="20"/>
                <w:lang w:eastAsia="zh-CN"/>
              </w:rPr>
              <w:t>Un montant estimatif des produits afférents aux droits acquittés par les coexposants a été prévu dans le budget 2016.</w:t>
            </w:r>
          </w:p>
        </w:tc>
        <w:tc>
          <w:tcPr>
            <w:tcW w:w="1158"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Des provisions pour les</w:t>
            </w:r>
            <w:r w:rsidRPr="00364744">
              <w:rPr>
                <w:color w:val="000000"/>
                <w:sz w:val="20"/>
              </w:rPr>
              <w:t xml:space="preserve"> produits provenant de coexposants continueront d'être affectées dans les budgets des manifestations futures</w:t>
            </w:r>
            <w:r w:rsidRPr="00364744">
              <w:rPr>
                <w:rFonts w:asciiTheme="minorHAnsi" w:eastAsia="SimSun" w:hAnsiTheme="minorHAnsi"/>
                <w:sz w:val="20"/>
                <w:lang w:eastAsia="zh-CN"/>
              </w:rPr>
              <w:t>.</w:t>
            </w:r>
          </w:p>
        </w:tc>
        <w:tc>
          <w:tcPr>
            <w:tcW w:w="1120"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Clos.</w:t>
            </w:r>
          </w:p>
        </w:tc>
      </w:tr>
    </w:tbl>
    <w:p w:rsidR="00566127" w:rsidRDefault="00566127">
      <w:r>
        <w:rPr>
          <w:b/>
        </w:rPr>
        <w:br w:type="page"/>
      </w:r>
    </w:p>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566127" w:rsidRPr="00364744" w:rsidTr="005F0586">
        <w:trPr>
          <w:cantSplit/>
        </w:trPr>
        <w:tc>
          <w:tcPr>
            <w:tcW w:w="357"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566127" w:rsidRPr="00364744" w:rsidRDefault="00566127"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566127" w:rsidRPr="00364744" w:rsidTr="005F0586">
        <w:trPr>
          <w:cantSplit/>
        </w:trPr>
        <w:tc>
          <w:tcPr>
            <w:tcW w:w="357"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5</w:t>
            </w:r>
          </w:p>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Annonce préalable du lieu de la manifestation suivante</w:t>
            </w:r>
          </w:p>
        </w:tc>
        <w:tc>
          <w:tcPr>
            <w:tcW w:w="1206"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c>
          <w:tcPr>
            <w:tcW w:w="1158"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sz w:val="20"/>
                <w:lang w:eastAsia="zh-CN"/>
              </w:rPr>
            </w:pPr>
          </w:p>
        </w:tc>
        <w:tc>
          <w:tcPr>
            <w:tcW w:w="1120"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r>
      <w:tr w:rsidR="00566127" w:rsidRPr="00364744" w:rsidTr="005F0586">
        <w:trPr>
          <w:cantSplit/>
        </w:trPr>
        <w:tc>
          <w:tcPr>
            <w:tcW w:w="357"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suggérons que tout soit mis en oeuvre pour que le lieu de la manifestation soit annoncé dans les meilleurs délais, afin que les activités de promotion de la manifestation puissent commencer à être entreprises et d'éviter de laisser passer des possibilités aussi intéressantes de lever des fonds. Si le lieu de la manifestation suivante n'est pas encore confirmé au moment de l'élaboration du budget, il ne conviendrait d'envisager aucune affectation de produits destinés uniquement au pays hôte qui accueillera la prochaine manifestation.</w:t>
            </w:r>
          </w:p>
        </w:tc>
        <w:tc>
          <w:tcPr>
            <w:tcW w:w="1206"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Un processus a été engagé en vue d'identifier le pays hôte de la manifestation de 2017 à un stade plus précoce que lors des années précédentes, afin de laisser suffisamment de temps pour planifier les activités de promotion lors de la manifestation de 2016. Cette planification à l'avance se poursuivra pour les manifestations futures.</w:t>
            </w:r>
          </w:p>
        </w:tc>
        <w:tc>
          <w:tcPr>
            <w:tcW w:w="1158"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 xml:space="preserve">L'invitation adressée aux Etats Membres pour qu'ils soumettent </w:t>
            </w:r>
            <w:r w:rsidRPr="00364744">
              <w:rPr>
                <w:color w:val="000000"/>
                <w:sz w:val="20"/>
              </w:rPr>
              <w:t xml:space="preserve">leur candidature en vue d'accueillir la manifestation </w:t>
            </w:r>
            <w:r w:rsidRPr="00364744">
              <w:rPr>
                <w:rFonts w:asciiTheme="minorHAnsi" w:eastAsia="Times New Roman,SimSun" w:hAnsiTheme="minorHAnsi" w:cs="Times New Roman,SimSun"/>
                <w:sz w:val="20"/>
                <w:lang w:eastAsia="zh-CN"/>
              </w:rPr>
              <w:t>ITU Telecom continue d'être envoyée à un stade beaucoup plus précoce, afin que le lieu puisse être annoncé longtemps avant la manifestation précédente. En outre, en décembre 2016, les Etats Membres ont été invités à soumettre des propositions en vue d'accueillir la manifestation en 2018 ou en 2019, afin que la tenue des deux manifestations puisse être annoncée à la mi-2017 et de tirer parti de la manifesta</w:t>
            </w:r>
            <w:r w:rsidR="0060020A">
              <w:rPr>
                <w:rFonts w:asciiTheme="minorHAnsi" w:eastAsia="Times New Roman,SimSun" w:hAnsiTheme="minorHAnsi" w:cs="Times New Roman,SimSun"/>
                <w:sz w:val="20"/>
                <w:lang w:eastAsia="zh-CN"/>
              </w:rPr>
              <w:t>tion de 2017 pour entreprendre d</w:t>
            </w:r>
            <w:r w:rsidRPr="00364744">
              <w:rPr>
                <w:rFonts w:asciiTheme="minorHAnsi" w:eastAsia="Times New Roman,SimSun" w:hAnsiTheme="minorHAnsi" w:cs="Times New Roman,SimSun"/>
                <w:sz w:val="20"/>
                <w:lang w:eastAsia="zh-CN"/>
              </w:rPr>
              <w:t>es activités de promotion.</w:t>
            </w:r>
          </w:p>
        </w:tc>
        <w:tc>
          <w:tcPr>
            <w:tcW w:w="1120"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 xml:space="preserve">Clos. </w:t>
            </w:r>
          </w:p>
        </w:tc>
      </w:tr>
      <w:tr w:rsidR="00566127" w:rsidRPr="00364744" w:rsidTr="001525C3">
        <w:trPr>
          <w:cantSplit/>
        </w:trPr>
        <w:tc>
          <w:tcPr>
            <w:tcW w:w="357"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6</w:t>
            </w:r>
          </w:p>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Date de fourniture des services échangés</w:t>
            </w:r>
          </w:p>
        </w:tc>
        <w:tc>
          <w:tcPr>
            <w:tcW w:w="1206"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c>
          <w:tcPr>
            <w:tcW w:w="1120" w:type="pct"/>
            <w:tcBorders>
              <w:top w:val="single" w:sz="4" w:space="0" w:color="auto"/>
              <w:left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p>
        </w:tc>
      </w:tr>
      <w:tr w:rsidR="00566127" w:rsidRPr="00364744" w:rsidTr="001525C3">
        <w:trPr>
          <w:cantSplit/>
        </w:trPr>
        <w:tc>
          <w:tcPr>
            <w:tcW w:w="357"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suggérons qu'une pratique améliorée fondée sur l'utilisation de formules dans le tableur soit adoptée et que les dates exactes de la fourniture de chaque service pour chaque accord portant sur des échanges de services soient indiquées. De plus, il conviendrait de calculer également la conversion du montant en francs suisses (CHF) pour chaque fourniture de services en utilisant les formules appropriées</w:t>
            </w:r>
            <w:r w:rsidR="00E0008C">
              <w:rPr>
                <w:rFonts w:asciiTheme="minorHAnsi" w:eastAsia="Times New Roman,SimSun" w:hAnsiTheme="minorHAnsi" w:cs="Times New Roman,SimSun"/>
                <w:sz w:val="20"/>
                <w:lang w:eastAsia="zh-CN"/>
              </w:rPr>
              <w:t>.</w:t>
            </w:r>
          </w:p>
        </w:tc>
        <w:tc>
          <w:tcPr>
            <w:tcW w:w="1206"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Des formules seront utilisées dans le tableur pour les accords portant sur des échanges de services dès 2016. La date de fourniture de chaque service conformément à l'accord portant sur des échanges de services sera indiquée. Il sera également procédé à la conversion du montant en francs suisses (CHF) pour chaque fourniture de services, au moyen des formules appropriées. </w:t>
            </w:r>
          </w:p>
        </w:tc>
        <w:tc>
          <w:tcPr>
            <w:tcW w:w="1158"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Le tableur pour les accords portant sur des échanges de services en</w:t>
            </w:r>
            <w:r w:rsidR="00E97537">
              <w:rPr>
                <w:rFonts w:asciiTheme="minorHAnsi" w:eastAsia="Times New Roman,SimSun" w:hAnsiTheme="minorHAnsi" w:cs="Times New Roman,SimSun"/>
                <w:sz w:val="20"/>
                <w:lang w:eastAsia="zh-CN"/>
              </w:rPr>
              <w:t> </w:t>
            </w:r>
            <w:r w:rsidRPr="00364744">
              <w:rPr>
                <w:rFonts w:asciiTheme="minorHAnsi" w:eastAsia="SimSun" w:hAnsiTheme="minorHAnsi"/>
                <w:sz w:val="20"/>
                <w:lang w:eastAsia="zh-CN"/>
              </w:rPr>
              <w:t>2016 tient compte de la date de fourniture de chaque service et</w:t>
            </w:r>
            <w:r w:rsidRPr="00364744">
              <w:rPr>
                <w:rFonts w:asciiTheme="minorHAnsi" w:eastAsia="Times New Roman,SimSun" w:hAnsiTheme="minorHAnsi" w:cs="Times New Roman,SimSun"/>
                <w:sz w:val="20"/>
                <w:lang w:eastAsia="zh-CN"/>
              </w:rPr>
              <w:t xml:space="preserve"> il a été procédé à la conversion en francs suisses (CHF) du montant de chaque service fourni à l'aide de formules appropriées</w:t>
            </w:r>
            <w:r w:rsidRPr="00364744">
              <w:rPr>
                <w:rFonts w:asciiTheme="minorHAnsi" w:eastAsia="SimSun" w:hAnsiTheme="minorHAnsi"/>
                <w:sz w:val="20"/>
                <w:lang w:eastAsia="zh-CN"/>
              </w:rPr>
              <w:t xml:space="preserve">. Cette pratique sera maintenue </w:t>
            </w:r>
            <w:r w:rsidR="00E97537">
              <w:rPr>
                <w:rFonts w:asciiTheme="minorHAnsi" w:eastAsia="SimSun" w:hAnsiTheme="minorHAnsi"/>
                <w:sz w:val="20"/>
                <w:lang w:eastAsia="zh-CN"/>
              </w:rPr>
              <w:t>pour les manifestations futures.</w:t>
            </w:r>
          </w:p>
        </w:tc>
        <w:tc>
          <w:tcPr>
            <w:tcW w:w="1120" w:type="pct"/>
            <w:tcBorders>
              <w:left w:val="single" w:sz="4" w:space="0" w:color="auto"/>
              <w:bottom w:val="single" w:sz="4" w:space="0" w:color="auto"/>
              <w:right w:val="single" w:sz="4" w:space="0" w:color="auto"/>
            </w:tcBorders>
          </w:tcPr>
          <w:p w:rsidR="00566127" w:rsidRPr="00364744" w:rsidRDefault="00566127"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 xml:space="preserve">Clos. </w:t>
            </w:r>
          </w:p>
        </w:tc>
      </w:tr>
      <w:tr w:rsidR="00B56B10" w:rsidRPr="00364744" w:rsidTr="00526563">
        <w:trPr>
          <w:cantSplit/>
        </w:trPr>
        <w:tc>
          <w:tcPr>
            <w:tcW w:w="357" w:type="pct"/>
            <w:tcBorders>
              <w:top w:val="single" w:sz="4" w:space="0" w:color="auto"/>
              <w:left w:val="single" w:sz="4" w:space="0" w:color="auto"/>
              <w:right w:val="single" w:sz="4" w:space="0" w:color="auto"/>
            </w:tcBorders>
            <w:vAlign w:val="center"/>
          </w:tcPr>
          <w:p w:rsidR="00B56B10" w:rsidRPr="00364744" w:rsidRDefault="00B56B10" w:rsidP="00B56B10">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right w:val="single" w:sz="4" w:space="0" w:color="auto"/>
            </w:tcBorders>
            <w:vAlign w:val="center"/>
          </w:tcPr>
          <w:p w:rsidR="00B56B10" w:rsidRPr="00364744" w:rsidRDefault="00B56B10" w:rsidP="00B56B10">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right w:val="single" w:sz="4" w:space="0" w:color="auto"/>
            </w:tcBorders>
            <w:vAlign w:val="center"/>
          </w:tcPr>
          <w:p w:rsidR="00B56B10" w:rsidRPr="00364744" w:rsidRDefault="00B56B10" w:rsidP="00B56B10">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right w:val="single" w:sz="4" w:space="0" w:color="auto"/>
            </w:tcBorders>
            <w:vAlign w:val="center"/>
          </w:tcPr>
          <w:p w:rsidR="00B56B10" w:rsidRPr="00364744" w:rsidRDefault="00B56B10" w:rsidP="00B56B10">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right w:val="single" w:sz="4" w:space="0" w:color="auto"/>
            </w:tcBorders>
            <w:vAlign w:val="center"/>
          </w:tcPr>
          <w:p w:rsidR="00B56B10" w:rsidRPr="00364744" w:rsidRDefault="00B56B10" w:rsidP="00B56B10">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B56B10" w:rsidRPr="00364744" w:rsidTr="001525C3">
        <w:trPr>
          <w:cantSplit/>
        </w:trPr>
        <w:tc>
          <w:tcPr>
            <w:tcW w:w="357"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7</w:t>
            </w:r>
          </w:p>
          <w:p w:rsidR="00B56B10" w:rsidRPr="00364744" w:rsidRDefault="00B56B10" w:rsidP="00B56B10">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Application pour smartphones</w:t>
            </w:r>
          </w:p>
        </w:tc>
        <w:tc>
          <w:tcPr>
            <w:tcW w:w="1206"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sz w:val="20"/>
                <w:lang w:eastAsia="zh-CN"/>
              </w:rPr>
            </w:pPr>
          </w:p>
        </w:tc>
        <w:tc>
          <w:tcPr>
            <w:tcW w:w="1120"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SimSun" w:hAnsiTheme="minorHAnsi"/>
                <w:sz w:val="20"/>
                <w:lang w:eastAsia="zh-CN"/>
              </w:rPr>
            </w:pPr>
          </w:p>
        </w:tc>
      </w:tr>
      <w:tr w:rsidR="00B56B10" w:rsidRPr="00364744" w:rsidTr="001525C3">
        <w:trPr>
          <w:cantSplit/>
        </w:trPr>
        <w:tc>
          <w:tcPr>
            <w:tcW w:w="357"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Compte tenu des possibilités intéressantes qu'offre cette plate-forme, nous suggérons d'intensifier les efforts en vue de la vente de parrainages pour l'application mobile.</w:t>
            </w:r>
          </w:p>
        </w:tc>
        <w:tc>
          <w:tcPr>
            <w:tcW w:w="1206"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Les avantages liés au parrainage de l'application mobile continueront d'être mis en avant de manière proactive. Il ressort des données que le nombre de participants qui utilisent l'application mobile augmente au fil des ans et qu'en conséquence, l'application devrait devenir plus attrayante pour les sponsors potentiels.</w:t>
            </w:r>
          </w:p>
        </w:tc>
        <w:tc>
          <w:tcPr>
            <w:tcW w:w="1158"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SimSun" w:hAnsiTheme="minorHAnsi"/>
                <w:sz w:val="20"/>
                <w:lang w:eastAsia="zh-CN"/>
              </w:rPr>
            </w:pPr>
            <w:r w:rsidRPr="00364744">
              <w:rPr>
                <w:rFonts w:asciiTheme="minorHAnsi" w:hAnsiTheme="minorHAnsi"/>
                <w:color w:val="000000"/>
                <w:sz w:val="20"/>
              </w:rPr>
              <w:t>Etant donné que les avantages liés au parrainage de l'application mobile ont été mis en avant de manière proactive</w:t>
            </w:r>
            <w:r w:rsidRPr="00364744">
              <w:rPr>
                <w:rFonts w:asciiTheme="minorHAnsi" w:eastAsia="Times New Roman,SimSun" w:hAnsiTheme="minorHAnsi" w:cs="Times New Roman,SimSun"/>
                <w:sz w:val="20"/>
                <w:lang w:eastAsia="zh-CN"/>
              </w:rPr>
              <w:t>, l'application a été parrainée en 2016. Les efforts se poursuivront en vue de promouvoir les parrainages de l'application mobile ainsi que son utilisation par les participants pour les manifestations futures.</w:t>
            </w:r>
          </w:p>
        </w:tc>
        <w:tc>
          <w:tcPr>
            <w:tcW w:w="1120"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 xml:space="preserve">Clos. </w:t>
            </w:r>
          </w:p>
        </w:tc>
      </w:tr>
      <w:tr w:rsidR="00B56B10" w:rsidRPr="00364744" w:rsidTr="001525C3">
        <w:trPr>
          <w:cantSplit/>
        </w:trPr>
        <w:tc>
          <w:tcPr>
            <w:tcW w:w="357"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8</w:t>
            </w:r>
          </w:p>
          <w:p w:rsidR="00B56B10" w:rsidRPr="00364744" w:rsidRDefault="00B56B10" w:rsidP="00B56B10">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Kiosque pour l'enquête</w:t>
            </w:r>
          </w:p>
        </w:tc>
        <w:tc>
          <w:tcPr>
            <w:tcW w:w="1206"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sz w:val="20"/>
                <w:lang w:eastAsia="zh-CN"/>
              </w:rPr>
            </w:pPr>
          </w:p>
        </w:tc>
        <w:tc>
          <w:tcPr>
            <w:tcW w:w="1120" w:type="pct"/>
            <w:tcBorders>
              <w:top w:val="single" w:sz="4" w:space="0" w:color="auto"/>
              <w:left w:val="single" w:sz="4" w:space="0" w:color="auto"/>
              <w:right w:val="single" w:sz="4" w:space="0" w:color="auto"/>
            </w:tcBorders>
          </w:tcPr>
          <w:p w:rsidR="00B56B10" w:rsidRPr="00364744" w:rsidRDefault="00B56B10" w:rsidP="00B56B10">
            <w:pPr>
              <w:pStyle w:val="Tabletext"/>
              <w:spacing w:before="0" w:after="0"/>
              <w:rPr>
                <w:rFonts w:asciiTheme="minorHAnsi" w:eastAsia="SimSun" w:hAnsiTheme="minorHAnsi"/>
                <w:sz w:val="20"/>
                <w:lang w:eastAsia="zh-CN"/>
              </w:rPr>
            </w:pPr>
          </w:p>
        </w:tc>
      </w:tr>
      <w:tr w:rsidR="00B56B10" w:rsidRPr="00364744" w:rsidTr="001525C3">
        <w:trPr>
          <w:cantSplit/>
        </w:trPr>
        <w:tc>
          <w:tcPr>
            <w:tcW w:w="357"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suggérons d'améliorer l'utilisation de l'outil destiné à recueillir les évaluations à l'aide du kiosque pour l'enquête et de trouver un moyen d'encourager les participants au Forum à utiliser cet outil pour fournir leurs observations/une évaluation des sessions du Forum.</w:t>
            </w:r>
          </w:p>
        </w:tc>
        <w:tc>
          <w:tcPr>
            <w:tcW w:w="1206"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Les efforts se poursuivront en vue d'encourager les délégués au Forum à participer au kiosque pour l'enquête.</w:t>
            </w:r>
          </w:p>
        </w:tc>
        <w:tc>
          <w:tcPr>
            <w:tcW w:w="1158"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Il res</w:t>
            </w:r>
            <w:r w:rsidR="00E97537">
              <w:rPr>
                <w:rFonts w:asciiTheme="minorHAnsi" w:eastAsia="Times New Roman,SimSun" w:hAnsiTheme="minorHAnsi" w:cs="Times New Roman,SimSun"/>
                <w:sz w:val="20"/>
                <w:lang w:eastAsia="zh-CN"/>
              </w:rPr>
              <w:t>sort de l'expérience acquise en </w:t>
            </w:r>
            <w:r w:rsidRPr="00364744">
              <w:rPr>
                <w:rFonts w:asciiTheme="minorHAnsi" w:eastAsia="Times New Roman,SimSun" w:hAnsiTheme="minorHAnsi" w:cs="Times New Roman,SimSun"/>
                <w:sz w:val="20"/>
                <w:lang w:eastAsia="zh-CN"/>
              </w:rPr>
              <w:t>2016 que des problèmes subsistent pour faire en sorte qu'un nombre maximal de délégués au Forum participent au kiosque pour l'enquête. Ces problèmes s'expliquent en partie par le fait que le personnel local mis à disposition par le pays hôte n'a pas accordé l'attention nécessaire à cette question, ainsi</w:t>
            </w:r>
            <w:r w:rsidR="00E97537">
              <w:rPr>
                <w:rFonts w:asciiTheme="minorHAnsi" w:eastAsia="Times New Roman,SimSun" w:hAnsiTheme="minorHAnsi" w:cs="Times New Roman,SimSun"/>
                <w:sz w:val="20"/>
                <w:lang w:eastAsia="zh-CN"/>
              </w:rPr>
              <w:t xml:space="preserve"> que par le débit de l'accès Wi</w:t>
            </w:r>
            <w:r w:rsidRPr="00364744">
              <w:rPr>
                <w:rFonts w:asciiTheme="minorHAnsi" w:eastAsia="Times New Roman,SimSun" w:hAnsiTheme="minorHAnsi" w:cs="Times New Roman,SimSun"/>
                <w:sz w:val="20"/>
                <w:lang w:eastAsia="zh-CN"/>
              </w:rPr>
              <w:t>Fi sur le lieu de la manifestation. En conséquence, d'autres solutions plus efficaces visant à recueillir les observations concernant les sessions sont à l'étude pour 2017.</w:t>
            </w:r>
          </w:p>
        </w:tc>
        <w:tc>
          <w:tcPr>
            <w:tcW w:w="1120" w:type="pct"/>
            <w:tcBorders>
              <w:left w:val="single" w:sz="4" w:space="0" w:color="auto"/>
              <w:bottom w:val="single" w:sz="4" w:space="0" w:color="auto"/>
              <w:right w:val="single" w:sz="4" w:space="0" w:color="auto"/>
            </w:tcBorders>
          </w:tcPr>
          <w:p w:rsidR="00B56B10" w:rsidRPr="00364744" w:rsidRDefault="00B56B10" w:rsidP="00B56B10">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En cours.</w:t>
            </w:r>
          </w:p>
        </w:tc>
      </w:tr>
    </w:tbl>
    <w:p w:rsidR="001868D0" w:rsidRDefault="001868D0">
      <w:r>
        <w:rPr>
          <w:b/>
        </w:rPr>
        <w:br w:type="page"/>
      </w:r>
    </w:p>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1868D0" w:rsidRPr="00364744" w:rsidTr="001525C3">
        <w:trPr>
          <w:cantSplit/>
        </w:trPr>
        <w:tc>
          <w:tcPr>
            <w:tcW w:w="357"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1868D0" w:rsidRPr="00364744" w:rsidTr="001525C3">
        <w:trPr>
          <w:cantSplit/>
        </w:trPr>
        <w:tc>
          <w:tcPr>
            <w:tcW w:w="357"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9</w:t>
            </w:r>
          </w:p>
          <w:p w:rsidR="001868D0" w:rsidRPr="00364744" w:rsidRDefault="001868D0"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2015</w:t>
            </w:r>
          </w:p>
        </w:tc>
        <w:tc>
          <w:tcPr>
            <w:tcW w:w="1159"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Question relative à l'âge des participants</w:t>
            </w:r>
          </w:p>
        </w:tc>
        <w:tc>
          <w:tcPr>
            <w:tcW w:w="1206"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p>
        </w:tc>
        <w:tc>
          <w:tcPr>
            <w:tcW w:w="1120"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SimSun" w:hAnsiTheme="minorHAnsi"/>
                <w:sz w:val="20"/>
                <w:lang w:eastAsia="zh-CN"/>
              </w:rPr>
            </w:pPr>
          </w:p>
        </w:tc>
      </w:tr>
      <w:tr w:rsidR="001868D0" w:rsidRPr="00364744" w:rsidTr="001525C3">
        <w:trPr>
          <w:cantSplit/>
        </w:trPr>
        <w:tc>
          <w:tcPr>
            <w:tcW w:w="357"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Afin de souligner l'importance de la question de l'âge des participants, nous suggérons d'organiser une enquête démographique en vue de connaître l'âge des participants. </w:t>
            </w:r>
          </w:p>
        </w:tc>
        <w:tc>
          <w:tcPr>
            <w:tcW w:w="1206"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Un projet avait été mis en place en 2015 afin de recueillir des données relatives à l'âge. Malheureusement, en raison de problèmes identifiés trop tardivement pour pouvoir être résolus, les données n'étaient pas fiables. Tous les efforts seront entrepris afin de remédier à cette situation en 2016, afin de présenter des données liées à l'âge dans le rapport établi après la manifestation.</w:t>
            </w:r>
          </w:p>
        </w:tc>
        <w:tc>
          <w:tcPr>
            <w:tcW w:w="1158"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Pour 2016, il a été demandé à tous les participants d'indiquer à quelle tranche d'âge ils appartenaient lors du processus d'inscription. Cette initiative continuera d'être prise et les données seront analysées à la fin de la manifestation.</w:t>
            </w:r>
          </w:p>
        </w:tc>
        <w:tc>
          <w:tcPr>
            <w:tcW w:w="1120"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 xml:space="preserve">Clos. </w:t>
            </w:r>
          </w:p>
        </w:tc>
      </w:tr>
      <w:tr w:rsidR="001868D0" w:rsidRPr="00364744" w:rsidTr="001525C3">
        <w:trPr>
          <w:cantSplit/>
        </w:trPr>
        <w:tc>
          <w:tcPr>
            <w:tcW w:w="357"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Compte tenu du résultat de l'indicateur IFP correspondant, et du fait que l'objectif de la manifestation était d'associer les PME, nous suggérons d'intensifier les efforts pour favoriser une plus large participation de ces entreprises.</w:t>
            </w:r>
          </w:p>
        </w:tc>
        <w:tc>
          <w:tcPr>
            <w:tcW w:w="1206"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Nous espérons que le Programme de prix – entre autres initiatives – lancé en 2015 et actuellement perfectionné pour 2016 en tant que pilier stratégique de la manifestation, (parallèlement au Forum, à l'Exposition et à l'établissement de contacts en réseau), jouera un rôle essentiel en favorisant la participation des PME sur des stands indépendants ou dans des pavillons nationaux. </w:t>
            </w:r>
          </w:p>
        </w:tc>
        <w:tc>
          <w:tcPr>
            <w:tcW w:w="1158"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 xml:space="preserve">La deuxième édition du Programme des </w:t>
            </w:r>
            <w:r w:rsidRPr="00364744">
              <w:rPr>
                <w:color w:val="000000"/>
                <w:sz w:val="20"/>
              </w:rPr>
              <w:t>Prix ITU Telecom World</w:t>
            </w:r>
            <w:r w:rsidRPr="00364744">
              <w:rPr>
                <w:rFonts w:asciiTheme="minorHAnsi" w:eastAsia="Times New Roman,SimSun" w:hAnsiTheme="minorHAnsi" w:cs="Times New Roman,SimSun"/>
                <w:sz w:val="20"/>
                <w:lang w:eastAsia="zh-CN"/>
              </w:rPr>
              <w:t xml:space="preserve"> et sa promotion ont effectivement joué un rôle déterminant </w:t>
            </w:r>
            <w:r w:rsidRPr="00364744">
              <w:rPr>
                <w:color w:val="000000"/>
                <w:sz w:val="20"/>
              </w:rPr>
              <w:t>en favorisant la participation des PME</w:t>
            </w:r>
            <w:r w:rsidRPr="00364744">
              <w:rPr>
                <w:rFonts w:asciiTheme="minorHAnsi" w:eastAsia="Times New Roman,SimSun" w:hAnsiTheme="minorHAnsi" w:cs="Times New Roman,SimSun"/>
                <w:sz w:val="20"/>
                <w:lang w:eastAsia="zh-CN"/>
              </w:rPr>
              <w:t xml:space="preserve">. En 2016, le nombre de PME a été supérieur à celui de 2015. Les efforts se poursuivront en vue de promouvoir le Programme des </w:t>
            </w:r>
            <w:r w:rsidRPr="00364744">
              <w:rPr>
                <w:color w:val="000000"/>
                <w:sz w:val="20"/>
              </w:rPr>
              <w:t xml:space="preserve">Prix, qui constitue un élément très important des manifestations </w:t>
            </w:r>
            <w:r w:rsidRPr="00364744">
              <w:rPr>
                <w:rFonts w:asciiTheme="minorHAnsi" w:eastAsia="Times New Roman,SimSun" w:hAnsiTheme="minorHAnsi" w:cs="Times New Roman,SimSun"/>
                <w:sz w:val="20"/>
                <w:lang w:eastAsia="zh-CN"/>
              </w:rPr>
              <w:t>ITU Telecom World.</w:t>
            </w:r>
          </w:p>
        </w:tc>
        <w:tc>
          <w:tcPr>
            <w:tcW w:w="1120"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 xml:space="preserve">Clos. </w:t>
            </w:r>
          </w:p>
        </w:tc>
      </w:tr>
    </w:tbl>
    <w:p w:rsidR="00113A7F" w:rsidRDefault="00113A7F">
      <w:r>
        <w:rPr>
          <w:b/>
        </w:rPr>
        <w:br w:type="page"/>
      </w:r>
    </w:p>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1868D0" w:rsidRPr="00364744" w:rsidTr="001525C3">
        <w:trPr>
          <w:cantSplit/>
        </w:trPr>
        <w:tc>
          <w:tcPr>
            <w:tcW w:w="357"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1868D0" w:rsidRPr="00364744" w:rsidRDefault="001868D0"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1868D0" w:rsidRPr="00364744" w:rsidTr="001525C3">
        <w:trPr>
          <w:cantSplit/>
        </w:trPr>
        <w:tc>
          <w:tcPr>
            <w:tcW w:w="357"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4</w:t>
            </w:r>
          </w:p>
          <w:p w:rsidR="001868D0" w:rsidRPr="00364744" w:rsidRDefault="001868D0"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2014</w:t>
            </w:r>
          </w:p>
        </w:tc>
        <w:tc>
          <w:tcPr>
            <w:tcW w:w="1159"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eastAsia="SimSun"/>
                <w:b/>
                <w:bCs/>
                <w:sz w:val="20"/>
              </w:rPr>
            </w:pPr>
            <w:r w:rsidRPr="00364744">
              <w:rPr>
                <w:rFonts w:eastAsia="SimSun"/>
                <w:b/>
                <w:bCs/>
                <w:sz w:val="20"/>
              </w:rPr>
              <w:t>Prix et politique en matière de tarification</w:t>
            </w:r>
          </w:p>
        </w:tc>
        <w:tc>
          <w:tcPr>
            <w:tcW w:w="1206"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2016</w:t>
            </w:r>
          </w:p>
        </w:tc>
        <w:tc>
          <w:tcPr>
            <w:tcW w:w="1120" w:type="pct"/>
            <w:tcBorders>
              <w:top w:val="single" w:sz="4" w:space="0" w:color="auto"/>
              <w:left w:val="single" w:sz="4" w:space="0" w:color="auto"/>
              <w:right w:val="single" w:sz="4" w:space="0" w:color="auto"/>
            </w:tcBorders>
          </w:tcPr>
          <w:p w:rsidR="001868D0" w:rsidRPr="00364744" w:rsidRDefault="001868D0" w:rsidP="00364744">
            <w:pPr>
              <w:pStyle w:val="Tabletext"/>
              <w:spacing w:before="0" w:after="0"/>
              <w:rPr>
                <w:rFonts w:asciiTheme="minorHAnsi" w:eastAsia="SimSun" w:hAnsiTheme="minorHAnsi"/>
                <w:sz w:val="20"/>
                <w:lang w:eastAsia="zh-CN"/>
              </w:rPr>
            </w:pPr>
          </w:p>
        </w:tc>
      </w:tr>
      <w:tr w:rsidR="001868D0" w:rsidRPr="00364744" w:rsidTr="001525C3">
        <w:trPr>
          <w:cantSplit/>
        </w:trPr>
        <w:tc>
          <w:tcPr>
            <w:tcW w:w="357" w:type="pct"/>
            <w:tcBorders>
              <w:left w:val="single" w:sz="4" w:space="0" w:color="auto"/>
              <w:bottom w:val="single" w:sz="4" w:space="0" w:color="auto"/>
              <w:right w:val="single" w:sz="4" w:space="0" w:color="auto"/>
            </w:tcBorders>
            <w:hideMark/>
          </w:tcPr>
          <w:p w:rsidR="001868D0" w:rsidRPr="00364744" w:rsidRDefault="001868D0"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Compte tenu des résultats, nous proposons à la direction d'établir une politique raisonnable en matière de tarification afin de dégager davantage de recettes grâce aux billets d'entrée.</w:t>
            </w:r>
          </w:p>
        </w:tc>
        <w:tc>
          <w:tcPr>
            <w:tcW w:w="1206"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proofErr w:type="gramStart"/>
            <w:r w:rsidRPr="00364744">
              <w:rPr>
                <w:rFonts w:asciiTheme="minorHAnsi" w:eastAsia="Times New Roman,SimSun" w:hAnsiTheme="minorHAnsi" w:cs="Times New Roman,SimSun"/>
                <w:sz w:val="20"/>
                <w:lang w:eastAsia="zh-CN"/>
              </w:rPr>
              <w:t>Dans la stratégie relative aux ventes pour 2015, la question des billets d'entrée a été traitée de diverses façons et l'UIT évaluera l'efficacité en appliquant les mesures ci-après: le tarif unitaire des billets de toutes les catégories a été fortement réduit pour accroître leur intérêt; le nombre de billets d'entrée donnant un accès gratuit au Forum fournis à titre d'avantages aux clients ayant loué une surface d'Exposition ou dans le cadre de parrainages a été réduit, avec l'espoir que cette mesure entraîne une augmentation des ventes; et une catégorie de billets à prix réduit a été créée pour augmenter le nombr</w:t>
            </w:r>
            <w:r w:rsidR="001525C3" w:rsidRPr="00364744">
              <w:rPr>
                <w:rFonts w:asciiTheme="minorHAnsi" w:eastAsia="Times New Roman,SimSun" w:hAnsiTheme="minorHAnsi" w:cs="Times New Roman,SimSun"/>
                <w:sz w:val="20"/>
                <w:lang w:eastAsia="zh-CN"/>
              </w:rPr>
              <w:t>e de visiteurs de l'Exposition.</w:t>
            </w:r>
            <w:proofErr w:type="gramEnd"/>
          </w:p>
        </w:tc>
        <w:tc>
          <w:tcPr>
            <w:tcW w:w="1158"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Malgré une diminution des prix des billets d'entrée en 2015, le nombre de billets vendus a été comparable à celui observé en 2014. Compte tenu de la réduction du tarif unitaire, cela a entraîné une nette diminution du montant total des produits provenant de la vente des billets d'entrée. Ces résultats montrent que le prix n'entre pas en ligne de compte lors de l'achat. L'UIT continuera de suivre de près les résultats obtenus à cet égard. </w:t>
            </w:r>
          </w:p>
        </w:tc>
        <w:tc>
          <w:tcPr>
            <w:tcW w:w="1120" w:type="pct"/>
            <w:tcBorders>
              <w:left w:val="single" w:sz="4" w:space="0" w:color="auto"/>
              <w:bottom w:val="single" w:sz="4" w:space="0" w:color="auto"/>
              <w:right w:val="single" w:sz="4" w:space="0" w:color="auto"/>
            </w:tcBorders>
          </w:tcPr>
          <w:p w:rsidR="001868D0" w:rsidRPr="00364744" w:rsidRDefault="001868D0"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Clos. </w:t>
            </w:r>
          </w:p>
          <w:p w:rsidR="001868D0" w:rsidRPr="00364744" w:rsidRDefault="001868D0" w:rsidP="00E97537">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Question pris</w:t>
            </w:r>
            <w:r w:rsidR="00E97537">
              <w:rPr>
                <w:rFonts w:asciiTheme="minorHAnsi" w:eastAsia="Times New Roman,SimSun" w:hAnsiTheme="minorHAnsi" w:cs="Times New Roman,SimSun"/>
                <w:sz w:val="20"/>
                <w:lang w:eastAsia="zh-CN"/>
              </w:rPr>
              <w:t xml:space="preserve">e en compte dans la Suggestion N° </w:t>
            </w:r>
            <w:r w:rsidRPr="00364744">
              <w:rPr>
                <w:rFonts w:asciiTheme="minorHAnsi" w:eastAsia="Times New Roman,SimSun" w:hAnsiTheme="minorHAnsi" w:cs="Times New Roman,SimSun"/>
                <w:sz w:val="20"/>
                <w:lang w:eastAsia="zh-CN"/>
              </w:rPr>
              <w:t xml:space="preserve">2 </w:t>
            </w:r>
            <w:r w:rsidR="00E97537">
              <w:rPr>
                <w:rFonts w:asciiTheme="minorHAnsi" w:eastAsia="Times New Roman,SimSun" w:hAnsiTheme="minorHAnsi" w:cs="Times New Roman,SimSun"/>
                <w:sz w:val="20"/>
                <w:lang w:eastAsia="zh-CN"/>
              </w:rPr>
              <w:t>–</w:t>
            </w:r>
            <w:r w:rsidRPr="00364744">
              <w:rPr>
                <w:rFonts w:asciiTheme="minorHAnsi" w:eastAsia="Times New Roman,SimSun" w:hAnsiTheme="minorHAnsi" w:cs="Times New Roman,SimSun"/>
                <w:sz w:val="20"/>
                <w:lang w:eastAsia="zh-CN"/>
              </w:rPr>
              <w:t xml:space="preserve"> 2015</w:t>
            </w:r>
          </w:p>
        </w:tc>
      </w:tr>
    </w:tbl>
    <w:p w:rsidR="00B56B10" w:rsidRDefault="00B56B10">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113A7F" w:rsidRPr="00364744" w:rsidTr="00B56B10">
        <w:trPr>
          <w:cantSplit/>
        </w:trPr>
        <w:tc>
          <w:tcPr>
            <w:tcW w:w="357" w:type="pct"/>
            <w:tcBorders>
              <w:top w:val="single" w:sz="4" w:space="0" w:color="auto"/>
              <w:left w:val="single" w:sz="4" w:space="0" w:color="auto"/>
              <w:bottom w:val="single" w:sz="4" w:space="0" w:color="auto"/>
              <w:right w:val="single" w:sz="4" w:space="0" w:color="auto"/>
            </w:tcBorders>
            <w:vAlign w:val="center"/>
          </w:tcPr>
          <w:p w:rsidR="00113A7F" w:rsidRPr="00364744" w:rsidRDefault="00113A7F"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113A7F" w:rsidRPr="00364744" w:rsidRDefault="00113A7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113A7F" w:rsidRPr="00364744" w:rsidRDefault="00113A7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113A7F" w:rsidRPr="00364744" w:rsidRDefault="00113A7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113A7F" w:rsidRPr="00364744" w:rsidRDefault="00113A7F"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113A7F" w:rsidRPr="00364744" w:rsidTr="00E97537">
        <w:trPr>
          <w:cantSplit/>
        </w:trPr>
        <w:tc>
          <w:tcPr>
            <w:tcW w:w="357" w:type="pct"/>
            <w:tcBorders>
              <w:top w:val="single" w:sz="4" w:space="0" w:color="auto"/>
              <w:left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5</w:t>
            </w:r>
          </w:p>
          <w:p w:rsidR="00113A7F" w:rsidRPr="00364744" w:rsidRDefault="00113A7F"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2014</w:t>
            </w:r>
          </w:p>
        </w:tc>
        <w:tc>
          <w:tcPr>
            <w:tcW w:w="1159" w:type="pct"/>
            <w:tcBorders>
              <w:top w:val="single" w:sz="4" w:space="0" w:color="auto"/>
              <w:left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Pavillons clés en main</w:t>
            </w:r>
          </w:p>
        </w:tc>
        <w:tc>
          <w:tcPr>
            <w:tcW w:w="1206" w:type="pct"/>
            <w:tcBorders>
              <w:top w:val="single" w:sz="4" w:space="0" w:color="auto"/>
              <w:left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Avril 2016</w:t>
            </w:r>
          </w:p>
        </w:tc>
        <w:tc>
          <w:tcPr>
            <w:tcW w:w="1120" w:type="pct"/>
            <w:tcBorders>
              <w:top w:val="single" w:sz="4" w:space="0" w:color="auto"/>
              <w:left w:val="single" w:sz="4" w:space="0" w:color="auto"/>
              <w:right w:val="single" w:sz="4" w:space="0" w:color="auto"/>
            </w:tcBorders>
          </w:tcPr>
          <w:p w:rsidR="00113A7F" w:rsidRPr="00364744" w:rsidRDefault="00113A7F" w:rsidP="00364744">
            <w:pPr>
              <w:pStyle w:val="Tabletext"/>
              <w:spacing w:before="0" w:after="0"/>
              <w:rPr>
                <w:rFonts w:asciiTheme="minorHAnsi" w:eastAsia="SimSun" w:hAnsiTheme="minorHAnsi"/>
                <w:sz w:val="20"/>
                <w:lang w:eastAsia="zh-CN"/>
              </w:rPr>
            </w:pPr>
          </w:p>
        </w:tc>
      </w:tr>
      <w:tr w:rsidR="00113A7F" w:rsidRPr="00364744" w:rsidTr="00E97537">
        <w:trPr>
          <w:cantSplit/>
          <w:trHeight w:val="1547"/>
        </w:trPr>
        <w:tc>
          <w:tcPr>
            <w:tcW w:w="357" w:type="pct"/>
            <w:vMerge w:val="restart"/>
            <w:tcBorders>
              <w:left w:val="single" w:sz="4" w:space="0" w:color="auto"/>
              <w:bottom w:val="single" w:sz="4" w:space="0" w:color="auto"/>
              <w:right w:val="single" w:sz="4" w:space="0" w:color="auto"/>
            </w:tcBorders>
            <w:hideMark/>
          </w:tcPr>
          <w:p w:rsidR="00113A7F" w:rsidRPr="00364744" w:rsidRDefault="00113A7F" w:rsidP="00364744">
            <w:pPr>
              <w:pStyle w:val="Tabletext"/>
              <w:spacing w:before="0" w:after="0"/>
              <w:rPr>
                <w:rFonts w:asciiTheme="minorHAnsi" w:eastAsia="Times New Roman,SimSun" w:hAnsiTheme="minorHAnsi" w:cs="Times New Roman,SimSun"/>
                <w:b/>
                <w:sz w:val="20"/>
                <w:lang w:eastAsia="zh-CN"/>
              </w:rPr>
            </w:pPr>
          </w:p>
        </w:tc>
        <w:tc>
          <w:tcPr>
            <w:tcW w:w="1159" w:type="pct"/>
            <w:vMerge w:val="restart"/>
            <w:tcBorders>
              <w:left w:val="single" w:sz="4" w:space="0" w:color="auto"/>
              <w:bottom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sz w:val="20"/>
                <w:lang w:eastAsia="zh-CN"/>
              </w:rPr>
            </w:pPr>
            <w:r w:rsidRPr="00364744">
              <w:rPr>
                <w:rFonts w:eastAsia="SimSun"/>
                <w:bCs/>
                <w:sz w:val="20"/>
              </w:rPr>
              <w:t xml:space="preserve">Compte tenu de l'intérêt des solutions clés en main pour générer des recettes, nous proposons à la direction d'étudier la possibilité de proposer une gamme plus large encore de pavillons clés en main afin de mieux exploiter cette option. </w:t>
            </w:r>
          </w:p>
        </w:tc>
        <w:tc>
          <w:tcPr>
            <w:tcW w:w="1206" w:type="pct"/>
            <w:vMerge w:val="restart"/>
            <w:tcBorders>
              <w:left w:val="single" w:sz="4" w:space="0" w:color="auto"/>
              <w:bottom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Le tarif appliqué en 2015 pour les solutions clés en main offre des avantages supérieurs à la location d'espace brut. Un nouveau produit clés en main à prix réduit a également été mis en place pour attirer les petites et moyennes entreprises (PME) et les jeunes entreprises disposant d'un faible budget pour la participation à des manifestations. L'UIT continuera d'évaluer l'intérêt et le rapport coût-avantages de ces produits. </w:t>
            </w:r>
          </w:p>
        </w:tc>
        <w:tc>
          <w:tcPr>
            <w:tcW w:w="1158" w:type="pct"/>
            <w:tcBorders>
              <w:left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L'UIT continuera d'offrir diverses solutions clés en main pour chaque manifestation et de suivre de près l'adoption de ces solutions et les réactions éventuelles des clients en vue d'améliorer cette ligne de produits.</w:t>
            </w:r>
          </w:p>
        </w:tc>
        <w:tc>
          <w:tcPr>
            <w:tcW w:w="1120" w:type="pct"/>
            <w:vMerge w:val="restart"/>
            <w:tcBorders>
              <w:left w:val="single" w:sz="4" w:space="0" w:color="auto"/>
              <w:bottom w:val="single" w:sz="4" w:space="0" w:color="auto"/>
              <w:right w:val="single" w:sz="4" w:space="0" w:color="auto"/>
            </w:tcBorders>
          </w:tcPr>
          <w:p w:rsidR="00113A7F" w:rsidRPr="00364744" w:rsidRDefault="00113A7F" w:rsidP="00364744">
            <w:pPr>
              <w:pStyle w:val="Tabletext"/>
              <w:spacing w:before="0" w:after="0"/>
              <w:rPr>
                <w:rFonts w:asciiTheme="minorHAnsi" w:eastAsia="SimSun" w:hAnsiTheme="minorHAnsi"/>
                <w:sz w:val="20"/>
                <w:lang w:eastAsia="zh-CN"/>
              </w:rPr>
            </w:pPr>
            <w:r w:rsidRPr="00364744">
              <w:rPr>
                <w:rFonts w:asciiTheme="minorHAnsi" w:eastAsia="SimSun" w:hAnsiTheme="minorHAnsi"/>
                <w:sz w:val="20"/>
                <w:lang w:eastAsia="zh-CN"/>
              </w:rPr>
              <w:t xml:space="preserve">Clos en tant que Suggestion. </w:t>
            </w:r>
          </w:p>
          <w:p w:rsidR="00113A7F" w:rsidRPr="00364744" w:rsidRDefault="00113A7F" w:rsidP="00364744">
            <w:pPr>
              <w:pStyle w:val="Tabletext"/>
              <w:spacing w:before="0" w:after="0"/>
              <w:rPr>
                <w:rFonts w:asciiTheme="minorHAnsi" w:eastAsia="SimSun" w:hAnsiTheme="minorHAnsi"/>
                <w:sz w:val="20"/>
                <w:lang w:eastAsia="zh-CN"/>
              </w:rPr>
            </w:pPr>
          </w:p>
          <w:p w:rsidR="00113A7F" w:rsidRPr="00364744" w:rsidRDefault="00113A7F"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SimSun" w:hAnsiTheme="minorHAnsi"/>
                <w:sz w:val="20"/>
                <w:lang w:eastAsia="zh-CN"/>
              </w:rPr>
              <w:t xml:space="preserve">La question sera suivie lors des manifestations futures </w:t>
            </w:r>
          </w:p>
        </w:tc>
      </w:tr>
      <w:tr w:rsidR="00113A7F" w:rsidRPr="00364744" w:rsidTr="00E97537">
        <w:trPr>
          <w:cantSplit/>
          <w:trHeight w:val="1546"/>
        </w:trPr>
        <w:tc>
          <w:tcPr>
            <w:tcW w:w="357" w:type="pct"/>
            <w:vMerge/>
            <w:tcBorders>
              <w:top w:val="single" w:sz="4" w:space="0" w:color="auto"/>
              <w:left w:val="single" w:sz="4" w:space="0" w:color="auto"/>
              <w:bottom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b/>
                <w:sz w:val="20"/>
                <w:lang w:eastAsia="zh-CN"/>
              </w:rPr>
            </w:pPr>
          </w:p>
        </w:tc>
        <w:tc>
          <w:tcPr>
            <w:tcW w:w="1159" w:type="pct"/>
            <w:vMerge/>
            <w:tcBorders>
              <w:top w:val="single" w:sz="4" w:space="0" w:color="auto"/>
              <w:left w:val="single" w:sz="4" w:space="0" w:color="auto"/>
              <w:bottom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sz w:val="20"/>
                <w:lang w:eastAsia="zh-CN"/>
              </w:rPr>
            </w:pPr>
          </w:p>
        </w:tc>
        <w:tc>
          <w:tcPr>
            <w:tcW w:w="1206" w:type="pct"/>
            <w:vMerge/>
            <w:tcBorders>
              <w:top w:val="single" w:sz="4" w:space="0" w:color="auto"/>
              <w:left w:val="single" w:sz="4" w:space="0" w:color="auto"/>
              <w:bottom w:val="single" w:sz="4" w:space="0" w:color="auto"/>
              <w:right w:val="single" w:sz="4" w:space="0" w:color="auto"/>
            </w:tcBorders>
          </w:tcPr>
          <w:p w:rsidR="00113A7F" w:rsidRPr="00364744" w:rsidRDefault="00113A7F" w:rsidP="00364744">
            <w:pPr>
              <w:pStyle w:val="Tabletext"/>
              <w:spacing w:before="0" w:after="0"/>
              <w:rPr>
                <w:rFonts w:asciiTheme="minorHAnsi" w:eastAsia="Times New Roman,SimSun" w:hAnsiTheme="minorHAnsi" w:cs="Times New Roman,SimSun"/>
                <w:sz w:val="20"/>
                <w:lang w:eastAsia="zh-CN"/>
              </w:rPr>
            </w:pPr>
          </w:p>
        </w:tc>
        <w:tc>
          <w:tcPr>
            <w:tcW w:w="1158" w:type="pct"/>
            <w:tcBorders>
              <w:left w:val="single" w:sz="4" w:space="0" w:color="auto"/>
              <w:bottom w:val="single" w:sz="4" w:space="0" w:color="auto"/>
              <w:right w:val="single" w:sz="4" w:space="0" w:color="auto"/>
            </w:tcBorders>
          </w:tcPr>
          <w:p w:rsidR="00113A7F" w:rsidRPr="00364744" w:rsidRDefault="001525C3" w:rsidP="00E97537">
            <w:pPr>
              <w:pStyle w:val="Tabletext"/>
              <w:spacing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b/>
                <w:bCs/>
                <w:sz w:val="20"/>
                <w:lang w:eastAsia="zh-CN"/>
              </w:rPr>
              <w:t>Avril 2017</w:t>
            </w:r>
          </w:p>
          <w:p w:rsidR="00113A7F" w:rsidRPr="00364744" w:rsidRDefault="00113A7F" w:rsidP="00E97537">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Un choix plus large de pavillons clés en main est offert en 2017, notamment un pavillon clé en main pour les PMA qui vise à permettre la participation de différents groupes cibles.</w:t>
            </w:r>
          </w:p>
        </w:tc>
        <w:tc>
          <w:tcPr>
            <w:tcW w:w="1120" w:type="pct"/>
            <w:vMerge/>
            <w:tcBorders>
              <w:top w:val="single" w:sz="4" w:space="0" w:color="auto"/>
              <w:left w:val="single" w:sz="4" w:space="0" w:color="auto"/>
              <w:bottom w:val="single" w:sz="4" w:space="0" w:color="auto"/>
              <w:right w:val="single" w:sz="4" w:space="0" w:color="auto"/>
            </w:tcBorders>
          </w:tcPr>
          <w:p w:rsidR="00113A7F" w:rsidRPr="00364744" w:rsidRDefault="00113A7F" w:rsidP="00364744">
            <w:pPr>
              <w:pStyle w:val="Tabletext"/>
              <w:spacing w:before="0" w:after="0"/>
              <w:rPr>
                <w:rFonts w:asciiTheme="minorHAnsi" w:eastAsia="SimSun" w:hAnsiTheme="minorHAnsi"/>
                <w:sz w:val="20"/>
                <w:lang w:eastAsia="zh-CN"/>
              </w:rPr>
            </w:pPr>
          </w:p>
        </w:tc>
      </w:tr>
    </w:tbl>
    <w:p w:rsidR="001525C3" w:rsidRDefault="001525C3">
      <w:r>
        <w:br w:type="page"/>
      </w:r>
    </w:p>
    <w:p w:rsidR="001525C3" w:rsidRDefault="001525C3"/>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1525C3" w:rsidRPr="00364744" w:rsidTr="00B56B10">
        <w:trPr>
          <w:cantSplit/>
        </w:trPr>
        <w:tc>
          <w:tcPr>
            <w:tcW w:w="357"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1525C3" w:rsidRPr="00364744" w:rsidTr="00B56B10">
        <w:trPr>
          <w:cantSplit/>
        </w:trPr>
        <w:tc>
          <w:tcPr>
            <w:tcW w:w="357"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6</w:t>
            </w:r>
          </w:p>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2014</w:t>
            </w:r>
          </w:p>
        </w:tc>
        <w:tc>
          <w:tcPr>
            <w:tcW w:w="1159"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Charges stratégiques</w:t>
            </w:r>
          </w:p>
        </w:tc>
        <w:tc>
          <w:tcPr>
            <w:tcW w:w="1206"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SimSun" w:hAnsiTheme="minorHAnsi"/>
                <w:b/>
                <w:bCs/>
                <w:sz w:val="20"/>
                <w:lang w:eastAsia="zh-CN"/>
              </w:rPr>
            </w:pPr>
            <w:r w:rsidRPr="00364744">
              <w:rPr>
                <w:rFonts w:asciiTheme="minorHAnsi" w:eastAsia="SimSun" w:hAnsiTheme="minorHAnsi"/>
                <w:b/>
                <w:bCs/>
                <w:sz w:val="20"/>
                <w:lang w:eastAsia="zh-CN"/>
              </w:rPr>
              <w:t>Avril 2016</w:t>
            </w:r>
          </w:p>
        </w:tc>
        <w:tc>
          <w:tcPr>
            <w:tcW w:w="1120"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p>
        </w:tc>
      </w:tr>
      <w:tr w:rsidR="001525C3" w:rsidRPr="00364744" w:rsidTr="00B56B10">
        <w:trPr>
          <w:cantSplit/>
          <w:trHeight w:val="1407"/>
        </w:trPr>
        <w:tc>
          <w:tcPr>
            <w:tcW w:w="357" w:type="pct"/>
            <w:vMerge w:val="restart"/>
            <w:tcBorders>
              <w:left w:val="single" w:sz="4" w:space="0" w:color="auto"/>
              <w:right w:val="single" w:sz="4" w:space="0" w:color="auto"/>
            </w:tcBorders>
            <w:hideMark/>
          </w:tcPr>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p>
        </w:tc>
        <w:tc>
          <w:tcPr>
            <w:tcW w:w="1159" w:type="pct"/>
            <w:vMerge w:val="restart"/>
            <w:tcBorders>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proposons à la direction de déterminer quel poste budgétaire lié aux charges est stratégique et, en conséquence, d'évaluer s'il serait approprié de réaliser des économies sur ces postes stratégiques.</w:t>
            </w:r>
          </w:p>
        </w:tc>
        <w:tc>
          <w:tcPr>
            <w:tcW w:w="1206" w:type="pct"/>
            <w:vMerge w:val="restart"/>
            <w:tcBorders>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Le montant effectif des charges encourues pour les bourses, y compris les prix remis dans le cadre du Concours pour jeunes innovateurs, est directement lié au nombre de candidatures remplissant les conditions requises. Néanmoins, l'UIT analysera toute possibilité d'économie sur ces postes et sur d'autres postes inscrits au budget qui pourraient être qualifiés de charges stratégiques, et évaluera attentivement l'incidence de ces économies sur les résultats de la manifestation.</w:t>
            </w:r>
          </w:p>
        </w:tc>
        <w:tc>
          <w:tcPr>
            <w:tcW w:w="1158" w:type="pct"/>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Une évaluation est en cours et des mesures seront prises si nécessaire</w:t>
            </w:r>
          </w:p>
        </w:tc>
        <w:tc>
          <w:tcPr>
            <w:tcW w:w="1120" w:type="pct"/>
            <w:vMerge w:val="restart"/>
            <w:tcBorders>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Clos</w:t>
            </w:r>
          </w:p>
        </w:tc>
      </w:tr>
      <w:tr w:rsidR="001525C3" w:rsidRPr="00364744" w:rsidTr="008546D2">
        <w:trPr>
          <w:cantSplit/>
          <w:trHeight w:val="1406"/>
        </w:trPr>
        <w:tc>
          <w:tcPr>
            <w:tcW w:w="357" w:type="pct"/>
            <w:vMerge/>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p>
        </w:tc>
        <w:tc>
          <w:tcPr>
            <w:tcW w:w="1159" w:type="pct"/>
            <w:vMerge/>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p>
        </w:tc>
        <w:tc>
          <w:tcPr>
            <w:tcW w:w="1206" w:type="pct"/>
            <w:vMerge/>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bottom w:val="single" w:sz="4" w:space="0" w:color="auto"/>
              <w:right w:val="single" w:sz="4" w:space="0" w:color="auto"/>
            </w:tcBorders>
          </w:tcPr>
          <w:p w:rsidR="001525C3" w:rsidRPr="00B56B10" w:rsidRDefault="001525C3" w:rsidP="00364744">
            <w:pPr>
              <w:pStyle w:val="Tabletext"/>
              <w:spacing w:before="0" w:after="0"/>
              <w:rPr>
                <w:rFonts w:asciiTheme="minorHAnsi" w:eastAsia="SimSun" w:hAnsiTheme="minorHAnsi"/>
                <w:b/>
                <w:bCs/>
                <w:sz w:val="20"/>
                <w:lang w:eastAsia="zh-CN"/>
              </w:rPr>
            </w:pPr>
            <w:r w:rsidRPr="00B56B10">
              <w:rPr>
                <w:rFonts w:asciiTheme="minorHAnsi" w:eastAsia="SimSun" w:hAnsiTheme="minorHAnsi"/>
                <w:b/>
                <w:bCs/>
                <w:sz w:val="20"/>
                <w:lang w:eastAsia="zh-CN"/>
              </w:rPr>
              <w:t>Avril 2017</w:t>
            </w:r>
          </w:p>
          <w:p w:rsidR="001525C3" w:rsidRPr="00364744" w:rsidRDefault="001525C3" w:rsidP="00364744">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 xml:space="preserve">Mis en </w:t>
            </w:r>
            <w:r w:rsidR="002A5BEE">
              <w:rPr>
                <w:rFonts w:asciiTheme="minorHAnsi" w:eastAsia="Times New Roman,SimSun" w:hAnsiTheme="minorHAnsi" w:cs="Times New Roman,SimSun"/>
                <w:sz w:val="20"/>
                <w:lang w:eastAsia="zh-CN"/>
              </w:rPr>
              <w:t>oe</w:t>
            </w:r>
            <w:r w:rsidRPr="00364744">
              <w:rPr>
                <w:rFonts w:asciiTheme="minorHAnsi" w:eastAsia="Times New Roman,SimSun" w:hAnsiTheme="minorHAnsi" w:cs="Times New Roman,SimSun"/>
                <w:sz w:val="20"/>
                <w:lang w:eastAsia="zh-CN"/>
              </w:rPr>
              <w:t>uvre et suivi chaque année.</w:t>
            </w:r>
          </w:p>
        </w:tc>
        <w:tc>
          <w:tcPr>
            <w:tcW w:w="1120" w:type="pct"/>
            <w:vMerge/>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SimSun" w:hAnsiTheme="minorHAnsi"/>
                <w:sz w:val="20"/>
                <w:lang w:eastAsia="zh-CN"/>
              </w:rPr>
            </w:pPr>
          </w:p>
        </w:tc>
      </w:tr>
    </w:tbl>
    <w:p w:rsidR="001525C3" w:rsidRDefault="001525C3">
      <w:r>
        <w:rPr>
          <w:b/>
        </w:rPr>
        <w:br w:type="page"/>
      </w:r>
    </w:p>
    <w:tbl>
      <w:tblPr>
        <w:tblW w:w="5000" w:type="pct"/>
        <w:tblCellMar>
          <w:top w:w="28" w:type="dxa"/>
          <w:left w:w="113" w:type="dxa"/>
          <w:bottom w:w="28" w:type="dxa"/>
          <w:right w:w="113" w:type="dxa"/>
        </w:tblCellMar>
        <w:tblLook w:val="04A0" w:firstRow="1" w:lastRow="0" w:firstColumn="1" w:lastColumn="0" w:noHBand="0" w:noVBand="1"/>
      </w:tblPr>
      <w:tblGrid>
        <w:gridCol w:w="999"/>
        <w:gridCol w:w="3244"/>
        <w:gridCol w:w="3375"/>
        <w:gridCol w:w="3241"/>
        <w:gridCol w:w="3135"/>
      </w:tblGrid>
      <w:tr w:rsidR="001525C3" w:rsidRPr="00364744" w:rsidTr="00352099">
        <w:trPr>
          <w:cantSplit/>
        </w:trPr>
        <w:tc>
          <w:tcPr>
            <w:tcW w:w="357"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1525C3" w:rsidRPr="00364744" w:rsidRDefault="001525C3"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1525C3" w:rsidRPr="00364744" w:rsidTr="00352099">
        <w:trPr>
          <w:cantSplit/>
        </w:trPr>
        <w:tc>
          <w:tcPr>
            <w:tcW w:w="357"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9</w:t>
            </w:r>
          </w:p>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2014</w:t>
            </w:r>
          </w:p>
        </w:tc>
        <w:tc>
          <w:tcPr>
            <w:tcW w:w="1159"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Durée de la manifestation</w:t>
            </w:r>
          </w:p>
        </w:tc>
        <w:tc>
          <w:tcPr>
            <w:tcW w:w="1206"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SimSun" w:hAnsiTheme="minorHAnsi"/>
                <w:sz w:val="20"/>
                <w:lang w:eastAsia="zh-CN"/>
              </w:rPr>
            </w:pPr>
          </w:p>
        </w:tc>
        <w:tc>
          <w:tcPr>
            <w:tcW w:w="1158" w:type="pct"/>
            <w:tcBorders>
              <w:top w:val="single" w:sz="4" w:space="0" w:color="auto"/>
              <w:left w:val="single" w:sz="4" w:space="0" w:color="auto"/>
              <w:right w:val="single" w:sz="4" w:space="0" w:color="auto"/>
            </w:tcBorders>
          </w:tcPr>
          <w:p w:rsidR="001525C3" w:rsidRPr="00364744" w:rsidRDefault="00352099" w:rsidP="00364744">
            <w:pPr>
              <w:pStyle w:val="Tabletext"/>
              <w:spacing w:before="0" w:after="0"/>
              <w:rPr>
                <w:rFonts w:asciiTheme="minorHAnsi" w:eastAsia="SimSun" w:hAnsiTheme="minorHAnsi"/>
                <w:b/>
                <w:bCs/>
                <w:sz w:val="20"/>
                <w:lang w:eastAsia="zh-CN"/>
              </w:rPr>
            </w:pPr>
            <w:r w:rsidRPr="00364744">
              <w:rPr>
                <w:rFonts w:asciiTheme="minorHAnsi" w:eastAsia="SimSun" w:hAnsiTheme="minorHAnsi"/>
                <w:b/>
                <w:bCs/>
                <w:sz w:val="20"/>
                <w:lang w:eastAsia="zh-CN"/>
              </w:rPr>
              <w:t>Avril 2016</w:t>
            </w:r>
          </w:p>
        </w:tc>
        <w:tc>
          <w:tcPr>
            <w:tcW w:w="1120" w:type="pct"/>
            <w:tcBorders>
              <w:top w:val="single" w:sz="4" w:space="0" w:color="auto"/>
              <w:left w:val="single" w:sz="4" w:space="0" w:color="auto"/>
              <w:right w:val="single" w:sz="4" w:space="0" w:color="auto"/>
            </w:tcBorders>
          </w:tcPr>
          <w:p w:rsidR="001525C3" w:rsidRPr="00364744" w:rsidRDefault="001525C3" w:rsidP="00364744">
            <w:pPr>
              <w:pStyle w:val="Tabletext"/>
              <w:spacing w:before="0" w:after="0"/>
              <w:rPr>
                <w:rFonts w:asciiTheme="minorHAnsi" w:eastAsia="SimSun" w:hAnsiTheme="minorHAnsi"/>
                <w:sz w:val="20"/>
                <w:lang w:eastAsia="zh-CN"/>
              </w:rPr>
            </w:pPr>
          </w:p>
        </w:tc>
      </w:tr>
      <w:tr w:rsidR="001525C3" w:rsidRPr="00364744" w:rsidTr="00352099">
        <w:trPr>
          <w:cantSplit/>
          <w:trHeight w:val="2527"/>
        </w:trPr>
        <w:tc>
          <w:tcPr>
            <w:tcW w:w="357" w:type="pct"/>
            <w:vMerge w:val="restart"/>
            <w:tcBorders>
              <w:left w:val="single" w:sz="4" w:space="0" w:color="auto"/>
              <w:bottom w:val="single" w:sz="4" w:space="0" w:color="auto"/>
              <w:right w:val="single" w:sz="4" w:space="0" w:color="auto"/>
            </w:tcBorders>
            <w:hideMark/>
          </w:tcPr>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p>
        </w:tc>
        <w:tc>
          <w:tcPr>
            <w:tcW w:w="1159" w:type="pct"/>
            <w:vMerge w:val="restart"/>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proposons à la direction de mener une étude sur la durée de la manifestation et sur la répartition des réunions et conférences principales tout au long de la manifestation, de sorte à entretenir l'attention des médias pendant une plus longue durée.</w:t>
            </w:r>
          </w:p>
        </w:tc>
        <w:tc>
          <w:tcPr>
            <w:tcW w:w="1206" w:type="pct"/>
            <w:vMerge w:val="restart"/>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Des dispositions seront prises pour évaluer la durée optimale de la manifestation et la programmation des réunions et conférences principales afin d'entretenir l'intérêt des médias tout au long de la manifestation. En outre, des mesures supplémentaires seront prises pour planifier des conférences de presse et des annonces tout au long de la manifestation pour stimuler et entretenir l'intérêt des médias.</w:t>
            </w:r>
          </w:p>
        </w:tc>
        <w:tc>
          <w:tcPr>
            <w:tcW w:w="1158" w:type="pct"/>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Depuis 2015, de nouvelles activités destinées à de nouveaux publics, par exemple le Programme de prix et la Journée de la prochaine génération, sont organisées le dernier jour de la manifestation, ce qui a attiré de nouveaux médias ainsi que d'autres catégories de participants tout au long de la manifestation ainsi que le dernier jour. Cette optimisation du programme de la manifestation durant les quatre jours de la manifestation sera effectuée chaque année. De plus, les médias sont tenus au courant chaque jour de toutes les activités menées grâce à la publication d'un calendrier journalier à l'intention des médias et de communications sur les </w:t>
            </w:r>
            <w:r w:rsidR="00B56B10">
              <w:rPr>
                <w:rFonts w:asciiTheme="minorHAnsi" w:eastAsia="Times New Roman,SimSun" w:hAnsiTheme="minorHAnsi" w:cs="Times New Roman,SimSun"/>
                <w:sz w:val="20"/>
                <w:lang w:eastAsia="zh-CN"/>
              </w:rPr>
              <w:t>"</w:t>
            </w:r>
            <w:r w:rsidRPr="00364744">
              <w:rPr>
                <w:rFonts w:asciiTheme="minorHAnsi" w:eastAsia="Times New Roman,SimSun" w:hAnsiTheme="minorHAnsi" w:cs="Times New Roman,SimSun"/>
                <w:sz w:val="20"/>
                <w:lang w:eastAsia="zh-CN"/>
              </w:rPr>
              <w:t>événements du lendemain</w:t>
            </w:r>
            <w:r w:rsidR="00B56B10">
              <w:rPr>
                <w:rFonts w:asciiTheme="minorHAnsi" w:eastAsia="Times New Roman,SimSun" w:hAnsiTheme="minorHAnsi" w:cs="Times New Roman,SimSun"/>
                <w:sz w:val="20"/>
                <w:lang w:eastAsia="zh-CN"/>
              </w:rPr>
              <w:t>"</w:t>
            </w:r>
            <w:r w:rsidRPr="00364744">
              <w:rPr>
                <w:rFonts w:asciiTheme="minorHAnsi" w:eastAsia="Times New Roman,SimSun" w:hAnsiTheme="minorHAnsi" w:cs="Times New Roman,SimSun"/>
                <w:sz w:val="20"/>
                <w:lang w:eastAsia="zh-CN"/>
              </w:rPr>
              <w:t xml:space="preserve"> à l'intention de tous les participants. </w:t>
            </w:r>
          </w:p>
        </w:tc>
        <w:tc>
          <w:tcPr>
            <w:tcW w:w="1120" w:type="pct"/>
            <w:vMerge w:val="restart"/>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Clos. La question continuera d'être suivie. </w:t>
            </w:r>
          </w:p>
        </w:tc>
      </w:tr>
      <w:tr w:rsidR="001525C3" w:rsidRPr="00364744" w:rsidTr="00352099">
        <w:trPr>
          <w:cantSplit/>
        </w:trPr>
        <w:tc>
          <w:tcPr>
            <w:tcW w:w="357" w:type="pct"/>
            <w:vMerge/>
            <w:tcBorders>
              <w:top w:val="single" w:sz="4" w:space="0" w:color="auto"/>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p>
        </w:tc>
        <w:tc>
          <w:tcPr>
            <w:tcW w:w="1159" w:type="pct"/>
            <w:vMerge/>
            <w:tcBorders>
              <w:top w:val="single" w:sz="4" w:space="0" w:color="auto"/>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p>
        </w:tc>
        <w:tc>
          <w:tcPr>
            <w:tcW w:w="1206" w:type="pct"/>
            <w:vMerge/>
            <w:tcBorders>
              <w:top w:val="single" w:sz="4" w:space="0" w:color="auto"/>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SimSun" w:hAnsiTheme="minorHAnsi"/>
                <w:sz w:val="20"/>
                <w:lang w:eastAsia="zh-CN"/>
              </w:rPr>
            </w:pPr>
          </w:p>
        </w:tc>
        <w:tc>
          <w:tcPr>
            <w:tcW w:w="1158" w:type="pct"/>
            <w:tcBorders>
              <w:top w:val="single" w:sz="4" w:space="0" w:color="auto"/>
              <w:left w:val="single" w:sz="4" w:space="0" w:color="auto"/>
              <w:bottom w:val="single" w:sz="4" w:space="0" w:color="auto"/>
              <w:right w:val="single" w:sz="4" w:space="0" w:color="auto"/>
            </w:tcBorders>
          </w:tcPr>
          <w:p w:rsidR="001525C3" w:rsidRPr="00E0008C" w:rsidRDefault="001525C3" w:rsidP="00364744">
            <w:pPr>
              <w:pStyle w:val="Tabletext"/>
              <w:spacing w:before="0" w:after="0"/>
              <w:rPr>
                <w:rFonts w:asciiTheme="minorHAnsi" w:eastAsia="SimSun" w:hAnsiTheme="minorHAnsi"/>
                <w:b/>
                <w:bCs/>
                <w:sz w:val="20"/>
                <w:lang w:eastAsia="zh-CN"/>
              </w:rPr>
            </w:pPr>
            <w:r w:rsidRPr="00E0008C">
              <w:rPr>
                <w:rFonts w:asciiTheme="minorHAnsi" w:eastAsia="SimSun" w:hAnsiTheme="minorHAnsi"/>
                <w:b/>
                <w:bCs/>
                <w:sz w:val="20"/>
                <w:lang w:eastAsia="zh-CN"/>
              </w:rPr>
              <w:t>Avril 2017</w:t>
            </w:r>
          </w:p>
          <w:p w:rsidR="001525C3" w:rsidRPr="00364744" w:rsidRDefault="001525C3" w:rsidP="00364744">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 xml:space="preserve">Il ressort des </w:t>
            </w:r>
            <w:r w:rsidRPr="00364744">
              <w:rPr>
                <w:rFonts w:asciiTheme="minorHAnsi" w:hAnsiTheme="minorHAnsi"/>
                <w:color w:val="000000"/>
                <w:sz w:val="20"/>
              </w:rPr>
              <w:t>réactions reçues pendant les discussions avec les pays hôtes et les clients que la préférence est accordée à une manifestation d'une durée de quatre jours, cette durée étant considérée comme la norme dans le secteur pour une manifestation comportant une exposition</w:t>
            </w:r>
            <w:r w:rsidRPr="00364744">
              <w:rPr>
                <w:rFonts w:asciiTheme="minorHAnsi" w:eastAsia="Times New Roman,SimSun" w:hAnsiTheme="minorHAnsi" w:cs="Times New Roman,SimSun"/>
                <w:sz w:val="20"/>
                <w:lang w:eastAsia="zh-CN"/>
              </w:rPr>
              <w:t xml:space="preserve"> (compte tenu du retour sur investissement lié à l'organisation d'un stand). La plus grande attention continue d'être accordée à la planification des activités sur une durée de quatre jours pour veiller à ce que la manifestation continue de susciter de l</w:t>
            </w:r>
            <w:r w:rsidR="00E97537">
              <w:rPr>
                <w:rFonts w:asciiTheme="minorHAnsi" w:eastAsia="Times New Roman,SimSun" w:hAnsiTheme="minorHAnsi" w:cs="Times New Roman,SimSun"/>
                <w:sz w:val="20"/>
                <w:lang w:eastAsia="zh-CN"/>
              </w:rPr>
              <w:t>'intérêt. Les statistiques pour </w:t>
            </w:r>
            <w:r w:rsidRPr="00364744">
              <w:rPr>
                <w:rFonts w:asciiTheme="minorHAnsi" w:eastAsia="Times New Roman,SimSun" w:hAnsiTheme="minorHAnsi" w:cs="Times New Roman,SimSun"/>
                <w:sz w:val="20"/>
                <w:lang w:eastAsia="zh-CN"/>
              </w:rPr>
              <w:t>2016 font apparaître que le taux de participation est le même les trois premiers jours, avec une légère baisse le quatrième jour, pendant lequel la Cérémonie de remise des prix capte toujours l'attention et touche un nouveau public désireux de connaître les programmes du pays hôte à l'intention des ressortissants. L'attention des médias, ce qui se conçoit sans peine, est la plus forte les deux premiers jours, encore que 25% des médias étaient toujours présents le dernier jour de la manifestation. Le taux de participation, les réactions des clients et la programmation continueront d'être suivis, an</w:t>
            </w:r>
            <w:r w:rsidR="00352099" w:rsidRPr="00364744">
              <w:rPr>
                <w:rFonts w:asciiTheme="minorHAnsi" w:eastAsia="Times New Roman,SimSun" w:hAnsiTheme="minorHAnsi" w:cs="Times New Roman,SimSun"/>
                <w:sz w:val="20"/>
                <w:lang w:eastAsia="zh-CN"/>
              </w:rPr>
              <w:t>alysés et traités en permanence.</w:t>
            </w:r>
          </w:p>
        </w:tc>
        <w:tc>
          <w:tcPr>
            <w:tcW w:w="1120" w:type="pct"/>
            <w:vMerge/>
            <w:tcBorders>
              <w:top w:val="single" w:sz="4" w:space="0" w:color="auto"/>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SimSun" w:hAnsiTheme="minorHAnsi"/>
                <w:sz w:val="20"/>
                <w:lang w:eastAsia="zh-CN"/>
              </w:rPr>
            </w:pPr>
          </w:p>
        </w:tc>
      </w:tr>
      <w:tr w:rsidR="00352099" w:rsidRPr="00364744" w:rsidTr="00B56B10">
        <w:trPr>
          <w:cantSplit/>
        </w:trPr>
        <w:tc>
          <w:tcPr>
            <w:tcW w:w="357"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352099" w:rsidRPr="00364744" w:rsidTr="00B56B10">
        <w:trPr>
          <w:cantSplit/>
        </w:trPr>
        <w:tc>
          <w:tcPr>
            <w:tcW w:w="357" w:type="pct"/>
            <w:tcBorders>
              <w:top w:val="single" w:sz="4" w:space="0" w:color="auto"/>
              <w:left w:val="single" w:sz="4" w:space="0" w:color="auto"/>
              <w:right w:val="single" w:sz="4" w:space="0" w:color="auto"/>
            </w:tcBorders>
          </w:tcPr>
          <w:p w:rsidR="00352099" w:rsidRPr="00364744" w:rsidRDefault="00352099"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7</w:t>
            </w:r>
          </w:p>
          <w:p w:rsidR="00352099" w:rsidRPr="00364744" w:rsidRDefault="00352099"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2013</w:t>
            </w:r>
          </w:p>
        </w:tc>
        <w:tc>
          <w:tcPr>
            <w:tcW w:w="1159" w:type="pct"/>
            <w:tcBorders>
              <w:top w:val="single" w:sz="4" w:space="0" w:color="auto"/>
              <w:left w:val="single" w:sz="4" w:space="0" w:color="auto"/>
              <w:right w:val="single" w:sz="4" w:space="0" w:color="auto"/>
            </w:tcBorders>
          </w:tcPr>
          <w:p w:rsidR="00352099" w:rsidRPr="00364744" w:rsidRDefault="00352099" w:rsidP="00364744">
            <w:pPr>
              <w:pStyle w:val="Tabletext"/>
              <w:spacing w:before="0" w:after="0"/>
              <w:rPr>
                <w:rFonts w:asciiTheme="minorHAnsi" w:eastAsia="Times New Roman,SimSun" w:hAnsiTheme="minorHAnsi" w:cs="Times New Roman,SimSun"/>
                <w:b/>
                <w:bCs/>
                <w:sz w:val="20"/>
                <w:lang w:eastAsia="zh-CN"/>
              </w:rPr>
            </w:pPr>
            <w:r w:rsidRPr="00364744">
              <w:rPr>
                <w:rFonts w:asciiTheme="minorHAnsi" w:eastAsia="Times New Roman,SimSun" w:hAnsiTheme="minorHAnsi" w:cs="Times New Roman,SimSun"/>
                <w:b/>
                <w:bCs/>
                <w:sz w:val="20"/>
                <w:lang w:eastAsia="zh-CN"/>
              </w:rPr>
              <w:t>Rendre l'accueil des manifestations plus accessible financièrement pour les pays candidats</w:t>
            </w:r>
          </w:p>
        </w:tc>
        <w:tc>
          <w:tcPr>
            <w:tcW w:w="1206" w:type="pct"/>
            <w:tcBorders>
              <w:top w:val="single" w:sz="4" w:space="0" w:color="auto"/>
              <w:left w:val="single" w:sz="4" w:space="0" w:color="auto"/>
              <w:right w:val="single" w:sz="4" w:space="0" w:color="auto"/>
            </w:tcBorders>
          </w:tcPr>
          <w:p w:rsidR="00352099" w:rsidRPr="00364744" w:rsidRDefault="00352099" w:rsidP="00364744">
            <w:pPr>
              <w:pStyle w:val="Tabletext"/>
              <w:spacing w:before="0" w:after="0"/>
              <w:rPr>
                <w:rFonts w:asciiTheme="minorHAnsi" w:eastAsia="SimSun" w:hAnsiTheme="minorHAnsi"/>
                <w:sz w:val="20"/>
                <w:lang w:eastAsia="zh-CN"/>
              </w:rPr>
            </w:pPr>
          </w:p>
        </w:tc>
        <w:tc>
          <w:tcPr>
            <w:tcW w:w="1158" w:type="pct"/>
            <w:tcBorders>
              <w:top w:val="single" w:sz="4" w:space="0" w:color="auto"/>
              <w:left w:val="single" w:sz="4" w:space="0" w:color="auto"/>
              <w:right w:val="single" w:sz="4" w:space="0" w:color="auto"/>
            </w:tcBorders>
          </w:tcPr>
          <w:p w:rsidR="00352099" w:rsidRPr="00364744" w:rsidRDefault="00352099" w:rsidP="00364744">
            <w:pPr>
              <w:pStyle w:val="Tabletext"/>
              <w:spacing w:before="0" w:after="0"/>
              <w:rPr>
                <w:rFonts w:asciiTheme="minorHAnsi" w:eastAsia="SimSun" w:hAnsiTheme="minorHAnsi"/>
                <w:sz w:val="20"/>
                <w:lang w:eastAsia="zh-CN"/>
              </w:rPr>
            </w:pPr>
          </w:p>
        </w:tc>
        <w:tc>
          <w:tcPr>
            <w:tcW w:w="1120" w:type="pct"/>
            <w:tcBorders>
              <w:top w:val="single" w:sz="4" w:space="0" w:color="auto"/>
              <w:left w:val="single" w:sz="4" w:space="0" w:color="auto"/>
              <w:right w:val="single" w:sz="4" w:space="0" w:color="auto"/>
            </w:tcBorders>
          </w:tcPr>
          <w:p w:rsidR="00352099" w:rsidRPr="00364744" w:rsidRDefault="00352099" w:rsidP="00364744">
            <w:pPr>
              <w:pStyle w:val="Tabletext"/>
              <w:spacing w:before="0" w:after="0"/>
              <w:rPr>
                <w:rFonts w:asciiTheme="minorHAnsi" w:eastAsia="SimSun" w:hAnsiTheme="minorHAnsi"/>
                <w:sz w:val="20"/>
                <w:lang w:eastAsia="zh-CN"/>
              </w:rPr>
            </w:pPr>
          </w:p>
        </w:tc>
      </w:tr>
      <w:tr w:rsidR="001525C3" w:rsidRPr="00364744" w:rsidTr="00B56B10">
        <w:trPr>
          <w:cantSplit/>
          <w:trHeight w:val="2387"/>
        </w:trPr>
        <w:tc>
          <w:tcPr>
            <w:tcW w:w="357" w:type="pct"/>
            <w:vMerge w:val="restart"/>
            <w:tcBorders>
              <w:left w:val="single" w:sz="4" w:space="0" w:color="auto"/>
              <w:right w:val="single" w:sz="4" w:space="0" w:color="auto"/>
            </w:tcBorders>
            <w:hideMark/>
          </w:tcPr>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p>
        </w:tc>
        <w:tc>
          <w:tcPr>
            <w:tcW w:w="1159" w:type="pct"/>
            <w:vMerge w:val="restart"/>
            <w:tcBorders>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proposons de réfléchir à des scénarios permettant aux pays souhaitant accueillir la manifestation d'optimiser au maximum les investissements qu'ils pourraient réaliser en vue d'accueillir la manifestation ITU Telecom World, afin de mieux respecter les dispositions de la Résolution 11 (Rév. Guadalajara, 2010) de la Conférence de plénipotentiaires.</w:t>
            </w:r>
          </w:p>
        </w:tc>
        <w:tc>
          <w:tcPr>
            <w:tcW w:w="1206" w:type="pct"/>
            <w:vMerge w:val="restart"/>
            <w:tcBorders>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Les pays hôtes se sont toujours félicités d'avoir accueilli la manifestation ITU Telecom. Nous poursuivrons nos efforts pour que l'accueil des manifestations ITU Telecom ait toujours plus de retombées</w:t>
            </w:r>
            <w:r w:rsidR="005F0586">
              <w:rPr>
                <w:rFonts w:asciiTheme="minorHAnsi" w:eastAsia="Times New Roman,SimSun" w:hAnsiTheme="minorHAnsi" w:cs="Times New Roman,SimSun"/>
                <w:sz w:val="20"/>
                <w:lang w:eastAsia="zh-CN"/>
              </w:rPr>
              <w:t xml:space="preserve"> positives pour les pays hôtes.</w:t>
            </w:r>
          </w:p>
        </w:tc>
        <w:tc>
          <w:tcPr>
            <w:tcW w:w="1158" w:type="pct"/>
            <w:tcBorders>
              <w:left w:val="single" w:sz="4" w:space="0" w:color="auto"/>
              <w:bottom w:val="single" w:sz="4" w:space="0" w:color="auto"/>
              <w:right w:val="single" w:sz="4" w:space="0" w:color="auto"/>
            </w:tcBorders>
          </w:tcPr>
          <w:p w:rsidR="001525C3" w:rsidRPr="00364744" w:rsidRDefault="001525C3" w:rsidP="00E97537">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En </w:t>
            </w:r>
            <w:r w:rsidRPr="00156BA7">
              <w:rPr>
                <w:rFonts w:asciiTheme="minorHAnsi" w:eastAsia="Times New Roman,SimSun" w:hAnsiTheme="minorHAnsi" w:cs="Times New Roman,SimSun"/>
                <w:b/>
                <w:bCs/>
                <w:sz w:val="20"/>
                <w:lang w:eastAsia="zh-CN"/>
              </w:rPr>
              <w:t>2015</w:t>
            </w:r>
            <w:r w:rsidRPr="00364744">
              <w:rPr>
                <w:rFonts w:asciiTheme="minorHAnsi" w:eastAsia="Times New Roman,SimSun" w:hAnsiTheme="minorHAnsi" w:cs="Times New Roman,SimSun"/>
                <w:sz w:val="20"/>
                <w:lang w:eastAsia="zh-CN"/>
              </w:rPr>
              <w:t xml:space="preserve">, l'UIT a pris un certain nombre d'initiatives destinées à améliorer les avantages offerts au pays hôte. </w:t>
            </w:r>
            <w:proofErr w:type="gramStart"/>
            <w:r w:rsidRPr="00364744">
              <w:rPr>
                <w:rFonts w:asciiTheme="minorHAnsi" w:eastAsia="Times New Roman,SimSun" w:hAnsiTheme="minorHAnsi" w:cs="Times New Roman,SimSun"/>
                <w:sz w:val="20"/>
                <w:lang w:eastAsia="zh-CN"/>
              </w:rPr>
              <w:t>C</w:t>
            </w:r>
            <w:r w:rsidR="00E97537">
              <w:rPr>
                <w:rFonts w:asciiTheme="minorHAnsi" w:eastAsia="Times New Roman,SimSun" w:hAnsiTheme="minorHAnsi" w:cs="Times New Roman,SimSun"/>
                <w:sz w:val="20"/>
                <w:lang w:eastAsia="zh-CN"/>
              </w:rPr>
              <w:t xml:space="preserve">es avantages sont les suivants </w:t>
            </w:r>
            <w:r w:rsidRPr="00364744">
              <w:rPr>
                <w:rFonts w:asciiTheme="minorHAnsi" w:eastAsia="Times New Roman,SimSun" w:hAnsiTheme="minorHAnsi" w:cs="Times New Roman,SimSun"/>
                <w:sz w:val="20"/>
                <w:lang w:eastAsia="zh-CN"/>
              </w:rPr>
              <w:t>1) réduction des obligations générales et prise en compte rigoureuse des incidences sur le plan des coûts lors de la définition des spécifications applicables aux produits attendus du pays hôte</w:t>
            </w:r>
            <w:r w:rsidR="00E97537">
              <w:rPr>
                <w:rFonts w:asciiTheme="minorHAnsi" w:eastAsia="Times New Roman,SimSun" w:hAnsiTheme="minorHAnsi" w:cs="Times New Roman,SimSun"/>
                <w:sz w:val="20"/>
                <w:lang w:eastAsia="zh-CN"/>
              </w:rPr>
              <w:t>; 2) </w:t>
            </w:r>
            <w:r w:rsidRPr="00364744">
              <w:rPr>
                <w:rFonts w:asciiTheme="minorHAnsi" w:eastAsia="Times New Roman,SimSun" w:hAnsiTheme="minorHAnsi" w:cs="Times New Roman,SimSun"/>
                <w:sz w:val="20"/>
                <w:lang w:eastAsia="zh-CN"/>
              </w:rPr>
              <w:t xml:space="preserve">élaboration d'un document sur </w:t>
            </w:r>
            <w:r w:rsidR="00E97537">
              <w:rPr>
                <w:rFonts w:asciiTheme="minorHAnsi" w:eastAsia="Times New Roman,SimSun" w:hAnsiTheme="minorHAnsi" w:cs="Times New Roman,SimSun"/>
                <w:sz w:val="20"/>
                <w:lang w:eastAsia="zh-CN"/>
              </w:rPr>
              <w:t>les avantages pour le pays hôte; 3) </w:t>
            </w:r>
            <w:r w:rsidRPr="00364744">
              <w:rPr>
                <w:rFonts w:asciiTheme="minorHAnsi" w:eastAsia="Times New Roman,SimSun" w:hAnsiTheme="minorHAnsi" w:cs="Times New Roman,SimSun"/>
                <w:sz w:val="20"/>
                <w:lang w:eastAsia="zh-CN"/>
              </w:rPr>
              <w:t>participation du pays hôte à la préparation du Forum pour faire en sorte que les thèmes présentant de l'intérêt soient pris en compte, en particulier les contenus des</w:t>
            </w:r>
            <w:r w:rsidR="00E97537">
              <w:rPr>
                <w:rFonts w:asciiTheme="minorHAnsi" w:eastAsia="Times New Roman,SimSun" w:hAnsiTheme="minorHAnsi" w:cs="Times New Roman,SimSun"/>
                <w:sz w:val="20"/>
                <w:lang w:eastAsia="zh-CN"/>
              </w:rPr>
              <w:t xml:space="preserve">tinés aux ressortissants; et </w:t>
            </w:r>
            <w:r w:rsidRPr="00364744">
              <w:rPr>
                <w:rFonts w:asciiTheme="minorHAnsi" w:eastAsia="Times New Roman,SimSun" w:hAnsiTheme="minorHAnsi" w:cs="Times New Roman,SimSun"/>
                <w:sz w:val="20"/>
                <w:lang w:eastAsia="zh-CN"/>
              </w:rPr>
              <w:t>4) possibilités offertes au pays hôte d'acquérir de la notoriété lors des manifestations ultérieures.</w:t>
            </w:r>
            <w:proofErr w:type="gramEnd"/>
          </w:p>
        </w:tc>
        <w:tc>
          <w:tcPr>
            <w:tcW w:w="1120" w:type="pct"/>
            <w:vMerge w:val="restart"/>
            <w:tcBorders>
              <w:left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Clos. </w:t>
            </w:r>
          </w:p>
        </w:tc>
      </w:tr>
      <w:tr w:rsidR="001525C3" w:rsidRPr="00364744" w:rsidTr="008546D2">
        <w:trPr>
          <w:cantSplit/>
          <w:trHeight w:val="2386"/>
        </w:trPr>
        <w:tc>
          <w:tcPr>
            <w:tcW w:w="357" w:type="pct"/>
            <w:vMerge/>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b/>
                <w:sz w:val="20"/>
                <w:lang w:eastAsia="zh-CN"/>
              </w:rPr>
            </w:pPr>
          </w:p>
        </w:tc>
        <w:tc>
          <w:tcPr>
            <w:tcW w:w="1159" w:type="pct"/>
            <w:vMerge/>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Times New Roman,SimSun" w:hAnsiTheme="minorHAnsi" w:cs="Times New Roman,SimSun"/>
                <w:sz w:val="20"/>
                <w:lang w:eastAsia="zh-CN"/>
              </w:rPr>
            </w:pPr>
          </w:p>
        </w:tc>
        <w:tc>
          <w:tcPr>
            <w:tcW w:w="1206" w:type="pct"/>
            <w:vMerge/>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SimSun" w:hAnsiTheme="minorHAnsi"/>
                <w:sz w:val="20"/>
                <w:lang w:eastAsia="zh-CN"/>
              </w:rPr>
            </w:pPr>
          </w:p>
        </w:tc>
        <w:tc>
          <w:tcPr>
            <w:tcW w:w="1158" w:type="pct"/>
            <w:tcBorders>
              <w:top w:val="single" w:sz="4" w:space="0" w:color="auto"/>
              <w:left w:val="single" w:sz="4" w:space="0" w:color="auto"/>
              <w:bottom w:val="single" w:sz="4" w:space="0" w:color="auto"/>
              <w:right w:val="single" w:sz="4" w:space="0" w:color="auto"/>
            </w:tcBorders>
          </w:tcPr>
          <w:p w:rsidR="001525C3" w:rsidRPr="00156BA7" w:rsidRDefault="001525C3" w:rsidP="00364744">
            <w:pPr>
              <w:pStyle w:val="Tabletext"/>
              <w:spacing w:before="0" w:after="0"/>
              <w:rPr>
                <w:rFonts w:asciiTheme="minorHAnsi" w:eastAsia="SimSun" w:hAnsiTheme="minorHAnsi"/>
                <w:b/>
                <w:bCs/>
                <w:sz w:val="20"/>
                <w:lang w:eastAsia="zh-CN"/>
              </w:rPr>
            </w:pPr>
            <w:r w:rsidRPr="00156BA7">
              <w:rPr>
                <w:rFonts w:asciiTheme="minorHAnsi" w:eastAsia="SimSun" w:hAnsiTheme="minorHAnsi"/>
                <w:b/>
                <w:bCs/>
                <w:sz w:val="20"/>
                <w:lang w:eastAsia="zh-CN"/>
              </w:rPr>
              <w:t>2017</w:t>
            </w:r>
          </w:p>
          <w:p w:rsidR="001525C3" w:rsidRPr="00364744" w:rsidRDefault="001525C3" w:rsidP="00364744">
            <w:pPr>
              <w:pStyle w:val="Tabletext"/>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Des réactions positives continuent d'être reçues de la part des pays hôtes, qui entendent renforcer leur participation et organiser davantage d'initiatives et de programmes spécialement destinés à un public national. Il convient de noter que certaines administrations souhaitent accueillir à nouveau la manifestation.</w:t>
            </w:r>
          </w:p>
        </w:tc>
        <w:tc>
          <w:tcPr>
            <w:tcW w:w="1120" w:type="pct"/>
            <w:vMerge/>
            <w:tcBorders>
              <w:left w:val="single" w:sz="4" w:space="0" w:color="auto"/>
              <w:bottom w:val="single" w:sz="4" w:space="0" w:color="auto"/>
              <w:right w:val="single" w:sz="4" w:space="0" w:color="auto"/>
            </w:tcBorders>
          </w:tcPr>
          <w:p w:rsidR="001525C3" w:rsidRPr="00364744" w:rsidRDefault="001525C3" w:rsidP="00364744">
            <w:pPr>
              <w:pStyle w:val="Tabletext"/>
              <w:spacing w:before="0" w:after="0"/>
              <w:rPr>
                <w:rFonts w:asciiTheme="minorHAnsi" w:eastAsia="SimSun" w:hAnsiTheme="minorHAnsi"/>
                <w:sz w:val="20"/>
                <w:lang w:eastAsia="zh-CN"/>
              </w:rPr>
            </w:pPr>
          </w:p>
        </w:tc>
      </w:tr>
      <w:tr w:rsidR="00352099" w:rsidRPr="00364744" w:rsidTr="00364744">
        <w:trPr>
          <w:cantSplit/>
        </w:trPr>
        <w:tc>
          <w:tcPr>
            <w:tcW w:w="357"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SimSun" w:hAnsiTheme="minorHAnsi"/>
                <w:sz w:val="20"/>
                <w:lang w:eastAsia="zh-CN"/>
              </w:rPr>
            </w:pPr>
          </w:p>
        </w:tc>
        <w:tc>
          <w:tcPr>
            <w:tcW w:w="1159"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Suggestion formulée par la Cour des Comptes italienne</w:t>
            </w:r>
          </w:p>
        </w:tc>
        <w:tc>
          <w:tcPr>
            <w:tcW w:w="1206"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Commentaires fournis par le Secrétaire général au moment de la publication du rapport</w:t>
            </w:r>
          </w:p>
        </w:tc>
        <w:tc>
          <w:tcPr>
            <w:tcW w:w="1158"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 la situation indiqué par la direction de l'UIT</w:t>
            </w:r>
          </w:p>
        </w:tc>
        <w:tc>
          <w:tcPr>
            <w:tcW w:w="1120" w:type="pct"/>
            <w:tcBorders>
              <w:top w:val="single" w:sz="4" w:space="0" w:color="auto"/>
              <w:left w:val="single" w:sz="4" w:space="0" w:color="auto"/>
              <w:bottom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Etat des mesures prises par la direction selon l'évaluation de la Cour des Comptes italienne</w:t>
            </w:r>
          </w:p>
        </w:tc>
      </w:tr>
      <w:tr w:rsidR="00352099" w:rsidRPr="00364744" w:rsidTr="00364744">
        <w:trPr>
          <w:cantSplit/>
        </w:trPr>
        <w:tc>
          <w:tcPr>
            <w:tcW w:w="357" w:type="pct"/>
            <w:tcBorders>
              <w:top w:val="single" w:sz="4" w:space="0" w:color="auto"/>
              <w:left w:val="single" w:sz="4" w:space="0" w:color="auto"/>
              <w:right w:val="single" w:sz="4" w:space="0" w:color="auto"/>
            </w:tcBorders>
            <w:vAlign w:val="center"/>
          </w:tcPr>
          <w:p w:rsidR="00352099" w:rsidRPr="00364744" w:rsidRDefault="00352099" w:rsidP="00364744">
            <w:pPr>
              <w:pStyle w:val="Tabletext"/>
              <w:spacing w:before="0" w:after="0"/>
              <w:rPr>
                <w:rFonts w:asciiTheme="minorHAnsi" w:eastAsia="Times New Roman,SimSun" w:hAnsiTheme="minorHAnsi" w:cs="Times New Roman,SimSun"/>
                <w:b/>
                <w:sz w:val="20"/>
                <w:lang w:eastAsia="zh-CN"/>
              </w:rPr>
            </w:pPr>
            <w:r w:rsidRPr="00364744">
              <w:rPr>
                <w:rFonts w:asciiTheme="minorHAnsi" w:eastAsia="Times New Roman,SimSun" w:hAnsiTheme="minorHAnsi" w:cs="Times New Roman,SimSun"/>
                <w:b/>
                <w:sz w:val="20"/>
                <w:lang w:eastAsia="zh-CN"/>
              </w:rPr>
              <w:t>Sugg. 10</w:t>
            </w:r>
          </w:p>
          <w:p w:rsidR="00352099" w:rsidRPr="00364744" w:rsidRDefault="00352099" w:rsidP="00364744">
            <w:pPr>
              <w:pStyle w:val="Tablehead"/>
              <w:spacing w:before="0" w:after="0"/>
              <w:rPr>
                <w:rFonts w:asciiTheme="minorHAnsi" w:eastAsia="SimSun" w:hAnsiTheme="minorHAnsi"/>
                <w:sz w:val="20"/>
                <w:lang w:eastAsia="zh-CN"/>
              </w:rPr>
            </w:pPr>
            <w:r w:rsidRPr="00364744">
              <w:rPr>
                <w:rFonts w:asciiTheme="minorHAnsi" w:eastAsia="Times New Roman,SimSun" w:hAnsiTheme="minorHAnsi" w:cs="Times New Roman,SimSun"/>
                <w:sz w:val="20"/>
                <w:lang w:eastAsia="zh-CN"/>
              </w:rPr>
              <w:t>2013</w:t>
            </w:r>
          </w:p>
        </w:tc>
        <w:tc>
          <w:tcPr>
            <w:tcW w:w="1159" w:type="pct"/>
            <w:tcBorders>
              <w:top w:val="single" w:sz="4" w:space="0" w:color="auto"/>
              <w:left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Affaiblissement éventuel de l'image de la manifestation ITU Telecom World</w:t>
            </w:r>
          </w:p>
        </w:tc>
        <w:tc>
          <w:tcPr>
            <w:tcW w:w="1206" w:type="pct"/>
            <w:tcBorders>
              <w:top w:val="single" w:sz="4" w:space="0" w:color="auto"/>
              <w:left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p>
        </w:tc>
        <w:tc>
          <w:tcPr>
            <w:tcW w:w="1120" w:type="pct"/>
            <w:tcBorders>
              <w:top w:val="single" w:sz="4" w:space="0" w:color="auto"/>
              <w:left w:val="single" w:sz="4" w:space="0" w:color="auto"/>
              <w:right w:val="single" w:sz="4" w:space="0" w:color="auto"/>
            </w:tcBorders>
            <w:vAlign w:val="center"/>
          </w:tcPr>
          <w:p w:rsidR="00352099" w:rsidRPr="00364744" w:rsidRDefault="00352099" w:rsidP="00364744">
            <w:pPr>
              <w:pStyle w:val="Tablehead"/>
              <w:spacing w:before="0" w:after="0"/>
              <w:rPr>
                <w:rFonts w:asciiTheme="minorHAnsi" w:eastAsia="Times New Roman,SimSun" w:hAnsiTheme="minorHAnsi" w:cs="Times New Roman,SimSun"/>
                <w:sz w:val="20"/>
                <w:lang w:eastAsia="zh-CN"/>
              </w:rPr>
            </w:pPr>
          </w:p>
        </w:tc>
      </w:tr>
      <w:tr w:rsidR="00352099" w:rsidRPr="00364744" w:rsidTr="00364744">
        <w:trPr>
          <w:cantSplit/>
        </w:trPr>
        <w:tc>
          <w:tcPr>
            <w:tcW w:w="357" w:type="pct"/>
            <w:tcBorders>
              <w:left w:val="single" w:sz="4" w:space="0" w:color="auto"/>
              <w:bottom w:val="single" w:sz="4" w:space="0" w:color="auto"/>
              <w:right w:val="single" w:sz="4" w:space="0" w:color="auto"/>
            </w:tcBorders>
            <w:hideMark/>
          </w:tcPr>
          <w:p w:rsidR="00352099" w:rsidRPr="00364744" w:rsidRDefault="00352099" w:rsidP="00364744">
            <w:pPr>
              <w:pStyle w:val="Tabletext"/>
              <w:spacing w:before="0" w:after="0"/>
              <w:rPr>
                <w:rFonts w:asciiTheme="minorHAnsi" w:eastAsia="Times New Roman,SimSun" w:hAnsiTheme="minorHAnsi" w:cs="Times New Roman,SimSun"/>
                <w:b/>
                <w:sz w:val="20"/>
                <w:lang w:eastAsia="zh-CN"/>
              </w:rPr>
            </w:pPr>
          </w:p>
        </w:tc>
        <w:tc>
          <w:tcPr>
            <w:tcW w:w="1159" w:type="pct"/>
            <w:tcBorders>
              <w:left w:val="single" w:sz="4" w:space="0" w:color="auto"/>
              <w:bottom w:val="single" w:sz="4" w:space="0" w:color="auto"/>
              <w:right w:val="single" w:sz="4" w:space="0" w:color="auto"/>
            </w:tcBorders>
          </w:tcPr>
          <w:p w:rsidR="00352099" w:rsidRPr="00364744" w:rsidRDefault="00352099"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Nous sommes d'avis que la direction doit envisager de repenser la manifestation dans son ensemble et de réexaminer sa structure, afin de préserver ou de modifier l'image même de la manifestation.</w:t>
            </w:r>
          </w:p>
          <w:p w:rsidR="00352099" w:rsidRPr="00364744" w:rsidRDefault="00352099"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Etant donné que ces décisions relèvent de la Conférence de plénipotentiaires et sont portées à son attention, nous proposons à la direction de présenter une étude sur la question pour aider la Conférence de plénipotentiaires à pr</w:t>
            </w:r>
            <w:r w:rsidR="005F0586">
              <w:rPr>
                <w:rFonts w:asciiTheme="minorHAnsi" w:eastAsia="Times New Roman,SimSun" w:hAnsiTheme="minorHAnsi" w:cs="Times New Roman,SimSun"/>
                <w:sz w:val="20"/>
                <w:lang w:eastAsia="zh-CN"/>
              </w:rPr>
              <w:t>endre des décisions opportunes.</w:t>
            </w:r>
          </w:p>
        </w:tc>
        <w:tc>
          <w:tcPr>
            <w:tcW w:w="1206" w:type="pct"/>
            <w:tcBorders>
              <w:left w:val="single" w:sz="4" w:space="0" w:color="auto"/>
              <w:bottom w:val="single" w:sz="4" w:space="0" w:color="auto"/>
              <w:right w:val="single" w:sz="4" w:space="0" w:color="auto"/>
            </w:tcBorders>
          </w:tcPr>
          <w:p w:rsidR="00352099" w:rsidRPr="00364744" w:rsidRDefault="00352099"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La restructuration d'ITU Telecom qui a débuté après la PP-10 s'est révélée être efficace, comme le confirment les résultats financiers et les différentes enquêtes menées. Nous poursuivrons nos efforts afin de mettre en avant les points forts d'ITU Telecom et de redonner à cette manifestation toute son importance.</w:t>
            </w:r>
          </w:p>
        </w:tc>
        <w:tc>
          <w:tcPr>
            <w:tcW w:w="1158" w:type="pct"/>
            <w:tcBorders>
              <w:left w:val="single" w:sz="4" w:space="0" w:color="auto"/>
              <w:bottom w:val="single" w:sz="4" w:space="0" w:color="auto"/>
              <w:right w:val="single" w:sz="4" w:space="0" w:color="auto"/>
            </w:tcBorders>
          </w:tcPr>
          <w:p w:rsidR="00352099" w:rsidRPr="00364744" w:rsidRDefault="00352099"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La priorité accordée aux PME a été bien accueillie et les PME continueront d'être mises en avant en 2016. L'UIT continuera d'assurer un suivi en invitant toutes les parties prenantes à faire connaître leurs réactions par le biais d'enquêtes et de discussions avec les interlocuteurs présents sur place.</w:t>
            </w:r>
          </w:p>
          <w:p w:rsidR="00352099" w:rsidRPr="00364744" w:rsidRDefault="00352099"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Il ressort des résultats des enquêtes menées en 2016 auprès des participants que la priorité accordée aux PME est bien accueillie et plus de 66% des participants à l'enquête ont fait savoir que cette priorité était l'un des aspects qui était entré en ligne de compte dans leur décision de participer. Plus de 70% des participants à l'enquête considèrent la priorité accordée aux PME comme une initiative positive, tandis que plus de 50% d'entre eux souhaitent que cette initiative soit encore renforcée.</w:t>
            </w:r>
          </w:p>
        </w:tc>
        <w:tc>
          <w:tcPr>
            <w:tcW w:w="1120" w:type="pct"/>
            <w:tcBorders>
              <w:left w:val="single" w:sz="4" w:space="0" w:color="auto"/>
              <w:bottom w:val="single" w:sz="4" w:space="0" w:color="auto"/>
              <w:right w:val="single" w:sz="4" w:space="0" w:color="auto"/>
            </w:tcBorders>
          </w:tcPr>
          <w:p w:rsidR="00352099" w:rsidRPr="00364744" w:rsidRDefault="00352099"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 xml:space="preserve">En cours. </w:t>
            </w:r>
          </w:p>
        </w:tc>
      </w:tr>
      <w:tr w:rsidR="00364744" w:rsidRPr="00364744" w:rsidTr="008546D2">
        <w:trPr>
          <w:cantSplit/>
        </w:trPr>
        <w:tc>
          <w:tcPr>
            <w:tcW w:w="357" w:type="pct"/>
            <w:tcBorders>
              <w:top w:val="single" w:sz="4" w:space="0" w:color="auto"/>
              <w:left w:val="single" w:sz="4" w:space="0" w:color="auto"/>
              <w:bottom w:val="single" w:sz="4" w:space="0" w:color="auto"/>
              <w:right w:val="single" w:sz="4" w:space="0" w:color="auto"/>
            </w:tcBorders>
          </w:tcPr>
          <w:p w:rsidR="00364744" w:rsidRPr="00364744" w:rsidRDefault="00364744" w:rsidP="00364744">
            <w:pPr>
              <w:pStyle w:val="Tabletext"/>
              <w:spacing w:before="0" w:after="0"/>
              <w:rPr>
                <w:rFonts w:asciiTheme="minorHAnsi" w:eastAsia="Times New Roman,SimSun" w:hAnsiTheme="minorHAnsi" w:cs="Times New Roman,SimSun"/>
                <w:b/>
                <w:sz w:val="20"/>
                <w:lang w:eastAsia="zh-CN"/>
              </w:rPr>
            </w:pPr>
          </w:p>
        </w:tc>
        <w:tc>
          <w:tcPr>
            <w:tcW w:w="1159" w:type="pct"/>
            <w:tcBorders>
              <w:top w:val="single" w:sz="4" w:space="0" w:color="auto"/>
              <w:left w:val="single" w:sz="4" w:space="0" w:color="auto"/>
              <w:bottom w:val="single" w:sz="4" w:space="0" w:color="auto"/>
              <w:right w:val="single" w:sz="4" w:space="0" w:color="auto"/>
            </w:tcBorders>
          </w:tcPr>
          <w:p w:rsidR="00364744" w:rsidRPr="00364744" w:rsidRDefault="00364744" w:rsidP="00364744">
            <w:pPr>
              <w:pStyle w:val="Tabletext"/>
              <w:spacing w:before="0" w:after="0"/>
              <w:rPr>
                <w:rFonts w:asciiTheme="minorHAnsi" w:eastAsia="Times New Roman,SimSun" w:hAnsiTheme="minorHAnsi" w:cs="Times New Roman,SimSun"/>
                <w:sz w:val="20"/>
                <w:lang w:eastAsia="zh-CN"/>
              </w:rPr>
            </w:pPr>
          </w:p>
        </w:tc>
        <w:tc>
          <w:tcPr>
            <w:tcW w:w="1206" w:type="pct"/>
            <w:tcBorders>
              <w:top w:val="single" w:sz="4" w:space="0" w:color="auto"/>
              <w:left w:val="single" w:sz="4" w:space="0" w:color="auto"/>
              <w:bottom w:val="single" w:sz="4" w:space="0" w:color="auto"/>
              <w:right w:val="single" w:sz="4" w:space="0" w:color="auto"/>
            </w:tcBorders>
          </w:tcPr>
          <w:p w:rsidR="00364744" w:rsidRPr="00364744" w:rsidRDefault="00364744" w:rsidP="00364744">
            <w:pPr>
              <w:pStyle w:val="Tabletext"/>
              <w:spacing w:before="0" w:after="0"/>
              <w:rPr>
                <w:rFonts w:asciiTheme="minorHAnsi" w:eastAsia="Times New Roman,SimSun" w:hAnsiTheme="minorHAnsi" w:cs="Times New Roman,SimSun"/>
                <w:sz w:val="20"/>
                <w:lang w:eastAsia="zh-CN"/>
              </w:rPr>
            </w:pPr>
          </w:p>
        </w:tc>
        <w:tc>
          <w:tcPr>
            <w:tcW w:w="1158" w:type="pct"/>
            <w:tcBorders>
              <w:top w:val="single" w:sz="4" w:space="0" w:color="auto"/>
              <w:left w:val="single" w:sz="4" w:space="0" w:color="auto"/>
              <w:bottom w:val="single" w:sz="4" w:space="0" w:color="auto"/>
              <w:right w:val="single" w:sz="4" w:space="0" w:color="auto"/>
            </w:tcBorders>
          </w:tcPr>
          <w:p w:rsidR="00364744" w:rsidRPr="00364744" w:rsidRDefault="00364744" w:rsidP="00364744">
            <w:pPr>
              <w:pStyle w:val="Tabletext"/>
              <w:spacing w:before="0" w:after="0"/>
              <w:rPr>
                <w:rFonts w:asciiTheme="minorHAnsi" w:eastAsia="Times New Roman,SimSun" w:hAnsiTheme="minorHAnsi" w:cs="Times New Roman,SimSun"/>
                <w:sz w:val="20"/>
                <w:lang w:eastAsia="zh-CN"/>
              </w:rPr>
            </w:pPr>
            <w:r w:rsidRPr="00364744">
              <w:rPr>
                <w:rFonts w:asciiTheme="minorHAnsi" w:eastAsia="Times New Roman,SimSun" w:hAnsiTheme="minorHAnsi" w:cs="Times New Roman,SimSun"/>
                <w:sz w:val="20"/>
                <w:lang w:eastAsia="zh-CN"/>
              </w:rPr>
              <w:t>Des enquêtes continueront d'être menées pour évaluer le sentiment général de satisfaction à l'égard de la manifestation et recueillir les avis sur certains volets de la manifestation, afin que les résultats puissent être pris en compte dans les offres des manifestations futures, de façon que celles-ci soient adaptées.</w:t>
            </w:r>
          </w:p>
        </w:tc>
        <w:tc>
          <w:tcPr>
            <w:tcW w:w="1120" w:type="pct"/>
            <w:tcBorders>
              <w:top w:val="single" w:sz="4" w:space="0" w:color="auto"/>
              <w:left w:val="single" w:sz="4" w:space="0" w:color="auto"/>
              <w:bottom w:val="single" w:sz="4" w:space="0" w:color="auto"/>
              <w:right w:val="single" w:sz="4" w:space="0" w:color="auto"/>
            </w:tcBorders>
          </w:tcPr>
          <w:p w:rsidR="00364744" w:rsidRPr="00364744" w:rsidRDefault="00364744" w:rsidP="00364744">
            <w:pPr>
              <w:pStyle w:val="Tabletext"/>
              <w:spacing w:before="0" w:after="0"/>
              <w:rPr>
                <w:rFonts w:asciiTheme="minorHAnsi" w:eastAsia="Times New Roman,SimSun" w:hAnsiTheme="minorHAnsi" w:cs="Times New Roman,SimSun"/>
                <w:sz w:val="20"/>
                <w:lang w:eastAsia="zh-CN"/>
              </w:rPr>
            </w:pPr>
          </w:p>
        </w:tc>
      </w:tr>
    </w:tbl>
    <w:p w:rsidR="001B4D5E" w:rsidRDefault="001B4D5E" w:rsidP="0060670F">
      <w:pPr>
        <w:pStyle w:val="Reasons"/>
      </w:pPr>
    </w:p>
    <w:p w:rsidR="001B4D5E" w:rsidRDefault="001B4D5E">
      <w:pPr>
        <w:jc w:val="center"/>
      </w:pPr>
      <w:r>
        <w:t>______________</w:t>
      </w:r>
    </w:p>
    <w:sectPr w:rsidR="001B4D5E" w:rsidSect="00896DD4">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82" w:rsidRDefault="00421C82">
      <w:r>
        <w:separator/>
      </w:r>
    </w:p>
  </w:endnote>
  <w:endnote w:type="continuationSeparator" w:id="0">
    <w:p w:rsidR="00421C82" w:rsidRDefault="0042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0E" w:rsidRPr="00A75450" w:rsidRDefault="009B260E" w:rsidP="002149BD">
    <w:pPr>
      <w:pStyle w:val="Footer"/>
      <w:rPr>
        <w:color w:val="D9D9D9" w:themeColor="background1" w:themeShade="D9"/>
      </w:rPr>
    </w:pPr>
    <w:r w:rsidRPr="00A75450">
      <w:rPr>
        <w:color w:val="D9D9D9" w:themeColor="background1" w:themeShade="D9"/>
      </w:rPr>
      <w:fldChar w:fldCharType="begin"/>
    </w:r>
    <w:r w:rsidRPr="00A75450">
      <w:rPr>
        <w:color w:val="D9D9D9" w:themeColor="background1" w:themeShade="D9"/>
      </w:rPr>
      <w:instrText xml:space="preserve"> FILENAME \p  \* MERGEFORMAT </w:instrText>
    </w:r>
    <w:r w:rsidRPr="00A75450">
      <w:rPr>
        <w:color w:val="D9D9D9" w:themeColor="background1" w:themeShade="D9"/>
      </w:rPr>
      <w:fldChar w:fldCharType="separate"/>
    </w:r>
    <w:r w:rsidR="005C783B">
      <w:rPr>
        <w:color w:val="D9D9D9" w:themeColor="background1" w:themeShade="D9"/>
      </w:rPr>
      <w:t>C:\Users\brouard\Desktop\041F.docx</w:t>
    </w:r>
    <w:r w:rsidRPr="00A75450">
      <w:rPr>
        <w:color w:val="D9D9D9" w:themeColor="background1" w:themeShade="D9"/>
      </w:rPr>
      <w:fldChar w:fldCharType="end"/>
    </w:r>
    <w:r w:rsidRPr="00A75450">
      <w:rPr>
        <w:color w:val="D9D9D9" w:themeColor="background1" w:themeShade="D9"/>
      </w:rPr>
      <w:t xml:space="preserve"> (409491)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0E" w:rsidRPr="00F64AB1" w:rsidRDefault="009B260E" w:rsidP="000474A7">
    <w:pPr>
      <w:spacing w:after="120"/>
      <w:jc w:val="center"/>
      <w:rPr>
        <w:rFonts w:asciiTheme="minorHAnsi" w:hAnsiTheme="minorHAnsi"/>
      </w:rPr>
    </w:pPr>
    <w:r w:rsidRPr="00F64AB1">
      <w:rPr>
        <w:rFonts w:asciiTheme="minorHAnsi" w:hAnsiTheme="minorHAnsi"/>
      </w:rPr>
      <w:t xml:space="preserve">• </w:t>
    </w:r>
    <w:hyperlink r:id="rId1" w:history="1">
      <w:r w:rsidRPr="00F64AB1">
        <w:rPr>
          <w:rStyle w:val="Hyperlink"/>
          <w:rFonts w:asciiTheme="minorHAnsi" w:hAnsiTheme="minorHAnsi"/>
        </w:rPr>
        <w:t>http://www.itu.int/council</w:t>
      </w:r>
    </w:hyperlink>
    <w:r w:rsidRPr="00F64AB1">
      <w:rPr>
        <w:rFonts w:asciiTheme="minorHAnsi" w:hAnsiTheme="minorHAnsi"/>
      </w:rPr>
      <w:t xml:space="preserve"> •</w:t>
    </w:r>
  </w:p>
  <w:p w:rsidR="009B260E" w:rsidRPr="00A75450" w:rsidRDefault="009B260E" w:rsidP="009A61A1">
    <w:pPr>
      <w:pStyle w:val="Footer"/>
      <w:rPr>
        <w:color w:val="D9D9D9" w:themeColor="background1" w:themeShade="D9"/>
      </w:rPr>
    </w:pPr>
    <w:r w:rsidRPr="00A75450">
      <w:rPr>
        <w:color w:val="D9D9D9" w:themeColor="background1" w:themeShade="D9"/>
      </w:rPr>
      <w:fldChar w:fldCharType="begin"/>
    </w:r>
    <w:r w:rsidRPr="00A75450">
      <w:rPr>
        <w:color w:val="D9D9D9" w:themeColor="background1" w:themeShade="D9"/>
      </w:rPr>
      <w:instrText xml:space="preserve"> FILENAME \p  \* MERGEFORMAT </w:instrText>
    </w:r>
    <w:r w:rsidRPr="00A75450">
      <w:rPr>
        <w:color w:val="D9D9D9" w:themeColor="background1" w:themeShade="D9"/>
      </w:rPr>
      <w:fldChar w:fldCharType="separate"/>
    </w:r>
    <w:r w:rsidR="005C783B">
      <w:rPr>
        <w:color w:val="D9D9D9" w:themeColor="background1" w:themeShade="D9"/>
      </w:rPr>
      <w:t>C:\Users\brouard\Desktop\041F.docx</w:t>
    </w:r>
    <w:r w:rsidRPr="00A75450">
      <w:rPr>
        <w:color w:val="D9D9D9" w:themeColor="background1" w:themeShade="D9"/>
      </w:rPr>
      <w:fldChar w:fldCharType="end"/>
    </w:r>
    <w:r w:rsidRPr="00A75450">
      <w:rPr>
        <w:color w:val="D9D9D9" w:themeColor="background1" w:themeShade="D9"/>
      </w:rPr>
      <w:t xml:space="preserve"> (409491)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0E" w:rsidRPr="006E4E82" w:rsidRDefault="009B260E">
    <w:pPr>
      <w:pStyle w:val="Footer"/>
      <w:rPr>
        <w:lang w:val="en-US"/>
      </w:rPr>
    </w:pPr>
    <w:r>
      <w:fldChar w:fldCharType="begin"/>
    </w:r>
    <w:r w:rsidRPr="006E4E82">
      <w:rPr>
        <w:lang w:val="en-US"/>
      </w:rPr>
      <w:instrText xml:space="preserve"> FILENAME \p \* MERGEFORMAT </w:instrText>
    </w:r>
    <w:r>
      <w:fldChar w:fldCharType="separate"/>
    </w:r>
    <w:r w:rsidR="005C783B">
      <w:rPr>
        <w:lang w:val="en-US"/>
      </w:rPr>
      <w:t>C:\Users\brouard\Desktop\041F.docx</w:t>
    </w:r>
    <w:r>
      <w:fldChar w:fldCharType="end"/>
    </w:r>
    <w:r w:rsidRPr="006E4E82">
      <w:rPr>
        <w:lang w:val="en-US"/>
      </w:rPr>
      <w:tab/>
    </w:r>
    <w:r>
      <w:fldChar w:fldCharType="begin"/>
    </w:r>
    <w:r>
      <w:instrText xml:space="preserve"> savedate \@ dd.MM.yy </w:instrText>
    </w:r>
    <w:r>
      <w:fldChar w:fldCharType="separate"/>
    </w:r>
    <w:r w:rsidR="005C783B">
      <w:t>19.05.17</w:t>
    </w:r>
    <w:r>
      <w:fldChar w:fldCharType="end"/>
    </w:r>
    <w:r w:rsidRPr="006E4E82">
      <w:rPr>
        <w:lang w:val="en-US"/>
      </w:rPr>
      <w:tab/>
    </w:r>
    <w:r>
      <w:fldChar w:fldCharType="begin"/>
    </w:r>
    <w:r>
      <w:instrText xml:space="preserve"> printdate \@ dd.MM.yy </w:instrText>
    </w:r>
    <w:r>
      <w:fldChar w:fldCharType="separate"/>
    </w:r>
    <w:r w:rsidR="005C783B">
      <w:t>19.05.17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0E" w:rsidRPr="00A75450" w:rsidRDefault="009B260E" w:rsidP="00896DD4">
    <w:pPr>
      <w:pStyle w:val="Footer"/>
      <w:rPr>
        <w:color w:val="D9D9D9" w:themeColor="background1" w:themeShade="D9"/>
      </w:rPr>
    </w:pPr>
    <w:r w:rsidRPr="00A75450">
      <w:rPr>
        <w:color w:val="D9D9D9" w:themeColor="background1" w:themeShade="D9"/>
      </w:rPr>
      <w:fldChar w:fldCharType="begin"/>
    </w:r>
    <w:r w:rsidRPr="00A75450">
      <w:rPr>
        <w:color w:val="D9D9D9" w:themeColor="background1" w:themeShade="D9"/>
      </w:rPr>
      <w:instrText xml:space="preserve"> FILENAME \p  \* MERGEFORMAT </w:instrText>
    </w:r>
    <w:r w:rsidRPr="00A75450">
      <w:rPr>
        <w:color w:val="D9D9D9" w:themeColor="background1" w:themeShade="D9"/>
      </w:rPr>
      <w:fldChar w:fldCharType="separate"/>
    </w:r>
    <w:r w:rsidR="005C783B">
      <w:rPr>
        <w:color w:val="D9D9D9" w:themeColor="background1" w:themeShade="D9"/>
      </w:rPr>
      <w:t>C:\Users\brouard\Desktop\041F.docx</w:t>
    </w:r>
    <w:r w:rsidRPr="00A75450">
      <w:rPr>
        <w:color w:val="D9D9D9" w:themeColor="background1" w:themeShade="D9"/>
      </w:rPr>
      <w:fldChar w:fldCharType="end"/>
    </w:r>
    <w:r w:rsidRPr="00A75450">
      <w:rPr>
        <w:color w:val="D9D9D9" w:themeColor="background1" w:themeShade="D9"/>
      </w:rPr>
      <w:t xml:space="preserve"> (409491)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0E" w:rsidRPr="00A75450" w:rsidRDefault="009B260E" w:rsidP="00896DD4">
    <w:pPr>
      <w:pStyle w:val="Footer"/>
      <w:rPr>
        <w:color w:val="D9D9D9" w:themeColor="background1" w:themeShade="D9"/>
        <w:lang w:val="fr-CH"/>
      </w:rPr>
    </w:pPr>
    <w:r w:rsidRPr="00A75450">
      <w:rPr>
        <w:color w:val="D9D9D9" w:themeColor="background1" w:themeShade="D9"/>
      </w:rPr>
      <w:fldChar w:fldCharType="begin"/>
    </w:r>
    <w:r w:rsidRPr="00A75450">
      <w:rPr>
        <w:color w:val="D9D9D9" w:themeColor="background1" w:themeShade="D9"/>
        <w:lang w:val="fr-CH"/>
      </w:rPr>
      <w:instrText xml:space="preserve"> FILENAME \p  \* MERGEFORMAT </w:instrText>
    </w:r>
    <w:r w:rsidRPr="00A75450">
      <w:rPr>
        <w:color w:val="D9D9D9" w:themeColor="background1" w:themeShade="D9"/>
      </w:rPr>
      <w:fldChar w:fldCharType="separate"/>
    </w:r>
    <w:r w:rsidR="005C783B">
      <w:rPr>
        <w:color w:val="D9D9D9" w:themeColor="background1" w:themeShade="D9"/>
        <w:lang w:val="fr-CH"/>
      </w:rPr>
      <w:t>C:\Users\brouard\Desktop\041F.docx</w:t>
    </w:r>
    <w:r w:rsidRPr="00A75450">
      <w:rPr>
        <w:color w:val="D9D9D9" w:themeColor="background1" w:themeShade="D9"/>
      </w:rPr>
      <w:fldChar w:fldCharType="end"/>
    </w:r>
    <w:r w:rsidRPr="00A75450">
      <w:rPr>
        <w:color w:val="D9D9D9" w:themeColor="background1" w:themeShade="D9"/>
        <w:lang w:val="fr-CH"/>
      </w:rPr>
      <w:t xml:space="preserve"> (409491)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82" w:rsidRDefault="00421C82">
      <w:r>
        <w:t>____________________</w:t>
      </w:r>
    </w:p>
  </w:footnote>
  <w:footnote w:type="continuationSeparator" w:id="0">
    <w:p w:rsidR="00421C82" w:rsidRDefault="00421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9D9D9" w:themeColor="background1" w:themeShade="D9"/>
      </w:rPr>
      <w:id w:val="1798485039"/>
      <w:docPartObj>
        <w:docPartGallery w:val="Page Numbers (Top of Page)"/>
        <w:docPartUnique/>
      </w:docPartObj>
    </w:sdtPr>
    <w:sdtEndPr>
      <w:rPr>
        <w:noProof/>
        <w:color w:val="auto"/>
      </w:rPr>
    </w:sdtEndPr>
    <w:sdtContent>
      <w:p w:rsidR="009B260E" w:rsidRPr="00A75450" w:rsidRDefault="009B260E" w:rsidP="00DA18A8">
        <w:pPr>
          <w:pStyle w:val="Header"/>
          <w:rPr>
            <w:noProof/>
          </w:rPr>
        </w:pPr>
        <w:r w:rsidRPr="00A75450">
          <w:fldChar w:fldCharType="begin"/>
        </w:r>
        <w:r w:rsidRPr="00A75450">
          <w:instrText xml:space="preserve"> PAGE   \* MERGEFORMAT </w:instrText>
        </w:r>
        <w:r w:rsidRPr="00A75450">
          <w:fldChar w:fldCharType="separate"/>
        </w:r>
        <w:r w:rsidR="005C783B">
          <w:rPr>
            <w:noProof/>
          </w:rPr>
          <w:t>4</w:t>
        </w:r>
        <w:r w:rsidRPr="00A75450">
          <w:rPr>
            <w:noProof/>
          </w:rPr>
          <w:fldChar w:fldCharType="end"/>
        </w:r>
      </w:p>
      <w:p w:rsidR="009B260E" w:rsidRPr="00A75450" w:rsidRDefault="009B260E" w:rsidP="00DA18A8">
        <w:pPr>
          <w:pStyle w:val="Header"/>
        </w:pPr>
        <w:r w:rsidRPr="00A75450">
          <w:rPr>
            <w:noProof/>
          </w:rPr>
          <w:t>C17/41-F</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0E" w:rsidRPr="00D31FF8" w:rsidRDefault="009B260E" w:rsidP="00896DD4">
    <w:pPr>
      <w:framePr w:wrap="around" w:vAnchor="text" w:hAnchor="margin" w:xAlign="outside" w:y="1"/>
      <w:rPr>
        <w:sz w:val="20"/>
      </w:rPr>
    </w:pPr>
    <w:r w:rsidRPr="00D31FF8">
      <w:rPr>
        <w:sz w:val="20"/>
      </w:rPr>
      <w:fldChar w:fldCharType="begin"/>
    </w:r>
    <w:r w:rsidRPr="00D31FF8">
      <w:rPr>
        <w:sz w:val="20"/>
      </w:rPr>
      <w:instrText xml:space="preserve">PAGE  </w:instrText>
    </w:r>
    <w:r w:rsidRPr="00D31FF8">
      <w:rPr>
        <w:sz w:val="20"/>
      </w:rPr>
      <w:fldChar w:fldCharType="separate"/>
    </w:r>
    <w:r>
      <w:rPr>
        <w:noProof/>
        <w:sz w:val="20"/>
      </w:rPr>
      <w:t>10</w:t>
    </w:r>
    <w:r w:rsidRPr="00D31FF8">
      <w:rPr>
        <w:sz w:val="20"/>
      </w:rPr>
      <w:fldChar w:fldCharType="end"/>
    </w:r>
  </w:p>
  <w:p w:rsidR="009B260E" w:rsidRPr="00D31FF8" w:rsidRDefault="009B260E" w:rsidP="00896DD4">
    <w:pPr>
      <w:tabs>
        <w:tab w:val="right" w:pos="14034"/>
      </w:tabs>
      <w:ind w:right="360" w:firstLine="360"/>
      <w:rPr>
        <w:sz w:val="20"/>
      </w:rPr>
    </w:pPr>
    <w:r>
      <w:rPr>
        <w:sz w:val="20"/>
      </w:rPr>
      <w:tab/>
    </w:r>
  </w:p>
  <w:p w:rsidR="009B260E" w:rsidRPr="00791787" w:rsidRDefault="009B260E" w:rsidP="00896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70703"/>
      <w:docPartObj>
        <w:docPartGallery w:val="Page Numbers (Top of Page)"/>
        <w:docPartUnique/>
      </w:docPartObj>
    </w:sdtPr>
    <w:sdtEndPr>
      <w:rPr>
        <w:noProof/>
      </w:rPr>
    </w:sdtEndPr>
    <w:sdtContent>
      <w:p w:rsidR="009B260E" w:rsidRDefault="009B260E" w:rsidP="00DA18A8">
        <w:pPr>
          <w:pStyle w:val="Header"/>
          <w:rPr>
            <w:noProof/>
          </w:rPr>
        </w:pPr>
        <w:r>
          <w:fldChar w:fldCharType="begin"/>
        </w:r>
        <w:r>
          <w:instrText xml:space="preserve"> PAGE   \* MERGEFORMAT </w:instrText>
        </w:r>
        <w:r>
          <w:fldChar w:fldCharType="separate"/>
        </w:r>
        <w:r w:rsidR="005C783B">
          <w:rPr>
            <w:noProof/>
          </w:rPr>
          <w:t>19</w:t>
        </w:r>
        <w:r>
          <w:rPr>
            <w:noProof/>
          </w:rPr>
          <w:fldChar w:fldCharType="end"/>
        </w:r>
      </w:p>
      <w:p w:rsidR="009B260E" w:rsidRDefault="009B260E" w:rsidP="00A3217B">
        <w:pPr>
          <w:pStyle w:val="Header"/>
          <w:spacing w:after="240"/>
        </w:pPr>
        <w:r>
          <w:rPr>
            <w:noProof/>
          </w:rPr>
          <w:t>C17/41-F</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0E" w:rsidRDefault="009B260E">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9B260E" w:rsidRDefault="009B260E">
    <w:pPr>
      <w:pStyle w:val="Header"/>
    </w:pPr>
    <w:r>
      <w:t>C2001/#-F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0E" w:rsidRDefault="009B260E" w:rsidP="00475FB3">
    <w:pPr>
      <w:pStyle w:val="Header"/>
    </w:pPr>
    <w:r>
      <w:fldChar w:fldCharType="begin"/>
    </w:r>
    <w:r>
      <w:instrText>PAGE</w:instrText>
    </w:r>
    <w:r>
      <w:fldChar w:fldCharType="separate"/>
    </w:r>
    <w:r w:rsidR="005C783B">
      <w:rPr>
        <w:noProof/>
      </w:rPr>
      <w:t>21</w:t>
    </w:r>
    <w:r>
      <w:rPr>
        <w:noProof/>
      </w:rPr>
      <w:fldChar w:fldCharType="end"/>
    </w:r>
  </w:p>
  <w:p w:rsidR="009B260E" w:rsidRDefault="009B260E" w:rsidP="00896DD4">
    <w:pPr>
      <w:pStyle w:val="Header"/>
    </w:pPr>
    <w:r>
      <w:t>C17/41-F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51398"/>
      <w:docPartObj>
        <w:docPartGallery w:val="Page Numbers (Top of Page)"/>
        <w:docPartUnique/>
      </w:docPartObj>
    </w:sdtPr>
    <w:sdtEndPr>
      <w:rPr>
        <w:noProof/>
      </w:rPr>
    </w:sdtEndPr>
    <w:sdtContent>
      <w:p w:rsidR="009B260E" w:rsidRDefault="009B260E" w:rsidP="002A5BEE">
        <w:pPr>
          <w:pStyle w:val="Header"/>
          <w:rPr>
            <w:noProof/>
          </w:rPr>
        </w:pPr>
        <w:r>
          <w:fldChar w:fldCharType="begin"/>
        </w:r>
        <w:r>
          <w:instrText xml:space="preserve"> PAGE   \* MERGEFORMAT </w:instrText>
        </w:r>
        <w:r>
          <w:fldChar w:fldCharType="separate"/>
        </w:r>
        <w:r w:rsidR="005C783B">
          <w:rPr>
            <w:noProof/>
          </w:rPr>
          <w:t>20</w:t>
        </w:r>
        <w:r>
          <w:rPr>
            <w:noProof/>
          </w:rPr>
          <w:fldChar w:fldCharType="end"/>
        </w:r>
      </w:p>
      <w:p w:rsidR="009B260E" w:rsidRDefault="009B260E" w:rsidP="002A5BEE">
        <w:pPr>
          <w:pStyle w:val="Header"/>
          <w:spacing w:after="240"/>
        </w:pPr>
        <w:r>
          <w:rPr>
            <w:noProof/>
          </w:rPr>
          <w:t>C17/41-F</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5C69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38D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4491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E7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9A77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4A0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FE7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7C2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DCF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1EB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7CD"/>
    <w:multiLevelType w:val="hybridMultilevel"/>
    <w:tmpl w:val="A0A69D4C"/>
    <w:lvl w:ilvl="0" w:tplc="D3B44214">
      <w:start w:val="1"/>
      <w:numFmt w:val="decimal"/>
      <w:pStyle w:val="testobase"/>
      <w:lvlText w:val="%1."/>
      <w:lvlJc w:val="left"/>
      <w:pPr>
        <w:ind w:left="2405" w:hanging="420"/>
      </w:pPr>
      <w:rPr>
        <w:rFonts w:hint="default"/>
        <w:i w:val="0"/>
        <w:color w:val="auto"/>
        <w:lang w:val="en-US"/>
      </w:rPr>
    </w:lvl>
    <w:lvl w:ilvl="1" w:tplc="04100019">
      <w:start w:val="1"/>
      <w:numFmt w:val="lowerLetter"/>
      <w:lvlText w:val="%2."/>
      <w:lvlJc w:val="left"/>
      <w:pPr>
        <w:ind w:left="-260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1165" w:hanging="360"/>
      </w:pPr>
    </w:lvl>
    <w:lvl w:ilvl="4" w:tplc="04100019" w:tentative="1">
      <w:start w:val="1"/>
      <w:numFmt w:val="lowerLetter"/>
      <w:lvlText w:val="%5."/>
      <w:lvlJc w:val="left"/>
      <w:pPr>
        <w:ind w:left="-445" w:hanging="360"/>
      </w:pPr>
    </w:lvl>
    <w:lvl w:ilvl="5" w:tplc="0410001B" w:tentative="1">
      <w:start w:val="1"/>
      <w:numFmt w:val="lowerRoman"/>
      <w:lvlText w:val="%6."/>
      <w:lvlJc w:val="right"/>
      <w:pPr>
        <w:ind w:left="275" w:hanging="180"/>
      </w:pPr>
    </w:lvl>
    <w:lvl w:ilvl="6" w:tplc="0410000F" w:tentative="1">
      <w:start w:val="1"/>
      <w:numFmt w:val="decimal"/>
      <w:lvlText w:val="%7."/>
      <w:lvlJc w:val="left"/>
      <w:pPr>
        <w:ind w:left="995" w:hanging="360"/>
      </w:pPr>
    </w:lvl>
    <w:lvl w:ilvl="7" w:tplc="04100019" w:tentative="1">
      <w:start w:val="1"/>
      <w:numFmt w:val="lowerLetter"/>
      <w:lvlText w:val="%8."/>
      <w:lvlJc w:val="left"/>
      <w:pPr>
        <w:ind w:left="1715" w:hanging="360"/>
      </w:pPr>
    </w:lvl>
    <w:lvl w:ilvl="8" w:tplc="0410001B" w:tentative="1">
      <w:start w:val="1"/>
      <w:numFmt w:val="lowerRoman"/>
      <w:lvlText w:val="%9."/>
      <w:lvlJc w:val="right"/>
      <w:pPr>
        <w:ind w:left="2435" w:hanging="180"/>
      </w:pPr>
    </w:lvl>
  </w:abstractNum>
  <w:abstractNum w:abstractNumId="11" w15:restartNumberingAfterBreak="0">
    <w:nsid w:val="090378DB"/>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0534F9"/>
    <w:multiLevelType w:val="hybridMultilevel"/>
    <w:tmpl w:val="5422265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1B7F2F"/>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C321BA"/>
    <w:multiLevelType w:val="hybridMultilevel"/>
    <w:tmpl w:val="7DD02770"/>
    <w:lvl w:ilvl="0" w:tplc="526A3632">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90E84"/>
    <w:multiLevelType w:val="hybridMultilevel"/>
    <w:tmpl w:val="3C72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612E4"/>
    <w:multiLevelType w:val="hybridMultilevel"/>
    <w:tmpl w:val="5B74E112"/>
    <w:lvl w:ilvl="0" w:tplc="13C0FC42">
      <w:start w:val="1"/>
      <w:numFmt w:val="decimal"/>
      <w:pStyle w:val="titolorec"/>
      <w:lvlText w:val="Recommendation n. %1"/>
      <w:lvlJc w:val="left"/>
      <w:pPr>
        <w:ind w:left="2345" w:hanging="360"/>
      </w:pPr>
      <w:rPr>
        <w:rFonts w:hint="default"/>
      </w:rPr>
    </w:lvl>
    <w:lvl w:ilvl="1" w:tplc="F45C2214">
      <w:start w:val="1"/>
      <w:numFmt w:val="decimal"/>
      <w:lvlText w:val="%2."/>
      <w:lvlJc w:val="left"/>
      <w:pPr>
        <w:ind w:left="3092" w:hanging="1020"/>
      </w:pPr>
      <w:rPr>
        <w:rFonts w:hint="default"/>
      </w:rPr>
    </w:lvl>
    <w:lvl w:ilvl="2" w:tplc="0410001B" w:tentative="1">
      <w:start w:val="1"/>
      <w:numFmt w:val="lowerRoman"/>
      <w:lvlText w:val="%3."/>
      <w:lvlJc w:val="right"/>
      <w:pPr>
        <w:ind w:left="3152" w:hanging="180"/>
      </w:pPr>
    </w:lvl>
    <w:lvl w:ilvl="3" w:tplc="0410000F" w:tentative="1">
      <w:start w:val="1"/>
      <w:numFmt w:val="decimal"/>
      <w:lvlText w:val="%4."/>
      <w:lvlJc w:val="left"/>
      <w:pPr>
        <w:ind w:left="3872" w:hanging="360"/>
      </w:pPr>
    </w:lvl>
    <w:lvl w:ilvl="4" w:tplc="04100019" w:tentative="1">
      <w:start w:val="1"/>
      <w:numFmt w:val="lowerLetter"/>
      <w:lvlText w:val="%5."/>
      <w:lvlJc w:val="left"/>
      <w:pPr>
        <w:ind w:left="4592" w:hanging="360"/>
      </w:pPr>
    </w:lvl>
    <w:lvl w:ilvl="5" w:tplc="0410001B" w:tentative="1">
      <w:start w:val="1"/>
      <w:numFmt w:val="lowerRoman"/>
      <w:lvlText w:val="%6."/>
      <w:lvlJc w:val="right"/>
      <w:pPr>
        <w:ind w:left="5312" w:hanging="180"/>
      </w:pPr>
    </w:lvl>
    <w:lvl w:ilvl="6" w:tplc="0410000F" w:tentative="1">
      <w:start w:val="1"/>
      <w:numFmt w:val="decimal"/>
      <w:lvlText w:val="%7."/>
      <w:lvlJc w:val="left"/>
      <w:pPr>
        <w:ind w:left="6032" w:hanging="360"/>
      </w:pPr>
    </w:lvl>
    <w:lvl w:ilvl="7" w:tplc="04100019" w:tentative="1">
      <w:start w:val="1"/>
      <w:numFmt w:val="lowerLetter"/>
      <w:lvlText w:val="%8."/>
      <w:lvlJc w:val="left"/>
      <w:pPr>
        <w:ind w:left="6752" w:hanging="360"/>
      </w:pPr>
    </w:lvl>
    <w:lvl w:ilvl="8" w:tplc="0410001B" w:tentative="1">
      <w:start w:val="1"/>
      <w:numFmt w:val="lowerRoman"/>
      <w:lvlText w:val="%9."/>
      <w:lvlJc w:val="right"/>
      <w:pPr>
        <w:ind w:left="7472" w:hanging="180"/>
      </w:pPr>
    </w:lvl>
  </w:abstractNum>
  <w:abstractNum w:abstractNumId="17" w15:restartNumberingAfterBreak="0">
    <w:nsid w:val="2BA169B8"/>
    <w:multiLevelType w:val="hybridMultilevel"/>
    <w:tmpl w:val="4894B788"/>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15:restartNumberingAfterBreak="0">
    <w:nsid w:val="4D546105"/>
    <w:multiLevelType w:val="hybridMultilevel"/>
    <w:tmpl w:val="7786ECE6"/>
    <w:lvl w:ilvl="0" w:tplc="4446A118">
      <w:start w:val="1"/>
      <w:numFmt w:val="decimal"/>
      <w:lvlText w:val="%1."/>
      <w:lvlJc w:val="left"/>
      <w:pPr>
        <w:ind w:left="928"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D525EB"/>
    <w:multiLevelType w:val="hybridMultilevel"/>
    <w:tmpl w:val="9718EEDC"/>
    <w:lvl w:ilvl="0" w:tplc="63CC168E">
      <w:start w:val="1"/>
      <w:numFmt w:val="lowerLetter"/>
      <w:lvlText w:val="%1)"/>
      <w:lvlJc w:val="left"/>
      <w:pPr>
        <w:ind w:left="785" w:hanging="360"/>
      </w:pPr>
      <w:rPr>
        <w:rFonts w:hint="default"/>
      </w:rPr>
    </w:lvl>
    <w:lvl w:ilvl="1" w:tplc="4AEA6A40">
      <w:start w:val="1"/>
      <w:numFmt w:val="lowerLetter"/>
      <w:pStyle w:val="elencoconlettere1"/>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1" w15:restartNumberingAfterBreak="0">
    <w:nsid w:val="58AB4F97"/>
    <w:multiLevelType w:val="hybridMultilevel"/>
    <w:tmpl w:val="43C8C3D4"/>
    <w:lvl w:ilvl="0" w:tplc="2BE8B354">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674634EA"/>
    <w:multiLevelType w:val="hybridMultilevel"/>
    <w:tmpl w:val="6136F190"/>
    <w:lvl w:ilvl="0" w:tplc="CFA8E530">
      <w:start w:val="1"/>
      <w:numFmt w:val="bullet"/>
      <w:pStyle w:val="elencopuntato1"/>
      <w:lvlText w:val=""/>
      <w:lvlJc w:val="left"/>
      <w:pPr>
        <w:ind w:left="1352"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6502BB"/>
    <w:multiLevelType w:val="hybridMultilevel"/>
    <w:tmpl w:val="6B147386"/>
    <w:lvl w:ilvl="0" w:tplc="84E851C0">
      <w:start w:val="1"/>
      <w:numFmt w:val="decimal"/>
      <w:pStyle w:val="titolosugg"/>
      <w:lvlText w:val="Suggestion n. %1"/>
      <w:lvlJc w:val="left"/>
      <w:pPr>
        <w:ind w:left="1353" w:hanging="360"/>
      </w:pPr>
      <w:rPr>
        <w:rFonts w:hint="default"/>
      </w:rPr>
    </w:lvl>
    <w:lvl w:ilvl="1" w:tplc="04100019" w:tentative="1">
      <w:start w:val="1"/>
      <w:numFmt w:val="lowerLetter"/>
      <w:lvlText w:val="%2."/>
      <w:lvlJc w:val="left"/>
      <w:pPr>
        <w:ind w:left="-337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1938" w:hanging="360"/>
      </w:pPr>
    </w:lvl>
    <w:lvl w:ilvl="4" w:tplc="04100019" w:tentative="1">
      <w:start w:val="1"/>
      <w:numFmt w:val="lowerLetter"/>
      <w:lvlText w:val="%5."/>
      <w:lvlJc w:val="left"/>
      <w:pPr>
        <w:ind w:left="-1218" w:hanging="360"/>
      </w:pPr>
    </w:lvl>
    <w:lvl w:ilvl="5" w:tplc="0410001B" w:tentative="1">
      <w:start w:val="1"/>
      <w:numFmt w:val="lowerRoman"/>
      <w:lvlText w:val="%6."/>
      <w:lvlJc w:val="right"/>
      <w:pPr>
        <w:ind w:left="-498" w:hanging="180"/>
      </w:pPr>
    </w:lvl>
    <w:lvl w:ilvl="6" w:tplc="0410000F" w:tentative="1">
      <w:start w:val="1"/>
      <w:numFmt w:val="decimal"/>
      <w:lvlText w:val="%7."/>
      <w:lvlJc w:val="left"/>
      <w:pPr>
        <w:ind w:left="222" w:hanging="360"/>
      </w:pPr>
    </w:lvl>
    <w:lvl w:ilvl="7" w:tplc="04100019" w:tentative="1">
      <w:start w:val="1"/>
      <w:numFmt w:val="lowerLetter"/>
      <w:lvlText w:val="%8."/>
      <w:lvlJc w:val="left"/>
      <w:pPr>
        <w:ind w:left="942" w:hanging="360"/>
      </w:pPr>
    </w:lvl>
    <w:lvl w:ilvl="8" w:tplc="0410001B" w:tentative="1">
      <w:start w:val="1"/>
      <w:numFmt w:val="lowerRoman"/>
      <w:lvlText w:val="%9."/>
      <w:lvlJc w:val="right"/>
      <w:pPr>
        <w:ind w:left="1662" w:hanging="180"/>
      </w:pPr>
    </w:lvl>
  </w:abstractNum>
  <w:abstractNum w:abstractNumId="25" w15:restartNumberingAfterBreak="0">
    <w:nsid w:val="734E45E1"/>
    <w:multiLevelType w:val="hybridMultilevel"/>
    <w:tmpl w:val="D1A2D6AC"/>
    <w:lvl w:ilvl="0" w:tplc="958A62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454D81"/>
    <w:multiLevelType w:val="hybridMultilevel"/>
    <w:tmpl w:val="00702114"/>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11"/>
  </w:num>
  <w:num w:numId="2">
    <w:abstractNumId w:val="21"/>
  </w:num>
  <w:num w:numId="3">
    <w:abstractNumId w:val="25"/>
  </w:num>
  <w:num w:numId="4">
    <w:abstractNumId w:val="26"/>
  </w:num>
  <w:num w:numId="5">
    <w:abstractNumId w:val="13"/>
  </w:num>
  <w:num w:numId="6">
    <w:abstractNumId w:val="17"/>
  </w:num>
  <w:num w:numId="7">
    <w:abstractNumId w:val="12"/>
  </w:num>
  <w:num w:numId="8">
    <w:abstractNumId w:val="19"/>
  </w:num>
  <w:num w:numId="9">
    <w:abstractNumId w:val="20"/>
  </w:num>
  <w:num w:numId="10">
    <w:abstractNumId w:val="22"/>
  </w:num>
  <w:num w:numId="11">
    <w:abstractNumId w:val="10"/>
  </w:num>
  <w:num w:numId="12">
    <w:abstractNumId w:val="15"/>
  </w:num>
  <w:num w:numId="13">
    <w:abstractNumId w:val="10"/>
    <w:lvlOverride w:ilvl="0">
      <w:startOverride w:val="1"/>
    </w:lvlOverride>
  </w:num>
  <w:num w:numId="14">
    <w:abstractNumId w:val="14"/>
  </w:num>
  <w:num w:numId="15">
    <w:abstractNumId w:val="16"/>
  </w:num>
  <w:num w:numId="16">
    <w:abstractNumId w:val="24"/>
  </w:num>
  <w:num w:numId="17">
    <w:abstractNumId w:val="23"/>
  </w:num>
  <w:num w:numId="18">
    <w:abstractNumId w:val="18"/>
  </w:num>
  <w:num w:numId="19">
    <w:abstractNumId w:val="10"/>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6712C2-1660-4D1D-92D8-219ACC454BAF}"/>
    <w:docVar w:name="dgnword-eventsink" w:val="320588688"/>
  </w:docVars>
  <w:rsids>
    <w:rsidRoot w:val="00A34C7D"/>
    <w:rsid w:val="0000299B"/>
    <w:rsid w:val="0002691E"/>
    <w:rsid w:val="0003265D"/>
    <w:rsid w:val="000328CE"/>
    <w:rsid w:val="00040558"/>
    <w:rsid w:val="000474A7"/>
    <w:rsid w:val="000535A9"/>
    <w:rsid w:val="000575D3"/>
    <w:rsid w:val="00081E1B"/>
    <w:rsid w:val="00082102"/>
    <w:rsid w:val="00091A22"/>
    <w:rsid w:val="000B3DE6"/>
    <w:rsid w:val="000B6A35"/>
    <w:rsid w:val="000C5EEF"/>
    <w:rsid w:val="000D0D0A"/>
    <w:rsid w:val="000D4DFA"/>
    <w:rsid w:val="000E09B4"/>
    <w:rsid w:val="000F030F"/>
    <w:rsid w:val="00100A1E"/>
    <w:rsid w:val="00103163"/>
    <w:rsid w:val="00113A7F"/>
    <w:rsid w:val="0011428C"/>
    <w:rsid w:val="00115D93"/>
    <w:rsid w:val="001247A8"/>
    <w:rsid w:val="001378C0"/>
    <w:rsid w:val="00146035"/>
    <w:rsid w:val="001525C3"/>
    <w:rsid w:val="0015678A"/>
    <w:rsid w:val="00156BA7"/>
    <w:rsid w:val="00166340"/>
    <w:rsid w:val="001868D0"/>
    <w:rsid w:val="0018694A"/>
    <w:rsid w:val="0019006F"/>
    <w:rsid w:val="001A3287"/>
    <w:rsid w:val="001A4047"/>
    <w:rsid w:val="001A4146"/>
    <w:rsid w:val="001A6508"/>
    <w:rsid w:val="001B11BF"/>
    <w:rsid w:val="001B4A3A"/>
    <w:rsid w:val="001B4D5E"/>
    <w:rsid w:val="001D0125"/>
    <w:rsid w:val="001D4C31"/>
    <w:rsid w:val="001D4C77"/>
    <w:rsid w:val="001E4089"/>
    <w:rsid w:val="001E4D21"/>
    <w:rsid w:val="001F38DB"/>
    <w:rsid w:val="00200FEF"/>
    <w:rsid w:val="002043A2"/>
    <w:rsid w:val="00207CD1"/>
    <w:rsid w:val="002149BD"/>
    <w:rsid w:val="002477A2"/>
    <w:rsid w:val="00263A51"/>
    <w:rsid w:val="00267E02"/>
    <w:rsid w:val="00275CAF"/>
    <w:rsid w:val="00284D75"/>
    <w:rsid w:val="002A5BEE"/>
    <w:rsid w:val="002A5D44"/>
    <w:rsid w:val="002D2018"/>
    <w:rsid w:val="002E0BC4"/>
    <w:rsid w:val="002E7C44"/>
    <w:rsid w:val="002F1B76"/>
    <w:rsid w:val="002F486A"/>
    <w:rsid w:val="003017FE"/>
    <w:rsid w:val="00313B48"/>
    <w:rsid w:val="00314428"/>
    <w:rsid w:val="00352099"/>
    <w:rsid w:val="00355FF5"/>
    <w:rsid w:val="00361350"/>
    <w:rsid w:val="00364744"/>
    <w:rsid w:val="00367998"/>
    <w:rsid w:val="003871FD"/>
    <w:rsid w:val="003907C1"/>
    <w:rsid w:val="00392B66"/>
    <w:rsid w:val="003B31F7"/>
    <w:rsid w:val="003C58B1"/>
    <w:rsid w:val="003E6B64"/>
    <w:rsid w:val="004038CB"/>
    <w:rsid w:val="0040546F"/>
    <w:rsid w:val="0041091F"/>
    <w:rsid w:val="00421C82"/>
    <w:rsid w:val="0042404A"/>
    <w:rsid w:val="0042742C"/>
    <w:rsid w:val="0044618F"/>
    <w:rsid w:val="00447028"/>
    <w:rsid w:val="00455A1C"/>
    <w:rsid w:val="004560DE"/>
    <w:rsid w:val="00462A50"/>
    <w:rsid w:val="0046769A"/>
    <w:rsid w:val="00475FB3"/>
    <w:rsid w:val="004C37A9"/>
    <w:rsid w:val="004F259E"/>
    <w:rsid w:val="00511F1D"/>
    <w:rsid w:val="00516530"/>
    <w:rsid w:val="00520F36"/>
    <w:rsid w:val="00521C8C"/>
    <w:rsid w:val="00526563"/>
    <w:rsid w:val="00540615"/>
    <w:rsid w:val="00540A6D"/>
    <w:rsid w:val="00544535"/>
    <w:rsid w:val="00556285"/>
    <w:rsid w:val="00566127"/>
    <w:rsid w:val="00571EEA"/>
    <w:rsid w:val="00575417"/>
    <w:rsid w:val="005768E1"/>
    <w:rsid w:val="005815B4"/>
    <w:rsid w:val="00592EC1"/>
    <w:rsid w:val="005A1D6A"/>
    <w:rsid w:val="005A659A"/>
    <w:rsid w:val="005B59A1"/>
    <w:rsid w:val="005C3890"/>
    <w:rsid w:val="005C783B"/>
    <w:rsid w:val="005D3BB9"/>
    <w:rsid w:val="005E4F21"/>
    <w:rsid w:val="005F0586"/>
    <w:rsid w:val="005F5F3C"/>
    <w:rsid w:val="005F7BFE"/>
    <w:rsid w:val="00600017"/>
    <w:rsid w:val="0060020A"/>
    <w:rsid w:val="00600E43"/>
    <w:rsid w:val="0060670F"/>
    <w:rsid w:val="006235CA"/>
    <w:rsid w:val="006322A4"/>
    <w:rsid w:val="00642E88"/>
    <w:rsid w:val="00663A8E"/>
    <w:rsid w:val="006643AB"/>
    <w:rsid w:val="00677ACD"/>
    <w:rsid w:val="00696A77"/>
    <w:rsid w:val="006A77BA"/>
    <w:rsid w:val="006C1BE5"/>
    <w:rsid w:val="006C4C19"/>
    <w:rsid w:val="006D14CB"/>
    <w:rsid w:val="006E3A62"/>
    <w:rsid w:val="006E4E82"/>
    <w:rsid w:val="006F01F4"/>
    <w:rsid w:val="00700CBE"/>
    <w:rsid w:val="007210CD"/>
    <w:rsid w:val="00722C7A"/>
    <w:rsid w:val="00732045"/>
    <w:rsid w:val="007369DB"/>
    <w:rsid w:val="00746347"/>
    <w:rsid w:val="00747B20"/>
    <w:rsid w:val="00765B29"/>
    <w:rsid w:val="00794366"/>
    <w:rsid w:val="007956C2"/>
    <w:rsid w:val="007A187E"/>
    <w:rsid w:val="007B3CF9"/>
    <w:rsid w:val="007C277B"/>
    <w:rsid w:val="007C315D"/>
    <w:rsid w:val="007C72C2"/>
    <w:rsid w:val="007D4436"/>
    <w:rsid w:val="007D6CC4"/>
    <w:rsid w:val="007E76BD"/>
    <w:rsid w:val="007F257A"/>
    <w:rsid w:val="007F3665"/>
    <w:rsid w:val="00800037"/>
    <w:rsid w:val="008134EC"/>
    <w:rsid w:val="0081662C"/>
    <w:rsid w:val="00822271"/>
    <w:rsid w:val="00830098"/>
    <w:rsid w:val="00830A97"/>
    <w:rsid w:val="00836867"/>
    <w:rsid w:val="00846A2D"/>
    <w:rsid w:val="008546D2"/>
    <w:rsid w:val="00861D73"/>
    <w:rsid w:val="00871131"/>
    <w:rsid w:val="0088260C"/>
    <w:rsid w:val="00882C7C"/>
    <w:rsid w:val="00896DD4"/>
    <w:rsid w:val="008A4E87"/>
    <w:rsid w:val="008A5623"/>
    <w:rsid w:val="008C347F"/>
    <w:rsid w:val="008D76E6"/>
    <w:rsid w:val="008F1133"/>
    <w:rsid w:val="008F24D0"/>
    <w:rsid w:val="00905A59"/>
    <w:rsid w:val="00917CBB"/>
    <w:rsid w:val="0092392D"/>
    <w:rsid w:val="0093234A"/>
    <w:rsid w:val="00952AFE"/>
    <w:rsid w:val="009531B2"/>
    <w:rsid w:val="00963BBD"/>
    <w:rsid w:val="009729F5"/>
    <w:rsid w:val="00981E58"/>
    <w:rsid w:val="009A61A1"/>
    <w:rsid w:val="009B260E"/>
    <w:rsid w:val="009C307F"/>
    <w:rsid w:val="009E6C0E"/>
    <w:rsid w:val="009F1CC0"/>
    <w:rsid w:val="009F57DA"/>
    <w:rsid w:val="00A14947"/>
    <w:rsid w:val="00A2113E"/>
    <w:rsid w:val="00A23A51"/>
    <w:rsid w:val="00A24607"/>
    <w:rsid w:val="00A25C4D"/>
    <w:rsid w:val="00A25CD3"/>
    <w:rsid w:val="00A3217B"/>
    <w:rsid w:val="00A34C7D"/>
    <w:rsid w:val="00A3616C"/>
    <w:rsid w:val="00A72A79"/>
    <w:rsid w:val="00A730A9"/>
    <w:rsid w:val="00A75450"/>
    <w:rsid w:val="00A75F16"/>
    <w:rsid w:val="00A80DF2"/>
    <w:rsid w:val="00A82767"/>
    <w:rsid w:val="00AA332F"/>
    <w:rsid w:val="00AA7BBB"/>
    <w:rsid w:val="00AB64A8"/>
    <w:rsid w:val="00AC0266"/>
    <w:rsid w:val="00AD24EC"/>
    <w:rsid w:val="00AD2A4B"/>
    <w:rsid w:val="00AE3767"/>
    <w:rsid w:val="00AF063C"/>
    <w:rsid w:val="00B27599"/>
    <w:rsid w:val="00B309F9"/>
    <w:rsid w:val="00B32B60"/>
    <w:rsid w:val="00B354B7"/>
    <w:rsid w:val="00B45A91"/>
    <w:rsid w:val="00B5588C"/>
    <w:rsid w:val="00B56B10"/>
    <w:rsid w:val="00B61619"/>
    <w:rsid w:val="00B66B07"/>
    <w:rsid w:val="00B8532A"/>
    <w:rsid w:val="00B86E31"/>
    <w:rsid w:val="00BA69C9"/>
    <w:rsid w:val="00BB14AF"/>
    <w:rsid w:val="00BB4545"/>
    <w:rsid w:val="00BD5873"/>
    <w:rsid w:val="00BE33A5"/>
    <w:rsid w:val="00BF2506"/>
    <w:rsid w:val="00C04BE3"/>
    <w:rsid w:val="00C2563A"/>
    <w:rsid w:val="00C25D29"/>
    <w:rsid w:val="00C27A7C"/>
    <w:rsid w:val="00C40A93"/>
    <w:rsid w:val="00C652BE"/>
    <w:rsid w:val="00C765F3"/>
    <w:rsid w:val="00C7739B"/>
    <w:rsid w:val="00C9329D"/>
    <w:rsid w:val="00CA08ED"/>
    <w:rsid w:val="00CB1E2A"/>
    <w:rsid w:val="00CB2222"/>
    <w:rsid w:val="00CD59A6"/>
    <w:rsid w:val="00CE6437"/>
    <w:rsid w:val="00CF183B"/>
    <w:rsid w:val="00D06495"/>
    <w:rsid w:val="00D135E6"/>
    <w:rsid w:val="00D31ACD"/>
    <w:rsid w:val="00D358B8"/>
    <w:rsid w:val="00D375CD"/>
    <w:rsid w:val="00D4094D"/>
    <w:rsid w:val="00D553A2"/>
    <w:rsid w:val="00D5585E"/>
    <w:rsid w:val="00D55E09"/>
    <w:rsid w:val="00D70F11"/>
    <w:rsid w:val="00D774D3"/>
    <w:rsid w:val="00D84821"/>
    <w:rsid w:val="00D8548F"/>
    <w:rsid w:val="00D904E8"/>
    <w:rsid w:val="00DA08C3"/>
    <w:rsid w:val="00DA18A8"/>
    <w:rsid w:val="00DB50CC"/>
    <w:rsid w:val="00DB5A3E"/>
    <w:rsid w:val="00DC22AA"/>
    <w:rsid w:val="00DE4CA5"/>
    <w:rsid w:val="00DE6C5E"/>
    <w:rsid w:val="00DF74DD"/>
    <w:rsid w:val="00E0008C"/>
    <w:rsid w:val="00E17886"/>
    <w:rsid w:val="00E24C9F"/>
    <w:rsid w:val="00E25AD0"/>
    <w:rsid w:val="00E34139"/>
    <w:rsid w:val="00E54B1E"/>
    <w:rsid w:val="00E70A58"/>
    <w:rsid w:val="00E9708F"/>
    <w:rsid w:val="00E97537"/>
    <w:rsid w:val="00EA58D3"/>
    <w:rsid w:val="00EA6891"/>
    <w:rsid w:val="00EB6350"/>
    <w:rsid w:val="00EE49C5"/>
    <w:rsid w:val="00F1138D"/>
    <w:rsid w:val="00F15B57"/>
    <w:rsid w:val="00F20124"/>
    <w:rsid w:val="00F20D18"/>
    <w:rsid w:val="00F21F5F"/>
    <w:rsid w:val="00F427DB"/>
    <w:rsid w:val="00F805E4"/>
    <w:rsid w:val="00F811CA"/>
    <w:rsid w:val="00FA5EB1"/>
    <w:rsid w:val="00FA5EF0"/>
    <w:rsid w:val="00FA7439"/>
    <w:rsid w:val="00FC4EC0"/>
    <w:rsid w:val="00FF0181"/>
    <w:rsid w:val="00FF6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36FAC6-5E24-4E91-AA15-8630F1D6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1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DD4"/>
    <w:rPr>
      <w:rFonts w:ascii="Calibri" w:hAnsi="Calibri"/>
      <w:b/>
      <w:sz w:val="28"/>
      <w:lang w:val="fr-FR" w:eastAsia="en-US"/>
    </w:rPr>
  </w:style>
  <w:style w:type="character" w:customStyle="1" w:styleId="Heading2Char">
    <w:name w:val="Heading 2 Char"/>
    <w:basedOn w:val="DefaultParagraphFont"/>
    <w:link w:val="Heading2"/>
    <w:uiPriority w:val="9"/>
    <w:rsid w:val="00896DD4"/>
    <w:rPr>
      <w:rFonts w:ascii="Calibri" w:hAnsi="Calibri"/>
      <w:b/>
      <w:sz w:val="24"/>
      <w:lang w:val="fr-FR" w:eastAsia="en-US"/>
    </w:rPr>
  </w:style>
  <w:style w:type="character" w:customStyle="1" w:styleId="Heading3Char">
    <w:name w:val="Heading 3 Char"/>
    <w:basedOn w:val="DefaultParagraphFont"/>
    <w:link w:val="Heading3"/>
    <w:uiPriority w:val="9"/>
    <w:rsid w:val="00896DD4"/>
    <w:rPr>
      <w:rFonts w:ascii="Calibri" w:hAnsi="Calibri"/>
      <w:b/>
      <w:sz w:val="24"/>
      <w:lang w:val="fr-FR" w:eastAsia="en-US"/>
    </w:rPr>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uiPriority w:val="99"/>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96DD4"/>
    <w:rPr>
      <w:rFonts w:ascii="Calibri" w:hAnsi="Calibri"/>
      <w:caps/>
      <w:noProof/>
      <w:sz w:val="16"/>
      <w:lang w:val="fr-FR" w:eastAsia="en-US"/>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896DD4"/>
    <w:rPr>
      <w:rFonts w:ascii="Calibri" w:hAnsi="Calibri"/>
      <w:sz w:val="18"/>
      <w:lang w:val="fr-FR" w:eastAsia="en-US"/>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apple-converted-space">
    <w:name w:val="apple-converted-space"/>
    <w:basedOn w:val="DefaultParagraphFont"/>
    <w:rsid w:val="00896DD4"/>
  </w:style>
  <w:style w:type="character" w:customStyle="1" w:styleId="BalloonTextChar">
    <w:name w:val="Balloon Text Char"/>
    <w:basedOn w:val="DefaultParagraphFont"/>
    <w:link w:val="BalloonText"/>
    <w:uiPriority w:val="99"/>
    <w:semiHidden/>
    <w:rsid w:val="00896DD4"/>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896DD4"/>
    <w:pPr>
      <w:tabs>
        <w:tab w:val="clear" w:pos="567"/>
        <w:tab w:val="clear" w:pos="1134"/>
        <w:tab w:val="clear" w:pos="1701"/>
        <w:tab w:val="clear" w:pos="2268"/>
        <w:tab w:val="clear" w:pos="2835"/>
      </w:tabs>
      <w:overflowPunct/>
      <w:autoSpaceDE/>
      <w:autoSpaceDN/>
      <w:jc w:val="both"/>
      <w:textAlignment w:val="auto"/>
    </w:pPr>
    <w:rPr>
      <w:rFonts w:ascii="Tahoma" w:eastAsiaTheme="minorHAnsi" w:hAnsi="Tahoma" w:cs="Tahoma"/>
      <w:sz w:val="16"/>
      <w:szCs w:val="16"/>
      <w:lang w:val="en-US"/>
    </w:rPr>
  </w:style>
  <w:style w:type="character" w:customStyle="1" w:styleId="CharacterStyle17">
    <w:name w:val="Character Style 17"/>
    <w:uiPriority w:val="99"/>
    <w:rsid w:val="00896DD4"/>
    <w:rPr>
      <w:sz w:val="20"/>
    </w:rPr>
  </w:style>
  <w:style w:type="paragraph" w:customStyle="1" w:styleId="comments">
    <w:name w:val="comments"/>
    <w:basedOn w:val="Normal"/>
    <w:next w:val="Normal"/>
    <w:qFormat/>
    <w:rsid w:val="00896DD4"/>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paragraph" w:customStyle="1" w:styleId="Default">
    <w:name w:val="Default"/>
    <w:rsid w:val="00896DD4"/>
    <w:pPr>
      <w:autoSpaceDE w:val="0"/>
      <w:autoSpaceDN w:val="0"/>
      <w:adjustRightInd w:val="0"/>
    </w:pPr>
    <w:rPr>
      <w:rFonts w:ascii="Times New Roman" w:eastAsiaTheme="minorHAnsi" w:hAnsi="Times New Roman"/>
      <w:color w:val="000000"/>
      <w:sz w:val="24"/>
      <w:szCs w:val="24"/>
      <w:lang w:val="en-GB" w:eastAsia="en-US"/>
    </w:rPr>
  </w:style>
  <w:style w:type="paragraph" w:customStyle="1" w:styleId="elencoconlettere1">
    <w:name w:val="elenco con lettere 1"/>
    <w:basedOn w:val="Normal"/>
    <w:qFormat/>
    <w:rsid w:val="00896DD4"/>
    <w:pPr>
      <w:numPr>
        <w:ilvl w:val="1"/>
        <w:numId w:val="9"/>
      </w:numP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paragraph" w:styleId="ListParagraph">
    <w:name w:val="List Paragraph"/>
    <w:basedOn w:val="Normal"/>
    <w:link w:val="ListParagraphChar"/>
    <w:uiPriority w:val="34"/>
    <w:qFormat/>
    <w:rsid w:val="00896DD4"/>
    <w:pPr>
      <w:tabs>
        <w:tab w:val="clear" w:pos="567"/>
        <w:tab w:val="clear" w:pos="1134"/>
        <w:tab w:val="clear" w:pos="1701"/>
        <w:tab w:val="clear" w:pos="2268"/>
        <w:tab w:val="clear" w:pos="2835"/>
      </w:tabs>
      <w:overflowPunct/>
      <w:autoSpaceDE/>
      <w:autoSpaceDN/>
      <w:jc w:val="both"/>
      <w:textAlignment w:val="auto"/>
    </w:pPr>
    <w:rPr>
      <w:rFonts w:ascii="Times New Roman" w:eastAsiaTheme="minorHAnsi" w:hAnsi="Times New Roman"/>
      <w:szCs w:val="24"/>
      <w:lang w:val="en-US" w:eastAsia="it-IT"/>
    </w:rPr>
  </w:style>
  <w:style w:type="character" w:customStyle="1" w:styleId="ListParagraphChar">
    <w:name w:val="List Paragraph Char"/>
    <w:basedOn w:val="DefaultParagraphFont"/>
    <w:link w:val="ListParagraph"/>
    <w:uiPriority w:val="34"/>
    <w:rsid w:val="00896DD4"/>
    <w:rPr>
      <w:rFonts w:ascii="Times New Roman" w:eastAsiaTheme="minorHAnsi" w:hAnsi="Times New Roman"/>
      <w:sz w:val="24"/>
      <w:szCs w:val="24"/>
      <w:lang w:eastAsia="it-IT"/>
    </w:rPr>
  </w:style>
  <w:style w:type="paragraph" w:customStyle="1" w:styleId="elencopuntato1">
    <w:name w:val="elenco puntato 1"/>
    <w:basedOn w:val="ListParagraph"/>
    <w:link w:val="elencopuntato1Carattere"/>
    <w:qFormat/>
    <w:rsid w:val="00896DD4"/>
    <w:pPr>
      <w:numPr>
        <w:numId w:val="10"/>
      </w:numPr>
      <w:spacing w:line="319" w:lineRule="auto"/>
    </w:pPr>
    <w:rPr>
      <w:lang w:val="en-GB"/>
    </w:rPr>
  </w:style>
  <w:style w:type="character" w:customStyle="1" w:styleId="elencopuntato1Carattere">
    <w:name w:val="elenco puntato 1 Carattere"/>
    <w:basedOn w:val="ListParagraphChar"/>
    <w:link w:val="elencopuntato1"/>
    <w:rsid w:val="00896DD4"/>
    <w:rPr>
      <w:rFonts w:ascii="Times New Roman" w:eastAsiaTheme="minorHAnsi" w:hAnsi="Times New Roman"/>
      <w:sz w:val="24"/>
      <w:szCs w:val="24"/>
      <w:lang w:val="en-GB" w:eastAsia="it-IT"/>
    </w:rPr>
  </w:style>
  <w:style w:type="paragraph" w:customStyle="1" w:styleId="Style1">
    <w:name w:val="Style1"/>
    <w:basedOn w:val="Normal"/>
    <w:link w:val="Style1Char"/>
    <w:qFormat/>
    <w:rsid w:val="00896DD4"/>
    <w:pPr>
      <w:tabs>
        <w:tab w:val="clear" w:pos="567"/>
        <w:tab w:val="clear" w:pos="1134"/>
        <w:tab w:val="clear" w:pos="1701"/>
        <w:tab w:val="clear" w:pos="2268"/>
        <w:tab w:val="clear" w:pos="2835"/>
      </w:tabs>
      <w:overflowPunct/>
      <w:autoSpaceDE/>
      <w:autoSpaceDN/>
      <w:spacing w:line="319" w:lineRule="auto"/>
      <w:contextualSpacing/>
      <w:jc w:val="both"/>
      <w:textAlignment w:val="auto"/>
    </w:pPr>
    <w:rPr>
      <w:rFonts w:asciiTheme="majorBidi" w:eastAsiaTheme="minorHAnsi" w:hAnsiTheme="majorBidi" w:cstheme="majorBidi"/>
      <w:b/>
      <w:bCs/>
      <w:szCs w:val="24"/>
      <w:lang w:val="en-US"/>
    </w:rPr>
  </w:style>
  <w:style w:type="character" w:customStyle="1" w:styleId="Style1Char">
    <w:name w:val="Style1 Char"/>
    <w:basedOn w:val="DefaultParagraphFont"/>
    <w:link w:val="Style1"/>
    <w:rsid w:val="00896DD4"/>
    <w:rPr>
      <w:rFonts w:asciiTheme="majorBidi" w:eastAsiaTheme="minorHAnsi" w:hAnsiTheme="majorBidi" w:cstheme="majorBidi"/>
      <w:b/>
      <w:bCs/>
      <w:sz w:val="24"/>
      <w:szCs w:val="24"/>
      <w:lang w:eastAsia="en-US"/>
    </w:rPr>
  </w:style>
  <w:style w:type="character" w:customStyle="1" w:styleId="hps">
    <w:name w:val="hps"/>
    <w:basedOn w:val="DefaultParagraphFont"/>
    <w:rsid w:val="00896DD4"/>
  </w:style>
  <w:style w:type="paragraph" w:styleId="NormalWeb">
    <w:name w:val="Normal (Web)"/>
    <w:basedOn w:val="Normal"/>
    <w:uiPriority w:val="99"/>
    <w:unhideWhenUsed/>
    <w:rsid w:val="00896DD4"/>
    <w:pPr>
      <w:tabs>
        <w:tab w:val="clear" w:pos="567"/>
        <w:tab w:val="clear" w:pos="1134"/>
        <w:tab w:val="clear" w:pos="1701"/>
        <w:tab w:val="clear" w:pos="2268"/>
        <w:tab w:val="clear" w:pos="2835"/>
      </w:tabs>
      <w:overflowPunct/>
      <w:autoSpaceDE/>
      <w:autoSpaceDN/>
      <w:spacing w:before="100" w:beforeAutospacing="1" w:after="100" w:afterAutospacing="1"/>
      <w:jc w:val="both"/>
      <w:textAlignment w:val="auto"/>
    </w:pPr>
    <w:rPr>
      <w:rFonts w:ascii="Times New Roman" w:eastAsiaTheme="minorEastAsia" w:hAnsi="Times New Roman"/>
      <w:szCs w:val="24"/>
      <w:lang w:val="en-GB" w:eastAsia="en-GB"/>
    </w:rPr>
  </w:style>
  <w:style w:type="paragraph" w:customStyle="1" w:styleId="testobase">
    <w:name w:val="testo base"/>
    <w:basedOn w:val="ListParagraph"/>
    <w:link w:val="testobaseCarattere"/>
    <w:qFormat/>
    <w:rsid w:val="00896DD4"/>
    <w:pPr>
      <w:numPr>
        <w:numId w:val="11"/>
      </w:numPr>
      <w:spacing w:line="319" w:lineRule="auto"/>
      <w:ind w:left="425" w:hanging="425"/>
    </w:pPr>
    <w:rPr>
      <w:lang w:val="en-GB"/>
    </w:rPr>
  </w:style>
  <w:style w:type="character" w:customStyle="1" w:styleId="testobaseCarattere">
    <w:name w:val="testo base Carattere"/>
    <w:basedOn w:val="ListParagraphChar"/>
    <w:link w:val="testobase"/>
    <w:rsid w:val="00896DD4"/>
    <w:rPr>
      <w:rFonts w:ascii="Times New Roman" w:eastAsiaTheme="minorHAnsi" w:hAnsi="Times New Roman"/>
      <w:sz w:val="24"/>
      <w:szCs w:val="24"/>
      <w:lang w:val="en-GB" w:eastAsia="it-IT"/>
    </w:rPr>
  </w:style>
  <w:style w:type="paragraph" w:customStyle="1" w:styleId="recesugg">
    <w:name w:val="rec e sugg"/>
    <w:basedOn w:val="testobase"/>
    <w:qFormat/>
    <w:rsid w:val="00896DD4"/>
    <w:pPr>
      <w:pBdr>
        <w:top w:val="single" w:sz="4" w:space="1" w:color="auto"/>
        <w:left w:val="single" w:sz="4" w:space="4" w:color="auto"/>
        <w:bottom w:val="single" w:sz="4" w:space="1" w:color="auto"/>
        <w:right w:val="single" w:sz="4" w:space="4" w:color="auto"/>
      </w:pBdr>
    </w:pPr>
  </w:style>
  <w:style w:type="character" w:customStyle="1" w:styleId="shorttext">
    <w:name w:val="short_text"/>
    <w:basedOn w:val="DefaultParagraphFont"/>
    <w:rsid w:val="00896DD4"/>
  </w:style>
  <w:style w:type="character" w:styleId="Strong">
    <w:name w:val="Strong"/>
    <w:basedOn w:val="DefaultParagraphFont"/>
    <w:uiPriority w:val="22"/>
    <w:qFormat/>
    <w:rsid w:val="00896DD4"/>
    <w:rPr>
      <w:b/>
      <w:bCs/>
    </w:rPr>
  </w:style>
  <w:style w:type="paragraph" w:customStyle="1" w:styleId="Style16">
    <w:name w:val="Style 16"/>
    <w:basedOn w:val="Normal"/>
    <w:uiPriority w:val="99"/>
    <w:rsid w:val="00896DD4"/>
    <w:pPr>
      <w:widowControl w:val="0"/>
      <w:tabs>
        <w:tab w:val="clear" w:pos="567"/>
        <w:tab w:val="clear" w:pos="1134"/>
        <w:tab w:val="clear" w:pos="1701"/>
        <w:tab w:val="clear" w:pos="2268"/>
        <w:tab w:val="clear" w:pos="2835"/>
      </w:tabs>
      <w:overflowPunct/>
      <w:jc w:val="both"/>
      <w:textAlignment w:val="auto"/>
    </w:pPr>
    <w:rPr>
      <w:rFonts w:ascii="Times New Roman" w:hAnsi="Times New Roman"/>
      <w:sz w:val="20"/>
      <w:lang w:val="en-US" w:eastAsia="it-IT"/>
    </w:rPr>
  </w:style>
  <w:style w:type="paragraph" w:customStyle="1" w:styleId="Sujet">
    <w:name w:val="Sujet"/>
    <w:basedOn w:val="Normal"/>
    <w:uiPriority w:val="99"/>
    <w:rsid w:val="00896DD4"/>
    <w:pPr>
      <w:framePr w:w="8616" w:h="4258" w:hRule="exact" w:hSpace="181" w:wrap="around" w:vAnchor="page" w:hAnchor="page" w:x="1883" w:y="8943"/>
      <w:tabs>
        <w:tab w:val="clear" w:pos="567"/>
        <w:tab w:val="clear" w:pos="1134"/>
        <w:tab w:val="clear" w:pos="1701"/>
        <w:tab w:val="clear" w:pos="2268"/>
        <w:tab w:val="clear" w:pos="2835"/>
      </w:tabs>
      <w:overflowPunct/>
      <w:autoSpaceDE/>
      <w:autoSpaceDN/>
      <w:jc w:val="both"/>
      <w:textAlignment w:val="auto"/>
    </w:pPr>
    <w:rPr>
      <w:rFonts w:ascii="Arial" w:hAnsi="Arial" w:cs="Arial"/>
      <w:kern w:val="40"/>
      <w:sz w:val="52"/>
      <w:szCs w:val="52"/>
      <w:lang w:val="fr-CH"/>
    </w:rPr>
  </w:style>
  <w:style w:type="table" w:styleId="TableGrid">
    <w:name w:val="Table Grid"/>
    <w:basedOn w:val="TableNormal"/>
    <w:uiPriority w:val="39"/>
    <w:rsid w:val="00896DD4"/>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ordato">
    <w:name w:val="testo bordato"/>
    <w:basedOn w:val="Normal"/>
    <w:qFormat/>
    <w:rsid w:val="00896DD4"/>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szCs w:val="24"/>
      <w:lang w:val="en-GB"/>
    </w:rPr>
  </w:style>
  <w:style w:type="paragraph" w:customStyle="1" w:styleId="testorientrato">
    <w:name w:val="testo rientrato"/>
    <w:basedOn w:val="testobase"/>
    <w:qFormat/>
    <w:rsid w:val="00896DD4"/>
    <w:pPr>
      <w:numPr>
        <w:numId w:val="0"/>
      </w:numPr>
      <w:ind w:left="425"/>
    </w:pPr>
    <w:rPr>
      <w:iCs/>
    </w:rPr>
  </w:style>
  <w:style w:type="paragraph" w:customStyle="1" w:styleId="titcomments">
    <w:name w:val="tit comments"/>
    <w:basedOn w:val="Normal"/>
    <w:qFormat/>
    <w:rsid w:val="00896DD4"/>
    <w:pPr>
      <w:keepNext/>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heme="majorBidi" w:eastAsiaTheme="minorHAnsi" w:hAnsiTheme="majorBidi" w:cstheme="majorBidi"/>
      <w:b/>
      <w:bCs/>
      <w:szCs w:val="24"/>
      <w:u w:val="single"/>
      <w:lang w:val="en-GB"/>
    </w:rPr>
  </w:style>
  <w:style w:type="paragraph" w:styleId="TOCHeading">
    <w:name w:val="TOC Heading"/>
    <w:basedOn w:val="Heading1"/>
    <w:next w:val="Normal"/>
    <w:uiPriority w:val="39"/>
    <w:unhideWhenUsed/>
    <w:qFormat/>
    <w:rsid w:val="00896DD4"/>
    <w:pPr>
      <w:keepLines w:val="0"/>
      <w:tabs>
        <w:tab w:val="clear" w:pos="567"/>
        <w:tab w:val="clear" w:pos="1134"/>
        <w:tab w:val="clear" w:pos="1701"/>
        <w:tab w:val="clear" w:pos="2268"/>
        <w:tab w:val="clear" w:pos="2835"/>
      </w:tabs>
      <w:overflowPunct/>
      <w:autoSpaceDE/>
      <w:autoSpaceDN/>
      <w:spacing w:before="240" w:after="120" w:line="319" w:lineRule="auto"/>
      <w:ind w:left="0" w:firstLine="0"/>
      <w:contextualSpacing/>
      <w:jc w:val="both"/>
      <w:textAlignment w:val="auto"/>
      <w:outlineLvl w:val="9"/>
    </w:pPr>
    <w:rPr>
      <w:rFonts w:asciiTheme="majorBidi" w:eastAsiaTheme="minorHAnsi" w:hAnsiTheme="majorBidi" w:cstheme="majorBidi"/>
      <w:bCs/>
      <w:sz w:val="24"/>
      <w:szCs w:val="24"/>
      <w:lang w:val="en-US" w:eastAsia="ja-JP"/>
    </w:rPr>
  </w:style>
  <w:style w:type="paragraph" w:styleId="CommentText">
    <w:name w:val="annotation text"/>
    <w:basedOn w:val="Normal"/>
    <w:link w:val="CommentTextChar"/>
    <w:uiPriority w:val="99"/>
    <w:semiHidden/>
    <w:unhideWhenUsed/>
    <w:rsid w:val="00896DD4"/>
    <w:pPr>
      <w:tabs>
        <w:tab w:val="clear" w:pos="567"/>
        <w:tab w:val="clear" w:pos="1134"/>
        <w:tab w:val="clear" w:pos="1701"/>
        <w:tab w:val="clear" w:pos="2268"/>
        <w:tab w:val="clear" w:pos="2835"/>
      </w:tabs>
      <w:overflowPunct/>
      <w:autoSpaceDE/>
      <w:autoSpaceDN/>
      <w:jc w:val="both"/>
      <w:textAlignment w:val="auto"/>
    </w:pPr>
    <w:rPr>
      <w:rFonts w:asciiTheme="majorBidi" w:eastAsiaTheme="minorHAnsi" w:hAnsiTheme="majorBidi" w:cstheme="majorBidi"/>
      <w:sz w:val="20"/>
      <w:lang w:val="en-US"/>
    </w:rPr>
  </w:style>
  <w:style w:type="character" w:customStyle="1" w:styleId="CommentTextChar">
    <w:name w:val="Comment Text Char"/>
    <w:basedOn w:val="DefaultParagraphFont"/>
    <w:link w:val="CommentText"/>
    <w:uiPriority w:val="99"/>
    <w:semiHidden/>
    <w:rsid w:val="00896DD4"/>
    <w:rPr>
      <w:rFonts w:asciiTheme="majorBidi" w:eastAsiaTheme="minorHAnsi" w:hAnsiTheme="majorBidi" w:cstheme="majorBidi"/>
      <w:lang w:eastAsia="en-US"/>
    </w:rPr>
  </w:style>
  <w:style w:type="character" w:customStyle="1" w:styleId="CommentSubjectChar">
    <w:name w:val="Comment Subject Char"/>
    <w:basedOn w:val="CommentTextChar"/>
    <w:link w:val="CommentSubject"/>
    <w:uiPriority w:val="99"/>
    <w:semiHidden/>
    <w:rsid w:val="00896DD4"/>
    <w:rPr>
      <w:rFonts w:asciiTheme="majorBidi" w:eastAsiaTheme="minorHAnsi" w:hAnsiTheme="majorBidi" w:cstheme="majorBidi"/>
      <w:b/>
      <w:bCs/>
      <w:lang w:eastAsia="en-US"/>
    </w:rPr>
  </w:style>
  <w:style w:type="paragraph" w:styleId="CommentSubject">
    <w:name w:val="annotation subject"/>
    <w:basedOn w:val="CommentText"/>
    <w:next w:val="CommentText"/>
    <w:link w:val="CommentSubjectChar"/>
    <w:uiPriority w:val="99"/>
    <w:semiHidden/>
    <w:unhideWhenUsed/>
    <w:rsid w:val="00896DD4"/>
    <w:rPr>
      <w:b/>
      <w:bCs/>
    </w:rPr>
  </w:style>
  <w:style w:type="paragraph" w:customStyle="1" w:styleId="titolorec">
    <w:name w:val="titolo rec"/>
    <w:basedOn w:val="Normal"/>
    <w:next w:val="Normal"/>
    <w:qFormat/>
    <w:rsid w:val="00896DD4"/>
    <w:pPr>
      <w:keepNext/>
      <w:keepLines/>
      <w:numPr>
        <w:numId w:val="15"/>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ind w:left="360"/>
      <w:jc w:val="both"/>
      <w:textAlignment w:val="auto"/>
    </w:pPr>
    <w:rPr>
      <w:rFonts w:asciiTheme="majorBidi" w:eastAsiaTheme="minorHAnsi" w:hAnsiTheme="majorBidi" w:cstheme="majorBidi"/>
      <w:b/>
      <w:bCs/>
      <w:szCs w:val="24"/>
      <w:lang w:val="en-GB"/>
    </w:rPr>
  </w:style>
  <w:style w:type="paragraph" w:customStyle="1" w:styleId="titolosugg">
    <w:name w:val="titolo sugg"/>
    <w:basedOn w:val="titolorec"/>
    <w:next w:val="Normal"/>
    <w:qFormat/>
    <w:rsid w:val="00896DD4"/>
    <w:pPr>
      <w:numPr>
        <w:numId w:val="16"/>
      </w:numPr>
      <w:ind w:left="360"/>
    </w:pPr>
  </w:style>
  <w:style w:type="character" w:customStyle="1" w:styleId="st1">
    <w:name w:val="st1"/>
    <w:basedOn w:val="DefaultParagraphFont"/>
    <w:rsid w:val="00E34139"/>
  </w:style>
  <w:style w:type="paragraph" w:customStyle="1" w:styleId="heack">
    <w:name w:val="heack"/>
    <w:aliases w:val="Line spacing:  Double"/>
    <w:basedOn w:val="Normal"/>
    <w:rsid w:val="00952AFE"/>
    <w:pPr>
      <w:spacing w:line="480" w:lineRule="auto"/>
    </w:pPr>
    <w:rPr>
      <w:color w:val="000000"/>
    </w:rPr>
  </w:style>
  <w:style w:type="paragraph" w:customStyle="1" w:styleId="Headinng3">
    <w:name w:val="Headinng 3"/>
    <w:basedOn w:val="Headingb"/>
    <w:rsid w:val="008C347F"/>
    <w:rPr>
      <w:lang w:val="fr-CH"/>
    </w:rPr>
  </w:style>
  <w:style w:type="paragraph" w:customStyle="1" w:styleId="Heading">
    <w:name w:val="Heading"/>
    <w:basedOn w:val="Heading2"/>
    <w:rsid w:val="005D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82363">
      <w:bodyDiv w:val="1"/>
      <w:marLeft w:val="0"/>
      <w:marRight w:val="0"/>
      <w:marTop w:val="0"/>
      <w:marBottom w:val="0"/>
      <w:divBdr>
        <w:top w:val="none" w:sz="0" w:space="0" w:color="auto"/>
        <w:left w:val="none" w:sz="0" w:space="0" w:color="auto"/>
        <w:bottom w:val="none" w:sz="0" w:space="0" w:color="auto"/>
        <w:right w:val="none" w:sz="0" w:space="0" w:color="auto"/>
      </w:divBdr>
    </w:div>
    <w:div w:id="210505463">
      <w:bodyDiv w:val="1"/>
      <w:marLeft w:val="0"/>
      <w:marRight w:val="0"/>
      <w:marTop w:val="0"/>
      <w:marBottom w:val="0"/>
      <w:divBdr>
        <w:top w:val="none" w:sz="0" w:space="0" w:color="auto"/>
        <w:left w:val="none" w:sz="0" w:space="0" w:color="auto"/>
        <w:bottom w:val="none" w:sz="0" w:space="0" w:color="auto"/>
        <w:right w:val="none" w:sz="0" w:space="0" w:color="auto"/>
      </w:divBdr>
    </w:div>
    <w:div w:id="355926690">
      <w:bodyDiv w:val="1"/>
      <w:marLeft w:val="0"/>
      <w:marRight w:val="0"/>
      <w:marTop w:val="0"/>
      <w:marBottom w:val="0"/>
      <w:divBdr>
        <w:top w:val="none" w:sz="0" w:space="0" w:color="auto"/>
        <w:left w:val="none" w:sz="0" w:space="0" w:color="auto"/>
        <w:bottom w:val="none" w:sz="0" w:space="0" w:color="auto"/>
        <w:right w:val="none" w:sz="0" w:space="0" w:color="auto"/>
      </w:divBdr>
    </w:div>
    <w:div w:id="402990045">
      <w:bodyDiv w:val="1"/>
      <w:marLeft w:val="0"/>
      <w:marRight w:val="0"/>
      <w:marTop w:val="0"/>
      <w:marBottom w:val="0"/>
      <w:divBdr>
        <w:top w:val="none" w:sz="0" w:space="0" w:color="auto"/>
        <w:left w:val="none" w:sz="0" w:space="0" w:color="auto"/>
        <w:bottom w:val="none" w:sz="0" w:space="0" w:color="auto"/>
        <w:right w:val="none" w:sz="0" w:space="0" w:color="auto"/>
      </w:divBdr>
    </w:div>
    <w:div w:id="749350053">
      <w:bodyDiv w:val="1"/>
      <w:marLeft w:val="0"/>
      <w:marRight w:val="0"/>
      <w:marTop w:val="0"/>
      <w:marBottom w:val="0"/>
      <w:divBdr>
        <w:top w:val="none" w:sz="0" w:space="0" w:color="auto"/>
        <w:left w:val="none" w:sz="0" w:space="0" w:color="auto"/>
        <w:bottom w:val="none" w:sz="0" w:space="0" w:color="auto"/>
        <w:right w:val="none" w:sz="0" w:space="0" w:color="auto"/>
      </w:divBdr>
    </w:div>
    <w:div w:id="793981358">
      <w:bodyDiv w:val="1"/>
      <w:marLeft w:val="0"/>
      <w:marRight w:val="0"/>
      <w:marTop w:val="0"/>
      <w:marBottom w:val="0"/>
      <w:divBdr>
        <w:top w:val="none" w:sz="0" w:space="0" w:color="auto"/>
        <w:left w:val="none" w:sz="0" w:space="0" w:color="auto"/>
        <w:bottom w:val="none" w:sz="0" w:space="0" w:color="auto"/>
        <w:right w:val="none" w:sz="0" w:space="0" w:color="auto"/>
      </w:divBdr>
    </w:div>
    <w:div w:id="1362635248">
      <w:bodyDiv w:val="1"/>
      <w:marLeft w:val="0"/>
      <w:marRight w:val="0"/>
      <w:marTop w:val="0"/>
      <w:marBottom w:val="0"/>
      <w:divBdr>
        <w:top w:val="none" w:sz="0" w:space="0" w:color="auto"/>
        <w:left w:val="none" w:sz="0" w:space="0" w:color="auto"/>
        <w:bottom w:val="none" w:sz="0" w:space="0" w:color="auto"/>
        <w:right w:val="none" w:sz="0" w:space="0" w:color="auto"/>
      </w:divBdr>
    </w:div>
    <w:div w:id="1655327882">
      <w:bodyDiv w:val="1"/>
      <w:marLeft w:val="0"/>
      <w:marRight w:val="0"/>
      <w:marTop w:val="0"/>
      <w:marBottom w:val="0"/>
      <w:divBdr>
        <w:top w:val="none" w:sz="0" w:space="0" w:color="auto"/>
        <w:left w:val="none" w:sz="0" w:space="0" w:color="auto"/>
        <w:bottom w:val="none" w:sz="0" w:space="0" w:color="auto"/>
        <w:right w:val="none" w:sz="0" w:space="0" w:color="auto"/>
      </w:divBdr>
    </w:div>
    <w:div w:id="1657297484">
      <w:bodyDiv w:val="1"/>
      <w:marLeft w:val="0"/>
      <w:marRight w:val="0"/>
      <w:marTop w:val="0"/>
      <w:marBottom w:val="0"/>
      <w:divBdr>
        <w:top w:val="none" w:sz="0" w:space="0" w:color="auto"/>
        <w:left w:val="none" w:sz="0" w:space="0" w:color="auto"/>
        <w:bottom w:val="none" w:sz="0" w:space="0" w:color="auto"/>
        <w:right w:val="none" w:sz="0" w:space="0" w:color="auto"/>
      </w:divBdr>
    </w:div>
    <w:div w:id="1705128829">
      <w:bodyDiv w:val="1"/>
      <w:marLeft w:val="0"/>
      <w:marRight w:val="0"/>
      <w:marTop w:val="0"/>
      <w:marBottom w:val="0"/>
      <w:divBdr>
        <w:top w:val="none" w:sz="0" w:space="0" w:color="auto"/>
        <w:left w:val="none" w:sz="0" w:space="0" w:color="auto"/>
        <w:bottom w:val="none" w:sz="0" w:space="0" w:color="auto"/>
        <w:right w:val="none" w:sz="0" w:space="0" w:color="auto"/>
      </w:divBdr>
    </w:div>
    <w:div w:id="1774977694">
      <w:bodyDiv w:val="1"/>
      <w:marLeft w:val="0"/>
      <w:marRight w:val="0"/>
      <w:marTop w:val="0"/>
      <w:marBottom w:val="0"/>
      <w:divBdr>
        <w:top w:val="none" w:sz="0" w:space="0" w:color="auto"/>
        <w:left w:val="none" w:sz="0" w:space="0" w:color="auto"/>
        <w:bottom w:val="none" w:sz="0" w:space="0" w:color="auto"/>
        <w:right w:val="none" w:sz="0" w:space="0" w:color="auto"/>
      </w:divBdr>
    </w:div>
    <w:div w:id="1812862174">
      <w:bodyDiv w:val="1"/>
      <w:marLeft w:val="0"/>
      <w:marRight w:val="0"/>
      <w:marTop w:val="0"/>
      <w:marBottom w:val="0"/>
      <w:divBdr>
        <w:top w:val="none" w:sz="0" w:space="0" w:color="auto"/>
        <w:left w:val="none" w:sz="0" w:space="0" w:color="auto"/>
        <w:bottom w:val="none" w:sz="0" w:space="0" w:color="auto"/>
        <w:right w:val="none" w:sz="0" w:space="0" w:color="auto"/>
      </w:divBdr>
    </w:div>
    <w:div w:id="1845625254">
      <w:bodyDiv w:val="1"/>
      <w:marLeft w:val="0"/>
      <w:marRight w:val="0"/>
      <w:marTop w:val="0"/>
      <w:marBottom w:val="0"/>
      <w:divBdr>
        <w:top w:val="none" w:sz="0" w:space="0" w:color="auto"/>
        <w:left w:val="none" w:sz="0" w:space="0" w:color="auto"/>
        <w:bottom w:val="none" w:sz="0" w:space="0" w:color="auto"/>
        <w:right w:val="none" w:sz="0" w:space="0" w:color="auto"/>
      </w:divBdr>
    </w:div>
    <w:div w:id="2044742523">
      <w:bodyDiv w:val="1"/>
      <w:marLeft w:val="0"/>
      <w:marRight w:val="0"/>
      <w:marTop w:val="0"/>
      <w:marBottom w:val="0"/>
      <w:divBdr>
        <w:top w:val="none" w:sz="0" w:space="0" w:color="auto"/>
        <w:left w:val="none" w:sz="0" w:space="0" w:color="auto"/>
        <w:bottom w:val="none" w:sz="0" w:space="0" w:color="auto"/>
        <w:right w:val="none" w:sz="0" w:space="0" w:color="auto"/>
      </w:divBdr>
    </w:div>
    <w:div w:id="2134130144">
      <w:bodyDiv w:val="1"/>
      <w:marLeft w:val="0"/>
      <w:marRight w:val="0"/>
      <w:marTop w:val="0"/>
      <w:marBottom w:val="0"/>
      <w:divBdr>
        <w:top w:val="none" w:sz="0" w:space="0" w:color="auto"/>
        <w:left w:val="none" w:sz="0" w:space="0" w:color="auto"/>
        <w:bottom w:val="none" w:sz="0" w:space="0" w:color="auto"/>
        <w:right w:val="none" w:sz="0" w:space="0" w:color="auto"/>
      </w:divBdr>
    </w:div>
    <w:div w:id="21389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dms_pub/itu-s/opb/gen/S-GEN-REG_RGTFIN-2010-U4-PDF-F.pdf" TargetMode="External"/><Relationship Id="rId14" Type="http://schemas.openxmlformats.org/officeDocument/2006/relationships/chart" Target="charts/chart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Grafico%20in%20Microsoft%20Word"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Grafico%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Titre du graphique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111111111111112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5.555555555555551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185067526415994E-16"/>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1111111111111109E-2"/>
                  <c:y val="-6.48148148148148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 in Microsoft Word]Foglio1'!$C$3:$H$3</c:f>
              <c:numCache>
                <c:formatCode>General</c:formatCode>
                <c:ptCount val="6"/>
                <c:pt idx="0">
                  <c:v>2011</c:v>
                </c:pt>
                <c:pt idx="1">
                  <c:v>2012</c:v>
                </c:pt>
                <c:pt idx="2">
                  <c:v>2013</c:v>
                </c:pt>
                <c:pt idx="3">
                  <c:v>2014</c:v>
                </c:pt>
                <c:pt idx="4">
                  <c:v>2015</c:v>
                </c:pt>
                <c:pt idx="5">
                  <c:v>2016</c:v>
                </c:pt>
              </c:numCache>
            </c:numRef>
          </c:cat>
          <c:val>
            <c:numRef>
              <c:f>'[Grafico in Microsoft Word]Foglio1'!$C$2:$H$2</c:f>
              <c:numCache>
                <c:formatCode>General</c:formatCode>
                <c:ptCount val="6"/>
                <c:pt idx="0">
                  <c:v>7507</c:v>
                </c:pt>
                <c:pt idx="1">
                  <c:v>8034</c:v>
                </c:pt>
                <c:pt idx="2">
                  <c:v>10022</c:v>
                </c:pt>
                <c:pt idx="3">
                  <c:v>8903</c:v>
                </c:pt>
                <c:pt idx="4">
                  <c:v>9219</c:v>
                </c:pt>
                <c:pt idx="5">
                  <c:v>10075</c:v>
                </c:pt>
              </c:numCache>
            </c:numRef>
          </c:val>
          <c:smooth val="0"/>
        </c:ser>
        <c:dLbls>
          <c:showLegendKey val="0"/>
          <c:showVal val="0"/>
          <c:showCatName val="0"/>
          <c:showSerName val="0"/>
          <c:showPercent val="0"/>
          <c:showBubbleSize val="0"/>
        </c:dLbls>
        <c:marker val="1"/>
        <c:smooth val="0"/>
        <c:axId val="398182016"/>
        <c:axId val="398182408"/>
      </c:lineChart>
      <c:dateAx>
        <c:axId val="39818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182408"/>
        <c:crosses val="autoZero"/>
        <c:auto val="0"/>
        <c:lblOffset val="100"/>
        <c:baseTimeUnit val="days"/>
      </c:dateAx>
      <c:valAx>
        <c:axId val="398182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18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0" i="0" u="none" strike="noStrike" baseline="0">
                <a:effectLst/>
              </a:rPr>
              <a:t>Evolution des produits générés par les parrainages </a:t>
            </a:r>
            <a:r>
              <a:rPr lang="it-IT" sz="1050"/>
              <a:t>(</a:t>
            </a:r>
            <a:r>
              <a:rPr lang="fr-FR" sz="1050" b="0" i="0" u="none" strike="noStrike" baseline="0">
                <a:effectLst/>
              </a:rPr>
              <a:t>en milliers CHF</a:t>
            </a:r>
            <a:r>
              <a:rPr lang="it-IT" sz="1050"/>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246981627296588"/>
          <c:y val="0.24131128608923885"/>
          <c:w val="0.87753018372703417"/>
          <c:h val="0.67780752405949252"/>
        </c:manualLayout>
      </c:layout>
      <c:lineChart>
        <c:grouping val="standard"/>
        <c:varyColors val="0"/>
        <c:ser>
          <c:idx val="0"/>
          <c:order val="0"/>
          <c:spPr>
            <a:ln w="28575" cap="rnd">
              <a:solidFill>
                <a:schemeClr val="accent1"/>
              </a:solidFill>
              <a:round/>
            </a:ln>
            <a:effectLst/>
          </c:spPr>
          <c:marker>
            <c:symbol val="none"/>
          </c:marker>
          <c:dLbls>
            <c:dLbl>
              <c:idx val="0"/>
              <c:layout>
                <c:manualLayout>
                  <c:x val="-1.9444444444444469E-2"/>
                  <c:y val="8.333333333333328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8.796296296296296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3888888888888884E-2"/>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3888888888888995E-2"/>
                  <c:y val="8.333333333333324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5000000000000205E-2"/>
                  <c:y val="7.40740740740739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 in Microsoft Word]Foglio1'!$B$11:$B$16</c:f>
              <c:strCache>
                <c:ptCount val="6"/>
                <c:pt idx="0">
                  <c:v>WT11</c:v>
                </c:pt>
                <c:pt idx="1">
                  <c:v>WT12</c:v>
                </c:pt>
                <c:pt idx="2">
                  <c:v>WT13</c:v>
                </c:pt>
                <c:pt idx="3">
                  <c:v>WT14</c:v>
                </c:pt>
                <c:pt idx="4">
                  <c:v>WT15</c:v>
                </c:pt>
                <c:pt idx="5">
                  <c:v>WT16</c:v>
                </c:pt>
              </c:strCache>
            </c:strRef>
          </c:cat>
          <c:val>
            <c:numRef>
              <c:f>'[Grafico in Microsoft Word]Foglio1'!$C$11:$C$16</c:f>
              <c:numCache>
                <c:formatCode>General</c:formatCode>
                <c:ptCount val="6"/>
                <c:pt idx="0">
                  <c:v>2654</c:v>
                </c:pt>
                <c:pt idx="1">
                  <c:v>2600</c:v>
                </c:pt>
                <c:pt idx="2">
                  <c:v>2180</c:v>
                </c:pt>
                <c:pt idx="3">
                  <c:v>1221</c:v>
                </c:pt>
                <c:pt idx="4">
                  <c:v>883</c:v>
                </c:pt>
                <c:pt idx="5">
                  <c:v>1288</c:v>
                </c:pt>
              </c:numCache>
            </c:numRef>
          </c:val>
          <c:smooth val="0"/>
        </c:ser>
        <c:dLbls>
          <c:showLegendKey val="0"/>
          <c:showVal val="0"/>
          <c:showCatName val="0"/>
          <c:showSerName val="0"/>
          <c:showPercent val="0"/>
          <c:showBubbleSize val="0"/>
        </c:dLbls>
        <c:smooth val="0"/>
        <c:axId val="394787312"/>
        <c:axId val="394787704"/>
      </c:lineChart>
      <c:catAx>
        <c:axId val="394787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it-IT">
                    <a:solidFill>
                      <a:schemeClr val="dk1"/>
                    </a:solidFill>
                    <a:latin typeface="+mn-lt"/>
                    <a:ea typeface="+mn-ea"/>
                    <a:cs typeface="+mn-cs"/>
                  </a:rPr>
                  <a:t>2011</a:t>
                </a:r>
                <a:r>
                  <a:rPr lang="it-IT" sz="1000" b="0" i="0" u="none" strike="noStrike" kern="1200" baseline="0">
                    <a:solidFill>
                      <a:schemeClr val="dk1"/>
                    </a:solidFill>
                    <a:latin typeface="+mn-lt"/>
                    <a:ea typeface="+mn-ea"/>
                    <a:cs typeface="+mn-cs"/>
                  </a:rPr>
                  <a:t>  </a:t>
                </a:r>
                <a:r>
                  <a:rPr lang="it-IT">
                    <a:solidFill>
                      <a:schemeClr val="dk1"/>
                    </a:solidFill>
                    <a:latin typeface="+mn-lt"/>
                    <a:ea typeface="+mn-ea"/>
                    <a:cs typeface="+mn-cs"/>
                  </a:rPr>
                  <a:t>2012</a:t>
                </a:r>
                <a:r>
                  <a:rPr lang="it-IT" sz="1000" b="0" i="0" u="none" strike="noStrike" kern="1200" baseline="0">
                    <a:solidFill>
                      <a:schemeClr val="dk1"/>
                    </a:solidFill>
                    <a:latin typeface="+mn-lt"/>
                    <a:ea typeface="+mn-ea"/>
                    <a:cs typeface="+mn-cs"/>
                  </a:rPr>
                  <a:t>  </a:t>
                </a:r>
                <a:r>
                  <a:rPr lang="it-IT">
                    <a:solidFill>
                      <a:schemeClr val="dk1"/>
                    </a:solidFill>
                    <a:latin typeface="+mn-lt"/>
                    <a:ea typeface="+mn-ea"/>
                    <a:cs typeface="+mn-cs"/>
                  </a:rPr>
                  <a:t>2013</a:t>
                </a:r>
                <a:r>
                  <a:rPr lang="it-IT" sz="1000" b="0" i="0" u="none" strike="noStrike" kern="1200" baseline="0">
                    <a:solidFill>
                      <a:schemeClr val="dk1"/>
                    </a:solidFill>
                    <a:latin typeface="+mn-lt"/>
                    <a:ea typeface="+mn-ea"/>
                    <a:cs typeface="+mn-cs"/>
                  </a:rPr>
                  <a:t>  </a:t>
                </a:r>
                <a:r>
                  <a:rPr lang="it-IT">
                    <a:solidFill>
                      <a:schemeClr val="dk1"/>
                    </a:solidFill>
                    <a:latin typeface="+mn-lt"/>
                    <a:ea typeface="+mn-ea"/>
                    <a:cs typeface="+mn-cs"/>
                  </a:rPr>
                  <a:t> 2014</a:t>
                </a:r>
                <a:r>
                  <a:rPr lang="it-IT" sz="1000" b="0" i="0" u="none" strike="noStrike" kern="1200" baseline="0">
                    <a:solidFill>
                      <a:schemeClr val="dk1"/>
                    </a:solidFill>
                    <a:latin typeface="+mn-lt"/>
                    <a:ea typeface="+mn-ea"/>
                    <a:cs typeface="+mn-cs"/>
                  </a:rPr>
                  <a:t>  </a:t>
                </a:r>
                <a:r>
                  <a:rPr lang="it-IT">
                    <a:solidFill>
                      <a:schemeClr val="dk1"/>
                    </a:solidFill>
                    <a:latin typeface="+mn-lt"/>
                    <a:ea typeface="+mn-ea"/>
                    <a:cs typeface="+mn-cs"/>
                  </a:rPr>
                  <a:t> 2015</a:t>
                </a:r>
                <a:r>
                  <a:rPr lang="it-IT" sz="1000" b="0" i="0" u="none" strike="noStrike" kern="1200" baseline="0">
                    <a:solidFill>
                      <a:schemeClr val="dk1"/>
                    </a:solidFill>
                    <a:latin typeface="+mn-lt"/>
                    <a:ea typeface="+mn-ea"/>
                    <a:cs typeface="+mn-cs"/>
                  </a:rPr>
                  <a:t>  </a:t>
                </a:r>
                <a:r>
                  <a:rPr lang="it-IT">
                    <a:solidFill>
                      <a:schemeClr val="dk1"/>
                    </a:solidFill>
                    <a:latin typeface="+mn-lt"/>
                    <a:ea typeface="+mn-ea"/>
                    <a:cs typeface="+mn-cs"/>
                  </a:rPr>
                  <a:t> 2016 </a:t>
                </a:r>
                <a:endParaRPr lang="it-IT"/>
              </a:p>
            </c:rich>
          </c:tx>
          <c:overlay val="0"/>
          <c:spPr>
            <a:solidFill>
              <a:schemeClr val="lt1"/>
            </a:solidFill>
            <a:ln w="25400" cap="flat" cmpd="sng" algn="ctr">
              <a:solidFill>
                <a:schemeClr val="accent1">
                  <a:lumMod val="20000"/>
                  <a:lumOff val="80000"/>
                </a:schemeClr>
              </a:solidFill>
              <a:prstDash val="solid"/>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787704"/>
        <c:crosses val="autoZero"/>
        <c:auto val="1"/>
        <c:lblAlgn val="ctr"/>
        <c:lblOffset val="100"/>
        <c:noMultiLvlLbl val="0"/>
      </c:catAx>
      <c:valAx>
        <c:axId val="394787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787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77FC1-A82C-43C7-81BD-85C33DE6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1</TotalTime>
  <Pages>35</Pages>
  <Words>10564</Words>
  <Characters>60217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Vérification extérieure des comptes de l'Union - ITU Telecom World 2016</vt:lpstr>
    </vt:vector>
  </TitlesOfParts>
  <Manager>Secrétariat général - Pool</Manager>
  <Company>Union internationale des télécommunications (UIT)</Company>
  <LinksUpToDate>false</LinksUpToDate>
  <CharactersWithSpaces>70640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Vérification extérieure des comptes de l'Union - ITU Telecom World 2016</dc:title>
  <dc:subject>Conseil 2017</dc:subject>
  <dc:creator>Limousin, Catherine</dc:creator>
  <cp:keywords>C2017, C17</cp:keywords>
  <dc:description>Document C17/-F  Pour: _x000d_Date du document: janvier 2017_x000d_Enregistré par ITU51009317 à 15:30:24 le 06/04/2017</dc:description>
  <cp:lastModifiedBy>Brouard, Ricarda</cp:lastModifiedBy>
  <cp:revision>2</cp:revision>
  <cp:lastPrinted>2017-05-19T09:12:00Z</cp:lastPrinted>
  <dcterms:created xsi:type="dcterms:W3CDTF">2017-05-19T09:13:00Z</dcterms:created>
  <dcterms:modified xsi:type="dcterms:W3CDTF">2017-05-19T09:13:00Z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