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71C97" w:rsidRPr="00813E5E" w14:paraId="1198565D" w14:textId="77777777">
        <w:trPr>
          <w:cantSplit/>
        </w:trPr>
        <w:tc>
          <w:tcPr>
            <w:tcW w:w="6911" w:type="dxa"/>
          </w:tcPr>
          <w:p w14:paraId="1198565B" w14:textId="77777777" w:rsidR="00771C97" w:rsidRPr="00813E5E" w:rsidRDefault="00771C97" w:rsidP="00771C97">
            <w:pPr>
              <w:spacing w:before="360" w:after="48" w:line="240" w:lineRule="atLeast"/>
              <w:rPr>
                <w:position w:val="6"/>
              </w:rPr>
            </w:pPr>
            <w:bookmarkStart w:id="0" w:name="dc06"/>
            <w:bookmarkEnd w:id="0"/>
            <w:r w:rsidRPr="00771C97">
              <w:rPr>
                <w:b/>
                <w:bCs/>
                <w:position w:val="6"/>
                <w:sz w:val="30"/>
                <w:szCs w:val="30"/>
                <w:lang w:val="fr-CH"/>
              </w:rPr>
              <w:t>Council 2017</w:t>
            </w:r>
            <w:r w:rsidRPr="00771C97">
              <w:rPr>
                <w:rFonts w:cs="Times"/>
                <w:b/>
                <w:position w:val="6"/>
                <w:sz w:val="26"/>
                <w:szCs w:val="26"/>
                <w:lang w:val="en-US"/>
              </w:rPr>
              <w:br/>
            </w:r>
            <w:r w:rsidRPr="00771C97">
              <w:rPr>
                <w:b/>
                <w:bCs/>
                <w:position w:val="6"/>
                <w:szCs w:val="24"/>
                <w:lang w:val="fr-CH"/>
              </w:rPr>
              <w:t>Geneva, 15-25 May 2017</w:t>
            </w:r>
          </w:p>
        </w:tc>
        <w:tc>
          <w:tcPr>
            <w:tcW w:w="3120" w:type="dxa"/>
          </w:tcPr>
          <w:p w14:paraId="1198565C" w14:textId="77777777" w:rsidR="00771C97" w:rsidRPr="00813E5E" w:rsidRDefault="00771C97" w:rsidP="00771C97">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1985704" wp14:editId="11985705">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771C97" w:rsidRPr="00813E5E" w14:paraId="11985660" w14:textId="77777777">
        <w:trPr>
          <w:cantSplit/>
        </w:trPr>
        <w:tc>
          <w:tcPr>
            <w:tcW w:w="6911" w:type="dxa"/>
            <w:tcBorders>
              <w:bottom w:val="single" w:sz="12" w:space="0" w:color="auto"/>
            </w:tcBorders>
          </w:tcPr>
          <w:p w14:paraId="1198565E" w14:textId="77777777" w:rsidR="00771C97" w:rsidRPr="00813E5E" w:rsidRDefault="00771C97">
            <w:pPr>
              <w:spacing w:before="0" w:after="48" w:line="240" w:lineRule="atLeast"/>
              <w:rPr>
                <w:b/>
                <w:smallCaps/>
                <w:szCs w:val="24"/>
              </w:rPr>
            </w:pPr>
          </w:p>
        </w:tc>
        <w:tc>
          <w:tcPr>
            <w:tcW w:w="3120" w:type="dxa"/>
            <w:tcBorders>
              <w:bottom w:val="single" w:sz="12" w:space="0" w:color="auto"/>
            </w:tcBorders>
          </w:tcPr>
          <w:p w14:paraId="1198565F" w14:textId="77777777" w:rsidR="00771C97" w:rsidRPr="00813E5E" w:rsidRDefault="00771C97">
            <w:pPr>
              <w:spacing w:before="0" w:line="240" w:lineRule="atLeast"/>
              <w:rPr>
                <w:szCs w:val="24"/>
              </w:rPr>
            </w:pPr>
          </w:p>
        </w:tc>
      </w:tr>
      <w:tr w:rsidR="00771C97" w:rsidRPr="00813E5E" w14:paraId="11985663" w14:textId="77777777">
        <w:trPr>
          <w:cantSplit/>
        </w:trPr>
        <w:tc>
          <w:tcPr>
            <w:tcW w:w="6911" w:type="dxa"/>
            <w:tcBorders>
              <w:top w:val="single" w:sz="12" w:space="0" w:color="auto"/>
            </w:tcBorders>
          </w:tcPr>
          <w:p w14:paraId="11985661" w14:textId="77777777" w:rsidR="00771C97" w:rsidRPr="00813E5E" w:rsidRDefault="00771C97">
            <w:pPr>
              <w:spacing w:before="0" w:after="48" w:line="240" w:lineRule="atLeast"/>
              <w:rPr>
                <w:b/>
                <w:smallCaps/>
                <w:szCs w:val="24"/>
              </w:rPr>
            </w:pPr>
          </w:p>
        </w:tc>
        <w:tc>
          <w:tcPr>
            <w:tcW w:w="3120" w:type="dxa"/>
            <w:tcBorders>
              <w:top w:val="single" w:sz="12" w:space="0" w:color="auto"/>
            </w:tcBorders>
          </w:tcPr>
          <w:p w14:paraId="11985662" w14:textId="77777777" w:rsidR="00771C97" w:rsidRPr="00813E5E" w:rsidRDefault="00771C97">
            <w:pPr>
              <w:spacing w:before="0" w:line="240" w:lineRule="atLeast"/>
              <w:rPr>
                <w:szCs w:val="24"/>
              </w:rPr>
            </w:pPr>
          </w:p>
        </w:tc>
      </w:tr>
      <w:tr w:rsidR="00771C97" w:rsidRPr="00813E5E" w14:paraId="11985666" w14:textId="77777777">
        <w:trPr>
          <w:cantSplit/>
          <w:trHeight w:val="23"/>
        </w:trPr>
        <w:tc>
          <w:tcPr>
            <w:tcW w:w="6911" w:type="dxa"/>
            <w:vMerge w:val="restart"/>
          </w:tcPr>
          <w:p w14:paraId="11985664" w14:textId="77777777" w:rsidR="00771C97" w:rsidRPr="00771C97" w:rsidRDefault="00771C97" w:rsidP="00771C97">
            <w:pPr>
              <w:tabs>
                <w:tab w:val="left" w:pos="851"/>
              </w:tabs>
              <w:spacing w:before="0" w:line="240" w:lineRule="atLeast"/>
              <w:rPr>
                <w:b/>
              </w:rPr>
            </w:pPr>
            <w:bookmarkStart w:id="2" w:name="dmeeting" w:colFirst="0" w:colLast="0"/>
            <w:bookmarkStart w:id="3" w:name="dnum" w:colFirst="1" w:colLast="1"/>
            <w:r>
              <w:rPr>
                <w:b/>
              </w:rPr>
              <w:t>Agenda item: ADM 19</w:t>
            </w:r>
          </w:p>
        </w:tc>
        <w:tc>
          <w:tcPr>
            <w:tcW w:w="3120" w:type="dxa"/>
          </w:tcPr>
          <w:p w14:paraId="11985665" w14:textId="77777777" w:rsidR="00771C97" w:rsidRPr="00771C97" w:rsidRDefault="00771C97" w:rsidP="00771C97">
            <w:pPr>
              <w:tabs>
                <w:tab w:val="left" w:pos="851"/>
              </w:tabs>
              <w:spacing w:before="0" w:line="240" w:lineRule="atLeast"/>
              <w:rPr>
                <w:b/>
              </w:rPr>
            </w:pPr>
            <w:r>
              <w:rPr>
                <w:b/>
              </w:rPr>
              <w:t>Document C17/43-E</w:t>
            </w:r>
          </w:p>
        </w:tc>
      </w:tr>
      <w:tr w:rsidR="00771C97" w:rsidRPr="00813E5E" w14:paraId="11985669" w14:textId="77777777">
        <w:trPr>
          <w:cantSplit/>
          <w:trHeight w:val="23"/>
        </w:trPr>
        <w:tc>
          <w:tcPr>
            <w:tcW w:w="6911" w:type="dxa"/>
            <w:vMerge/>
          </w:tcPr>
          <w:p w14:paraId="11985667" w14:textId="77777777" w:rsidR="00771C97" w:rsidRPr="00813E5E" w:rsidRDefault="00771C97">
            <w:pPr>
              <w:tabs>
                <w:tab w:val="left" w:pos="851"/>
              </w:tabs>
              <w:spacing w:line="240" w:lineRule="atLeast"/>
              <w:rPr>
                <w:b/>
              </w:rPr>
            </w:pPr>
            <w:bookmarkStart w:id="4" w:name="ddate" w:colFirst="1" w:colLast="1"/>
            <w:bookmarkEnd w:id="2"/>
            <w:bookmarkEnd w:id="3"/>
          </w:p>
        </w:tc>
        <w:tc>
          <w:tcPr>
            <w:tcW w:w="3120" w:type="dxa"/>
          </w:tcPr>
          <w:p w14:paraId="11985668" w14:textId="77777777" w:rsidR="00771C97" w:rsidRPr="00771C97" w:rsidRDefault="00771C97" w:rsidP="00771C97">
            <w:pPr>
              <w:tabs>
                <w:tab w:val="left" w:pos="993"/>
              </w:tabs>
              <w:spacing w:before="0"/>
              <w:rPr>
                <w:b/>
              </w:rPr>
            </w:pPr>
            <w:r>
              <w:rPr>
                <w:b/>
              </w:rPr>
              <w:t>31 March 2017</w:t>
            </w:r>
          </w:p>
        </w:tc>
      </w:tr>
      <w:tr w:rsidR="00771C97" w:rsidRPr="00813E5E" w14:paraId="1198566C" w14:textId="77777777">
        <w:trPr>
          <w:cantSplit/>
          <w:trHeight w:val="23"/>
        </w:trPr>
        <w:tc>
          <w:tcPr>
            <w:tcW w:w="6911" w:type="dxa"/>
            <w:vMerge/>
          </w:tcPr>
          <w:p w14:paraId="1198566A" w14:textId="77777777" w:rsidR="00771C97" w:rsidRPr="00813E5E" w:rsidRDefault="00771C97">
            <w:pPr>
              <w:tabs>
                <w:tab w:val="left" w:pos="851"/>
              </w:tabs>
              <w:spacing w:line="240" w:lineRule="atLeast"/>
              <w:rPr>
                <w:b/>
              </w:rPr>
            </w:pPr>
            <w:bookmarkStart w:id="5" w:name="dorlang" w:colFirst="1" w:colLast="1"/>
            <w:bookmarkEnd w:id="4"/>
          </w:p>
        </w:tc>
        <w:tc>
          <w:tcPr>
            <w:tcW w:w="3120" w:type="dxa"/>
          </w:tcPr>
          <w:p w14:paraId="1198566B" w14:textId="77777777" w:rsidR="00771C97" w:rsidRPr="00771C97" w:rsidRDefault="00771C97" w:rsidP="00771C97">
            <w:pPr>
              <w:tabs>
                <w:tab w:val="left" w:pos="993"/>
              </w:tabs>
              <w:spacing w:before="0"/>
              <w:rPr>
                <w:b/>
              </w:rPr>
            </w:pPr>
            <w:r>
              <w:rPr>
                <w:b/>
              </w:rPr>
              <w:t>Original: English</w:t>
            </w:r>
          </w:p>
        </w:tc>
      </w:tr>
      <w:tr w:rsidR="00771C97" w:rsidRPr="00813E5E" w14:paraId="1198566E" w14:textId="77777777">
        <w:trPr>
          <w:cantSplit/>
        </w:trPr>
        <w:tc>
          <w:tcPr>
            <w:tcW w:w="10031" w:type="dxa"/>
            <w:gridSpan w:val="2"/>
          </w:tcPr>
          <w:p w14:paraId="1198566D" w14:textId="77777777" w:rsidR="00771C97" w:rsidRPr="00813E5E" w:rsidRDefault="00771C97" w:rsidP="00447B91">
            <w:pPr>
              <w:pStyle w:val="Source"/>
              <w:framePr w:hSpace="0" w:wrap="auto" w:hAnchor="text" w:yAlign="inline"/>
            </w:pPr>
            <w:bookmarkStart w:id="6" w:name="dsource" w:colFirst="0" w:colLast="0"/>
            <w:bookmarkEnd w:id="5"/>
            <w:r>
              <w:t>Report by the Secretary-General</w:t>
            </w:r>
          </w:p>
        </w:tc>
      </w:tr>
      <w:tr w:rsidR="00771C97" w:rsidRPr="00813E5E" w14:paraId="11985670" w14:textId="77777777">
        <w:trPr>
          <w:cantSplit/>
        </w:trPr>
        <w:tc>
          <w:tcPr>
            <w:tcW w:w="10031" w:type="dxa"/>
            <w:gridSpan w:val="2"/>
          </w:tcPr>
          <w:p w14:paraId="1198566F" w14:textId="77777777" w:rsidR="00771C97" w:rsidRPr="00813E5E" w:rsidRDefault="00771C97" w:rsidP="00447B91">
            <w:pPr>
              <w:pStyle w:val="Title1"/>
              <w:framePr w:hSpace="0" w:wrap="auto" w:hAnchor="text" w:yAlign="inline"/>
            </w:pPr>
            <w:bookmarkStart w:id="7" w:name="dtitle1" w:colFirst="0" w:colLast="0"/>
            <w:bookmarkEnd w:id="6"/>
            <w:r>
              <w:t>PROPOSALS TO INCREASE REVENUE FROM INRS</w:t>
            </w:r>
          </w:p>
        </w:tc>
      </w:tr>
      <w:bookmarkEnd w:id="7"/>
    </w:tbl>
    <w:p w14:paraId="11985671" w14:textId="77777777" w:rsidR="00771C97" w:rsidRPr="00813E5E" w:rsidRDefault="00771C9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71C97" w:rsidRPr="00813E5E" w14:paraId="11985679"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1985672" w14:textId="77777777" w:rsidR="00771C97" w:rsidRPr="00813E5E" w:rsidRDefault="00771C97">
            <w:pPr>
              <w:pStyle w:val="Headingb"/>
            </w:pPr>
            <w:r w:rsidRPr="00813E5E">
              <w:t>Summary</w:t>
            </w:r>
          </w:p>
          <w:p w14:paraId="11985673" w14:textId="77777777" w:rsidR="00771C97" w:rsidRPr="00813E5E" w:rsidRDefault="00771C97" w:rsidP="00CE5943">
            <w:pPr>
              <w:jc w:val="both"/>
            </w:pPr>
            <w:r w:rsidRPr="00771C97">
              <w:t>Following</w:t>
            </w:r>
            <w:r w:rsidR="00CE5943">
              <w:t xml:space="preserve"> the discussion that occurred at</w:t>
            </w:r>
            <w:r w:rsidRPr="00771C97">
              <w:t xml:space="preserve"> Council 2016, this report summarizes the financial impact of two proposals to increase revenue from INRs: 1) to levy an annual fee for UIFN and IIN; 2) to increase the one-time registration fee for UIFN and IIN.</w:t>
            </w:r>
          </w:p>
          <w:p w14:paraId="11985674" w14:textId="77777777" w:rsidR="00771C97" w:rsidRPr="00813E5E" w:rsidRDefault="00771C97" w:rsidP="00CE5943">
            <w:pPr>
              <w:pStyle w:val="Headingb"/>
              <w:jc w:val="both"/>
            </w:pPr>
            <w:r w:rsidRPr="00813E5E">
              <w:t>Action required</w:t>
            </w:r>
          </w:p>
          <w:p w14:paraId="11985675" w14:textId="77777777" w:rsidR="00771C97" w:rsidRPr="00813E5E" w:rsidRDefault="00771C97" w:rsidP="00CE5943">
            <w:pPr>
              <w:jc w:val="both"/>
            </w:pPr>
            <w:r w:rsidRPr="00771C97">
              <w:t xml:space="preserve">The Council </w:t>
            </w:r>
            <w:proofErr w:type="gramStart"/>
            <w:r w:rsidRPr="00771C97">
              <w:t>is invited</w:t>
            </w:r>
            <w:proofErr w:type="gramEnd"/>
            <w:r w:rsidRPr="00771C97">
              <w:t xml:space="preserve"> to </w:t>
            </w:r>
            <w:r w:rsidRPr="00771C97">
              <w:rPr>
                <w:b/>
                <w:bCs/>
              </w:rPr>
              <w:t>consider</w:t>
            </w:r>
            <w:r w:rsidRPr="00771C97">
              <w:t xml:space="preserve"> the proposals in this report.</w:t>
            </w:r>
          </w:p>
          <w:p w14:paraId="11985676" w14:textId="77777777" w:rsidR="00771C97" w:rsidRPr="00813E5E" w:rsidRDefault="00771C97">
            <w:pPr>
              <w:pStyle w:val="Table"/>
              <w:keepNext w:val="0"/>
              <w:spacing w:before="0" w:after="0"/>
              <w:rPr>
                <w:rFonts w:ascii="Calibri" w:hAnsi="Calibri"/>
                <w:caps w:val="0"/>
                <w:sz w:val="22"/>
              </w:rPr>
            </w:pPr>
            <w:r w:rsidRPr="00813E5E">
              <w:rPr>
                <w:rFonts w:ascii="Calibri" w:hAnsi="Calibri"/>
                <w:caps w:val="0"/>
                <w:sz w:val="22"/>
              </w:rPr>
              <w:t>____________</w:t>
            </w:r>
          </w:p>
          <w:p w14:paraId="11985677" w14:textId="77777777" w:rsidR="00771C97" w:rsidRPr="00813E5E" w:rsidRDefault="00771C97">
            <w:pPr>
              <w:pStyle w:val="Headingb"/>
            </w:pPr>
            <w:r w:rsidRPr="00813E5E">
              <w:t>References</w:t>
            </w:r>
          </w:p>
          <w:p w14:paraId="11985678" w14:textId="77777777" w:rsidR="00771C97" w:rsidRPr="00813E5E" w:rsidRDefault="00C7252D" w:rsidP="00447B91">
            <w:pPr>
              <w:spacing w:after="120"/>
              <w:rPr>
                <w:i/>
                <w:iCs/>
              </w:rPr>
            </w:pPr>
            <w:hyperlink r:id="rId12" w:history="1">
              <w:r w:rsidR="00771C97" w:rsidRPr="00415731">
                <w:rPr>
                  <w:rStyle w:val="Hyperlink"/>
                  <w:lang w:val="en"/>
                </w:rPr>
                <w:t>C16/69</w:t>
              </w:r>
            </w:hyperlink>
            <w:r w:rsidR="00771C97" w:rsidRPr="00415731">
              <w:rPr>
                <w:lang w:val="en"/>
              </w:rPr>
              <w:t xml:space="preserve">, </w:t>
            </w:r>
            <w:hyperlink r:id="rId13" w:history="1">
              <w:r w:rsidR="00771C97" w:rsidRPr="00415731">
                <w:rPr>
                  <w:rStyle w:val="Hyperlink"/>
                  <w:lang w:val="en"/>
                </w:rPr>
                <w:t>C16/96</w:t>
              </w:r>
            </w:hyperlink>
            <w:r w:rsidR="00771C97" w:rsidRPr="00415731">
              <w:rPr>
                <w:rStyle w:val="Hyperlink"/>
              </w:rPr>
              <w:t xml:space="preserve">, </w:t>
            </w:r>
            <w:hyperlink r:id="rId14" w:history="1">
              <w:r w:rsidR="00771C97" w:rsidRPr="00415731">
                <w:rPr>
                  <w:rStyle w:val="Hyperlink"/>
                  <w:lang w:val="en"/>
                </w:rPr>
                <w:t>CWG-FHR 5/25</w:t>
              </w:r>
            </w:hyperlink>
            <w:r w:rsidR="00771C97" w:rsidRPr="00415731">
              <w:rPr>
                <w:rStyle w:val="Hyperlink"/>
                <w:lang w:val="en"/>
              </w:rPr>
              <w:t>,</w:t>
            </w:r>
            <w:r w:rsidR="00771C97" w:rsidRPr="00415731">
              <w:rPr>
                <w:rStyle w:val="Hyperlink"/>
              </w:rPr>
              <w:t xml:space="preserve"> </w:t>
            </w:r>
            <w:hyperlink r:id="rId15" w:history="1">
              <w:r w:rsidR="00771C97" w:rsidRPr="00415731">
                <w:rPr>
                  <w:rStyle w:val="Hyperlink"/>
                </w:rPr>
                <w:t>DT/63</w:t>
              </w:r>
            </w:hyperlink>
            <w:r w:rsidR="00771C97" w:rsidRPr="00415731">
              <w:rPr>
                <w:rStyle w:val="Hyperlink"/>
              </w:rPr>
              <w:t xml:space="preserve">, </w:t>
            </w:r>
            <w:hyperlink r:id="rId16" w:history="1">
              <w:r w:rsidR="00771C97" w:rsidRPr="00415731">
                <w:rPr>
                  <w:rStyle w:val="Hyperlink"/>
                  <w:lang w:val="en"/>
                </w:rPr>
                <w:t>C16/DL/7</w:t>
              </w:r>
            </w:hyperlink>
            <w:r w:rsidR="00771C97" w:rsidRPr="00415731">
              <w:rPr>
                <w:rStyle w:val="Hyperlink"/>
                <w:lang w:val="en"/>
              </w:rPr>
              <w:t>,</w:t>
            </w:r>
            <w:r w:rsidR="00771C97" w:rsidRPr="00415731">
              <w:rPr>
                <w:rStyle w:val="Hyperlink"/>
              </w:rPr>
              <w:t xml:space="preserve"> </w:t>
            </w:r>
            <w:hyperlink r:id="rId17" w:history="1">
              <w:r w:rsidR="00771C97" w:rsidRPr="00415731">
                <w:rPr>
                  <w:rStyle w:val="Hyperlink"/>
                  <w:lang w:val="en"/>
                </w:rPr>
                <w:t>C14/111</w:t>
              </w:r>
            </w:hyperlink>
            <w:r w:rsidR="00771C97" w:rsidRPr="00415731">
              <w:rPr>
                <w:rStyle w:val="Hyperlink"/>
                <w:lang w:val="en"/>
              </w:rPr>
              <w:t>,</w:t>
            </w:r>
            <w:r w:rsidR="00771C97" w:rsidRPr="00415731">
              <w:rPr>
                <w:rStyle w:val="Hyperlink"/>
              </w:rPr>
              <w:t xml:space="preserve"> </w:t>
            </w:r>
            <w:hyperlink r:id="rId18" w:history="1">
              <w:r w:rsidR="00771C97" w:rsidRPr="00415731">
                <w:rPr>
                  <w:rStyle w:val="Hyperlink"/>
                  <w:lang w:val="en"/>
                </w:rPr>
                <w:t>PP14/91</w:t>
              </w:r>
            </w:hyperlink>
          </w:p>
        </w:tc>
      </w:tr>
    </w:tbl>
    <w:p w14:paraId="1198567A" w14:textId="67C6CB6C" w:rsidR="00771C97" w:rsidRPr="00771C97" w:rsidRDefault="00C7252D" w:rsidP="002E4D45">
      <w:pPr>
        <w:pStyle w:val="Heading2"/>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b w:val="0"/>
          <w:bCs/>
          <w:sz w:val="26"/>
          <w:szCs w:val="26"/>
        </w:rPr>
      </w:pPr>
      <w:bookmarkStart w:id="8" w:name="dstart"/>
      <w:bookmarkStart w:id="9" w:name="dbreak"/>
      <w:bookmarkEnd w:id="8"/>
      <w:bookmarkEnd w:id="9"/>
      <w:r>
        <w:rPr>
          <w:rFonts w:asciiTheme="minorHAnsi" w:hAnsiTheme="minorHAnsi"/>
          <w:bCs/>
          <w:sz w:val="26"/>
          <w:szCs w:val="26"/>
        </w:rPr>
        <w:t>A</w:t>
      </w:r>
      <w:r w:rsidR="00771C97" w:rsidRPr="00771C97">
        <w:rPr>
          <w:rFonts w:asciiTheme="minorHAnsi" w:hAnsiTheme="minorHAnsi"/>
          <w:bCs/>
          <w:sz w:val="26"/>
          <w:szCs w:val="26"/>
        </w:rPr>
        <w:t>.</w:t>
      </w:r>
      <w:r w:rsidR="00771C97" w:rsidRPr="00771C97">
        <w:rPr>
          <w:rFonts w:asciiTheme="minorHAnsi" w:hAnsiTheme="minorHAnsi"/>
          <w:bCs/>
          <w:sz w:val="26"/>
          <w:szCs w:val="26"/>
        </w:rPr>
        <w:tab/>
        <w:t>Background</w:t>
      </w:r>
    </w:p>
    <w:p w14:paraId="1198567B" w14:textId="5793AEA7" w:rsidR="00771C97" w:rsidRPr="00771C97" w:rsidRDefault="00771C97" w:rsidP="00447B91">
      <w:pPr>
        <w:shd w:val="clear" w:color="auto" w:fill="FFFFFF"/>
        <w:tabs>
          <w:tab w:val="clear" w:pos="567"/>
          <w:tab w:val="clear" w:pos="1134"/>
          <w:tab w:val="clear" w:pos="1701"/>
          <w:tab w:val="clear" w:pos="2268"/>
          <w:tab w:val="clear" w:pos="2835"/>
        </w:tabs>
        <w:snapToGrid w:val="0"/>
        <w:spacing w:after="120"/>
        <w:jc w:val="both"/>
        <w:rPr>
          <w:rFonts w:asciiTheme="minorHAnsi" w:hAnsiTheme="minorHAnsi"/>
          <w:szCs w:val="24"/>
          <w:lang w:val="en"/>
        </w:rPr>
      </w:pPr>
      <w:r w:rsidRPr="00771C97">
        <w:rPr>
          <w:rFonts w:asciiTheme="minorHAnsi" w:hAnsiTheme="minorHAnsi"/>
          <w:szCs w:val="24"/>
          <w:lang w:val="en"/>
        </w:rPr>
        <w:t>1.</w:t>
      </w:r>
      <w:r w:rsidRPr="00771C97">
        <w:rPr>
          <w:rFonts w:asciiTheme="minorHAnsi" w:hAnsiTheme="minorHAnsi"/>
          <w:szCs w:val="24"/>
          <w:lang w:val="en"/>
        </w:rPr>
        <w:tab/>
        <w:t xml:space="preserve">In light of Resolution 158 (Guadalajara, 2010), which instructs </w:t>
      </w:r>
      <w:r w:rsidR="00447B91">
        <w:rPr>
          <w:rFonts w:asciiTheme="minorHAnsi" w:hAnsiTheme="minorHAnsi"/>
          <w:szCs w:val="24"/>
          <w:lang w:val="en"/>
        </w:rPr>
        <w:t xml:space="preserve">the </w:t>
      </w:r>
      <w:r w:rsidRPr="00771C97">
        <w:rPr>
          <w:rFonts w:asciiTheme="minorHAnsi" w:hAnsiTheme="minorHAnsi"/>
          <w:szCs w:val="24"/>
          <w:lang w:val="en"/>
        </w:rPr>
        <w:t xml:space="preserve">Council to study the possibility of generating additional income for ITU, possibly through identifying new financial resources not related to the contributory units, the issue of revenue generation from </w:t>
      </w:r>
      <w:r w:rsidR="00CE5943" w:rsidRPr="00771C97">
        <w:rPr>
          <w:rFonts w:asciiTheme="minorHAnsi" w:hAnsiTheme="minorHAnsi"/>
          <w:szCs w:val="24"/>
        </w:rPr>
        <w:t>International Numbering Resources</w:t>
      </w:r>
      <w:r w:rsidR="00CE5943" w:rsidRPr="00771C97">
        <w:rPr>
          <w:rFonts w:asciiTheme="minorHAnsi" w:hAnsiTheme="minorHAnsi"/>
          <w:szCs w:val="24"/>
          <w:lang w:val="en"/>
        </w:rPr>
        <w:t xml:space="preserve"> </w:t>
      </w:r>
      <w:r w:rsidR="00CE5943">
        <w:rPr>
          <w:rFonts w:asciiTheme="minorHAnsi" w:hAnsiTheme="minorHAnsi"/>
          <w:szCs w:val="24"/>
          <w:lang w:val="en"/>
        </w:rPr>
        <w:t>(</w:t>
      </w:r>
      <w:r w:rsidRPr="00771C97">
        <w:rPr>
          <w:rFonts w:asciiTheme="minorHAnsi" w:hAnsiTheme="minorHAnsi"/>
          <w:szCs w:val="24"/>
          <w:lang w:val="en"/>
        </w:rPr>
        <w:t>INRs</w:t>
      </w:r>
      <w:r w:rsidR="00CE5943">
        <w:rPr>
          <w:rFonts w:asciiTheme="minorHAnsi" w:hAnsiTheme="minorHAnsi"/>
          <w:szCs w:val="24"/>
          <w:lang w:val="en"/>
        </w:rPr>
        <w:t>)</w:t>
      </w:r>
      <w:r w:rsidRPr="00771C97">
        <w:rPr>
          <w:rFonts w:asciiTheme="minorHAnsi" w:hAnsiTheme="minorHAnsi"/>
          <w:szCs w:val="24"/>
          <w:lang w:val="en"/>
        </w:rPr>
        <w:t xml:space="preserve"> has been discussed in Council meetings, PP-14</w:t>
      </w:r>
      <w:r w:rsidR="00CE5943">
        <w:rPr>
          <w:rFonts w:asciiTheme="minorHAnsi" w:hAnsiTheme="minorHAnsi"/>
          <w:szCs w:val="24"/>
          <w:lang w:val="en"/>
        </w:rPr>
        <w:t>,</w:t>
      </w:r>
      <w:r w:rsidRPr="00771C97">
        <w:rPr>
          <w:rFonts w:asciiTheme="minorHAnsi" w:hAnsiTheme="minorHAnsi"/>
          <w:szCs w:val="24"/>
          <w:lang w:val="en"/>
        </w:rPr>
        <w:t xml:space="preserve"> and CWG-FHR meetings since 2014. An Expert Group under ITU-T SG2 </w:t>
      </w:r>
      <w:proofErr w:type="gramStart"/>
      <w:r w:rsidRPr="00771C97">
        <w:rPr>
          <w:rFonts w:asciiTheme="minorHAnsi" w:hAnsiTheme="minorHAnsi"/>
          <w:szCs w:val="24"/>
          <w:lang w:val="en"/>
        </w:rPr>
        <w:t>was set</w:t>
      </w:r>
      <w:r w:rsidR="00CE5943">
        <w:rPr>
          <w:rFonts w:asciiTheme="minorHAnsi" w:hAnsiTheme="minorHAnsi"/>
          <w:szCs w:val="24"/>
          <w:lang w:val="en"/>
        </w:rPr>
        <w:t xml:space="preserve"> </w:t>
      </w:r>
      <w:r w:rsidRPr="00771C97">
        <w:rPr>
          <w:rFonts w:asciiTheme="minorHAnsi" w:hAnsiTheme="minorHAnsi"/>
          <w:szCs w:val="24"/>
          <w:lang w:val="en"/>
        </w:rPr>
        <w:t>up following the instruction of Council</w:t>
      </w:r>
      <w:r w:rsidR="00447B91">
        <w:rPr>
          <w:rFonts w:asciiTheme="minorHAnsi" w:hAnsiTheme="minorHAnsi"/>
          <w:szCs w:val="24"/>
          <w:lang w:val="en"/>
        </w:rPr>
        <w:t>-14</w:t>
      </w:r>
      <w:r w:rsidRPr="00771C97">
        <w:rPr>
          <w:rFonts w:asciiTheme="minorHAnsi" w:hAnsiTheme="minorHAnsi"/>
          <w:szCs w:val="24"/>
          <w:lang w:val="en"/>
        </w:rPr>
        <w:t xml:space="preserve"> and provided its report to TSB Director</w:t>
      </w:r>
      <w:proofErr w:type="gramEnd"/>
      <w:r w:rsidRPr="00771C97">
        <w:rPr>
          <w:rFonts w:asciiTheme="minorHAnsi" w:hAnsiTheme="minorHAnsi"/>
          <w:szCs w:val="24"/>
          <w:lang w:val="en"/>
        </w:rPr>
        <w:t xml:space="preserve">. A formal consultation </w:t>
      </w:r>
      <w:proofErr w:type="gramStart"/>
      <w:r w:rsidRPr="00771C97">
        <w:rPr>
          <w:rFonts w:asciiTheme="minorHAnsi" w:hAnsiTheme="minorHAnsi"/>
          <w:szCs w:val="24"/>
          <w:lang w:val="en"/>
        </w:rPr>
        <w:t>was carried out</w:t>
      </w:r>
      <w:proofErr w:type="gramEnd"/>
      <w:r w:rsidRPr="00771C97">
        <w:rPr>
          <w:rFonts w:asciiTheme="minorHAnsi" w:hAnsiTheme="minorHAnsi"/>
          <w:szCs w:val="24"/>
          <w:lang w:val="en"/>
        </w:rPr>
        <w:t xml:space="preserve"> and the re</w:t>
      </w:r>
      <w:r w:rsidR="00447B91">
        <w:rPr>
          <w:rFonts w:asciiTheme="minorHAnsi" w:hAnsiTheme="minorHAnsi"/>
          <w:szCs w:val="24"/>
          <w:lang w:val="en"/>
        </w:rPr>
        <w:t>sult was reported to Council-</w:t>
      </w:r>
      <w:r w:rsidRPr="00771C97">
        <w:rPr>
          <w:rFonts w:asciiTheme="minorHAnsi" w:hAnsiTheme="minorHAnsi"/>
          <w:szCs w:val="24"/>
          <w:lang w:val="en"/>
        </w:rPr>
        <w:t xml:space="preserve">15. For details, please see: </w:t>
      </w:r>
      <w:r w:rsidR="00C7252D">
        <w:rPr>
          <w:rFonts w:asciiTheme="minorHAnsi" w:hAnsiTheme="minorHAnsi"/>
          <w:szCs w:val="24"/>
          <w:lang w:val="en"/>
        </w:rPr>
        <w:br/>
      </w:r>
      <w:bookmarkStart w:id="10" w:name="_GoBack"/>
      <w:bookmarkEnd w:id="10"/>
      <w:r w:rsidR="00C7252D">
        <w:fldChar w:fldCharType="begin"/>
      </w:r>
      <w:r w:rsidR="00C7252D">
        <w:instrText xml:space="preserve"> HYPERLINK "https://www.itu.int/net/ITU-T/forms/qs-inr-ms/rev-gen-inr.aspx" </w:instrText>
      </w:r>
      <w:r w:rsidR="00C7252D">
        <w:fldChar w:fldCharType="separate"/>
      </w:r>
      <w:r w:rsidRPr="00771C97">
        <w:rPr>
          <w:rStyle w:val="Hyperlink"/>
          <w:rFonts w:asciiTheme="minorHAnsi" w:hAnsiTheme="minorHAnsi"/>
          <w:szCs w:val="24"/>
          <w:lang w:val="en"/>
        </w:rPr>
        <w:t>https://www.itu.int/net/ITU-T/forms/qs-inr-ms/rev-gen-inr.aspx</w:t>
      </w:r>
      <w:r w:rsidR="00C7252D">
        <w:rPr>
          <w:rStyle w:val="Hyperlink"/>
          <w:rFonts w:asciiTheme="minorHAnsi" w:hAnsiTheme="minorHAnsi"/>
          <w:szCs w:val="24"/>
          <w:lang w:val="en"/>
        </w:rPr>
        <w:fldChar w:fldCharType="end"/>
      </w:r>
      <w:r w:rsidRPr="00771C97">
        <w:rPr>
          <w:rFonts w:asciiTheme="minorHAnsi" w:hAnsiTheme="minorHAnsi"/>
          <w:szCs w:val="24"/>
          <w:lang w:val="en"/>
        </w:rPr>
        <w:t xml:space="preserve">. </w:t>
      </w:r>
    </w:p>
    <w:p w14:paraId="1198567C" w14:textId="77777777" w:rsidR="00771C97" w:rsidRPr="00771C97" w:rsidRDefault="00771C97" w:rsidP="00771C97">
      <w:pPr>
        <w:shd w:val="clear" w:color="auto" w:fill="FFFFFF"/>
        <w:tabs>
          <w:tab w:val="clear" w:pos="567"/>
          <w:tab w:val="clear" w:pos="1134"/>
          <w:tab w:val="clear" w:pos="1701"/>
          <w:tab w:val="clear" w:pos="2268"/>
          <w:tab w:val="clear" w:pos="2835"/>
        </w:tabs>
        <w:snapToGrid w:val="0"/>
        <w:spacing w:after="120"/>
        <w:jc w:val="both"/>
        <w:rPr>
          <w:rFonts w:asciiTheme="minorHAnsi" w:hAnsiTheme="minorHAnsi"/>
          <w:szCs w:val="24"/>
          <w:lang w:val="en"/>
        </w:rPr>
      </w:pPr>
      <w:r w:rsidRPr="00771C97">
        <w:rPr>
          <w:rFonts w:asciiTheme="minorHAnsi" w:hAnsiTheme="minorHAnsi"/>
          <w:szCs w:val="24"/>
          <w:lang w:val="en"/>
        </w:rPr>
        <w:t>2.</w:t>
      </w:r>
      <w:r w:rsidRPr="00771C97">
        <w:rPr>
          <w:rFonts w:asciiTheme="minorHAnsi" w:hAnsiTheme="minorHAnsi"/>
          <w:szCs w:val="24"/>
          <w:lang w:val="en"/>
        </w:rPr>
        <w:tab/>
        <w:t>Discussion on revenue generation from INRs continued i</w:t>
      </w:r>
      <w:r w:rsidR="00CE5943">
        <w:rPr>
          <w:rFonts w:asciiTheme="minorHAnsi" w:hAnsiTheme="minorHAnsi"/>
          <w:szCs w:val="24"/>
          <w:lang w:val="en"/>
        </w:rPr>
        <w:t>n C</w:t>
      </w:r>
      <w:r w:rsidR="00447B91">
        <w:rPr>
          <w:rFonts w:asciiTheme="minorHAnsi" w:hAnsiTheme="minorHAnsi"/>
          <w:szCs w:val="24"/>
          <w:lang w:val="en"/>
        </w:rPr>
        <w:t>ouncil-</w:t>
      </w:r>
      <w:r w:rsidRPr="00771C97">
        <w:rPr>
          <w:rFonts w:asciiTheme="minorHAnsi" w:hAnsiTheme="minorHAnsi"/>
          <w:szCs w:val="24"/>
          <w:lang w:val="en"/>
        </w:rPr>
        <w:t xml:space="preserve">16. TSB presented document </w:t>
      </w:r>
      <w:hyperlink r:id="rId19" w:history="1">
        <w:r w:rsidRPr="00771C97">
          <w:rPr>
            <w:rStyle w:val="Hyperlink"/>
            <w:rFonts w:asciiTheme="minorHAnsi" w:hAnsiTheme="minorHAnsi"/>
            <w:szCs w:val="24"/>
            <w:lang w:val="en"/>
          </w:rPr>
          <w:t>C16/69</w:t>
        </w:r>
      </w:hyperlink>
      <w:r w:rsidRPr="00771C97">
        <w:rPr>
          <w:rFonts w:asciiTheme="minorHAnsi" w:hAnsiTheme="minorHAnsi"/>
          <w:szCs w:val="24"/>
          <w:lang w:val="en"/>
        </w:rPr>
        <w:t>, which summarizes ITU’s activities related to revenue gener</w:t>
      </w:r>
      <w:r w:rsidR="00447B91">
        <w:rPr>
          <w:rFonts w:asciiTheme="minorHAnsi" w:hAnsiTheme="minorHAnsi"/>
          <w:szCs w:val="24"/>
          <w:lang w:val="en"/>
        </w:rPr>
        <w:t>ation from INRs since Council-</w:t>
      </w:r>
      <w:r w:rsidRPr="00771C97">
        <w:rPr>
          <w:rFonts w:asciiTheme="minorHAnsi" w:hAnsiTheme="minorHAnsi"/>
          <w:szCs w:val="24"/>
          <w:lang w:val="en"/>
        </w:rPr>
        <w:t xml:space="preserve">14, following the request of CWG-FHR “that all relevant documents need to </w:t>
      </w:r>
      <w:r w:rsidR="00447B91">
        <w:rPr>
          <w:rFonts w:asciiTheme="minorHAnsi" w:hAnsiTheme="minorHAnsi"/>
          <w:szCs w:val="24"/>
          <w:lang w:val="en"/>
        </w:rPr>
        <w:t>be made available” to Council-</w:t>
      </w:r>
      <w:r w:rsidRPr="00771C97">
        <w:rPr>
          <w:rFonts w:asciiTheme="minorHAnsi" w:hAnsiTheme="minorHAnsi"/>
          <w:szCs w:val="24"/>
          <w:lang w:val="en"/>
        </w:rPr>
        <w:t xml:space="preserve">16. The United States and Saudi Arabia presented documents </w:t>
      </w:r>
      <w:hyperlink r:id="rId20" w:history="1">
        <w:r w:rsidRPr="00771C97">
          <w:rPr>
            <w:rStyle w:val="Hyperlink"/>
            <w:rFonts w:asciiTheme="minorHAnsi" w:hAnsiTheme="minorHAnsi"/>
            <w:szCs w:val="24"/>
            <w:lang w:val="en"/>
          </w:rPr>
          <w:t>C16/79</w:t>
        </w:r>
      </w:hyperlink>
      <w:r w:rsidRPr="00771C97">
        <w:rPr>
          <w:rFonts w:asciiTheme="minorHAnsi" w:hAnsiTheme="minorHAnsi"/>
          <w:szCs w:val="24"/>
          <w:lang w:val="en"/>
        </w:rPr>
        <w:t xml:space="preserve"> and </w:t>
      </w:r>
      <w:hyperlink r:id="rId21" w:history="1">
        <w:r w:rsidRPr="00771C97">
          <w:rPr>
            <w:rStyle w:val="Hyperlink"/>
            <w:rFonts w:asciiTheme="minorHAnsi" w:hAnsiTheme="minorHAnsi"/>
            <w:szCs w:val="24"/>
            <w:lang w:val="en"/>
          </w:rPr>
          <w:t>C16/96</w:t>
        </w:r>
      </w:hyperlink>
      <w:r w:rsidRPr="00771C97">
        <w:rPr>
          <w:rFonts w:asciiTheme="minorHAnsi" w:hAnsiTheme="minorHAnsi"/>
          <w:szCs w:val="24"/>
          <w:lang w:val="en"/>
        </w:rPr>
        <w:t xml:space="preserve">, respectively, expressing their views on revenue generation from INRs. A number of Councilors took the floor supporting the recommendations in </w:t>
      </w:r>
      <w:hyperlink r:id="rId22" w:history="1">
        <w:r w:rsidRPr="00447B91">
          <w:rPr>
            <w:rStyle w:val="Hyperlink"/>
            <w:rFonts w:asciiTheme="minorHAnsi" w:hAnsiTheme="minorHAnsi"/>
            <w:szCs w:val="24"/>
            <w:lang w:val="en"/>
          </w:rPr>
          <w:t>C16/69</w:t>
        </w:r>
      </w:hyperlink>
      <w:r w:rsidRPr="00771C97">
        <w:rPr>
          <w:rFonts w:asciiTheme="minorHAnsi" w:hAnsiTheme="minorHAnsi"/>
          <w:szCs w:val="24"/>
          <w:lang w:val="en"/>
        </w:rPr>
        <w:t xml:space="preserve"> and proposal in </w:t>
      </w:r>
      <w:hyperlink r:id="rId23" w:history="1">
        <w:r w:rsidRPr="00771C97">
          <w:rPr>
            <w:rStyle w:val="Hyperlink"/>
            <w:rFonts w:asciiTheme="minorHAnsi" w:hAnsiTheme="minorHAnsi"/>
            <w:szCs w:val="24"/>
            <w:lang w:val="en"/>
          </w:rPr>
          <w:t>C16/96</w:t>
        </w:r>
      </w:hyperlink>
      <w:r w:rsidRPr="00771C97">
        <w:rPr>
          <w:rFonts w:asciiTheme="minorHAnsi" w:hAnsiTheme="minorHAnsi"/>
          <w:szCs w:val="24"/>
          <w:lang w:val="en"/>
        </w:rPr>
        <w:t xml:space="preserve"> on the generation of revenues from INRs, as part of the general ITU efforts for the implementation of PP Decision 5 and Res. 158. Others did not support the idea and failed to see the need for any further studies. No consensus </w:t>
      </w:r>
      <w:proofErr w:type="gramStart"/>
      <w:r w:rsidRPr="00771C97">
        <w:rPr>
          <w:rFonts w:asciiTheme="minorHAnsi" w:hAnsiTheme="minorHAnsi"/>
          <w:szCs w:val="24"/>
          <w:lang w:val="en"/>
        </w:rPr>
        <w:t>was reached</w:t>
      </w:r>
      <w:proofErr w:type="gramEnd"/>
      <w:r w:rsidRPr="00771C97">
        <w:rPr>
          <w:rFonts w:asciiTheme="minorHAnsi" w:hAnsiTheme="minorHAnsi"/>
          <w:szCs w:val="24"/>
          <w:lang w:val="en"/>
        </w:rPr>
        <w:t xml:space="preserve">. The Council instructed the </w:t>
      </w:r>
      <w:r w:rsidR="00447B91">
        <w:rPr>
          <w:rFonts w:asciiTheme="minorHAnsi" w:hAnsiTheme="minorHAnsi"/>
          <w:szCs w:val="24"/>
          <w:lang w:val="en"/>
        </w:rPr>
        <w:t>s</w:t>
      </w:r>
      <w:r w:rsidRPr="00771C97">
        <w:rPr>
          <w:rFonts w:asciiTheme="minorHAnsi" w:hAnsiTheme="minorHAnsi"/>
          <w:szCs w:val="24"/>
          <w:lang w:val="en"/>
        </w:rPr>
        <w:t>ec</w:t>
      </w:r>
      <w:r w:rsidR="00447B91">
        <w:rPr>
          <w:rFonts w:asciiTheme="minorHAnsi" w:hAnsiTheme="minorHAnsi"/>
          <w:szCs w:val="24"/>
          <w:lang w:val="en"/>
        </w:rPr>
        <w:t>retariat to submit to Council-</w:t>
      </w:r>
      <w:r w:rsidRPr="00771C97">
        <w:rPr>
          <w:rFonts w:asciiTheme="minorHAnsi" w:hAnsiTheme="minorHAnsi"/>
          <w:szCs w:val="24"/>
          <w:lang w:val="en"/>
        </w:rPr>
        <w:t xml:space="preserve">17 </w:t>
      </w:r>
      <w:r w:rsidRPr="00771C97">
        <w:rPr>
          <w:rFonts w:asciiTheme="minorHAnsi" w:hAnsiTheme="minorHAnsi"/>
          <w:szCs w:val="24"/>
          <w:lang w:val="en"/>
        </w:rPr>
        <w:lastRenderedPageBreak/>
        <w:t>the financial implications of the INR p</w:t>
      </w:r>
      <w:r w:rsidR="00447B91">
        <w:rPr>
          <w:rFonts w:asciiTheme="minorHAnsi" w:hAnsiTheme="minorHAnsi"/>
          <w:szCs w:val="24"/>
          <w:lang w:val="en"/>
        </w:rPr>
        <w:t>roposals discussed in Council-</w:t>
      </w:r>
      <w:r w:rsidRPr="00771C97">
        <w:rPr>
          <w:rFonts w:asciiTheme="minorHAnsi" w:hAnsiTheme="minorHAnsi"/>
          <w:szCs w:val="24"/>
          <w:lang w:val="en"/>
        </w:rPr>
        <w:t>16 taking into account the different views raised by Councilors.</w:t>
      </w:r>
    </w:p>
    <w:p w14:paraId="1198567D" w14:textId="1277D04E" w:rsidR="00771C97" w:rsidRPr="00771C97" w:rsidRDefault="00771C97" w:rsidP="00137B3F">
      <w:pPr>
        <w:shd w:val="clear" w:color="auto" w:fill="FFFFFF"/>
        <w:tabs>
          <w:tab w:val="clear" w:pos="567"/>
          <w:tab w:val="clear" w:pos="1134"/>
          <w:tab w:val="clear" w:pos="1701"/>
          <w:tab w:val="clear" w:pos="2268"/>
          <w:tab w:val="clear" w:pos="2835"/>
        </w:tabs>
        <w:snapToGrid w:val="0"/>
        <w:spacing w:after="120"/>
        <w:jc w:val="both"/>
        <w:rPr>
          <w:rFonts w:asciiTheme="minorHAnsi" w:hAnsiTheme="minorHAnsi"/>
          <w:szCs w:val="24"/>
          <w:lang w:val="en"/>
        </w:rPr>
      </w:pPr>
      <w:proofErr w:type="gramStart"/>
      <w:r w:rsidRPr="00771C97">
        <w:rPr>
          <w:rFonts w:asciiTheme="minorHAnsi" w:hAnsiTheme="minorHAnsi"/>
          <w:szCs w:val="24"/>
          <w:lang w:val="en"/>
        </w:rPr>
        <w:t>3.</w:t>
      </w:r>
      <w:r w:rsidRPr="00771C97">
        <w:rPr>
          <w:rFonts w:asciiTheme="minorHAnsi" w:hAnsiTheme="minorHAnsi"/>
          <w:szCs w:val="24"/>
          <w:lang w:val="en"/>
        </w:rPr>
        <w:tab/>
        <w:t xml:space="preserve">WTSA-16 approved </w:t>
      </w:r>
      <w:hyperlink r:id="rId24" w:history="1">
        <w:r w:rsidRPr="00771C97">
          <w:rPr>
            <w:rStyle w:val="Hyperlink"/>
            <w:rFonts w:asciiTheme="minorHAnsi" w:hAnsiTheme="minorHAnsi"/>
            <w:szCs w:val="24"/>
            <w:lang w:val="en"/>
          </w:rPr>
          <w:t>Resolution 85 “Strengthening and diversifying the resources of the ITU Telecommunication Standardization Sector”</w:t>
        </w:r>
      </w:hyperlink>
      <w:r w:rsidRPr="00771C97">
        <w:rPr>
          <w:rFonts w:asciiTheme="minorHAnsi" w:hAnsiTheme="minorHAnsi"/>
          <w:szCs w:val="24"/>
          <w:lang w:val="en"/>
        </w:rPr>
        <w:t>, which resolves to instruct the Director of the Telecommunication Standardization Bureau to participate in the study referred to in noting b), for possible new measures to generate additional revenue for ITU T, including revenues that may be obtained from INR and conformance and interoperability testing.</w:t>
      </w:r>
      <w:proofErr w:type="gramEnd"/>
    </w:p>
    <w:p w14:paraId="1198567E" w14:textId="7C4A4001" w:rsidR="00771C97" w:rsidRPr="00771C97" w:rsidRDefault="00C7252D" w:rsidP="00771C97">
      <w:pPr>
        <w:pStyle w:val="Heading2"/>
        <w:keepNext w:val="0"/>
        <w:keepLines w:val="0"/>
        <w:tabs>
          <w:tab w:val="clear" w:pos="567"/>
          <w:tab w:val="clear" w:pos="1134"/>
          <w:tab w:val="clear" w:pos="1701"/>
          <w:tab w:val="clear" w:pos="2268"/>
          <w:tab w:val="clear" w:pos="2835"/>
        </w:tabs>
        <w:snapToGrid w:val="0"/>
        <w:spacing w:before="480" w:after="120"/>
        <w:ind w:left="0" w:firstLine="0"/>
        <w:jc w:val="both"/>
        <w:rPr>
          <w:rFonts w:asciiTheme="minorHAnsi" w:hAnsiTheme="minorHAnsi"/>
          <w:b w:val="0"/>
          <w:bCs/>
          <w:sz w:val="26"/>
          <w:szCs w:val="26"/>
        </w:rPr>
      </w:pPr>
      <w:r>
        <w:rPr>
          <w:rFonts w:asciiTheme="minorHAnsi" w:hAnsiTheme="minorHAnsi"/>
          <w:bCs/>
          <w:sz w:val="26"/>
          <w:szCs w:val="26"/>
        </w:rPr>
        <w:t>B</w:t>
      </w:r>
      <w:r w:rsidR="00771C97" w:rsidRPr="00771C97">
        <w:rPr>
          <w:rFonts w:asciiTheme="minorHAnsi" w:hAnsiTheme="minorHAnsi"/>
          <w:bCs/>
          <w:sz w:val="26"/>
          <w:szCs w:val="26"/>
        </w:rPr>
        <w:t>.</w:t>
      </w:r>
      <w:r w:rsidR="00771C97" w:rsidRPr="00771C97">
        <w:rPr>
          <w:rFonts w:asciiTheme="minorHAnsi" w:hAnsiTheme="minorHAnsi"/>
          <w:bCs/>
          <w:sz w:val="26"/>
          <w:szCs w:val="26"/>
        </w:rPr>
        <w:tab/>
        <w:t>Proposals</w:t>
      </w:r>
    </w:p>
    <w:p w14:paraId="1198567F" w14:textId="48913144" w:rsidR="00771C97" w:rsidRPr="00771C97" w:rsidRDefault="00771C97" w:rsidP="00137B3F">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771C97">
        <w:rPr>
          <w:rFonts w:asciiTheme="minorHAnsi" w:hAnsiTheme="minorHAnsi"/>
          <w:szCs w:val="24"/>
          <w:lang w:val="en"/>
        </w:rPr>
        <w:t>4.</w:t>
      </w:r>
      <w:r w:rsidRPr="00771C97">
        <w:rPr>
          <w:rFonts w:asciiTheme="minorHAnsi" w:hAnsiTheme="minorHAnsi"/>
          <w:szCs w:val="24"/>
          <w:lang w:val="en"/>
        </w:rPr>
        <w:tab/>
        <w:t>Since 2014, various options for collecting fees from INRs were proposed and discussed, including</w:t>
      </w:r>
      <w:r w:rsidR="00CE5943">
        <w:rPr>
          <w:rFonts w:asciiTheme="minorHAnsi" w:hAnsiTheme="minorHAnsi"/>
          <w:szCs w:val="24"/>
          <w:lang w:val="en"/>
        </w:rPr>
        <w:t>:</w:t>
      </w:r>
      <w:r w:rsidRPr="00771C97">
        <w:rPr>
          <w:rFonts w:asciiTheme="minorHAnsi" w:hAnsiTheme="minorHAnsi"/>
          <w:szCs w:val="24"/>
          <w:lang w:val="en"/>
        </w:rPr>
        <w:t xml:space="preserve"> increas</w:t>
      </w:r>
      <w:r w:rsidR="00CE5943">
        <w:rPr>
          <w:rFonts w:asciiTheme="minorHAnsi" w:hAnsiTheme="minorHAnsi"/>
          <w:szCs w:val="24"/>
          <w:lang w:val="en"/>
        </w:rPr>
        <w:t>ing</w:t>
      </w:r>
      <w:r w:rsidRPr="00771C97">
        <w:rPr>
          <w:rFonts w:asciiTheme="minorHAnsi" w:hAnsiTheme="minorHAnsi"/>
          <w:szCs w:val="24"/>
          <w:lang w:val="en"/>
        </w:rPr>
        <w:t xml:space="preserve"> t</w:t>
      </w:r>
      <w:r w:rsidR="00137B3F">
        <w:rPr>
          <w:rFonts w:asciiTheme="minorHAnsi" w:hAnsiTheme="minorHAnsi"/>
          <w:szCs w:val="24"/>
          <w:lang w:val="en"/>
        </w:rPr>
        <w:t>he one-off fee for UIFN and IIN,</w:t>
      </w:r>
      <w:r w:rsidRPr="00771C97">
        <w:rPr>
          <w:rFonts w:asciiTheme="minorHAnsi" w:hAnsiTheme="minorHAnsi"/>
          <w:szCs w:val="24"/>
          <w:lang w:val="en"/>
        </w:rPr>
        <w:t xml:space="preserve"> collecting annual fee from </w:t>
      </w:r>
      <w:r w:rsidRPr="00771C97">
        <w:rPr>
          <w:rFonts w:asciiTheme="minorHAnsi" w:hAnsiTheme="minorHAnsi" w:cstheme="minorHAnsi"/>
          <w:szCs w:val="24"/>
        </w:rPr>
        <w:t>UIFN, IIN, SANC/ISPC, MCC/MNC and ICC</w:t>
      </w:r>
      <w:r w:rsidR="00137B3F">
        <w:rPr>
          <w:rFonts w:asciiTheme="minorHAnsi" w:hAnsiTheme="minorHAnsi" w:cstheme="minorHAnsi"/>
          <w:szCs w:val="24"/>
        </w:rPr>
        <w:t>,</w:t>
      </w:r>
      <w:r w:rsidRPr="00771C97">
        <w:rPr>
          <w:rFonts w:asciiTheme="minorHAnsi" w:hAnsiTheme="minorHAnsi" w:cstheme="minorHAnsi"/>
          <w:szCs w:val="24"/>
        </w:rPr>
        <w:t xml:space="preserve"> collecting annual fee from each E.164 number</w:t>
      </w:r>
      <w:r w:rsidR="00137B3F">
        <w:rPr>
          <w:rFonts w:asciiTheme="minorHAnsi" w:hAnsiTheme="minorHAnsi" w:cstheme="minorHAnsi"/>
          <w:szCs w:val="24"/>
        </w:rPr>
        <w:t>,</w:t>
      </w:r>
      <w:r w:rsidRPr="00771C97">
        <w:rPr>
          <w:rFonts w:asciiTheme="minorHAnsi" w:hAnsiTheme="minorHAnsi" w:cstheme="minorHAnsi"/>
          <w:szCs w:val="24"/>
        </w:rPr>
        <w:t xml:space="preserve"> requiring all assignees of INRs (which include E.164 numbers, MNCs and ISPCs) be members of ITU-T</w:t>
      </w:r>
      <w:r w:rsidRPr="00771C97">
        <w:rPr>
          <w:rFonts w:asciiTheme="minorHAnsi" w:hAnsiTheme="minorHAnsi"/>
          <w:szCs w:val="24"/>
          <w:lang w:val="en"/>
        </w:rPr>
        <w:t xml:space="preserve">. As to the annual fees, one option is </w:t>
      </w:r>
      <w:proofErr w:type="gramStart"/>
      <w:r w:rsidRPr="00771C97">
        <w:rPr>
          <w:rFonts w:asciiTheme="minorHAnsi" w:hAnsiTheme="minorHAnsi"/>
          <w:szCs w:val="24"/>
          <w:lang w:val="en"/>
        </w:rPr>
        <w:t>to not differentiate</w:t>
      </w:r>
      <w:proofErr w:type="gramEnd"/>
      <w:r w:rsidRPr="00771C97">
        <w:rPr>
          <w:rFonts w:asciiTheme="minorHAnsi" w:hAnsiTheme="minorHAnsi"/>
          <w:szCs w:val="24"/>
          <w:lang w:val="en"/>
        </w:rPr>
        <w:t xml:space="preserve"> members from non-members and the other is to only collect annual fees from non-members. The proposals discussed in Council 2016 </w:t>
      </w:r>
      <w:proofErr w:type="gramStart"/>
      <w:r w:rsidRPr="00771C97">
        <w:rPr>
          <w:rFonts w:asciiTheme="minorHAnsi" w:hAnsiTheme="minorHAnsi"/>
          <w:szCs w:val="24"/>
          <w:lang w:val="en"/>
        </w:rPr>
        <w:t>are provided</w:t>
      </w:r>
      <w:proofErr w:type="gramEnd"/>
      <w:r w:rsidRPr="00771C97">
        <w:rPr>
          <w:rFonts w:asciiTheme="minorHAnsi" w:hAnsiTheme="minorHAnsi"/>
          <w:szCs w:val="24"/>
          <w:lang w:val="en"/>
        </w:rPr>
        <w:t xml:space="preserve"> below:</w:t>
      </w:r>
    </w:p>
    <w:p w14:paraId="11985680" w14:textId="77777777" w:rsidR="00771C97" w:rsidRPr="00771C97" w:rsidRDefault="00771C97" w:rsidP="00771C97">
      <w:pPr>
        <w:pStyle w:val="Heading1"/>
        <w:keepNext w:val="0"/>
        <w:keepLines w:val="0"/>
        <w:tabs>
          <w:tab w:val="clear" w:pos="567"/>
          <w:tab w:val="clear" w:pos="1134"/>
          <w:tab w:val="clear" w:pos="1701"/>
          <w:tab w:val="clear" w:pos="2268"/>
          <w:tab w:val="clear" w:pos="2835"/>
        </w:tabs>
        <w:snapToGrid w:val="0"/>
        <w:spacing w:before="360" w:after="120"/>
        <w:jc w:val="both"/>
        <w:rPr>
          <w:rFonts w:asciiTheme="minorHAnsi" w:eastAsiaTheme="minorEastAsia" w:hAnsiTheme="minorHAnsi" w:cstheme="minorHAnsi"/>
          <w:sz w:val="24"/>
          <w:szCs w:val="24"/>
        </w:rPr>
      </w:pPr>
      <w:r w:rsidRPr="00771C97">
        <w:rPr>
          <w:rFonts w:asciiTheme="minorHAnsi" w:eastAsiaTheme="minorEastAsia" w:hAnsiTheme="minorHAnsi" w:cstheme="minorBidi"/>
          <w:sz w:val="24"/>
          <w:szCs w:val="24"/>
          <w:lang w:val="en"/>
        </w:rPr>
        <w:t>5.</w:t>
      </w:r>
      <w:r w:rsidRPr="00771C97">
        <w:rPr>
          <w:rFonts w:asciiTheme="minorHAnsi" w:eastAsiaTheme="minorEastAsia" w:hAnsiTheme="minorHAnsi" w:cstheme="minorBidi"/>
          <w:sz w:val="24"/>
          <w:szCs w:val="24"/>
          <w:lang w:val="en"/>
        </w:rPr>
        <w:tab/>
        <w:t xml:space="preserve">Saudi Arabia made the following proposal </w:t>
      </w:r>
      <w:r w:rsidRPr="00771C97">
        <w:rPr>
          <w:rFonts w:asciiTheme="minorHAnsi" w:eastAsiaTheme="minorEastAsia" w:hAnsiTheme="minorHAnsi" w:cstheme="minorHAnsi"/>
          <w:sz w:val="24"/>
          <w:szCs w:val="24"/>
        </w:rPr>
        <w:t>(C16/96):</w:t>
      </w:r>
    </w:p>
    <w:p w14:paraId="11985681" w14:textId="77777777" w:rsidR="00771C97" w:rsidRPr="00771C97" w:rsidRDefault="00771C97" w:rsidP="00771C97">
      <w:pPr>
        <w:pStyle w:val="Body"/>
        <w:tabs>
          <w:tab w:val="clear" w:pos="567"/>
          <w:tab w:val="clear" w:pos="1134"/>
          <w:tab w:val="clear" w:pos="1701"/>
          <w:tab w:val="clear" w:pos="2268"/>
          <w:tab w:val="clear" w:pos="2835"/>
        </w:tabs>
        <w:adjustRightInd w:val="0"/>
        <w:snapToGrid w:val="0"/>
        <w:spacing w:after="120"/>
        <w:jc w:val="both"/>
        <w:rPr>
          <w:rFonts w:asciiTheme="minorHAnsi" w:eastAsiaTheme="minorEastAsia" w:hAnsiTheme="minorHAnsi" w:cstheme="minorHAnsi"/>
          <w:color w:val="auto"/>
          <w:bdr w:val="none" w:sz="0" w:space="0" w:color="auto"/>
          <w:lang w:eastAsia="zh-CN"/>
        </w:rPr>
      </w:pPr>
      <w:r w:rsidRPr="00771C97">
        <w:rPr>
          <w:rFonts w:asciiTheme="minorHAnsi" w:eastAsiaTheme="minorEastAsia" w:hAnsiTheme="minorHAnsi" w:cstheme="minorHAnsi"/>
          <w:color w:val="auto"/>
          <w:bdr w:val="none" w:sz="0" w:space="0" w:color="auto"/>
          <w:lang w:eastAsia="zh-CN"/>
        </w:rPr>
        <w:t xml:space="preserve">“In light of the </w:t>
      </w:r>
      <w:proofErr w:type="gramStart"/>
      <w:r w:rsidRPr="00771C97">
        <w:rPr>
          <w:rFonts w:asciiTheme="minorHAnsi" w:eastAsiaTheme="minorEastAsia" w:hAnsiTheme="minorHAnsi" w:cstheme="minorHAnsi"/>
          <w:color w:val="auto"/>
          <w:bdr w:val="none" w:sz="0" w:space="0" w:color="auto"/>
          <w:lang w:eastAsia="zh-CN"/>
        </w:rPr>
        <w:t>above,</w:t>
      </w:r>
      <w:proofErr w:type="gramEnd"/>
      <w:r w:rsidRPr="00771C97">
        <w:rPr>
          <w:rFonts w:asciiTheme="minorHAnsi" w:eastAsiaTheme="minorEastAsia" w:hAnsiTheme="minorHAnsi" w:cstheme="minorHAnsi"/>
          <w:color w:val="auto"/>
          <w:bdr w:val="none" w:sz="0" w:space="0" w:color="auto"/>
          <w:lang w:eastAsia="zh-CN"/>
        </w:rPr>
        <w:t xml:space="preserve"> and as a step to implement the </w:t>
      </w:r>
      <w:r w:rsidRPr="00CE5943">
        <w:rPr>
          <w:rFonts w:asciiTheme="minorHAnsi" w:eastAsiaTheme="minorEastAsia" w:hAnsiTheme="minorHAnsi" w:cstheme="minorHAnsi"/>
          <w:i/>
          <w:iCs/>
          <w:color w:val="auto"/>
          <w:bdr w:val="none" w:sz="0" w:space="0" w:color="auto"/>
          <w:lang w:eastAsia="zh-CN"/>
        </w:rPr>
        <w:t>instructs</w:t>
      </w:r>
      <w:r w:rsidRPr="00771C97">
        <w:rPr>
          <w:rFonts w:asciiTheme="minorHAnsi" w:eastAsiaTheme="minorEastAsia" w:hAnsiTheme="minorHAnsi" w:cstheme="minorHAnsi"/>
          <w:color w:val="auto"/>
          <w:bdr w:val="none" w:sz="0" w:space="0" w:color="auto"/>
          <w:lang w:eastAsia="zh-CN"/>
        </w:rPr>
        <w:t xml:space="preserve"> of Decision 5 and Resolution 158, Saudi Arabia supports the following proposals: </w:t>
      </w:r>
    </w:p>
    <w:p w14:paraId="11985682" w14:textId="77777777" w:rsidR="00771C97" w:rsidRPr="00771C97" w:rsidRDefault="00771C97" w:rsidP="00771C97">
      <w:pPr>
        <w:pStyle w:val="Body"/>
        <w:numPr>
          <w:ilvl w:val="0"/>
          <w:numId w:val="2"/>
        </w:numPr>
        <w:tabs>
          <w:tab w:val="clear" w:pos="567"/>
          <w:tab w:val="clear" w:pos="1134"/>
          <w:tab w:val="clear" w:pos="1701"/>
          <w:tab w:val="clear" w:pos="2268"/>
          <w:tab w:val="clear" w:pos="2835"/>
        </w:tabs>
        <w:adjustRightInd w:val="0"/>
        <w:snapToGrid w:val="0"/>
        <w:spacing w:after="120"/>
        <w:jc w:val="both"/>
        <w:rPr>
          <w:rFonts w:asciiTheme="minorHAnsi" w:eastAsiaTheme="minorEastAsia" w:hAnsiTheme="minorHAnsi" w:cstheme="minorHAnsi"/>
          <w:color w:val="auto"/>
          <w:bdr w:val="none" w:sz="0" w:space="0" w:color="auto"/>
          <w:lang w:eastAsia="zh-CN"/>
        </w:rPr>
      </w:pPr>
      <w:r w:rsidRPr="00771C97">
        <w:rPr>
          <w:rFonts w:asciiTheme="minorHAnsi" w:eastAsiaTheme="minorEastAsia" w:hAnsiTheme="minorHAnsi" w:cstheme="minorHAnsi"/>
          <w:color w:val="auto"/>
          <w:bdr w:val="none" w:sz="0" w:space="0" w:color="auto"/>
          <w:lang w:eastAsia="zh-CN"/>
        </w:rPr>
        <w:t xml:space="preserve">To </w:t>
      </w:r>
      <w:r w:rsidRPr="00447B91">
        <w:rPr>
          <w:rFonts w:asciiTheme="minorHAnsi" w:eastAsiaTheme="minorEastAsia" w:hAnsiTheme="minorHAnsi" w:cstheme="minorHAnsi"/>
          <w:color w:val="auto"/>
          <w:spacing w:val="2"/>
          <w:bdr w:val="none" w:sz="0" w:space="0" w:color="auto"/>
          <w:lang w:eastAsia="zh-CN"/>
        </w:rPr>
        <w:t>levy an annual fee for each assigned UIFN and IIN. We invite the Council to instruct</w:t>
      </w:r>
      <w:r w:rsidRPr="00771C97">
        <w:rPr>
          <w:rFonts w:asciiTheme="minorHAnsi" w:eastAsiaTheme="minorEastAsia" w:hAnsiTheme="minorHAnsi" w:cstheme="minorHAnsi"/>
          <w:color w:val="auto"/>
          <w:bdr w:val="none" w:sz="0" w:space="0" w:color="auto"/>
          <w:lang w:eastAsia="zh-CN"/>
        </w:rPr>
        <w:t xml:space="preserve"> CWG-FHR to set the suitable fee considering the comparable estimates set out by the Experts Group, CHF 20 for each assigned UIFN and CHF 100 for each registered IIN. </w:t>
      </w:r>
    </w:p>
    <w:p w14:paraId="11985683" w14:textId="77777777" w:rsidR="00771C97" w:rsidRPr="00771C97" w:rsidRDefault="00771C97" w:rsidP="00771C97">
      <w:pPr>
        <w:pStyle w:val="ListParagraph"/>
        <w:numPr>
          <w:ilvl w:val="0"/>
          <w:numId w:val="2"/>
        </w:numPr>
        <w:shd w:val="clear" w:color="auto" w:fill="FFFFFF"/>
        <w:snapToGrid w:val="0"/>
        <w:spacing w:before="120" w:after="120" w:line="240" w:lineRule="auto"/>
        <w:ind w:hanging="294"/>
        <w:contextualSpacing w:val="0"/>
        <w:jc w:val="both"/>
        <w:rPr>
          <w:rFonts w:cstheme="minorHAnsi"/>
          <w:sz w:val="24"/>
          <w:szCs w:val="24"/>
        </w:rPr>
      </w:pPr>
      <w:r w:rsidRPr="00771C97">
        <w:rPr>
          <w:rFonts w:cstheme="minorHAnsi"/>
          <w:sz w:val="24"/>
          <w:szCs w:val="24"/>
        </w:rPr>
        <w:t>To explore requiring that assignees of INRs be members of ITU-T.”</w:t>
      </w:r>
    </w:p>
    <w:p w14:paraId="11985684" w14:textId="77777777" w:rsidR="00771C97" w:rsidRPr="00771C97" w:rsidRDefault="00771C97" w:rsidP="00771C97">
      <w:pPr>
        <w:shd w:val="clear" w:color="auto" w:fill="FFFFFF"/>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771C97">
        <w:rPr>
          <w:rFonts w:asciiTheme="minorHAnsi" w:hAnsiTheme="minorHAnsi" w:cstheme="minorHAnsi"/>
          <w:szCs w:val="24"/>
        </w:rPr>
        <w:t xml:space="preserve">The first proposal from Saudi Arabia, as well as the proposal to increase the one-time registration fees for UIFN and IIN, which </w:t>
      </w:r>
      <w:proofErr w:type="gramStart"/>
      <w:r w:rsidRPr="00771C97">
        <w:rPr>
          <w:rFonts w:asciiTheme="minorHAnsi" w:hAnsiTheme="minorHAnsi" w:cstheme="minorHAnsi"/>
          <w:szCs w:val="24"/>
        </w:rPr>
        <w:t>was discussed</w:t>
      </w:r>
      <w:proofErr w:type="gramEnd"/>
      <w:r w:rsidRPr="00771C97">
        <w:rPr>
          <w:rFonts w:asciiTheme="minorHAnsi" w:hAnsiTheme="minorHAnsi" w:cstheme="minorHAnsi"/>
          <w:szCs w:val="24"/>
        </w:rPr>
        <w:t xml:space="preserve"> in various meetings, are detailed below, considering that ITU already collects fees from assignees of UIFN and IIN.</w:t>
      </w:r>
    </w:p>
    <w:p w14:paraId="11985685" w14:textId="0A057B42" w:rsidR="00771C97" w:rsidRPr="00771C97" w:rsidRDefault="00C7252D" w:rsidP="00771C97">
      <w:pPr>
        <w:pStyle w:val="Heading2"/>
        <w:keepNext w:val="0"/>
        <w:keepLines w:val="0"/>
        <w:tabs>
          <w:tab w:val="clear" w:pos="567"/>
          <w:tab w:val="clear" w:pos="1134"/>
          <w:tab w:val="clear" w:pos="1701"/>
          <w:tab w:val="clear" w:pos="2268"/>
          <w:tab w:val="clear" w:pos="2835"/>
        </w:tabs>
        <w:snapToGrid w:val="0"/>
        <w:spacing w:before="480" w:after="120"/>
        <w:ind w:left="0" w:firstLine="0"/>
        <w:jc w:val="both"/>
        <w:rPr>
          <w:rFonts w:asciiTheme="minorHAnsi" w:hAnsiTheme="minorHAnsi"/>
          <w:b w:val="0"/>
          <w:bCs/>
          <w:sz w:val="26"/>
          <w:szCs w:val="26"/>
        </w:rPr>
      </w:pPr>
      <w:r>
        <w:rPr>
          <w:rFonts w:asciiTheme="minorHAnsi" w:hAnsiTheme="minorHAnsi"/>
          <w:bCs/>
          <w:sz w:val="26"/>
          <w:szCs w:val="26"/>
        </w:rPr>
        <w:t>C</w:t>
      </w:r>
      <w:r w:rsidR="00771C97" w:rsidRPr="00771C97">
        <w:rPr>
          <w:rFonts w:asciiTheme="minorHAnsi" w:hAnsiTheme="minorHAnsi"/>
          <w:bCs/>
          <w:sz w:val="26"/>
          <w:szCs w:val="26"/>
        </w:rPr>
        <w:t>.</w:t>
      </w:r>
      <w:r w:rsidR="00771C97" w:rsidRPr="00771C97">
        <w:rPr>
          <w:rFonts w:asciiTheme="minorHAnsi" w:hAnsiTheme="minorHAnsi"/>
          <w:bCs/>
          <w:sz w:val="26"/>
          <w:szCs w:val="26"/>
        </w:rPr>
        <w:tab/>
        <w:t>Analysis on financial implications</w:t>
      </w:r>
    </w:p>
    <w:p w14:paraId="11985686" w14:textId="77777777" w:rsidR="00771C97" w:rsidRPr="00771C97" w:rsidRDefault="00771C97" w:rsidP="00771C97">
      <w:pPr>
        <w:shd w:val="clear" w:color="auto" w:fill="FFFFFF"/>
        <w:tabs>
          <w:tab w:val="clear" w:pos="567"/>
          <w:tab w:val="clear" w:pos="1134"/>
          <w:tab w:val="clear" w:pos="1701"/>
          <w:tab w:val="clear" w:pos="2268"/>
          <w:tab w:val="clear" w:pos="2835"/>
        </w:tabs>
        <w:snapToGrid w:val="0"/>
        <w:spacing w:after="120"/>
        <w:jc w:val="both"/>
        <w:rPr>
          <w:rFonts w:asciiTheme="minorHAnsi" w:hAnsiTheme="minorHAnsi" w:cstheme="minorHAnsi"/>
          <w:b/>
          <w:bCs/>
          <w:szCs w:val="24"/>
          <w:u w:color="000000"/>
        </w:rPr>
      </w:pPr>
      <w:r w:rsidRPr="00771C97">
        <w:rPr>
          <w:rFonts w:asciiTheme="minorHAnsi" w:hAnsiTheme="minorHAnsi" w:cstheme="minorHAnsi"/>
          <w:szCs w:val="24"/>
        </w:rPr>
        <w:t>6.</w:t>
      </w:r>
      <w:r w:rsidRPr="00771C97">
        <w:rPr>
          <w:rFonts w:asciiTheme="minorHAnsi" w:hAnsiTheme="minorHAnsi" w:cstheme="minorHAnsi"/>
          <w:szCs w:val="24"/>
        </w:rPr>
        <w:tab/>
      </w:r>
      <w:r w:rsidRPr="00771C97">
        <w:rPr>
          <w:rFonts w:asciiTheme="minorHAnsi" w:hAnsiTheme="minorHAnsi" w:cstheme="minorHAnsi"/>
          <w:b/>
          <w:bCs/>
          <w:szCs w:val="24"/>
        </w:rPr>
        <w:t>Proposal 1:</w:t>
      </w:r>
      <w:r w:rsidRPr="00771C97">
        <w:rPr>
          <w:rFonts w:asciiTheme="minorHAnsi" w:hAnsiTheme="minorHAnsi" w:cstheme="minorHAnsi"/>
          <w:b/>
          <w:bCs/>
          <w:szCs w:val="24"/>
          <w:u w:color="000000"/>
        </w:rPr>
        <w:t xml:space="preserve"> Collect an annual fee of CHF 20 for UIFN and CHF 100 for IIN.</w:t>
      </w:r>
    </w:p>
    <w:p w14:paraId="11985687" w14:textId="77777777" w:rsidR="00771C97" w:rsidRPr="00771C97" w:rsidRDefault="00771C97" w:rsidP="00771C97">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771C97">
        <w:rPr>
          <w:rFonts w:asciiTheme="minorHAnsi" w:hAnsiTheme="minorHAnsi"/>
          <w:szCs w:val="24"/>
        </w:rPr>
        <w:t>The assumptions of the proposed model are as follows:</w:t>
      </w:r>
    </w:p>
    <w:p w14:paraId="11985688" w14:textId="77777777" w:rsidR="00771C97" w:rsidRPr="00771C97" w:rsidRDefault="00771C97" w:rsidP="00447B91">
      <w:pPr>
        <w:numPr>
          <w:ilvl w:val="0"/>
          <w:numId w:val="3"/>
        </w:numPr>
        <w:tabs>
          <w:tab w:val="clear" w:pos="567"/>
          <w:tab w:val="clear" w:pos="1134"/>
          <w:tab w:val="clear" w:pos="1701"/>
          <w:tab w:val="clear" w:pos="2268"/>
          <w:tab w:val="clear" w:pos="2835"/>
        </w:tabs>
        <w:overflowPunct/>
        <w:autoSpaceDE/>
        <w:autoSpaceDN/>
        <w:adjustRightInd/>
        <w:snapToGrid w:val="0"/>
        <w:spacing w:after="60"/>
        <w:jc w:val="both"/>
        <w:textAlignment w:val="auto"/>
        <w:rPr>
          <w:rFonts w:asciiTheme="minorHAnsi" w:hAnsiTheme="minorHAnsi"/>
          <w:szCs w:val="24"/>
        </w:rPr>
      </w:pPr>
      <w:r w:rsidRPr="00771C97">
        <w:rPr>
          <w:rFonts w:asciiTheme="minorHAnsi" w:hAnsiTheme="minorHAnsi"/>
          <w:szCs w:val="24"/>
        </w:rPr>
        <w:t xml:space="preserve">There would be no changes to current assignment rules and procedures. That is, numbers would continue to </w:t>
      </w:r>
      <w:proofErr w:type="gramStart"/>
      <w:r w:rsidRPr="00771C97">
        <w:rPr>
          <w:rFonts w:asciiTheme="minorHAnsi" w:hAnsiTheme="minorHAnsi"/>
          <w:szCs w:val="24"/>
        </w:rPr>
        <w:t>be assigned</w:t>
      </w:r>
      <w:proofErr w:type="gramEnd"/>
      <w:r w:rsidRPr="00771C97">
        <w:rPr>
          <w:rFonts w:asciiTheme="minorHAnsi" w:hAnsiTheme="minorHAnsi"/>
          <w:szCs w:val="24"/>
        </w:rPr>
        <w:t xml:space="preserve"> as they are at present.  Consequently, bypassing of national authorities or national numbers would not be possible.</w:t>
      </w:r>
    </w:p>
    <w:p w14:paraId="11985689" w14:textId="77777777" w:rsidR="00771C97" w:rsidRPr="00771C97" w:rsidRDefault="00771C97" w:rsidP="00771C97">
      <w:pPr>
        <w:numPr>
          <w:ilvl w:val="0"/>
          <w:numId w:val="3"/>
        </w:numPr>
        <w:tabs>
          <w:tab w:val="clear" w:pos="567"/>
          <w:tab w:val="clear" w:pos="1134"/>
          <w:tab w:val="clear" w:pos="1701"/>
          <w:tab w:val="clear" w:pos="2268"/>
          <w:tab w:val="clear" w:pos="2835"/>
        </w:tabs>
        <w:overflowPunct/>
        <w:autoSpaceDE/>
        <w:autoSpaceDN/>
        <w:adjustRightInd/>
        <w:snapToGrid w:val="0"/>
        <w:spacing w:before="60" w:after="60"/>
        <w:jc w:val="both"/>
        <w:textAlignment w:val="auto"/>
        <w:rPr>
          <w:rFonts w:asciiTheme="minorHAnsi" w:hAnsiTheme="minorHAnsi"/>
          <w:szCs w:val="24"/>
        </w:rPr>
      </w:pPr>
      <w:r w:rsidRPr="00771C97">
        <w:rPr>
          <w:rFonts w:asciiTheme="minorHAnsi" w:hAnsiTheme="minorHAnsi"/>
          <w:szCs w:val="24"/>
        </w:rPr>
        <w:t>There would be no changes to the current mechanisms for monitoring assignments and the use of assigned resources.</w:t>
      </w:r>
    </w:p>
    <w:p w14:paraId="1198568A" w14:textId="77777777" w:rsidR="00771C97" w:rsidRPr="00771C97" w:rsidRDefault="00771C97" w:rsidP="00771C97">
      <w:pPr>
        <w:numPr>
          <w:ilvl w:val="0"/>
          <w:numId w:val="3"/>
        </w:numPr>
        <w:tabs>
          <w:tab w:val="clear" w:pos="567"/>
          <w:tab w:val="clear" w:pos="1134"/>
          <w:tab w:val="clear" w:pos="1701"/>
          <w:tab w:val="clear" w:pos="2268"/>
          <w:tab w:val="clear" w:pos="2835"/>
        </w:tabs>
        <w:overflowPunct/>
        <w:autoSpaceDE/>
        <w:autoSpaceDN/>
        <w:adjustRightInd/>
        <w:snapToGrid w:val="0"/>
        <w:spacing w:before="60" w:after="60"/>
        <w:jc w:val="both"/>
        <w:textAlignment w:val="auto"/>
        <w:rPr>
          <w:rFonts w:asciiTheme="minorHAnsi" w:hAnsiTheme="minorHAnsi"/>
          <w:szCs w:val="24"/>
        </w:rPr>
      </w:pPr>
      <w:r w:rsidRPr="00771C97">
        <w:rPr>
          <w:rFonts w:asciiTheme="minorHAnsi" w:hAnsiTheme="minorHAnsi"/>
          <w:szCs w:val="24"/>
        </w:rPr>
        <w:t>Only non-members of ITU-T in a given country would pay an annual fee for INRs.</w:t>
      </w:r>
    </w:p>
    <w:p w14:paraId="1198568B" w14:textId="77777777" w:rsidR="00771C97" w:rsidRPr="00771C97" w:rsidRDefault="00771C97" w:rsidP="00771C97">
      <w:pPr>
        <w:numPr>
          <w:ilvl w:val="0"/>
          <w:numId w:val="3"/>
        </w:numPr>
        <w:tabs>
          <w:tab w:val="clear" w:pos="567"/>
          <w:tab w:val="clear" w:pos="1134"/>
          <w:tab w:val="clear" w:pos="1701"/>
          <w:tab w:val="clear" w:pos="2268"/>
          <w:tab w:val="clear" w:pos="2835"/>
        </w:tabs>
        <w:overflowPunct/>
        <w:autoSpaceDE/>
        <w:autoSpaceDN/>
        <w:adjustRightInd/>
        <w:snapToGrid w:val="0"/>
        <w:spacing w:before="60" w:after="60"/>
        <w:jc w:val="both"/>
        <w:textAlignment w:val="auto"/>
        <w:rPr>
          <w:rFonts w:asciiTheme="minorHAnsi" w:hAnsiTheme="minorHAnsi"/>
          <w:szCs w:val="24"/>
        </w:rPr>
      </w:pPr>
      <w:r w:rsidRPr="00771C97">
        <w:rPr>
          <w:rFonts w:asciiTheme="minorHAnsi" w:hAnsiTheme="minorHAnsi"/>
          <w:szCs w:val="24"/>
        </w:rPr>
        <w:t>There is no additional cost to Member States, Sector Members</w:t>
      </w:r>
      <w:r w:rsidR="00CE5943">
        <w:rPr>
          <w:rFonts w:asciiTheme="minorHAnsi" w:hAnsiTheme="minorHAnsi"/>
          <w:szCs w:val="24"/>
        </w:rPr>
        <w:t>,</w:t>
      </w:r>
      <w:r w:rsidRPr="00771C97">
        <w:rPr>
          <w:rFonts w:asciiTheme="minorHAnsi" w:hAnsiTheme="minorHAnsi"/>
          <w:szCs w:val="24"/>
        </w:rPr>
        <w:t xml:space="preserve"> or Associates of ITU-T in a given country.</w:t>
      </w:r>
    </w:p>
    <w:p w14:paraId="1198568C" w14:textId="77777777" w:rsidR="00771C97" w:rsidRPr="00771C97" w:rsidRDefault="00771C97" w:rsidP="00771C97">
      <w:pPr>
        <w:numPr>
          <w:ilvl w:val="0"/>
          <w:numId w:val="3"/>
        </w:numPr>
        <w:tabs>
          <w:tab w:val="clear" w:pos="567"/>
          <w:tab w:val="clear" w:pos="1134"/>
          <w:tab w:val="clear" w:pos="1701"/>
          <w:tab w:val="clear" w:pos="2268"/>
          <w:tab w:val="clear" w:pos="2835"/>
        </w:tabs>
        <w:overflowPunct/>
        <w:autoSpaceDE/>
        <w:autoSpaceDN/>
        <w:adjustRightInd/>
        <w:snapToGrid w:val="0"/>
        <w:spacing w:before="60" w:after="60"/>
        <w:jc w:val="both"/>
        <w:textAlignment w:val="auto"/>
        <w:rPr>
          <w:rFonts w:asciiTheme="minorHAnsi" w:hAnsiTheme="minorHAnsi"/>
          <w:szCs w:val="24"/>
        </w:rPr>
      </w:pPr>
      <w:r w:rsidRPr="00771C97">
        <w:rPr>
          <w:rFonts w:asciiTheme="minorHAnsi" w:hAnsiTheme="minorHAnsi"/>
          <w:szCs w:val="24"/>
        </w:rPr>
        <w:t>The new fees would not be retroactive: an assignee will not pay the annual fees for the past years.</w:t>
      </w:r>
    </w:p>
    <w:p w14:paraId="1198568D" w14:textId="77777777" w:rsidR="00771C97" w:rsidRPr="00771C97" w:rsidRDefault="00771C97" w:rsidP="00771C97">
      <w:pPr>
        <w:numPr>
          <w:ilvl w:val="0"/>
          <w:numId w:val="3"/>
        </w:numPr>
        <w:tabs>
          <w:tab w:val="clear" w:pos="567"/>
          <w:tab w:val="clear" w:pos="1134"/>
          <w:tab w:val="clear" w:pos="1701"/>
          <w:tab w:val="clear" w:pos="2268"/>
          <w:tab w:val="clear" w:pos="2835"/>
        </w:tabs>
        <w:overflowPunct/>
        <w:autoSpaceDE/>
        <w:autoSpaceDN/>
        <w:adjustRightInd/>
        <w:snapToGrid w:val="0"/>
        <w:spacing w:before="60" w:after="120"/>
        <w:jc w:val="both"/>
        <w:textAlignment w:val="auto"/>
        <w:rPr>
          <w:rFonts w:asciiTheme="minorHAnsi" w:hAnsiTheme="minorHAnsi"/>
          <w:szCs w:val="24"/>
        </w:rPr>
      </w:pPr>
      <w:proofErr w:type="gramStart"/>
      <w:r w:rsidRPr="00771C97">
        <w:rPr>
          <w:rFonts w:asciiTheme="minorHAnsi" w:hAnsiTheme="minorHAnsi"/>
          <w:szCs w:val="24"/>
        </w:rPr>
        <w:lastRenderedPageBreak/>
        <w:t>If a non-member’s total annual fees exceed CHF 10,600, it is assumed they would become an Associate of an ITU-T Study Group, the fee of which is CHF 10,600 per year, and that if a non-member’s total annual fee in the category of developing countries mentioned in Resolution 170 (Rev. Busan, 2014) exceeds CHF 3,975, it is assumed they would become an ITU-T Sector Member, the fee of which is CHF 3,975 per year.</w:t>
      </w:r>
      <w:proofErr w:type="gramEnd"/>
    </w:p>
    <w:p w14:paraId="1198568E" w14:textId="77777777" w:rsidR="00771C97" w:rsidRPr="00771C97" w:rsidRDefault="00771C97" w:rsidP="00CE5943">
      <w:pPr>
        <w:shd w:val="clear" w:color="auto" w:fill="FFFFFF"/>
        <w:tabs>
          <w:tab w:val="clear" w:pos="567"/>
          <w:tab w:val="clear" w:pos="1134"/>
          <w:tab w:val="clear" w:pos="1701"/>
          <w:tab w:val="clear" w:pos="2268"/>
          <w:tab w:val="clear" w:pos="2835"/>
        </w:tabs>
        <w:snapToGrid w:val="0"/>
        <w:spacing w:after="120"/>
        <w:jc w:val="both"/>
        <w:rPr>
          <w:rFonts w:asciiTheme="minorHAnsi" w:hAnsiTheme="minorHAnsi"/>
          <w:szCs w:val="24"/>
        </w:rPr>
      </w:pPr>
      <w:r w:rsidRPr="00771C97">
        <w:rPr>
          <w:rFonts w:asciiTheme="minorHAnsi" w:hAnsiTheme="minorHAnsi"/>
          <w:szCs w:val="24"/>
        </w:rPr>
        <w:t xml:space="preserve">As a benefit, non-members of ITU-T </w:t>
      </w:r>
      <w:r w:rsidR="00CE5943">
        <w:rPr>
          <w:rFonts w:asciiTheme="minorHAnsi" w:hAnsiTheme="minorHAnsi"/>
          <w:szCs w:val="24"/>
        </w:rPr>
        <w:t>who</w:t>
      </w:r>
      <w:r w:rsidRPr="00771C97">
        <w:rPr>
          <w:rFonts w:asciiTheme="minorHAnsi" w:hAnsiTheme="minorHAnsi"/>
          <w:szCs w:val="24"/>
        </w:rPr>
        <w:t xml:space="preserve"> pay the annual fee will be granted access to the INR </w:t>
      </w:r>
      <w:proofErr w:type="gramStart"/>
      <w:r w:rsidRPr="00771C97">
        <w:rPr>
          <w:rFonts w:asciiTheme="minorHAnsi" w:hAnsiTheme="minorHAnsi"/>
          <w:szCs w:val="24"/>
        </w:rPr>
        <w:t>databases which</w:t>
      </w:r>
      <w:proofErr w:type="gramEnd"/>
      <w:r w:rsidRPr="00771C97">
        <w:rPr>
          <w:rFonts w:asciiTheme="minorHAnsi" w:hAnsiTheme="minorHAnsi"/>
          <w:szCs w:val="24"/>
        </w:rPr>
        <w:t xml:space="preserve"> are currently restricted to ITU-T Member States and Sector Members only.</w:t>
      </w:r>
    </w:p>
    <w:p w14:paraId="1198568F" w14:textId="77777777" w:rsidR="00771C97" w:rsidRPr="00771C97" w:rsidRDefault="00771C97" w:rsidP="00771C97">
      <w:pPr>
        <w:shd w:val="clear" w:color="auto" w:fill="FFFFFF"/>
        <w:tabs>
          <w:tab w:val="clear" w:pos="567"/>
          <w:tab w:val="clear" w:pos="1134"/>
          <w:tab w:val="clear" w:pos="1701"/>
          <w:tab w:val="clear" w:pos="2268"/>
          <w:tab w:val="clear" w:pos="2835"/>
        </w:tabs>
        <w:snapToGrid w:val="0"/>
        <w:spacing w:after="240"/>
        <w:jc w:val="both"/>
        <w:rPr>
          <w:rFonts w:asciiTheme="minorHAnsi" w:hAnsiTheme="minorHAnsi" w:cstheme="minorHAnsi"/>
          <w:szCs w:val="24"/>
          <w:u w:color="000000"/>
        </w:rPr>
      </w:pPr>
      <w:r w:rsidRPr="00771C97">
        <w:rPr>
          <w:rFonts w:asciiTheme="minorHAnsi" w:hAnsiTheme="minorHAnsi" w:cstheme="minorHAnsi"/>
          <w:szCs w:val="24"/>
          <w:u w:color="000000"/>
        </w:rPr>
        <w:t xml:space="preserve">The distribution of UIFNs and IINs among ITU-T members and non-members </w:t>
      </w:r>
      <w:proofErr w:type="gramStart"/>
      <w:r w:rsidRPr="00771C97">
        <w:rPr>
          <w:rFonts w:asciiTheme="minorHAnsi" w:hAnsiTheme="minorHAnsi" w:cstheme="minorHAnsi"/>
          <w:szCs w:val="24"/>
          <w:u w:color="000000"/>
        </w:rPr>
        <w:t>is shown</w:t>
      </w:r>
      <w:proofErr w:type="gramEnd"/>
      <w:r w:rsidRPr="00771C97">
        <w:rPr>
          <w:rFonts w:asciiTheme="minorHAnsi" w:hAnsiTheme="minorHAnsi" w:cstheme="minorHAnsi"/>
          <w:szCs w:val="24"/>
          <w:u w:color="000000"/>
        </w:rPr>
        <w:t xml:space="preserve"> below:</w:t>
      </w:r>
    </w:p>
    <w:tbl>
      <w:tblPr>
        <w:tblStyle w:val="TableGrid"/>
        <w:tblW w:w="10060" w:type="dxa"/>
        <w:jc w:val="center"/>
        <w:tblLayout w:type="fixed"/>
        <w:tblLook w:val="04A0" w:firstRow="1" w:lastRow="0" w:firstColumn="1" w:lastColumn="0" w:noHBand="0" w:noVBand="1"/>
      </w:tblPr>
      <w:tblGrid>
        <w:gridCol w:w="936"/>
        <w:gridCol w:w="1469"/>
        <w:gridCol w:w="1701"/>
        <w:gridCol w:w="1701"/>
        <w:gridCol w:w="992"/>
        <w:gridCol w:w="1418"/>
        <w:gridCol w:w="1843"/>
      </w:tblGrid>
      <w:tr w:rsidR="00771C97" w:rsidRPr="00771C97" w14:paraId="11985698" w14:textId="77777777" w:rsidTr="0062222B">
        <w:trPr>
          <w:jc w:val="center"/>
        </w:trPr>
        <w:tc>
          <w:tcPr>
            <w:tcW w:w="936" w:type="dxa"/>
            <w:vAlign w:val="center"/>
          </w:tcPr>
          <w:p w14:paraId="11985690" w14:textId="77777777" w:rsidR="00771C97" w:rsidRPr="0062222B" w:rsidRDefault="00771C97" w:rsidP="0062222B">
            <w:pPr>
              <w:spacing w:before="40" w:after="40"/>
              <w:jc w:val="center"/>
              <w:rPr>
                <w:rFonts w:asciiTheme="minorHAnsi" w:hAnsiTheme="minorHAnsi"/>
                <w:bCs/>
                <w:color w:val="000000"/>
                <w:sz w:val="22"/>
              </w:rPr>
            </w:pPr>
            <w:r w:rsidRPr="0062222B">
              <w:rPr>
                <w:rFonts w:asciiTheme="minorHAnsi" w:hAnsiTheme="minorHAnsi"/>
                <w:bCs/>
                <w:color w:val="000000"/>
                <w:sz w:val="22"/>
              </w:rPr>
              <w:t>INR</w:t>
            </w:r>
          </w:p>
        </w:tc>
        <w:tc>
          <w:tcPr>
            <w:tcW w:w="1469" w:type="dxa"/>
            <w:vAlign w:val="center"/>
          </w:tcPr>
          <w:p w14:paraId="11985691" w14:textId="77777777" w:rsidR="00771C97" w:rsidRPr="0062222B" w:rsidRDefault="00771C97" w:rsidP="0062222B">
            <w:pPr>
              <w:spacing w:before="40" w:after="40"/>
              <w:jc w:val="center"/>
              <w:rPr>
                <w:rFonts w:asciiTheme="minorHAnsi" w:hAnsiTheme="minorHAnsi"/>
                <w:bCs/>
                <w:color w:val="000000"/>
                <w:sz w:val="22"/>
              </w:rPr>
            </w:pPr>
            <w:r w:rsidRPr="0062222B">
              <w:rPr>
                <w:rFonts w:asciiTheme="minorHAnsi" w:hAnsiTheme="minorHAnsi"/>
                <w:bCs/>
                <w:color w:val="000000"/>
                <w:sz w:val="22"/>
              </w:rPr>
              <w:t>Status as of</w:t>
            </w:r>
          </w:p>
        </w:tc>
        <w:tc>
          <w:tcPr>
            <w:tcW w:w="1701" w:type="dxa"/>
            <w:vAlign w:val="center"/>
          </w:tcPr>
          <w:p w14:paraId="11985692" w14:textId="77777777" w:rsidR="00771C97" w:rsidRPr="0062222B" w:rsidRDefault="00771C97" w:rsidP="0062222B">
            <w:pPr>
              <w:spacing w:before="40" w:after="40"/>
              <w:jc w:val="center"/>
              <w:rPr>
                <w:rFonts w:asciiTheme="minorHAnsi" w:hAnsiTheme="minorHAnsi"/>
                <w:bCs/>
                <w:color w:val="000000"/>
                <w:sz w:val="22"/>
              </w:rPr>
            </w:pPr>
            <w:r w:rsidRPr="0062222B">
              <w:rPr>
                <w:rFonts w:asciiTheme="minorHAnsi" w:hAnsiTheme="minorHAnsi"/>
                <w:bCs/>
                <w:color w:val="000000"/>
                <w:sz w:val="22"/>
              </w:rPr>
              <w:t>Volume of numbers to Members</w:t>
            </w:r>
          </w:p>
        </w:tc>
        <w:tc>
          <w:tcPr>
            <w:tcW w:w="1701" w:type="dxa"/>
            <w:vAlign w:val="center"/>
          </w:tcPr>
          <w:p w14:paraId="11985693" w14:textId="77777777" w:rsidR="00771C97" w:rsidRPr="0062222B" w:rsidRDefault="00771C97" w:rsidP="0062222B">
            <w:pPr>
              <w:spacing w:before="40" w:after="40"/>
              <w:jc w:val="center"/>
              <w:rPr>
                <w:rFonts w:asciiTheme="minorHAnsi" w:hAnsiTheme="minorHAnsi"/>
                <w:bCs/>
                <w:color w:val="000000"/>
                <w:sz w:val="22"/>
              </w:rPr>
            </w:pPr>
            <w:r w:rsidRPr="0062222B">
              <w:rPr>
                <w:rFonts w:asciiTheme="minorHAnsi" w:hAnsiTheme="minorHAnsi"/>
                <w:bCs/>
                <w:color w:val="000000"/>
                <w:sz w:val="22"/>
              </w:rPr>
              <w:t>Volume of numbers to non-Members</w:t>
            </w:r>
          </w:p>
        </w:tc>
        <w:tc>
          <w:tcPr>
            <w:tcW w:w="992" w:type="dxa"/>
            <w:vAlign w:val="center"/>
          </w:tcPr>
          <w:p w14:paraId="11985694" w14:textId="77777777" w:rsidR="00771C97" w:rsidRPr="0062222B" w:rsidRDefault="00771C97" w:rsidP="0062222B">
            <w:pPr>
              <w:spacing w:before="40" w:after="40"/>
              <w:jc w:val="center"/>
              <w:rPr>
                <w:rFonts w:asciiTheme="minorHAnsi" w:hAnsiTheme="minorHAnsi"/>
                <w:bCs/>
                <w:color w:val="000000"/>
                <w:sz w:val="22"/>
              </w:rPr>
            </w:pPr>
            <w:r w:rsidRPr="0062222B">
              <w:rPr>
                <w:rFonts w:asciiTheme="minorHAnsi" w:hAnsiTheme="minorHAnsi"/>
                <w:bCs/>
                <w:color w:val="000000"/>
                <w:sz w:val="22"/>
              </w:rPr>
              <w:t>Total volume</w:t>
            </w:r>
          </w:p>
        </w:tc>
        <w:tc>
          <w:tcPr>
            <w:tcW w:w="1418" w:type="dxa"/>
          </w:tcPr>
          <w:p w14:paraId="11985695" w14:textId="77777777" w:rsidR="00771C97" w:rsidRPr="0062222B" w:rsidRDefault="00771C97" w:rsidP="0062222B">
            <w:pPr>
              <w:spacing w:before="40" w:after="40"/>
              <w:jc w:val="center"/>
              <w:rPr>
                <w:rFonts w:asciiTheme="minorHAnsi" w:hAnsiTheme="minorHAnsi"/>
                <w:bCs/>
                <w:color w:val="000000"/>
                <w:sz w:val="22"/>
              </w:rPr>
            </w:pPr>
            <w:r w:rsidRPr="0062222B">
              <w:rPr>
                <w:rFonts w:asciiTheme="minorHAnsi" w:hAnsiTheme="minorHAnsi"/>
                <w:bCs/>
                <w:color w:val="000000"/>
                <w:sz w:val="22"/>
              </w:rPr>
              <w:t># of assignees</w:t>
            </w:r>
          </w:p>
          <w:p w14:paraId="11985696" w14:textId="77777777" w:rsidR="00771C97" w:rsidRPr="0062222B" w:rsidRDefault="00771C97" w:rsidP="0062222B">
            <w:pPr>
              <w:spacing w:before="40" w:after="40"/>
              <w:jc w:val="center"/>
              <w:rPr>
                <w:rFonts w:asciiTheme="minorHAnsi" w:hAnsiTheme="minorHAnsi"/>
                <w:bCs/>
                <w:color w:val="000000"/>
                <w:sz w:val="22"/>
              </w:rPr>
            </w:pPr>
            <w:r w:rsidRPr="0062222B">
              <w:rPr>
                <w:rFonts w:asciiTheme="minorHAnsi" w:hAnsiTheme="minorHAnsi"/>
                <w:bCs/>
                <w:color w:val="000000"/>
                <w:sz w:val="22"/>
              </w:rPr>
              <w:t>(Members)</w:t>
            </w:r>
          </w:p>
        </w:tc>
        <w:tc>
          <w:tcPr>
            <w:tcW w:w="1843" w:type="dxa"/>
          </w:tcPr>
          <w:p w14:paraId="11985697" w14:textId="77777777" w:rsidR="00771C97" w:rsidRPr="0062222B" w:rsidRDefault="00771C97" w:rsidP="0062222B">
            <w:pPr>
              <w:spacing w:before="40" w:after="40"/>
              <w:jc w:val="center"/>
              <w:rPr>
                <w:rFonts w:asciiTheme="minorHAnsi" w:hAnsiTheme="minorHAnsi"/>
                <w:bCs/>
                <w:color w:val="000000"/>
                <w:sz w:val="22"/>
              </w:rPr>
            </w:pPr>
            <w:r w:rsidRPr="0062222B">
              <w:rPr>
                <w:rFonts w:asciiTheme="minorHAnsi" w:hAnsiTheme="minorHAnsi"/>
                <w:bCs/>
                <w:color w:val="000000"/>
                <w:sz w:val="22"/>
              </w:rPr>
              <w:t># of assignees (non-Members)</w:t>
            </w:r>
          </w:p>
        </w:tc>
      </w:tr>
      <w:tr w:rsidR="00771C97" w:rsidRPr="00771C97" w14:paraId="119856A0" w14:textId="77777777" w:rsidTr="0062222B">
        <w:trPr>
          <w:jc w:val="center"/>
        </w:trPr>
        <w:tc>
          <w:tcPr>
            <w:tcW w:w="936" w:type="dxa"/>
            <w:vAlign w:val="bottom"/>
          </w:tcPr>
          <w:p w14:paraId="11985699" w14:textId="77777777" w:rsidR="00771C97" w:rsidRPr="0062222B" w:rsidRDefault="00771C97" w:rsidP="0062222B">
            <w:pPr>
              <w:spacing w:before="40" w:after="40"/>
              <w:rPr>
                <w:rFonts w:asciiTheme="minorHAnsi" w:hAnsiTheme="minorHAnsi"/>
                <w:bCs/>
                <w:color w:val="000000"/>
                <w:sz w:val="22"/>
              </w:rPr>
            </w:pPr>
            <w:r w:rsidRPr="0062222B">
              <w:rPr>
                <w:rFonts w:asciiTheme="minorHAnsi" w:hAnsiTheme="minorHAnsi"/>
                <w:bCs/>
                <w:color w:val="000000"/>
                <w:sz w:val="22"/>
              </w:rPr>
              <w:t>UIFN</w:t>
            </w:r>
          </w:p>
        </w:tc>
        <w:tc>
          <w:tcPr>
            <w:tcW w:w="1469" w:type="dxa"/>
            <w:vAlign w:val="bottom"/>
          </w:tcPr>
          <w:p w14:paraId="1198569A" w14:textId="77777777" w:rsidR="00771C97" w:rsidRPr="0062222B" w:rsidRDefault="00771C97" w:rsidP="0062222B">
            <w:pPr>
              <w:spacing w:before="40" w:after="40"/>
              <w:rPr>
                <w:rFonts w:asciiTheme="minorHAnsi" w:hAnsiTheme="minorHAnsi"/>
                <w:color w:val="000000"/>
                <w:sz w:val="22"/>
              </w:rPr>
            </w:pPr>
            <w:r w:rsidRPr="0062222B">
              <w:rPr>
                <w:rFonts w:asciiTheme="minorHAnsi" w:hAnsiTheme="minorHAnsi"/>
                <w:color w:val="000000"/>
                <w:sz w:val="22"/>
              </w:rPr>
              <w:t>23 Oct 2014</w:t>
            </w:r>
          </w:p>
        </w:tc>
        <w:tc>
          <w:tcPr>
            <w:tcW w:w="1701" w:type="dxa"/>
            <w:vAlign w:val="bottom"/>
          </w:tcPr>
          <w:p w14:paraId="1198569B" w14:textId="77777777" w:rsidR="00771C97" w:rsidRPr="0062222B" w:rsidRDefault="00771C97" w:rsidP="0062222B">
            <w:pPr>
              <w:spacing w:before="40" w:after="40"/>
              <w:jc w:val="right"/>
              <w:rPr>
                <w:rFonts w:asciiTheme="minorHAnsi" w:hAnsiTheme="minorHAnsi"/>
                <w:sz w:val="22"/>
              </w:rPr>
            </w:pPr>
            <w:r w:rsidRPr="0062222B">
              <w:rPr>
                <w:rFonts w:asciiTheme="minorHAnsi" w:hAnsiTheme="minorHAnsi"/>
                <w:sz w:val="22"/>
              </w:rPr>
              <w:t>28,382</w:t>
            </w:r>
          </w:p>
        </w:tc>
        <w:tc>
          <w:tcPr>
            <w:tcW w:w="1701" w:type="dxa"/>
            <w:vAlign w:val="bottom"/>
          </w:tcPr>
          <w:p w14:paraId="1198569C" w14:textId="77777777" w:rsidR="00771C97" w:rsidRPr="0062222B" w:rsidRDefault="00771C97" w:rsidP="0062222B">
            <w:pPr>
              <w:spacing w:before="40" w:after="40"/>
              <w:jc w:val="right"/>
              <w:rPr>
                <w:rFonts w:asciiTheme="minorHAnsi" w:hAnsiTheme="minorHAnsi"/>
                <w:sz w:val="22"/>
              </w:rPr>
            </w:pPr>
            <w:r w:rsidRPr="0062222B">
              <w:rPr>
                <w:rFonts w:asciiTheme="minorHAnsi" w:hAnsiTheme="minorHAnsi"/>
                <w:sz w:val="22"/>
              </w:rPr>
              <w:t>8,618</w:t>
            </w:r>
          </w:p>
        </w:tc>
        <w:tc>
          <w:tcPr>
            <w:tcW w:w="992" w:type="dxa"/>
            <w:vAlign w:val="bottom"/>
          </w:tcPr>
          <w:p w14:paraId="1198569D" w14:textId="77777777" w:rsidR="00771C97" w:rsidRPr="0062222B" w:rsidRDefault="00771C97" w:rsidP="0062222B">
            <w:pPr>
              <w:spacing w:before="40" w:after="40"/>
              <w:jc w:val="right"/>
              <w:rPr>
                <w:rFonts w:asciiTheme="minorHAnsi" w:hAnsiTheme="minorHAnsi"/>
                <w:sz w:val="22"/>
              </w:rPr>
            </w:pPr>
            <w:r w:rsidRPr="0062222B">
              <w:rPr>
                <w:rFonts w:asciiTheme="minorHAnsi" w:hAnsiTheme="minorHAnsi"/>
                <w:sz w:val="22"/>
              </w:rPr>
              <w:t>37,000</w:t>
            </w:r>
          </w:p>
        </w:tc>
        <w:tc>
          <w:tcPr>
            <w:tcW w:w="1418" w:type="dxa"/>
          </w:tcPr>
          <w:p w14:paraId="1198569E" w14:textId="77777777" w:rsidR="00771C97" w:rsidRPr="0062222B" w:rsidRDefault="00771C97" w:rsidP="0062222B">
            <w:pPr>
              <w:spacing w:before="40" w:after="40"/>
              <w:jc w:val="right"/>
              <w:rPr>
                <w:rFonts w:asciiTheme="minorHAnsi" w:hAnsiTheme="minorHAnsi"/>
                <w:color w:val="000000"/>
                <w:sz w:val="22"/>
              </w:rPr>
            </w:pPr>
            <w:r w:rsidRPr="0062222B">
              <w:rPr>
                <w:rFonts w:asciiTheme="minorHAnsi" w:hAnsiTheme="minorHAnsi"/>
                <w:color w:val="000000"/>
                <w:sz w:val="22"/>
              </w:rPr>
              <w:t>43</w:t>
            </w:r>
          </w:p>
        </w:tc>
        <w:tc>
          <w:tcPr>
            <w:tcW w:w="1843" w:type="dxa"/>
          </w:tcPr>
          <w:p w14:paraId="1198569F" w14:textId="77777777" w:rsidR="00771C97" w:rsidRPr="0062222B" w:rsidRDefault="00771C97" w:rsidP="0062222B">
            <w:pPr>
              <w:spacing w:before="40" w:after="40"/>
              <w:jc w:val="right"/>
              <w:rPr>
                <w:rFonts w:asciiTheme="minorHAnsi" w:hAnsiTheme="minorHAnsi"/>
                <w:color w:val="000000"/>
                <w:sz w:val="22"/>
              </w:rPr>
            </w:pPr>
            <w:r w:rsidRPr="0062222B">
              <w:rPr>
                <w:rFonts w:asciiTheme="minorHAnsi" w:hAnsiTheme="minorHAnsi"/>
                <w:color w:val="000000"/>
                <w:sz w:val="22"/>
              </w:rPr>
              <w:t>69</w:t>
            </w:r>
          </w:p>
        </w:tc>
      </w:tr>
      <w:tr w:rsidR="00771C97" w:rsidRPr="00771C97" w14:paraId="119856A8" w14:textId="77777777" w:rsidTr="0062222B">
        <w:trPr>
          <w:jc w:val="center"/>
        </w:trPr>
        <w:tc>
          <w:tcPr>
            <w:tcW w:w="936" w:type="dxa"/>
            <w:vAlign w:val="bottom"/>
          </w:tcPr>
          <w:p w14:paraId="119856A1" w14:textId="77777777" w:rsidR="00771C97" w:rsidRPr="0062222B" w:rsidRDefault="00771C97" w:rsidP="0062222B">
            <w:pPr>
              <w:spacing w:before="40" w:after="40"/>
              <w:rPr>
                <w:rFonts w:asciiTheme="minorHAnsi" w:hAnsiTheme="minorHAnsi"/>
                <w:bCs/>
                <w:color w:val="000000"/>
                <w:sz w:val="22"/>
              </w:rPr>
            </w:pPr>
            <w:r w:rsidRPr="0062222B">
              <w:rPr>
                <w:rFonts w:asciiTheme="minorHAnsi" w:hAnsiTheme="minorHAnsi"/>
                <w:bCs/>
                <w:color w:val="000000"/>
                <w:sz w:val="22"/>
              </w:rPr>
              <w:t>IIN</w:t>
            </w:r>
          </w:p>
        </w:tc>
        <w:tc>
          <w:tcPr>
            <w:tcW w:w="1469" w:type="dxa"/>
            <w:vAlign w:val="bottom"/>
          </w:tcPr>
          <w:p w14:paraId="119856A2" w14:textId="77777777" w:rsidR="00771C97" w:rsidRPr="0062222B" w:rsidRDefault="00771C97" w:rsidP="0062222B">
            <w:pPr>
              <w:spacing w:before="40" w:after="40"/>
              <w:rPr>
                <w:rFonts w:asciiTheme="minorHAnsi" w:hAnsiTheme="minorHAnsi"/>
                <w:color w:val="000000"/>
                <w:sz w:val="22"/>
              </w:rPr>
            </w:pPr>
            <w:r w:rsidRPr="0062222B">
              <w:rPr>
                <w:rFonts w:asciiTheme="minorHAnsi" w:hAnsiTheme="minorHAnsi"/>
                <w:color w:val="000000"/>
                <w:sz w:val="22"/>
              </w:rPr>
              <w:t>1 Aug 2014</w:t>
            </w:r>
          </w:p>
        </w:tc>
        <w:tc>
          <w:tcPr>
            <w:tcW w:w="1701" w:type="dxa"/>
            <w:vAlign w:val="bottom"/>
          </w:tcPr>
          <w:p w14:paraId="119856A3" w14:textId="77777777" w:rsidR="00771C97" w:rsidRPr="0062222B" w:rsidRDefault="00771C97" w:rsidP="0062222B">
            <w:pPr>
              <w:spacing w:before="40" w:after="40"/>
              <w:jc w:val="right"/>
              <w:rPr>
                <w:rFonts w:asciiTheme="minorHAnsi" w:hAnsiTheme="minorHAnsi"/>
                <w:sz w:val="22"/>
              </w:rPr>
            </w:pPr>
            <w:r w:rsidRPr="0062222B">
              <w:rPr>
                <w:rFonts w:asciiTheme="minorHAnsi" w:hAnsiTheme="minorHAnsi"/>
                <w:sz w:val="22"/>
              </w:rPr>
              <w:t>100</w:t>
            </w:r>
          </w:p>
        </w:tc>
        <w:tc>
          <w:tcPr>
            <w:tcW w:w="1701" w:type="dxa"/>
            <w:vAlign w:val="bottom"/>
          </w:tcPr>
          <w:p w14:paraId="119856A4" w14:textId="77777777" w:rsidR="00771C97" w:rsidRPr="0062222B" w:rsidRDefault="00771C97" w:rsidP="0062222B">
            <w:pPr>
              <w:spacing w:before="40" w:after="40"/>
              <w:jc w:val="right"/>
              <w:rPr>
                <w:rFonts w:asciiTheme="minorHAnsi" w:hAnsiTheme="minorHAnsi"/>
                <w:sz w:val="22"/>
              </w:rPr>
            </w:pPr>
            <w:r w:rsidRPr="0062222B">
              <w:rPr>
                <w:rFonts w:asciiTheme="minorHAnsi" w:hAnsiTheme="minorHAnsi"/>
                <w:sz w:val="22"/>
              </w:rPr>
              <w:t>623</w:t>
            </w:r>
          </w:p>
        </w:tc>
        <w:tc>
          <w:tcPr>
            <w:tcW w:w="992" w:type="dxa"/>
            <w:vAlign w:val="bottom"/>
          </w:tcPr>
          <w:p w14:paraId="119856A5" w14:textId="77777777" w:rsidR="00771C97" w:rsidRPr="0062222B" w:rsidRDefault="00771C97" w:rsidP="0062222B">
            <w:pPr>
              <w:spacing w:before="40" w:after="40"/>
              <w:jc w:val="right"/>
              <w:rPr>
                <w:rFonts w:asciiTheme="minorHAnsi" w:hAnsiTheme="minorHAnsi"/>
                <w:sz w:val="22"/>
              </w:rPr>
            </w:pPr>
            <w:r w:rsidRPr="0062222B">
              <w:rPr>
                <w:rFonts w:asciiTheme="minorHAnsi" w:hAnsiTheme="minorHAnsi"/>
                <w:sz w:val="22"/>
              </w:rPr>
              <w:t>723</w:t>
            </w:r>
          </w:p>
        </w:tc>
        <w:tc>
          <w:tcPr>
            <w:tcW w:w="1418" w:type="dxa"/>
          </w:tcPr>
          <w:p w14:paraId="119856A6" w14:textId="77777777" w:rsidR="00771C97" w:rsidRPr="0062222B" w:rsidRDefault="00771C97" w:rsidP="0062222B">
            <w:pPr>
              <w:spacing w:before="40" w:after="40"/>
              <w:jc w:val="right"/>
              <w:rPr>
                <w:rFonts w:asciiTheme="minorHAnsi" w:hAnsiTheme="minorHAnsi"/>
                <w:color w:val="000000"/>
                <w:sz w:val="22"/>
              </w:rPr>
            </w:pPr>
            <w:r w:rsidRPr="0062222B">
              <w:rPr>
                <w:rFonts w:asciiTheme="minorHAnsi" w:hAnsiTheme="minorHAnsi"/>
                <w:color w:val="000000"/>
                <w:sz w:val="22"/>
              </w:rPr>
              <w:t>70</w:t>
            </w:r>
          </w:p>
        </w:tc>
        <w:tc>
          <w:tcPr>
            <w:tcW w:w="1843" w:type="dxa"/>
          </w:tcPr>
          <w:p w14:paraId="119856A7" w14:textId="77777777" w:rsidR="00771C97" w:rsidRPr="0062222B" w:rsidRDefault="00771C97" w:rsidP="0062222B">
            <w:pPr>
              <w:spacing w:before="40" w:after="40"/>
              <w:jc w:val="right"/>
              <w:rPr>
                <w:rFonts w:asciiTheme="minorHAnsi" w:hAnsiTheme="minorHAnsi"/>
                <w:color w:val="000000"/>
                <w:sz w:val="22"/>
              </w:rPr>
            </w:pPr>
            <w:r w:rsidRPr="0062222B">
              <w:rPr>
                <w:rFonts w:asciiTheme="minorHAnsi" w:hAnsiTheme="minorHAnsi"/>
                <w:color w:val="000000"/>
                <w:sz w:val="22"/>
              </w:rPr>
              <w:t>562</w:t>
            </w:r>
          </w:p>
        </w:tc>
      </w:tr>
    </w:tbl>
    <w:p w14:paraId="119856A9" w14:textId="36945980" w:rsidR="00771C97" w:rsidRPr="00771C97" w:rsidRDefault="00771C97" w:rsidP="002352DA">
      <w:pPr>
        <w:shd w:val="clear" w:color="auto" w:fill="FFFFFF"/>
        <w:tabs>
          <w:tab w:val="clear" w:pos="567"/>
          <w:tab w:val="clear" w:pos="1134"/>
          <w:tab w:val="clear" w:pos="1701"/>
          <w:tab w:val="clear" w:pos="2268"/>
          <w:tab w:val="clear" w:pos="2835"/>
        </w:tabs>
        <w:snapToGrid w:val="0"/>
        <w:spacing w:before="360" w:after="240"/>
        <w:jc w:val="both"/>
        <w:rPr>
          <w:rFonts w:asciiTheme="minorHAnsi" w:hAnsiTheme="minorHAnsi"/>
          <w:szCs w:val="24"/>
        </w:rPr>
      </w:pPr>
      <w:proofErr w:type="gramStart"/>
      <w:r w:rsidRPr="00771C97">
        <w:rPr>
          <w:rFonts w:asciiTheme="minorHAnsi" w:hAnsiTheme="minorHAnsi"/>
          <w:szCs w:val="24"/>
        </w:rPr>
        <w:t>Assuming that the annual fee is CHF 20 for UIFN and CHF 100 for IIN and no UIFNs will be returned, the total annual income from non-</w:t>
      </w:r>
      <w:r w:rsidR="00CE5943">
        <w:rPr>
          <w:rFonts w:asciiTheme="minorHAnsi" w:hAnsiTheme="minorHAnsi"/>
          <w:szCs w:val="24"/>
        </w:rPr>
        <w:t>m</w:t>
      </w:r>
      <w:r w:rsidRPr="00771C97">
        <w:rPr>
          <w:rFonts w:asciiTheme="minorHAnsi" w:hAnsiTheme="minorHAnsi"/>
          <w:szCs w:val="24"/>
        </w:rPr>
        <w:t xml:space="preserve">embers would be 164,560 CHF per year, including membership fees for those companies for whom it would be </w:t>
      </w:r>
      <w:r w:rsidR="00CE5943">
        <w:rPr>
          <w:rFonts w:asciiTheme="minorHAnsi" w:hAnsiTheme="minorHAnsi"/>
          <w:szCs w:val="24"/>
        </w:rPr>
        <w:t>cheaper to join as Associates (four</w:t>
      </w:r>
      <w:r w:rsidRPr="00771C97">
        <w:rPr>
          <w:rFonts w:asciiTheme="minorHAnsi" w:hAnsiTheme="minorHAnsi"/>
          <w:szCs w:val="24"/>
        </w:rPr>
        <w:t xml:space="preserve"> companies which together have more than 5,600 assigned UIFN and IIN).</w:t>
      </w:r>
      <w:proofErr w:type="gramEnd"/>
    </w:p>
    <w:tbl>
      <w:tblPr>
        <w:tblW w:w="8080" w:type="dxa"/>
        <w:jc w:val="center"/>
        <w:tblCellMar>
          <w:left w:w="70" w:type="dxa"/>
          <w:right w:w="70" w:type="dxa"/>
        </w:tblCellMar>
        <w:tblLook w:val="04A0" w:firstRow="1" w:lastRow="0" w:firstColumn="1" w:lastColumn="0" w:noHBand="0" w:noVBand="1"/>
      </w:tblPr>
      <w:tblGrid>
        <w:gridCol w:w="1820"/>
        <w:gridCol w:w="2220"/>
        <w:gridCol w:w="1960"/>
        <w:gridCol w:w="2080"/>
      </w:tblGrid>
      <w:tr w:rsidR="00771C97" w:rsidRPr="00771C97" w14:paraId="119856AE" w14:textId="77777777" w:rsidTr="00326430">
        <w:trPr>
          <w:trHeight w:val="720"/>
          <w:jc w:val="center"/>
        </w:trPr>
        <w:tc>
          <w:tcPr>
            <w:tcW w:w="1820" w:type="dxa"/>
            <w:tcBorders>
              <w:top w:val="nil"/>
              <w:left w:val="nil"/>
              <w:bottom w:val="nil"/>
              <w:right w:val="nil"/>
            </w:tcBorders>
            <w:shd w:val="clear" w:color="auto" w:fill="auto"/>
            <w:noWrap/>
            <w:vAlign w:val="bottom"/>
            <w:hideMark/>
          </w:tcPr>
          <w:p w14:paraId="119856AA" w14:textId="77777777" w:rsidR="00771C97" w:rsidRPr="0062222B" w:rsidRDefault="00771C97" w:rsidP="0062222B">
            <w:pPr>
              <w:spacing w:before="40" w:after="40"/>
              <w:rPr>
                <w:rFonts w:asciiTheme="minorHAnsi" w:hAnsiTheme="minorHAnsi"/>
                <w:sz w:val="22"/>
                <w:szCs w:val="22"/>
                <w:lang w:eastAsia="fr-FR"/>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856AB" w14:textId="77777777" w:rsidR="00771C97" w:rsidRPr="0062222B" w:rsidRDefault="00CE5943" w:rsidP="0062222B">
            <w:pPr>
              <w:spacing w:before="40" w:after="40"/>
              <w:jc w:val="center"/>
              <w:rPr>
                <w:rFonts w:asciiTheme="minorHAnsi" w:hAnsiTheme="minorHAnsi" w:cs="Calibri"/>
                <w:color w:val="000000"/>
                <w:sz w:val="22"/>
                <w:szCs w:val="22"/>
                <w:lang w:eastAsia="fr-FR"/>
              </w:rPr>
            </w:pPr>
            <w:r>
              <w:rPr>
                <w:rFonts w:asciiTheme="minorHAnsi" w:hAnsiTheme="minorHAnsi"/>
                <w:color w:val="000000"/>
                <w:sz w:val="22"/>
                <w:szCs w:val="22"/>
                <w:lang w:eastAsia="fr-FR"/>
              </w:rPr>
              <w:t>Volume of numbers to non-m</w:t>
            </w:r>
            <w:r w:rsidR="00771C97" w:rsidRPr="0062222B">
              <w:rPr>
                <w:rFonts w:asciiTheme="minorHAnsi" w:hAnsiTheme="minorHAnsi"/>
                <w:color w:val="000000"/>
                <w:sz w:val="22"/>
                <w:szCs w:val="22"/>
                <w:lang w:eastAsia="fr-FR"/>
              </w:rPr>
              <w:t>embers</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119856AC" w14:textId="77777777" w:rsidR="00771C97" w:rsidRPr="0062222B" w:rsidRDefault="00771C97" w:rsidP="0062222B">
            <w:pPr>
              <w:spacing w:before="40" w:after="40"/>
              <w:jc w:val="center"/>
              <w:rPr>
                <w:rFonts w:asciiTheme="minorHAnsi" w:hAnsiTheme="minorHAnsi" w:cs="Calibri"/>
                <w:color w:val="000000"/>
                <w:sz w:val="22"/>
                <w:szCs w:val="22"/>
                <w:lang w:val="fr-FR" w:eastAsia="fr-FR"/>
              </w:rPr>
            </w:pPr>
            <w:r w:rsidRPr="0062222B">
              <w:rPr>
                <w:rFonts w:asciiTheme="minorHAnsi" w:hAnsiTheme="minorHAnsi"/>
                <w:color w:val="000000"/>
                <w:sz w:val="22"/>
                <w:szCs w:val="22"/>
                <w:lang w:eastAsia="fr-FR"/>
              </w:rPr>
              <w:t>Proposed annual fee</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119856AD" w14:textId="77777777" w:rsidR="00771C97" w:rsidRPr="0062222B" w:rsidRDefault="00CE5943" w:rsidP="0062222B">
            <w:pPr>
              <w:spacing w:before="40" w:after="40"/>
              <w:jc w:val="center"/>
              <w:rPr>
                <w:rFonts w:asciiTheme="minorHAnsi" w:hAnsiTheme="minorHAnsi" w:cs="Calibri"/>
                <w:color w:val="000000"/>
                <w:sz w:val="22"/>
                <w:szCs w:val="22"/>
                <w:lang w:eastAsia="fr-FR"/>
              </w:rPr>
            </w:pPr>
            <w:r>
              <w:rPr>
                <w:rFonts w:asciiTheme="minorHAnsi" w:hAnsiTheme="minorHAnsi"/>
                <w:color w:val="000000"/>
                <w:sz w:val="22"/>
                <w:szCs w:val="22"/>
                <w:lang w:eastAsia="fr-FR"/>
              </w:rPr>
              <w:t>Annual Income for non-m</w:t>
            </w:r>
            <w:r w:rsidR="00771C97" w:rsidRPr="0062222B">
              <w:rPr>
                <w:rFonts w:asciiTheme="minorHAnsi" w:hAnsiTheme="minorHAnsi"/>
                <w:color w:val="000000"/>
                <w:sz w:val="22"/>
                <w:szCs w:val="22"/>
                <w:lang w:eastAsia="fr-FR"/>
              </w:rPr>
              <w:t>embers</w:t>
            </w:r>
          </w:p>
        </w:tc>
      </w:tr>
      <w:tr w:rsidR="00771C97" w:rsidRPr="00771C97" w14:paraId="119856B3" w14:textId="77777777" w:rsidTr="0062222B">
        <w:trPr>
          <w:trHeight w:val="300"/>
          <w:jc w:val="center"/>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856AF" w14:textId="77777777" w:rsidR="00771C97" w:rsidRPr="0062222B" w:rsidRDefault="00771C97" w:rsidP="0062222B">
            <w:pPr>
              <w:tabs>
                <w:tab w:val="clear" w:pos="567"/>
                <w:tab w:val="clear" w:pos="1134"/>
                <w:tab w:val="clear" w:pos="1701"/>
              </w:tabs>
              <w:spacing w:before="40" w:after="40"/>
              <w:ind w:right="190" w:firstLineChars="100" w:firstLine="220"/>
              <w:jc w:val="right"/>
              <w:rPr>
                <w:rFonts w:asciiTheme="minorHAnsi" w:hAnsiTheme="minorHAnsi" w:cs="Calibri"/>
                <w:color w:val="000000"/>
                <w:sz w:val="22"/>
                <w:szCs w:val="22"/>
                <w:lang w:val="fr-FR" w:eastAsia="fr-FR"/>
              </w:rPr>
            </w:pPr>
            <w:r w:rsidRPr="0062222B">
              <w:rPr>
                <w:rFonts w:asciiTheme="minorHAnsi" w:hAnsiTheme="minorHAnsi"/>
                <w:color w:val="000000"/>
                <w:sz w:val="22"/>
                <w:szCs w:val="22"/>
                <w:lang w:eastAsia="fr-FR"/>
              </w:rPr>
              <w:t>UIFN</w:t>
            </w:r>
          </w:p>
        </w:tc>
        <w:tc>
          <w:tcPr>
            <w:tcW w:w="2220" w:type="dxa"/>
            <w:tcBorders>
              <w:top w:val="nil"/>
              <w:left w:val="nil"/>
              <w:bottom w:val="single" w:sz="4" w:space="0" w:color="auto"/>
              <w:right w:val="single" w:sz="4" w:space="0" w:color="auto"/>
            </w:tcBorders>
            <w:shd w:val="clear" w:color="auto" w:fill="auto"/>
            <w:noWrap/>
            <w:vAlign w:val="center"/>
            <w:hideMark/>
          </w:tcPr>
          <w:p w14:paraId="119856B0" w14:textId="77777777" w:rsidR="00771C97" w:rsidRPr="0062222B" w:rsidRDefault="00771C97" w:rsidP="0062222B">
            <w:pPr>
              <w:tabs>
                <w:tab w:val="clear" w:pos="567"/>
                <w:tab w:val="clear" w:pos="1134"/>
                <w:tab w:val="clear" w:pos="1701"/>
              </w:tabs>
              <w:spacing w:before="40" w:after="40"/>
              <w:ind w:right="1"/>
              <w:jc w:val="right"/>
              <w:rPr>
                <w:rFonts w:asciiTheme="minorHAnsi" w:hAnsiTheme="minorHAnsi" w:cs="Calibri"/>
                <w:color w:val="000000"/>
                <w:sz w:val="22"/>
                <w:szCs w:val="22"/>
                <w:lang w:val="fr-FR" w:eastAsia="fr-FR"/>
              </w:rPr>
            </w:pPr>
            <w:r w:rsidRPr="0062222B">
              <w:rPr>
                <w:rFonts w:asciiTheme="minorHAnsi" w:hAnsiTheme="minorHAnsi"/>
                <w:color w:val="000000"/>
                <w:sz w:val="22"/>
                <w:szCs w:val="22"/>
                <w:lang w:eastAsia="fr-FR"/>
              </w:rPr>
              <w:t xml:space="preserve">8 618 </w:t>
            </w:r>
          </w:p>
        </w:tc>
        <w:tc>
          <w:tcPr>
            <w:tcW w:w="1960" w:type="dxa"/>
            <w:tcBorders>
              <w:top w:val="nil"/>
              <w:left w:val="nil"/>
              <w:bottom w:val="single" w:sz="4" w:space="0" w:color="auto"/>
              <w:right w:val="single" w:sz="4" w:space="0" w:color="auto"/>
            </w:tcBorders>
            <w:shd w:val="clear" w:color="auto" w:fill="auto"/>
            <w:noWrap/>
            <w:vAlign w:val="center"/>
            <w:hideMark/>
          </w:tcPr>
          <w:p w14:paraId="119856B1" w14:textId="77777777" w:rsidR="00771C97" w:rsidRPr="0062222B" w:rsidRDefault="00771C97" w:rsidP="0062222B">
            <w:pPr>
              <w:spacing w:before="40" w:after="40"/>
              <w:jc w:val="center"/>
              <w:rPr>
                <w:rFonts w:asciiTheme="minorHAnsi" w:hAnsiTheme="minorHAnsi" w:cs="Calibri"/>
                <w:color w:val="000000"/>
                <w:sz w:val="22"/>
                <w:szCs w:val="22"/>
                <w:lang w:val="fr-FR" w:eastAsia="fr-FR"/>
              </w:rPr>
            </w:pPr>
            <w:r w:rsidRPr="0062222B">
              <w:rPr>
                <w:rFonts w:asciiTheme="minorHAnsi" w:hAnsiTheme="minorHAnsi"/>
                <w:color w:val="000000"/>
                <w:sz w:val="22"/>
                <w:szCs w:val="22"/>
                <w:lang w:eastAsia="fr-FR"/>
              </w:rPr>
              <w:t>CHF 20</w:t>
            </w:r>
          </w:p>
        </w:tc>
        <w:tc>
          <w:tcPr>
            <w:tcW w:w="2080" w:type="dxa"/>
            <w:tcBorders>
              <w:top w:val="nil"/>
              <w:left w:val="nil"/>
              <w:bottom w:val="single" w:sz="4" w:space="0" w:color="auto"/>
              <w:right w:val="single" w:sz="4" w:space="0" w:color="auto"/>
            </w:tcBorders>
            <w:shd w:val="clear" w:color="auto" w:fill="auto"/>
            <w:noWrap/>
            <w:vAlign w:val="center"/>
            <w:hideMark/>
          </w:tcPr>
          <w:p w14:paraId="119856B2" w14:textId="77777777" w:rsidR="00771C97" w:rsidRPr="0062222B" w:rsidRDefault="00771C97" w:rsidP="0062222B">
            <w:pPr>
              <w:tabs>
                <w:tab w:val="clear" w:pos="567"/>
                <w:tab w:val="clear" w:pos="1134"/>
                <w:tab w:val="clear" w:pos="1701"/>
              </w:tabs>
              <w:spacing w:before="40" w:after="40"/>
              <w:ind w:right="72"/>
              <w:jc w:val="right"/>
              <w:rPr>
                <w:rFonts w:asciiTheme="minorHAnsi" w:hAnsiTheme="minorHAnsi" w:cs="Calibri"/>
                <w:color w:val="000000"/>
                <w:sz w:val="22"/>
                <w:szCs w:val="22"/>
                <w:lang w:val="fr-FR" w:eastAsia="fr-FR"/>
              </w:rPr>
            </w:pPr>
            <w:r w:rsidRPr="0062222B">
              <w:rPr>
                <w:rFonts w:asciiTheme="minorHAnsi" w:hAnsiTheme="minorHAnsi" w:cs="Calibri"/>
                <w:color w:val="000000"/>
                <w:sz w:val="22"/>
                <w:szCs w:val="22"/>
                <w:lang w:val="fr-FR" w:eastAsia="fr-FR"/>
              </w:rPr>
              <w:t>172,360</w:t>
            </w:r>
          </w:p>
        </w:tc>
      </w:tr>
      <w:tr w:rsidR="00771C97" w:rsidRPr="00771C97" w14:paraId="119856B8" w14:textId="77777777" w:rsidTr="0062222B">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119856B4" w14:textId="77777777" w:rsidR="00771C97" w:rsidRPr="0062222B" w:rsidRDefault="00771C97" w:rsidP="0062222B">
            <w:pPr>
              <w:tabs>
                <w:tab w:val="clear" w:pos="567"/>
                <w:tab w:val="clear" w:pos="1134"/>
                <w:tab w:val="clear" w:pos="1701"/>
                <w:tab w:val="right" w:pos="1370"/>
              </w:tabs>
              <w:spacing w:before="40" w:after="40"/>
              <w:ind w:right="190" w:firstLineChars="100" w:firstLine="220"/>
              <w:jc w:val="right"/>
              <w:rPr>
                <w:rFonts w:asciiTheme="minorHAnsi" w:hAnsiTheme="minorHAnsi" w:cs="Calibri"/>
                <w:color w:val="000000"/>
                <w:sz w:val="22"/>
                <w:szCs w:val="22"/>
                <w:lang w:val="fr-FR" w:eastAsia="fr-FR"/>
              </w:rPr>
            </w:pPr>
            <w:r w:rsidRPr="0062222B">
              <w:rPr>
                <w:rFonts w:asciiTheme="minorHAnsi" w:hAnsiTheme="minorHAnsi"/>
                <w:color w:val="000000"/>
                <w:sz w:val="22"/>
                <w:szCs w:val="22"/>
                <w:lang w:eastAsia="fr-FR"/>
              </w:rPr>
              <w:t>IIN</w:t>
            </w:r>
          </w:p>
        </w:tc>
        <w:tc>
          <w:tcPr>
            <w:tcW w:w="2220" w:type="dxa"/>
            <w:tcBorders>
              <w:top w:val="nil"/>
              <w:left w:val="nil"/>
              <w:bottom w:val="single" w:sz="4" w:space="0" w:color="auto"/>
              <w:right w:val="single" w:sz="4" w:space="0" w:color="auto"/>
            </w:tcBorders>
            <w:shd w:val="clear" w:color="auto" w:fill="auto"/>
            <w:noWrap/>
            <w:vAlign w:val="center"/>
            <w:hideMark/>
          </w:tcPr>
          <w:p w14:paraId="119856B5" w14:textId="77777777" w:rsidR="00771C97" w:rsidRPr="0062222B" w:rsidRDefault="00771C97" w:rsidP="0062222B">
            <w:pPr>
              <w:tabs>
                <w:tab w:val="clear" w:pos="567"/>
                <w:tab w:val="clear" w:pos="1134"/>
                <w:tab w:val="clear" w:pos="1701"/>
              </w:tabs>
              <w:spacing w:before="40" w:after="40"/>
              <w:ind w:right="1"/>
              <w:jc w:val="right"/>
              <w:rPr>
                <w:rFonts w:asciiTheme="minorHAnsi" w:hAnsiTheme="minorHAnsi" w:cs="Calibri"/>
                <w:color w:val="000000"/>
                <w:sz w:val="22"/>
                <w:szCs w:val="22"/>
                <w:lang w:val="fr-FR" w:eastAsia="fr-FR"/>
              </w:rPr>
            </w:pPr>
            <w:r w:rsidRPr="0062222B">
              <w:rPr>
                <w:rFonts w:asciiTheme="minorHAnsi" w:hAnsiTheme="minorHAnsi"/>
                <w:color w:val="000000"/>
                <w:sz w:val="22"/>
                <w:szCs w:val="22"/>
                <w:lang w:eastAsia="fr-FR"/>
              </w:rPr>
              <w:t xml:space="preserve">623 </w:t>
            </w:r>
          </w:p>
        </w:tc>
        <w:tc>
          <w:tcPr>
            <w:tcW w:w="1960" w:type="dxa"/>
            <w:tcBorders>
              <w:top w:val="nil"/>
              <w:left w:val="nil"/>
              <w:bottom w:val="single" w:sz="4" w:space="0" w:color="auto"/>
              <w:right w:val="single" w:sz="4" w:space="0" w:color="auto"/>
            </w:tcBorders>
            <w:shd w:val="clear" w:color="auto" w:fill="auto"/>
            <w:noWrap/>
            <w:vAlign w:val="center"/>
            <w:hideMark/>
          </w:tcPr>
          <w:p w14:paraId="119856B6" w14:textId="77777777" w:rsidR="00771C97" w:rsidRPr="0062222B" w:rsidRDefault="00771C97" w:rsidP="0062222B">
            <w:pPr>
              <w:spacing w:before="40" w:after="40"/>
              <w:jc w:val="center"/>
              <w:rPr>
                <w:rFonts w:asciiTheme="minorHAnsi" w:hAnsiTheme="minorHAnsi" w:cs="Calibri"/>
                <w:color w:val="000000"/>
                <w:sz w:val="22"/>
                <w:szCs w:val="22"/>
                <w:lang w:val="fr-FR" w:eastAsia="fr-FR"/>
              </w:rPr>
            </w:pPr>
            <w:r w:rsidRPr="0062222B">
              <w:rPr>
                <w:rFonts w:asciiTheme="minorHAnsi" w:hAnsiTheme="minorHAnsi"/>
                <w:color w:val="000000"/>
                <w:sz w:val="22"/>
                <w:szCs w:val="22"/>
                <w:lang w:eastAsia="fr-FR"/>
              </w:rPr>
              <w:t>CHF 100</w:t>
            </w:r>
          </w:p>
        </w:tc>
        <w:tc>
          <w:tcPr>
            <w:tcW w:w="2080" w:type="dxa"/>
            <w:tcBorders>
              <w:top w:val="nil"/>
              <w:left w:val="nil"/>
              <w:bottom w:val="single" w:sz="4" w:space="0" w:color="auto"/>
              <w:right w:val="single" w:sz="4" w:space="0" w:color="auto"/>
            </w:tcBorders>
            <w:shd w:val="clear" w:color="auto" w:fill="auto"/>
            <w:noWrap/>
            <w:vAlign w:val="center"/>
            <w:hideMark/>
          </w:tcPr>
          <w:p w14:paraId="119856B7" w14:textId="77777777" w:rsidR="00771C97" w:rsidRPr="0062222B" w:rsidRDefault="00771C97" w:rsidP="0062222B">
            <w:pPr>
              <w:tabs>
                <w:tab w:val="clear" w:pos="567"/>
                <w:tab w:val="clear" w:pos="1134"/>
                <w:tab w:val="clear" w:pos="1701"/>
              </w:tabs>
              <w:spacing w:before="40" w:after="40"/>
              <w:ind w:right="72"/>
              <w:jc w:val="right"/>
              <w:rPr>
                <w:rFonts w:asciiTheme="minorHAnsi" w:hAnsiTheme="minorHAnsi" w:cs="Calibri"/>
                <w:color w:val="000000"/>
                <w:sz w:val="22"/>
                <w:szCs w:val="22"/>
                <w:lang w:val="fr-FR" w:eastAsia="fr-FR"/>
              </w:rPr>
            </w:pPr>
            <w:r w:rsidRPr="0062222B">
              <w:rPr>
                <w:rFonts w:asciiTheme="minorHAnsi" w:hAnsiTheme="minorHAnsi"/>
                <w:color w:val="000000"/>
                <w:sz w:val="22"/>
                <w:szCs w:val="22"/>
                <w:lang w:eastAsia="fr-FR"/>
              </w:rPr>
              <w:t xml:space="preserve">62,300 </w:t>
            </w:r>
          </w:p>
        </w:tc>
      </w:tr>
      <w:tr w:rsidR="00771C97" w:rsidRPr="00771C97" w14:paraId="119856BD" w14:textId="77777777" w:rsidTr="0062222B">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119856B9" w14:textId="77777777" w:rsidR="00771C97" w:rsidRPr="0062222B" w:rsidRDefault="00771C97" w:rsidP="0062222B">
            <w:pPr>
              <w:tabs>
                <w:tab w:val="clear" w:pos="567"/>
                <w:tab w:val="clear" w:pos="1134"/>
                <w:tab w:val="clear" w:pos="1701"/>
                <w:tab w:val="right" w:pos="1370"/>
              </w:tabs>
              <w:spacing w:before="40" w:after="40"/>
              <w:ind w:right="190"/>
              <w:jc w:val="right"/>
              <w:rPr>
                <w:rFonts w:asciiTheme="minorHAnsi" w:hAnsiTheme="minorHAnsi" w:cs="Calibri"/>
                <w:color w:val="000000"/>
                <w:sz w:val="22"/>
                <w:szCs w:val="22"/>
                <w:lang w:val="fr-FR" w:eastAsia="fr-FR"/>
              </w:rPr>
            </w:pPr>
            <w:r w:rsidRPr="0062222B">
              <w:rPr>
                <w:rFonts w:asciiTheme="minorHAnsi" w:hAnsiTheme="minorHAnsi"/>
                <w:color w:val="000000"/>
                <w:sz w:val="22"/>
                <w:szCs w:val="22"/>
                <w:lang w:eastAsia="fr-FR"/>
              </w:rPr>
              <w:t>Total</w:t>
            </w:r>
          </w:p>
        </w:tc>
        <w:tc>
          <w:tcPr>
            <w:tcW w:w="2220" w:type="dxa"/>
            <w:tcBorders>
              <w:top w:val="nil"/>
              <w:left w:val="nil"/>
              <w:bottom w:val="single" w:sz="4" w:space="0" w:color="auto"/>
              <w:right w:val="single" w:sz="4" w:space="0" w:color="auto"/>
            </w:tcBorders>
            <w:shd w:val="clear" w:color="auto" w:fill="auto"/>
            <w:noWrap/>
            <w:vAlign w:val="center"/>
            <w:hideMark/>
          </w:tcPr>
          <w:p w14:paraId="119856BA" w14:textId="77777777" w:rsidR="00771C97" w:rsidRPr="0062222B" w:rsidRDefault="00771C97" w:rsidP="0062222B">
            <w:pPr>
              <w:tabs>
                <w:tab w:val="clear" w:pos="567"/>
                <w:tab w:val="clear" w:pos="1134"/>
                <w:tab w:val="clear" w:pos="1701"/>
              </w:tabs>
              <w:spacing w:before="40" w:after="40"/>
              <w:ind w:right="1"/>
              <w:jc w:val="right"/>
              <w:rPr>
                <w:rFonts w:asciiTheme="minorHAnsi" w:hAnsiTheme="minorHAnsi" w:cs="Calibri"/>
                <w:color w:val="000000"/>
                <w:sz w:val="22"/>
                <w:szCs w:val="22"/>
                <w:lang w:val="fr-FR" w:eastAsia="fr-FR"/>
              </w:rPr>
            </w:pPr>
            <w:r w:rsidRPr="0062222B">
              <w:rPr>
                <w:rFonts w:asciiTheme="minorHAnsi" w:hAnsiTheme="minorHAnsi"/>
                <w:color w:val="000000"/>
                <w:sz w:val="22"/>
                <w:szCs w:val="22"/>
                <w:lang w:eastAsia="fr-FR"/>
              </w:rPr>
              <w:t xml:space="preserve">9 241 </w:t>
            </w:r>
          </w:p>
        </w:tc>
        <w:tc>
          <w:tcPr>
            <w:tcW w:w="1960" w:type="dxa"/>
            <w:tcBorders>
              <w:top w:val="nil"/>
              <w:left w:val="nil"/>
              <w:bottom w:val="single" w:sz="4" w:space="0" w:color="auto"/>
              <w:right w:val="single" w:sz="4" w:space="0" w:color="auto"/>
            </w:tcBorders>
            <w:shd w:val="clear" w:color="auto" w:fill="auto"/>
            <w:noWrap/>
            <w:vAlign w:val="center"/>
            <w:hideMark/>
          </w:tcPr>
          <w:p w14:paraId="119856BB" w14:textId="77777777" w:rsidR="00771C97" w:rsidRPr="0062222B" w:rsidRDefault="00771C97" w:rsidP="0062222B">
            <w:pPr>
              <w:spacing w:before="40" w:after="40"/>
              <w:jc w:val="center"/>
              <w:rPr>
                <w:rFonts w:asciiTheme="minorHAnsi" w:hAnsiTheme="minorHAnsi" w:cs="Calibri"/>
                <w:color w:val="000000"/>
                <w:sz w:val="22"/>
                <w:szCs w:val="22"/>
                <w:lang w:val="fr-FR" w:eastAsia="fr-FR"/>
              </w:rPr>
            </w:pPr>
            <w:r w:rsidRPr="0062222B">
              <w:rPr>
                <w:rFonts w:asciiTheme="minorHAnsi" w:hAnsiTheme="minorHAnsi"/>
                <w:color w:val="000000"/>
                <w:sz w:val="22"/>
                <w:szCs w:val="22"/>
                <w:lang w:eastAsia="fr-FR"/>
              </w:rPr>
              <w:t>-</w:t>
            </w:r>
          </w:p>
        </w:tc>
        <w:tc>
          <w:tcPr>
            <w:tcW w:w="2080" w:type="dxa"/>
            <w:tcBorders>
              <w:top w:val="nil"/>
              <w:left w:val="nil"/>
              <w:bottom w:val="single" w:sz="4" w:space="0" w:color="auto"/>
              <w:right w:val="single" w:sz="4" w:space="0" w:color="auto"/>
            </w:tcBorders>
            <w:shd w:val="clear" w:color="auto" w:fill="auto"/>
            <w:noWrap/>
            <w:vAlign w:val="center"/>
            <w:hideMark/>
          </w:tcPr>
          <w:p w14:paraId="119856BC" w14:textId="77777777" w:rsidR="00771C97" w:rsidRPr="0062222B" w:rsidRDefault="00771C97" w:rsidP="0062222B">
            <w:pPr>
              <w:tabs>
                <w:tab w:val="clear" w:pos="567"/>
                <w:tab w:val="clear" w:pos="1134"/>
                <w:tab w:val="clear" w:pos="1701"/>
              </w:tabs>
              <w:spacing w:before="40" w:after="40"/>
              <w:ind w:right="72"/>
              <w:jc w:val="right"/>
              <w:rPr>
                <w:rFonts w:asciiTheme="minorHAnsi" w:hAnsiTheme="minorHAnsi" w:cs="Calibri"/>
                <w:b/>
                <w:bCs/>
                <w:color w:val="000000"/>
                <w:sz w:val="22"/>
                <w:szCs w:val="22"/>
                <w:lang w:val="fr-FR" w:eastAsia="fr-FR"/>
              </w:rPr>
            </w:pPr>
            <w:r w:rsidRPr="0062222B">
              <w:rPr>
                <w:rFonts w:asciiTheme="minorHAnsi" w:hAnsiTheme="minorHAnsi"/>
                <w:b/>
                <w:bCs/>
                <w:color w:val="000000"/>
                <w:sz w:val="22"/>
                <w:szCs w:val="22"/>
                <w:lang w:eastAsia="fr-FR"/>
              </w:rPr>
              <w:t xml:space="preserve">234,660 </w:t>
            </w:r>
          </w:p>
        </w:tc>
      </w:tr>
      <w:tr w:rsidR="00771C97" w:rsidRPr="00771C97" w14:paraId="119856C2" w14:textId="77777777" w:rsidTr="0062222B">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119856BE" w14:textId="77777777" w:rsidR="00771C97" w:rsidRPr="0062222B" w:rsidRDefault="0062222B" w:rsidP="0062222B">
            <w:pPr>
              <w:tabs>
                <w:tab w:val="clear" w:pos="567"/>
                <w:tab w:val="clear" w:pos="1134"/>
                <w:tab w:val="clear" w:pos="1701"/>
                <w:tab w:val="right" w:pos="1370"/>
              </w:tabs>
              <w:spacing w:before="40" w:after="40"/>
              <w:ind w:right="190"/>
              <w:jc w:val="right"/>
              <w:rPr>
                <w:rFonts w:asciiTheme="minorHAnsi" w:hAnsiTheme="minorHAnsi" w:cs="Calibri"/>
                <w:color w:val="000000"/>
                <w:sz w:val="22"/>
                <w:szCs w:val="22"/>
                <w:lang w:val="fr-FR" w:eastAsia="fr-FR"/>
              </w:rPr>
            </w:pPr>
            <w:r w:rsidRPr="0062222B">
              <w:rPr>
                <w:rFonts w:asciiTheme="minorHAnsi" w:hAnsiTheme="minorHAnsi"/>
                <w:color w:val="000000"/>
                <w:sz w:val="22"/>
                <w:szCs w:val="22"/>
                <w:lang w:eastAsia="fr-FR"/>
              </w:rPr>
              <w:t xml:space="preserve">Cut-off by </w:t>
            </w:r>
            <w:r w:rsidR="00771C97" w:rsidRPr="0062222B">
              <w:rPr>
                <w:rFonts w:asciiTheme="minorHAnsi" w:hAnsiTheme="minorHAnsi"/>
                <w:color w:val="000000"/>
                <w:sz w:val="22"/>
                <w:szCs w:val="22"/>
                <w:lang w:eastAsia="fr-FR"/>
              </w:rPr>
              <w:t>10,600</w:t>
            </w:r>
            <w:r w:rsidRPr="0062222B">
              <w:rPr>
                <w:rFonts w:asciiTheme="minorHAnsi" w:hAnsiTheme="minorHAnsi"/>
                <w:color w:val="000000"/>
                <w:sz w:val="22"/>
                <w:szCs w:val="22"/>
                <w:lang w:eastAsia="fr-FR"/>
              </w:rPr>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14:paraId="119856BF" w14:textId="77777777" w:rsidR="00771C97" w:rsidRPr="0062222B" w:rsidRDefault="00771C97" w:rsidP="0062222B">
            <w:pPr>
              <w:spacing w:before="40" w:after="40"/>
              <w:rPr>
                <w:rFonts w:asciiTheme="minorHAnsi" w:hAnsiTheme="minorHAnsi" w:cs="Calibri"/>
                <w:color w:val="000000"/>
                <w:sz w:val="22"/>
                <w:szCs w:val="22"/>
                <w:lang w:val="fr-FR" w:eastAsia="fr-FR"/>
              </w:rPr>
            </w:pPr>
          </w:p>
        </w:tc>
        <w:tc>
          <w:tcPr>
            <w:tcW w:w="1960" w:type="dxa"/>
            <w:tcBorders>
              <w:top w:val="nil"/>
              <w:left w:val="nil"/>
              <w:bottom w:val="single" w:sz="4" w:space="0" w:color="auto"/>
              <w:right w:val="single" w:sz="4" w:space="0" w:color="auto"/>
            </w:tcBorders>
            <w:shd w:val="clear" w:color="auto" w:fill="auto"/>
            <w:noWrap/>
            <w:vAlign w:val="center"/>
            <w:hideMark/>
          </w:tcPr>
          <w:p w14:paraId="119856C0" w14:textId="77777777" w:rsidR="00771C97" w:rsidRPr="0062222B" w:rsidRDefault="00771C97" w:rsidP="0062222B">
            <w:pPr>
              <w:spacing w:before="40" w:after="40"/>
              <w:rPr>
                <w:rFonts w:asciiTheme="minorHAnsi" w:hAnsiTheme="minorHAnsi" w:cs="Calibri"/>
                <w:color w:val="000000"/>
                <w:sz w:val="22"/>
                <w:szCs w:val="22"/>
                <w:lang w:val="fr-FR" w:eastAsia="fr-FR"/>
              </w:rPr>
            </w:pPr>
          </w:p>
        </w:tc>
        <w:tc>
          <w:tcPr>
            <w:tcW w:w="2080" w:type="dxa"/>
            <w:tcBorders>
              <w:top w:val="nil"/>
              <w:left w:val="nil"/>
              <w:bottom w:val="single" w:sz="4" w:space="0" w:color="auto"/>
              <w:right w:val="single" w:sz="4" w:space="0" w:color="auto"/>
            </w:tcBorders>
            <w:shd w:val="clear" w:color="auto" w:fill="auto"/>
            <w:noWrap/>
            <w:vAlign w:val="center"/>
            <w:hideMark/>
          </w:tcPr>
          <w:p w14:paraId="119856C1" w14:textId="77777777" w:rsidR="00771C97" w:rsidRPr="0062222B" w:rsidRDefault="00771C97" w:rsidP="0062222B">
            <w:pPr>
              <w:tabs>
                <w:tab w:val="clear" w:pos="567"/>
                <w:tab w:val="clear" w:pos="1134"/>
                <w:tab w:val="clear" w:pos="1701"/>
              </w:tabs>
              <w:spacing w:before="40" w:after="40"/>
              <w:ind w:right="72"/>
              <w:jc w:val="right"/>
              <w:rPr>
                <w:rFonts w:asciiTheme="minorHAnsi" w:hAnsiTheme="minorHAnsi" w:cs="Calibri"/>
                <w:b/>
                <w:bCs/>
                <w:color w:val="000000"/>
                <w:sz w:val="22"/>
                <w:szCs w:val="22"/>
                <w:lang w:val="fr-FR" w:eastAsia="fr-FR"/>
              </w:rPr>
            </w:pPr>
            <w:r w:rsidRPr="0062222B">
              <w:rPr>
                <w:rFonts w:asciiTheme="minorHAnsi" w:hAnsiTheme="minorHAnsi"/>
                <w:b/>
                <w:bCs/>
                <w:color w:val="000000"/>
                <w:sz w:val="22"/>
                <w:szCs w:val="22"/>
                <w:lang w:eastAsia="fr-FR"/>
              </w:rPr>
              <w:t>164,560</w:t>
            </w:r>
          </w:p>
        </w:tc>
      </w:tr>
    </w:tbl>
    <w:p w14:paraId="119856C3" w14:textId="77777777" w:rsidR="00771C97" w:rsidRPr="00771C97" w:rsidRDefault="00771C97" w:rsidP="002E4D45">
      <w:pPr>
        <w:shd w:val="clear" w:color="auto" w:fill="FFFFFF"/>
        <w:tabs>
          <w:tab w:val="clear" w:pos="567"/>
          <w:tab w:val="clear" w:pos="1134"/>
          <w:tab w:val="clear" w:pos="1701"/>
          <w:tab w:val="clear" w:pos="2268"/>
          <w:tab w:val="clear" w:pos="2835"/>
        </w:tabs>
        <w:snapToGrid w:val="0"/>
        <w:spacing w:before="360" w:after="120"/>
        <w:rPr>
          <w:rFonts w:asciiTheme="minorHAnsi" w:hAnsiTheme="minorHAnsi" w:cstheme="minorHAnsi"/>
          <w:b/>
          <w:bCs/>
          <w:szCs w:val="24"/>
          <w:u w:color="000000"/>
        </w:rPr>
      </w:pPr>
      <w:r w:rsidRPr="00771C97">
        <w:rPr>
          <w:rFonts w:asciiTheme="minorHAnsi" w:hAnsiTheme="minorHAnsi" w:cstheme="minorHAnsi"/>
          <w:szCs w:val="24"/>
        </w:rPr>
        <w:t>7.</w:t>
      </w:r>
      <w:r w:rsidRPr="00771C97">
        <w:rPr>
          <w:rFonts w:asciiTheme="minorHAnsi" w:hAnsiTheme="minorHAnsi" w:cstheme="minorHAnsi"/>
          <w:szCs w:val="24"/>
        </w:rPr>
        <w:tab/>
      </w:r>
      <w:r w:rsidRPr="00771C97">
        <w:rPr>
          <w:rFonts w:asciiTheme="minorHAnsi" w:hAnsiTheme="minorHAnsi" w:cstheme="minorHAnsi"/>
          <w:b/>
          <w:bCs/>
          <w:szCs w:val="24"/>
        </w:rPr>
        <w:t>Proposal 2</w:t>
      </w:r>
      <w:r w:rsidRPr="00771C97">
        <w:rPr>
          <w:rFonts w:asciiTheme="minorHAnsi" w:hAnsiTheme="minorHAnsi" w:cstheme="minorHAnsi"/>
          <w:b/>
          <w:bCs/>
          <w:szCs w:val="24"/>
          <w:u w:color="000000"/>
        </w:rPr>
        <w:t>: Increase the one-time registration fees: CHF 300 for UIFN and CHF 150 for IIN.</w:t>
      </w:r>
    </w:p>
    <w:p w14:paraId="119856C4" w14:textId="77777777" w:rsidR="00771C97" w:rsidRPr="00771C97" w:rsidRDefault="00771C97" w:rsidP="00CE5943">
      <w:pPr>
        <w:shd w:val="clear" w:color="auto" w:fill="FFFFFF"/>
        <w:tabs>
          <w:tab w:val="clear" w:pos="567"/>
          <w:tab w:val="clear" w:pos="1134"/>
          <w:tab w:val="clear" w:pos="1701"/>
          <w:tab w:val="clear" w:pos="2268"/>
          <w:tab w:val="clear" w:pos="2835"/>
        </w:tabs>
        <w:snapToGrid w:val="0"/>
        <w:spacing w:after="120"/>
        <w:jc w:val="both"/>
        <w:rPr>
          <w:rFonts w:asciiTheme="minorHAnsi" w:hAnsiTheme="minorHAnsi" w:cstheme="minorHAnsi"/>
          <w:szCs w:val="24"/>
          <w:u w:color="000000"/>
        </w:rPr>
      </w:pPr>
      <w:r w:rsidRPr="00771C97">
        <w:rPr>
          <w:rFonts w:asciiTheme="minorHAnsi" w:hAnsiTheme="minorHAnsi" w:cstheme="minorHAnsi"/>
          <w:szCs w:val="24"/>
          <w:u w:color="000000"/>
        </w:rPr>
        <w:t>Currently, the one-time registration fee is CHF 200 CHF per assigned UIFN, and CHF 80 per assigned IIN.</w:t>
      </w:r>
    </w:p>
    <w:p w14:paraId="119856C5" w14:textId="77777777" w:rsidR="00771C97" w:rsidRPr="00771C97" w:rsidRDefault="00771C97" w:rsidP="00CE5943">
      <w:pPr>
        <w:shd w:val="clear" w:color="auto" w:fill="FFFFFF"/>
        <w:tabs>
          <w:tab w:val="clear" w:pos="567"/>
          <w:tab w:val="clear" w:pos="1134"/>
          <w:tab w:val="clear" w:pos="1701"/>
          <w:tab w:val="clear" w:pos="2268"/>
          <w:tab w:val="clear" w:pos="2835"/>
        </w:tabs>
        <w:snapToGrid w:val="0"/>
        <w:spacing w:after="120"/>
        <w:jc w:val="both"/>
        <w:rPr>
          <w:rFonts w:asciiTheme="minorHAnsi" w:hAnsiTheme="minorHAnsi" w:cstheme="minorHAnsi"/>
          <w:szCs w:val="24"/>
          <w:u w:color="000000"/>
        </w:rPr>
      </w:pPr>
      <w:r w:rsidRPr="00771C97">
        <w:rPr>
          <w:rFonts w:asciiTheme="minorHAnsi" w:hAnsiTheme="minorHAnsi" w:cstheme="minorHAnsi"/>
          <w:szCs w:val="24"/>
          <w:u w:color="000000"/>
        </w:rPr>
        <w:t xml:space="preserve">It </w:t>
      </w:r>
      <w:proofErr w:type="gramStart"/>
      <w:r w:rsidRPr="00771C97">
        <w:rPr>
          <w:rFonts w:asciiTheme="minorHAnsi" w:hAnsiTheme="minorHAnsi" w:cstheme="minorHAnsi"/>
          <w:szCs w:val="24"/>
          <w:u w:color="000000"/>
        </w:rPr>
        <w:t>is proposed</w:t>
      </w:r>
      <w:proofErr w:type="gramEnd"/>
      <w:r w:rsidRPr="00771C97">
        <w:rPr>
          <w:rFonts w:asciiTheme="minorHAnsi" w:hAnsiTheme="minorHAnsi" w:cstheme="minorHAnsi"/>
          <w:szCs w:val="24"/>
          <w:u w:color="000000"/>
        </w:rPr>
        <w:t xml:space="preserve"> to increase the one-time registration fee from CHF 200 to CHF 300 for UIFN and from CHF 80 to CHF 150 for IIN.</w:t>
      </w:r>
    </w:p>
    <w:p w14:paraId="119856C6" w14:textId="77777777" w:rsidR="00771C97" w:rsidRPr="00771C97" w:rsidRDefault="00771C97" w:rsidP="00CE5943">
      <w:pPr>
        <w:shd w:val="clear" w:color="auto" w:fill="FFFFFF"/>
        <w:tabs>
          <w:tab w:val="clear" w:pos="567"/>
          <w:tab w:val="clear" w:pos="1134"/>
          <w:tab w:val="clear" w:pos="1701"/>
          <w:tab w:val="clear" w:pos="2268"/>
          <w:tab w:val="clear" w:pos="2835"/>
        </w:tabs>
        <w:snapToGrid w:val="0"/>
        <w:spacing w:after="240"/>
        <w:jc w:val="both"/>
        <w:rPr>
          <w:rFonts w:asciiTheme="minorHAnsi" w:hAnsiTheme="minorHAnsi" w:cstheme="minorHAnsi"/>
          <w:szCs w:val="24"/>
          <w:highlight w:val="yellow"/>
        </w:rPr>
      </w:pPr>
      <w:r w:rsidRPr="00771C97">
        <w:rPr>
          <w:rFonts w:asciiTheme="minorHAnsi" w:hAnsiTheme="minorHAnsi" w:cstheme="minorHAnsi"/>
          <w:szCs w:val="24"/>
        </w:rPr>
        <w:t xml:space="preserve">If the one-time registration fees were increased, the following revenue </w:t>
      </w:r>
      <w:proofErr w:type="gramStart"/>
      <w:r w:rsidRPr="00771C97">
        <w:rPr>
          <w:rFonts w:asciiTheme="minorHAnsi" w:hAnsiTheme="minorHAnsi" w:cstheme="minorHAnsi"/>
          <w:szCs w:val="24"/>
        </w:rPr>
        <w:t>would be generated</w:t>
      </w:r>
      <w:proofErr w:type="gramEnd"/>
      <w:r w:rsidRPr="00771C97">
        <w:rPr>
          <w:rFonts w:asciiTheme="minorHAnsi" w:hAnsiTheme="minorHAnsi" w:cstheme="minorHAnsi"/>
          <w:szCs w:val="24"/>
        </w:rPr>
        <w:t>, based on the current assignment of about 750 UIFNs and 20 IINs per year.</w:t>
      </w:r>
    </w:p>
    <w:tbl>
      <w:tblPr>
        <w:tblW w:w="10060" w:type="dxa"/>
        <w:jc w:val="center"/>
        <w:tblCellMar>
          <w:left w:w="70" w:type="dxa"/>
          <w:right w:w="70" w:type="dxa"/>
        </w:tblCellMar>
        <w:tblLook w:val="04A0" w:firstRow="1" w:lastRow="0" w:firstColumn="1" w:lastColumn="0" w:noHBand="0" w:noVBand="1"/>
      </w:tblPr>
      <w:tblGrid>
        <w:gridCol w:w="1683"/>
        <w:gridCol w:w="2003"/>
        <w:gridCol w:w="1984"/>
        <w:gridCol w:w="1985"/>
        <w:gridCol w:w="2405"/>
      </w:tblGrid>
      <w:tr w:rsidR="00771C97" w:rsidRPr="00771C97" w14:paraId="119856CC" w14:textId="77777777" w:rsidTr="0062222B">
        <w:trPr>
          <w:trHeight w:val="900"/>
          <w:jc w:val="center"/>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856C7" w14:textId="77777777" w:rsidR="00771C97" w:rsidRPr="0062222B" w:rsidRDefault="00771C97" w:rsidP="0062222B">
            <w:pPr>
              <w:spacing w:before="40" w:after="40"/>
              <w:jc w:val="center"/>
              <w:rPr>
                <w:rFonts w:asciiTheme="minorHAnsi" w:hAnsiTheme="minorHAnsi" w:cs="Calibri"/>
                <w:color w:val="000000"/>
                <w:sz w:val="22"/>
                <w:szCs w:val="22"/>
                <w:lang w:val="fr-FR" w:eastAsia="fr-FR"/>
              </w:rPr>
            </w:pPr>
            <w:r w:rsidRPr="0062222B">
              <w:rPr>
                <w:rFonts w:asciiTheme="minorHAnsi" w:hAnsiTheme="minorHAnsi" w:cs="Calibri"/>
                <w:bCs/>
                <w:color w:val="000000"/>
                <w:sz w:val="22"/>
                <w:szCs w:val="22"/>
                <w:lang w:eastAsia="fr-FR"/>
              </w:rPr>
              <w:t>INR</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119856C8" w14:textId="77777777" w:rsidR="00771C97" w:rsidRPr="0062222B" w:rsidRDefault="00771C97" w:rsidP="0062222B">
            <w:pPr>
              <w:spacing w:before="40" w:after="40"/>
              <w:jc w:val="center"/>
              <w:rPr>
                <w:rFonts w:asciiTheme="minorHAnsi" w:hAnsiTheme="minorHAnsi" w:cs="Calibri"/>
                <w:color w:val="000000"/>
                <w:sz w:val="22"/>
                <w:szCs w:val="22"/>
                <w:lang w:eastAsia="fr-FR"/>
              </w:rPr>
            </w:pPr>
            <w:r w:rsidRPr="0062222B">
              <w:rPr>
                <w:rFonts w:asciiTheme="minorHAnsi" w:hAnsiTheme="minorHAnsi" w:cs="Calibri"/>
                <w:bCs/>
                <w:color w:val="000000"/>
                <w:sz w:val="22"/>
                <w:szCs w:val="22"/>
                <w:lang w:eastAsia="fr-FR"/>
              </w:rPr>
              <w:t>Volume of assigned Numbers per year</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19856C9" w14:textId="77777777" w:rsidR="00771C97" w:rsidRPr="0062222B" w:rsidRDefault="00771C97" w:rsidP="00CE5943">
            <w:pPr>
              <w:spacing w:before="40" w:after="40"/>
              <w:jc w:val="center"/>
              <w:rPr>
                <w:rFonts w:asciiTheme="minorHAnsi" w:hAnsiTheme="minorHAnsi" w:cs="Calibri"/>
                <w:color w:val="000000"/>
                <w:sz w:val="22"/>
                <w:szCs w:val="22"/>
                <w:lang w:eastAsia="fr-FR"/>
              </w:rPr>
            </w:pPr>
            <w:r w:rsidRPr="0062222B">
              <w:rPr>
                <w:rFonts w:asciiTheme="minorHAnsi" w:hAnsiTheme="minorHAnsi" w:cs="Calibri"/>
                <w:bCs/>
                <w:color w:val="000000"/>
                <w:sz w:val="22"/>
                <w:szCs w:val="22"/>
                <w:lang w:val="en" w:eastAsia="fr-FR"/>
              </w:rPr>
              <w:t xml:space="preserve">Proposed </w:t>
            </w:r>
            <w:r w:rsidR="00CE5943">
              <w:rPr>
                <w:rFonts w:asciiTheme="minorHAnsi" w:hAnsiTheme="minorHAnsi" w:cs="Calibri"/>
                <w:bCs/>
                <w:color w:val="000000"/>
                <w:sz w:val="22"/>
                <w:szCs w:val="22"/>
                <w:lang w:val="en" w:eastAsia="fr-FR"/>
              </w:rPr>
              <w:t>o</w:t>
            </w:r>
            <w:r w:rsidRPr="0062222B">
              <w:rPr>
                <w:rFonts w:asciiTheme="minorHAnsi" w:hAnsiTheme="minorHAnsi" w:cs="Calibri"/>
                <w:bCs/>
                <w:color w:val="000000"/>
                <w:sz w:val="22"/>
                <w:szCs w:val="22"/>
                <w:lang w:val="en" w:eastAsia="fr-FR"/>
              </w:rPr>
              <w:t>ne-time registration fee (CHF)</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19856CA" w14:textId="77777777" w:rsidR="00771C97" w:rsidRPr="0062222B" w:rsidRDefault="00771C97" w:rsidP="0062222B">
            <w:pPr>
              <w:spacing w:before="40" w:after="40"/>
              <w:jc w:val="center"/>
              <w:rPr>
                <w:rFonts w:asciiTheme="minorHAnsi" w:hAnsiTheme="minorHAnsi" w:cs="Calibri"/>
                <w:color w:val="000000"/>
                <w:sz w:val="22"/>
                <w:szCs w:val="22"/>
                <w:lang w:val="fr-FR" w:eastAsia="fr-FR"/>
              </w:rPr>
            </w:pPr>
            <w:r w:rsidRPr="0062222B">
              <w:rPr>
                <w:rFonts w:asciiTheme="minorHAnsi" w:hAnsiTheme="minorHAnsi" w:cs="Calibri"/>
                <w:bCs/>
                <w:color w:val="000000"/>
                <w:sz w:val="22"/>
                <w:szCs w:val="22"/>
                <w:lang w:val="en" w:eastAsia="fr-FR"/>
              </w:rPr>
              <w:t>Total annual income (CHF)</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14:paraId="119856CB" w14:textId="77777777" w:rsidR="00771C97" w:rsidRPr="0062222B" w:rsidRDefault="00771C97" w:rsidP="0062222B">
            <w:pPr>
              <w:spacing w:before="40" w:after="40"/>
              <w:jc w:val="center"/>
              <w:rPr>
                <w:rFonts w:asciiTheme="minorHAnsi" w:hAnsiTheme="minorHAnsi" w:cs="Calibri"/>
                <w:color w:val="000000"/>
                <w:sz w:val="22"/>
                <w:szCs w:val="22"/>
                <w:lang w:eastAsia="fr-FR"/>
              </w:rPr>
            </w:pPr>
            <w:r w:rsidRPr="0062222B">
              <w:rPr>
                <w:rFonts w:asciiTheme="minorHAnsi" w:hAnsiTheme="minorHAnsi" w:cs="Calibri"/>
                <w:bCs/>
                <w:color w:val="000000"/>
                <w:sz w:val="22"/>
                <w:szCs w:val="22"/>
                <w:lang w:val="en" w:eastAsia="fr-FR"/>
              </w:rPr>
              <w:t>Additional income (CHF) compared to the current fees</w:t>
            </w:r>
          </w:p>
        </w:tc>
      </w:tr>
      <w:tr w:rsidR="00771C97" w:rsidRPr="00771C97" w14:paraId="119856D2" w14:textId="77777777" w:rsidTr="0062222B">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119856CD" w14:textId="77777777" w:rsidR="00771C97" w:rsidRPr="0062222B" w:rsidRDefault="00771C97" w:rsidP="0062222B">
            <w:pPr>
              <w:tabs>
                <w:tab w:val="clear" w:pos="567"/>
                <w:tab w:val="clear" w:pos="1134"/>
              </w:tabs>
              <w:spacing w:before="40" w:after="40"/>
              <w:ind w:right="483" w:firstLineChars="100" w:firstLine="220"/>
              <w:jc w:val="right"/>
              <w:rPr>
                <w:rFonts w:asciiTheme="minorHAnsi" w:hAnsiTheme="minorHAnsi" w:cs="Calibri"/>
                <w:color w:val="000000"/>
                <w:sz w:val="22"/>
                <w:szCs w:val="22"/>
                <w:lang w:val="fr-FR" w:eastAsia="fr-FR"/>
              </w:rPr>
            </w:pPr>
            <w:r w:rsidRPr="0062222B">
              <w:rPr>
                <w:rFonts w:asciiTheme="minorHAnsi" w:hAnsiTheme="minorHAnsi"/>
                <w:color w:val="000000"/>
                <w:sz w:val="22"/>
                <w:szCs w:val="22"/>
                <w:lang w:eastAsia="fr-FR"/>
              </w:rPr>
              <w:t>UIFN</w:t>
            </w:r>
          </w:p>
        </w:tc>
        <w:tc>
          <w:tcPr>
            <w:tcW w:w="2003" w:type="dxa"/>
            <w:tcBorders>
              <w:top w:val="nil"/>
              <w:left w:val="nil"/>
              <w:bottom w:val="single" w:sz="4" w:space="0" w:color="auto"/>
              <w:right w:val="single" w:sz="4" w:space="0" w:color="auto"/>
            </w:tcBorders>
            <w:shd w:val="clear" w:color="auto" w:fill="auto"/>
            <w:vAlign w:val="center"/>
            <w:hideMark/>
          </w:tcPr>
          <w:p w14:paraId="119856CE" w14:textId="77777777" w:rsidR="00771C97" w:rsidRPr="0062222B" w:rsidRDefault="00771C97" w:rsidP="0062222B">
            <w:pPr>
              <w:spacing w:before="40" w:after="40"/>
              <w:jc w:val="center"/>
              <w:rPr>
                <w:rFonts w:asciiTheme="minorHAnsi" w:hAnsiTheme="minorHAnsi" w:cs="Calibri"/>
                <w:color w:val="000000"/>
                <w:sz w:val="22"/>
                <w:szCs w:val="22"/>
                <w:lang w:val="fr-FR" w:eastAsia="fr-FR"/>
              </w:rPr>
            </w:pPr>
            <w:r w:rsidRPr="0062222B">
              <w:rPr>
                <w:rFonts w:asciiTheme="minorHAnsi" w:hAnsiTheme="minorHAnsi" w:cs="Calibri"/>
                <w:color w:val="000000"/>
                <w:sz w:val="22"/>
                <w:szCs w:val="22"/>
                <w:lang w:val="en" w:eastAsia="fr-FR"/>
              </w:rPr>
              <w:t>750</w:t>
            </w:r>
          </w:p>
        </w:tc>
        <w:tc>
          <w:tcPr>
            <w:tcW w:w="1984" w:type="dxa"/>
            <w:tcBorders>
              <w:top w:val="nil"/>
              <w:left w:val="nil"/>
              <w:bottom w:val="single" w:sz="4" w:space="0" w:color="auto"/>
              <w:right w:val="single" w:sz="4" w:space="0" w:color="auto"/>
            </w:tcBorders>
            <w:shd w:val="clear" w:color="auto" w:fill="auto"/>
            <w:vAlign w:val="center"/>
            <w:hideMark/>
          </w:tcPr>
          <w:p w14:paraId="119856CF" w14:textId="77777777" w:rsidR="00771C97" w:rsidRPr="0062222B" w:rsidRDefault="00771C97" w:rsidP="0062222B">
            <w:pPr>
              <w:spacing w:before="40" w:after="40"/>
              <w:jc w:val="right"/>
              <w:rPr>
                <w:rFonts w:asciiTheme="minorHAnsi" w:hAnsiTheme="minorHAnsi" w:cs="Calibri"/>
                <w:color w:val="000000"/>
                <w:sz w:val="22"/>
                <w:szCs w:val="22"/>
                <w:lang w:val="fr-FR" w:eastAsia="fr-FR"/>
              </w:rPr>
            </w:pPr>
            <w:r w:rsidRPr="0062222B">
              <w:rPr>
                <w:rFonts w:asciiTheme="minorHAnsi" w:hAnsiTheme="minorHAnsi" w:cs="Calibri"/>
                <w:color w:val="000000"/>
                <w:sz w:val="22"/>
                <w:szCs w:val="22"/>
                <w:lang w:val="en" w:eastAsia="fr-FR"/>
              </w:rPr>
              <w:t>300</w:t>
            </w:r>
          </w:p>
        </w:tc>
        <w:tc>
          <w:tcPr>
            <w:tcW w:w="1985" w:type="dxa"/>
            <w:tcBorders>
              <w:top w:val="nil"/>
              <w:left w:val="nil"/>
              <w:bottom w:val="single" w:sz="4" w:space="0" w:color="auto"/>
              <w:right w:val="single" w:sz="4" w:space="0" w:color="auto"/>
            </w:tcBorders>
            <w:shd w:val="clear" w:color="auto" w:fill="auto"/>
            <w:vAlign w:val="center"/>
            <w:hideMark/>
          </w:tcPr>
          <w:p w14:paraId="119856D0" w14:textId="77777777" w:rsidR="00771C97" w:rsidRPr="0062222B" w:rsidRDefault="00771C97" w:rsidP="0062222B">
            <w:pPr>
              <w:spacing w:before="40" w:after="40"/>
              <w:jc w:val="right"/>
              <w:rPr>
                <w:rFonts w:asciiTheme="minorHAnsi" w:hAnsiTheme="minorHAnsi" w:cs="Calibri"/>
                <w:color w:val="000000"/>
                <w:sz w:val="22"/>
                <w:szCs w:val="22"/>
                <w:lang w:val="fr-FR" w:eastAsia="fr-FR"/>
              </w:rPr>
            </w:pPr>
            <w:r w:rsidRPr="0062222B">
              <w:rPr>
                <w:rFonts w:asciiTheme="minorHAnsi" w:hAnsiTheme="minorHAnsi" w:cs="Calibri"/>
                <w:color w:val="000000"/>
                <w:sz w:val="22"/>
                <w:szCs w:val="22"/>
                <w:lang w:val="en" w:eastAsia="fr-FR"/>
              </w:rPr>
              <w:t xml:space="preserve">225,000 </w:t>
            </w:r>
          </w:p>
        </w:tc>
        <w:tc>
          <w:tcPr>
            <w:tcW w:w="2405" w:type="dxa"/>
            <w:tcBorders>
              <w:top w:val="nil"/>
              <w:left w:val="nil"/>
              <w:bottom w:val="single" w:sz="4" w:space="0" w:color="auto"/>
              <w:right w:val="single" w:sz="4" w:space="0" w:color="auto"/>
            </w:tcBorders>
            <w:shd w:val="clear" w:color="auto" w:fill="auto"/>
            <w:vAlign w:val="center"/>
            <w:hideMark/>
          </w:tcPr>
          <w:p w14:paraId="119856D1" w14:textId="77777777" w:rsidR="00771C97" w:rsidRPr="0062222B" w:rsidRDefault="00771C97" w:rsidP="0062222B">
            <w:pPr>
              <w:spacing w:before="40" w:after="40"/>
              <w:jc w:val="right"/>
              <w:rPr>
                <w:rFonts w:asciiTheme="minorHAnsi" w:hAnsiTheme="minorHAnsi" w:cs="Calibri"/>
                <w:color w:val="000000"/>
                <w:sz w:val="22"/>
                <w:szCs w:val="22"/>
                <w:lang w:val="fr-FR" w:eastAsia="fr-FR"/>
              </w:rPr>
            </w:pPr>
            <w:r w:rsidRPr="0062222B">
              <w:rPr>
                <w:rFonts w:asciiTheme="minorHAnsi" w:hAnsiTheme="minorHAnsi" w:cs="Calibri"/>
                <w:color w:val="000000"/>
                <w:sz w:val="22"/>
                <w:szCs w:val="22"/>
                <w:lang w:val="en" w:eastAsia="fr-FR"/>
              </w:rPr>
              <w:t xml:space="preserve">75,000 </w:t>
            </w:r>
          </w:p>
        </w:tc>
      </w:tr>
      <w:tr w:rsidR="00771C97" w:rsidRPr="00771C97" w14:paraId="119856D8" w14:textId="77777777" w:rsidTr="0062222B">
        <w:trPr>
          <w:trHeight w:val="300"/>
          <w:jc w:val="center"/>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14:paraId="119856D3" w14:textId="77777777" w:rsidR="00771C97" w:rsidRPr="0062222B" w:rsidRDefault="00771C97" w:rsidP="0062222B">
            <w:pPr>
              <w:tabs>
                <w:tab w:val="clear" w:pos="567"/>
                <w:tab w:val="clear" w:pos="1134"/>
              </w:tabs>
              <w:spacing w:before="40" w:after="40"/>
              <w:ind w:right="483" w:firstLineChars="100" w:firstLine="220"/>
              <w:jc w:val="right"/>
              <w:rPr>
                <w:rFonts w:asciiTheme="minorHAnsi" w:hAnsiTheme="minorHAnsi" w:cs="Calibri"/>
                <w:color w:val="000000"/>
                <w:sz w:val="22"/>
                <w:szCs w:val="22"/>
                <w:lang w:val="fr-FR" w:eastAsia="fr-FR"/>
              </w:rPr>
            </w:pPr>
            <w:r w:rsidRPr="0062222B">
              <w:rPr>
                <w:rFonts w:asciiTheme="minorHAnsi" w:hAnsiTheme="minorHAnsi"/>
                <w:color w:val="000000"/>
                <w:sz w:val="22"/>
                <w:szCs w:val="22"/>
                <w:lang w:eastAsia="fr-FR"/>
              </w:rPr>
              <w:t>IIN</w:t>
            </w:r>
          </w:p>
        </w:tc>
        <w:tc>
          <w:tcPr>
            <w:tcW w:w="2003" w:type="dxa"/>
            <w:tcBorders>
              <w:top w:val="nil"/>
              <w:left w:val="nil"/>
              <w:bottom w:val="single" w:sz="4" w:space="0" w:color="auto"/>
              <w:right w:val="single" w:sz="4" w:space="0" w:color="auto"/>
            </w:tcBorders>
            <w:shd w:val="clear" w:color="auto" w:fill="auto"/>
            <w:vAlign w:val="center"/>
            <w:hideMark/>
          </w:tcPr>
          <w:p w14:paraId="119856D4" w14:textId="77777777" w:rsidR="00771C97" w:rsidRPr="0062222B" w:rsidRDefault="00771C97" w:rsidP="0062222B">
            <w:pPr>
              <w:spacing w:before="40" w:after="40"/>
              <w:jc w:val="center"/>
              <w:rPr>
                <w:rFonts w:asciiTheme="minorHAnsi" w:hAnsiTheme="minorHAnsi" w:cs="Calibri"/>
                <w:color w:val="000000"/>
                <w:sz w:val="22"/>
                <w:szCs w:val="22"/>
                <w:lang w:val="fr-FR" w:eastAsia="fr-FR"/>
              </w:rPr>
            </w:pPr>
            <w:r w:rsidRPr="0062222B">
              <w:rPr>
                <w:rFonts w:asciiTheme="minorHAnsi" w:hAnsiTheme="minorHAnsi" w:cs="Calibri"/>
                <w:color w:val="000000"/>
                <w:sz w:val="22"/>
                <w:szCs w:val="22"/>
                <w:lang w:val="en" w:eastAsia="fr-FR"/>
              </w:rPr>
              <w:t>20</w:t>
            </w:r>
          </w:p>
        </w:tc>
        <w:tc>
          <w:tcPr>
            <w:tcW w:w="1984" w:type="dxa"/>
            <w:tcBorders>
              <w:top w:val="nil"/>
              <w:left w:val="nil"/>
              <w:bottom w:val="single" w:sz="4" w:space="0" w:color="auto"/>
              <w:right w:val="single" w:sz="4" w:space="0" w:color="auto"/>
            </w:tcBorders>
            <w:shd w:val="clear" w:color="auto" w:fill="auto"/>
            <w:vAlign w:val="center"/>
            <w:hideMark/>
          </w:tcPr>
          <w:p w14:paraId="119856D5" w14:textId="77777777" w:rsidR="00771C97" w:rsidRPr="0062222B" w:rsidRDefault="00771C97" w:rsidP="0062222B">
            <w:pPr>
              <w:spacing w:before="40" w:after="40"/>
              <w:jc w:val="right"/>
              <w:rPr>
                <w:rFonts w:asciiTheme="minorHAnsi" w:hAnsiTheme="minorHAnsi" w:cs="Calibri"/>
                <w:color w:val="000000"/>
                <w:sz w:val="22"/>
                <w:szCs w:val="22"/>
                <w:lang w:val="fr-FR" w:eastAsia="fr-FR"/>
              </w:rPr>
            </w:pPr>
            <w:r w:rsidRPr="0062222B">
              <w:rPr>
                <w:rFonts w:asciiTheme="minorHAnsi" w:hAnsiTheme="minorHAnsi" w:cs="Calibri"/>
                <w:color w:val="000000"/>
                <w:sz w:val="22"/>
                <w:szCs w:val="22"/>
                <w:lang w:val="en" w:eastAsia="fr-FR"/>
              </w:rPr>
              <w:t>150</w:t>
            </w:r>
          </w:p>
        </w:tc>
        <w:tc>
          <w:tcPr>
            <w:tcW w:w="1985" w:type="dxa"/>
            <w:tcBorders>
              <w:top w:val="nil"/>
              <w:left w:val="nil"/>
              <w:bottom w:val="single" w:sz="4" w:space="0" w:color="auto"/>
              <w:right w:val="single" w:sz="4" w:space="0" w:color="auto"/>
            </w:tcBorders>
            <w:shd w:val="clear" w:color="auto" w:fill="auto"/>
            <w:vAlign w:val="center"/>
            <w:hideMark/>
          </w:tcPr>
          <w:p w14:paraId="119856D6" w14:textId="77777777" w:rsidR="00771C97" w:rsidRPr="0062222B" w:rsidRDefault="00771C97" w:rsidP="0062222B">
            <w:pPr>
              <w:spacing w:before="40" w:after="40"/>
              <w:jc w:val="right"/>
              <w:rPr>
                <w:rFonts w:asciiTheme="minorHAnsi" w:hAnsiTheme="minorHAnsi" w:cs="Calibri"/>
                <w:color w:val="000000"/>
                <w:sz w:val="22"/>
                <w:szCs w:val="22"/>
                <w:lang w:val="fr-FR" w:eastAsia="fr-FR"/>
              </w:rPr>
            </w:pPr>
            <w:r w:rsidRPr="0062222B">
              <w:rPr>
                <w:rFonts w:asciiTheme="minorHAnsi" w:hAnsiTheme="minorHAnsi" w:cs="Calibri"/>
                <w:color w:val="000000"/>
                <w:sz w:val="22"/>
                <w:szCs w:val="22"/>
                <w:lang w:val="en" w:eastAsia="fr-FR"/>
              </w:rPr>
              <w:t xml:space="preserve">3,000 </w:t>
            </w:r>
          </w:p>
        </w:tc>
        <w:tc>
          <w:tcPr>
            <w:tcW w:w="2405" w:type="dxa"/>
            <w:tcBorders>
              <w:top w:val="nil"/>
              <w:left w:val="nil"/>
              <w:bottom w:val="single" w:sz="4" w:space="0" w:color="auto"/>
              <w:right w:val="single" w:sz="4" w:space="0" w:color="auto"/>
            </w:tcBorders>
            <w:shd w:val="clear" w:color="auto" w:fill="auto"/>
            <w:vAlign w:val="center"/>
            <w:hideMark/>
          </w:tcPr>
          <w:p w14:paraId="119856D7" w14:textId="77777777" w:rsidR="00771C97" w:rsidRPr="0062222B" w:rsidRDefault="00771C97" w:rsidP="0062222B">
            <w:pPr>
              <w:spacing w:before="40" w:after="40"/>
              <w:jc w:val="right"/>
              <w:rPr>
                <w:rFonts w:asciiTheme="minorHAnsi" w:hAnsiTheme="minorHAnsi" w:cs="Calibri"/>
                <w:color w:val="000000"/>
                <w:sz w:val="22"/>
                <w:szCs w:val="22"/>
                <w:lang w:val="fr-FR" w:eastAsia="fr-FR"/>
              </w:rPr>
            </w:pPr>
            <w:r w:rsidRPr="0062222B">
              <w:rPr>
                <w:rFonts w:asciiTheme="minorHAnsi" w:hAnsiTheme="minorHAnsi" w:cs="Calibri"/>
                <w:color w:val="000000"/>
                <w:sz w:val="22"/>
                <w:szCs w:val="22"/>
                <w:lang w:val="en" w:eastAsia="fr-FR"/>
              </w:rPr>
              <w:t xml:space="preserve">1,400 </w:t>
            </w:r>
          </w:p>
        </w:tc>
      </w:tr>
      <w:tr w:rsidR="00771C97" w:rsidRPr="00771C97" w14:paraId="119856DE" w14:textId="77777777" w:rsidTr="0062222B">
        <w:trPr>
          <w:trHeight w:val="300"/>
          <w:jc w:val="center"/>
        </w:trPr>
        <w:tc>
          <w:tcPr>
            <w:tcW w:w="1683" w:type="dxa"/>
            <w:tcBorders>
              <w:top w:val="nil"/>
              <w:left w:val="single" w:sz="4" w:space="0" w:color="auto"/>
              <w:bottom w:val="single" w:sz="4" w:space="0" w:color="auto"/>
              <w:right w:val="single" w:sz="4" w:space="0" w:color="auto"/>
            </w:tcBorders>
            <w:shd w:val="clear" w:color="auto" w:fill="auto"/>
            <w:vAlign w:val="center"/>
            <w:hideMark/>
          </w:tcPr>
          <w:p w14:paraId="119856D9" w14:textId="77777777" w:rsidR="00771C97" w:rsidRPr="0062222B" w:rsidRDefault="00771C97" w:rsidP="0062222B">
            <w:pPr>
              <w:tabs>
                <w:tab w:val="clear" w:pos="567"/>
                <w:tab w:val="clear" w:pos="1134"/>
              </w:tabs>
              <w:spacing w:before="40" w:after="40"/>
              <w:ind w:right="483"/>
              <w:jc w:val="right"/>
              <w:rPr>
                <w:rFonts w:asciiTheme="minorHAnsi" w:hAnsiTheme="minorHAnsi" w:cs="Calibri"/>
                <w:b/>
                <w:bCs/>
                <w:color w:val="000000"/>
                <w:sz w:val="22"/>
                <w:szCs w:val="22"/>
                <w:lang w:val="fr-FR" w:eastAsia="fr-FR"/>
              </w:rPr>
            </w:pPr>
            <w:r w:rsidRPr="0062222B">
              <w:rPr>
                <w:rFonts w:asciiTheme="minorHAnsi" w:hAnsiTheme="minorHAnsi" w:cs="Calibri"/>
                <w:b/>
                <w:bCs/>
                <w:color w:val="000000"/>
                <w:sz w:val="22"/>
                <w:szCs w:val="22"/>
                <w:lang w:val="en" w:eastAsia="fr-FR"/>
              </w:rPr>
              <w:t>Total</w:t>
            </w:r>
          </w:p>
        </w:tc>
        <w:tc>
          <w:tcPr>
            <w:tcW w:w="2003" w:type="dxa"/>
            <w:tcBorders>
              <w:top w:val="nil"/>
              <w:left w:val="nil"/>
              <w:bottom w:val="single" w:sz="4" w:space="0" w:color="auto"/>
              <w:right w:val="single" w:sz="4" w:space="0" w:color="auto"/>
            </w:tcBorders>
            <w:shd w:val="clear" w:color="auto" w:fill="auto"/>
            <w:vAlign w:val="center"/>
            <w:hideMark/>
          </w:tcPr>
          <w:p w14:paraId="119856DA" w14:textId="77777777" w:rsidR="00771C97" w:rsidRPr="0062222B" w:rsidRDefault="00771C97" w:rsidP="0062222B">
            <w:pPr>
              <w:spacing w:before="40" w:after="40"/>
              <w:jc w:val="center"/>
              <w:rPr>
                <w:rFonts w:asciiTheme="minorHAnsi" w:hAnsiTheme="minorHAnsi" w:cs="Calibri"/>
                <w:b/>
                <w:bCs/>
                <w:color w:val="000000"/>
                <w:sz w:val="22"/>
                <w:szCs w:val="22"/>
                <w:lang w:val="fr-FR" w:eastAsia="fr-FR"/>
              </w:rPr>
            </w:pPr>
            <w:r w:rsidRPr="0062222B">
              <w:rPr>
                <w:rFonts w:asciiTheme="minorHAnsi" w:hAnsiTheme="minorHAnsi" w:cs="Calibri"/>
                <w:b/>
                <w:bCs/>
                <w:color w:val="000000"/>
                <w:sz w:val="22"/>
                <w:szCs w:val="22"/>
                <w:lang w:val="en" w:eastAsia="fr-FR"/>
              </w:rPr>
              <w:t>770</w:t>
            </w:r>
          </w:p>
        </w:tc>
        <w:tc>
          <w:tcPr>
            <w:tcW w:w="1984" w:type="dxa"/>
            <w:tcBorders>
              <w:top w:val="nil"/>
              <w:left w:val="nil"/>
              <w:bottom w:val="single" w:sz="4" w:space="0" w:color="auto"/>
              <w:right w:val="single" w:sz="4" w:space="0" w:color="auto"/>
            </w:tcBorders>
            <w:shd w:val="clear" w:color="auto" w:fill="auto"/>
            <w:vAlign w:val="center"/>
            <w:hideMark/>
          </w:tcPr>
          <w:p w14:paraId="119856DB" w14:textId="77777777" w:rsidR="00771C97" w:rsidRPr="0062222B" w:rsidRDefault="00771C97" w:rsidP="0062222B">
            <w:pPr>
              <w:spacing w:before="40" w:after="40"/>
              <w:jc w:val="right"/>
              <w:rPr>
                <w:rFonts w:asciiTheme="minorHAnsi" w:hAnsiTheme="minorHAnsi" w:cs="Calibri"/>
                <w:b/>
                <w:bCs/>
                <w:color w:val="000000"/>
                <w:sz w:val="22"/>
                <w:szCs w:val="22"/>
                <w:lang w:val="fr-FR" w:eastAsia="fr-FR"/>
              </w:rPr>
            </w:pPr>
            <w:r w:rsidRPr="0062222B">
              <w:rPr>
                <w:rFonts w:asciiTheme="minorHAnsi" w:hAnsiTheme="minorHAnsi" w:cs="Calibri"/>
                <w:b/>
                <w:bCs/>
                <w:color w:val="000000"/>
                <w:sz w:val="22"/>
                <w:szCs w:val="22"/>
                <w:lang w:val="en" w:eastAsia="fr-FR"/>
              </w:rPr>
              <w:t>-</w:t>
            </w:r>
          </w:p>
        </w:tc>
        <w:tc>
          <w:tcPr>
            <w:tcW w:w="1985" w:type="dxa"/>
            <w:tcBorders>
              <w:top w:val="nil"/>
              <w:left w:val="nil"/>
              <w:bottom w:val="single" w:sz="4" w:space="0" w:color="auto"/>
              <w:right w:val="single" w:sz="4" w:space="0" w:color="auto"/>
            </w:tcBorders>
            <w:shd w:val="clear" w:color="auto" w:fill="auto"/>
            <w:vAlign w:val="center"/>
            <w:hideMark/>
          </w:tcPr>
          <w:p w14:paraId="119856DC" w14:textId="77777777" w:rsidR="00771C97" w:rsidRPr="0062222B" w:rsidRDefault="00771C97" w:rsidP="0062222B">
            <w:pPr>
              <w:spacing w:before="40" w:after="40"/>
              <w:jc w:val="right"/>
              <w:rPr>
                <w:rFonts w:asciiTheme="minorHAnsi" w:hAnsiTheme="minorHAnsi" w:cs="Calibri"/>
                <w:b/>
                <w:bCs/>
                <w:color w:val="000000"/>
                <w:sz w:val="22"/>
                <w:szCs w:val="22"/>
                <w:lang w:val="en" w:eastAsia="fr-FR"/>
              </w:rPr>
            </w:pPr>
            <w:r w:rsidRPr="0062222B">
              <w:rPr>
                <w:rFonts w:asciiTheme="minorHAnsi" w:hAnsiTheme="minorHAnsi" w:cs="Calibri"/>
                <w:b/>
                <w:bCs/>
                <w:color w:val="000000"/>
                <w:sz w:val="22"/>
                <w:szCs w:val="22"/>
                <w:lang w:val="en" w:eastAsia="fr-FR"/>
              </w:rPr>
              <w:t xml:space="preserve">228,000 </w:t>
            </w:r>
          </w:p>
        </w:tc>
        <w:tc>
          <w:tcPr>
            <w:tcW w:w="2405" w:type="dxa"/>
            <w:tcBorders>
              <w:top w:val="nil"/>
              <w:left w:val="nil"/>
              <w:bottom w:val="single" w:sz="4" w:space="0" w:color="auto"/>
              <w:right w:val="single" w:sz="4" w:space="0" w:color="auto"/>
            </w:tcBorders>
            <w:shd w:val="clear" w:color="auto" w:fill="auto"/>
            <w:vAlign w:val="center"/>
            <w:hideMark/>
          </w:tcPr>
          <w:p w14:paraId="119856DD" w14:textId="77777777" w:rsidR="00771C97" w:rsidRPr="0062222B" w:rsidRDefault="00771C97" w:rsidP="0062222B">
            <w:pPr>
              <w:spacing w:before="40" w:after="40"/>
              <w:jc w:val="right"/>
              <w:rPr>
                <w:rFonts w:asciiTheme="minorHAnsi" w:hAnsiTheme="minorHAnsi" w:cs="Calibri"/>
                <w:b/>
                <w:bCs/>
                <w:color w:val="000000"/>
                <w:sz w:val="22"/>
                <w:szCs w:val="22"/>
                <w:lang w:val="fr-FR" w:eastAsia="fr-FR"/>
              </w:rPr>
            </w:pPr>
            <w:r w:rsidRPr="0062222B">
              <w:rPr>
                <w:rFonts w:asciiTheme="minorHAnsi" w:hAnsiTheme="minorHAnsi" w:cs="Calibri"/>
                <w:b/>
                <w:bCs/>
                <w:color w:val="000000"/>
                <w:sz w:val="22"/>
                <w:szCs w:val="22"/>
                <w:lang w:val="en" w:eastAsia="fr-FR"/>
              </w:rPr>
              <w:t xml:space="preserve">76,400 </w:t>
            </w:r>
          </w:p>
        </w:tc>
      </w:tr>
    </w:tbl>
    <w:p w14:paraId="119856DF" w14:textId="77777777" w:rsidR="00771C97" w:rsidRPr="00771C97" w:rsidRDefault="00771C97" w:rsidP="00CE5943">
      <w:pPr>
        <w:shd w:val="clear" w:color="auto" w:fill="FFFFFF"/>
        <w:tabs>
          <w:tab w:val="clear" w:pos="567"/>
          <w:tab w:val="clear" w:pos="1134"/>
          <w:tab w:val="clear" w:pos="1701"/>
          <w:tab w:val="clear" w:pos="2268"/>
          <w:tab w:val="clear" w:pos="2835"/>
        </w:tabs>
        <w:snapToGrid w:val="0"/>
        <w:spacing w:before="240" w:after="120"/>
        <w:jc w:val="both"/>
        <w:rPr>
          <w:rFonts w:asciiTheme="minorHAnsi" w:hAnsiTheme="minorHAnsi"/>
          <w:szCs w:val="24"/>
        </w:rPr>
      </w:pPr>
      <w:r w:rsidRPr="00771C97">
        <w:rPr>
          <w:rFonts w:asciiTheme="minorHAnsi" w:hAnsiTheme="minorHAnsi"/>
          <w:szCs w:val="24"/>
        </w:rPr>
        <w:lastRenderedPageBreak/>
        <w:t xml:space="preserve">In adding up the two proposals, the total additional annual income from INRs would be </w:t>
      </w:r>
      <w:r w:rsidR="00CE5943">
        <w:rPr>
          <w:rFonts w:asciiTheme="minorHAnsi" w:hAnsiTheme="minorHAnsi"/>
          <w:szCs w:val="24"/>
        </w:rPr>
        <w:t xml:space="preserve">CHF </w:t>
      </w:r>
      <w:r w:rsidRPr="00771C97">
        <w:rPr>
          <w:rFonts w:asciiTheme="minorHAnsi" w:hAnsiTheme="minorHAnsi"/>
          <w:szCs w:val="24"/>
        </w:rPr>
        <w:t>240,960 per year (</w:t>
      </w:r>
      <w:r w:rsidR="00CE5943">
        <w:rPr>
          <w:rFonts w:asciiTheme="minorHAnsi" w:hAnsiTheme="minorHAnsi"/>
          <w:szCs w:val="24"/>
        </w:rPr>
        <w:t xml:space="preserve">CHF </w:t>
      </w:r>
      <w:r w:rsidRPr="00771C97">
        <w:rPr>
          <w:rFonts w:asciiTheme="minorHAnsi" w:hAnsiTheme="minorHAnsi"/>
          <w:szCs w:val="24"/>
        </w:rPr>
        <w:t xml:space="preserve">164,560 from annual fees and </w:t>
      </w:r>
      <w:r w:rsidR="00CE5943">
        <w:rPr>
          <w:rFonts w:asciiTheme="minorHAnsi" w:hAnsiTheme="minorHAnsi"/>
          <w:szCs w:val="24"/>
        </w:rPr>
        <w:t xml:space="preserve">CHF </w:t>
      </w:r>
      <w:r w:rsidRPr="00771C97">
        <w:rPr>
          <w:rFonts w:asciiTheme="minorHAnsi" w:hAnsiTheme="minorHAnsi"/>
          <w:szCs w:val="24"/>
        </w:rPr>
        <w:t>76,400 from increased one-time fees). The total annual income would be CHF 392,560 (CHF 164,560 from annual fees and CHF 228,000 from increased one-time fees).</w:t>
      </w:r>
    </w:p>
    <w:p w14:paraId="119856E0" w14:textId="530C9B53" w:rsidR="00771C97" w:rsidRPr="00771C97" w:rsidRDefault="00C7252D" w:rsidP="00771C97">
      <w:pPr>
        <w:shd w:val="clear" w:color="auto" w:fill="FFFFFF"/>
        <w:tabs>
          <w:tab w:val="clear" w:pos="567"/>
          <w:tab w:val="clear" w:pos="1134"/>
          <w:tab w:val="clear" w:pos="1701"/>
          <w:tab w:val="clear" w:pos="2268"/>
          <w:tab w:val="clear" w:pos="2835"/>
        </w:tabs>
        <w:snapToGrid w:val="0"/>
        <w:spacing w:before="480" w:after="120"/>
        <w:rPr>
          <w:rFonts w:asciiTheme="minorHAnsi" w:hAnsiTheme="minorHAnsi" w:cstheme="minorHAnsi"/>
          <w:b/>
          <w:bCs/>
          <w:sz w:val="26"/>
          <w:szCs w:val="26"/>
          <w:u w:color="000000"/>
        </w:rPr>
      </w:pPr>
      <w:r>
        <w:rPr>
          <w:rFonts w:asciiTheme="minorHAnsi" w:hAnsiTheme="minorHAnsi" w:cstheme="minorHAnsi"/>
          <w:b/>
          <w:bCs/>
          <w:sz w:val="26"/>
          <w:szCs w:val="26"/>
          <w:u w:color="000000"/>
        </w:rPr>
        <w:t>D</w:t>
      </w:r>
      <w:r w:rsidR="00447B91">
        <w:rPr>
          <w:rFonts w:asciiTheme="minorHAnsi" w:hAnsiTheme="minorHAnsi" w:cstheme="minorHAnsi"/>
          <w:b/>
          <w:bCs/>
          <w:sz w:val="26"/>
          <w:szCs w:val="26"/>
          <w:u w:color="000000"/>
        </w:rPr>
        <w:t xml:space="preserve">. </w:t>
      </w:r>
      <w:r>
        <w:rPr>
          <w:rFonts w:asciiTheme="minorHAnsi" w:hAnsiTheme="minorHAnsi" w:cstheme="minorHAnsi"/>
          <w:b/>
          <w:bCs/>
          <w:sz w:val="26"/>
          <w:szCs w:val="26"/>
          <w:u w:color="000000"/>
        </w:rPr>
        <w:tab/>
      </w:r>
      <w:r w:rsidR="00447B91">
        <w:rPr>
          <w:rFonts w:asciiTheme="minorHAnsi" w:hAnsiTheme="minorHAnsi" w:cstheme="minorHAnsi"/>
          <w:b/>
          <w:bCs/>
          <w:sz w:val="26"/>
          <w:szCs w:val="26"/>
          <w:u w:color="000000"/>
        </w:rPr>
        <w:t>Cost for ITU s</w:t>
      </w:r>
      <w:r w:rsidR="00771C97" w:rsidRPr="00771C97">
        <w:rPr>
          <w:rFonts w:asciiTheme="minorHAnsi" w:hAnsiTheme="minorHAnsi" w:cstheme="minorHAnsi"/>
          <w:b/>
          <w:bCs/>
          <w:sz w:val="26"/>
          <w:szCs w:val="26"/>
          <w:u w:color="000000"/>
        </w:rPr>
        <w:t>ecretariat in administering INRs</w:t>
      </w:r>
    </w:p>
    <w:p w14:paraId="119856E1" w14:textId="77777777" w:rsidR="00771C97" w:rsidRPr="00771C97" w:rsidRDefault="00771C97" w:rsidP="00CE5943">
      <w:pPr>
        <w:tabs>
          <w:tab w:val="clear" w:pos="567"/>
          <w:tab w:val="clear" w:pos="1134"/>
          <w:tab w:val="clear" w:pos="1701"/>
          <w:tab w:val="clear" w:pos="2268"/>
          <w:tab w:val="clear" w:pos="2835"/>
        </w:tabs>
        <w:snapToGrid w:val="0"/>
        <w:spacing w:after="240"/>
        <w:jc w:val="both"/>
        <w:rPr>
          <w:rFonts w:asciiTheme="minorHAnsi" w:hAnsiTheme="minorHAnsi"/>
          <w:szCs w:val="24"/>
        </w:rPr>
      </w:pPr>
      <w:r w:rsidRPr="00771C97">
        <w:rPr>
          <w:rFonts w:asciiTheme="minorHAnsi" w:hAnsiTheme="minorHAnsi"/>
          <w:szCs w:val="24"/>
        </w:rPr>
        <w:t>8.</w:t>
      </w:r>
      <w:r w:rsidRPr="00771C97">
        <w:rPr>
          <w:rFonts w:asciiTheme="minorHAnsi" w:hAnsiTheme="minorHAnsi"/>
          <w:szCs w:val="24"/>
        </w:rPr>
        <w:tab/>
      </w:r>
      <w:r w:rsidRPr="00137B3F">
        <w:rPr>
          <w:rFonts w:asciiTheme="minorHAnsi" w:hAnsiTheme="minorHAnsi"/>
          <w:spacing w:val="-2"/>
          <w:szCs w:val="24"/>
        </w:rPr>
        <w:t xml:space="preserve">The following is the 2016 actual cost of ITU for allocation of INRs governed by relevant </w:t>
      </w:r>
      <w:r w:rsidRPr="00771C97">
        <w:rPr>
          <w:rFonts w:asciiTheme="minorHAnsi" w:hAnsiTheme="minorHAnsi"/>
          <w:szCs w:val="24"/>
        </w:rPr>
        <w:t xml:space="preserve">ITU-T Recommendations. All figures are in </w:t>
      </w:r>
      <w:proofErr w:type="spellStart"/>
      <w:r w:rsidRPr="00771C97">
        <w:rPr>
          <w:rFonts w:asciiTheme="minorHAnsi" w:hAnsiTheme="minorHAnsi"/>
          <w:szCs w:val="24"/>
        </w:rPr>
        <w:t>kCHF</w:t>
      </w:r>
      <w:proofErr w:type="spellEnd"/>
      <w:r w:rsidRPr="00771C97">
        <w:rPr>
          <w:rFonts w:asciiTheme="minorHAnsi" w:hAnsiTheme="minorHAnsi"/>
          <w:szCs w:val="24"/>
        </w:rPr>
        <w:t>.</w:t>
      </w:r>
    </w:p>
    <w:tbl>
      <w:tblPr>
        <w:tblStyle w:val="TableGrid"/>
        <w:tblW w:w="9918" w:type="dxa"/>
        <w:tblInd w:w="-147" w:type="dxa"/>
        <w:tblLayout w:type="fixed"/>
        <w:tblLook w:val="04A0" w:firstRow="1" w:lastRow="0" w:firstColumn="1" w:lastColumn="0" w:noHBand="0" w:noVBand="1"/>
      </w:tblPr>
      <w:tblGrid>
        <w:gridCol w:w="1147"/>
        <w:gridCol w:w="3401"/>
        <w:gridCol w:w="1256"/>
        <w:gridCol w:w="1420"/>
        <w:gridCol w:w="1140"/>
        <w:gridCol w:w="1554"/>
      </w:tblGrid>
      <w:tr w:rsidR="00771C97" w:rsidRPr="00771C97" w14:paraId="119856E8" w14:textId="77777777" w:rsidTr="0062222B">
        <w:trPr>
          <w:trHeight w:val="600"/>
        </w:trPr>
        <w:tc>
          <w:tcPr>
            <w:tcW w:w="1147" w:type="dxa"/>
            <w:hideMark/>
          </w:tcPr>
          <w:p w14:paraId="119856E2" w14:textId="77777777" w:rsidR="00771C97" w:rsidRPr="0062222B" w:rsidRDefault="00771C97" w:rsidP="0062222B">
            <w:pPr>
              <w:spacing w:before="40" w:after="20"/>
              <w:jc w:val="center"/>
              <w:rPr>
                <w:rFonts w:asciiTheme="minorHAnsi" w:hAnsiTheme="minorHAnsi"/>
                <w:sz w:val="22"/>
              </w:rPr>
            </w:pPr>
            <w:r w:rsidRPr="0062222B">
              <w:rPr>
                <w:rFonts w:asciiTheme="minorHAnsi" w:hAnsiTheme="minorHAnsi"/>
                <w:sz w:val="22"/>
              </w:rPr>
              <w:t>Output Number</w:t>
            </w:r>
          </w:p>
        </w:tc>
        <w:tc>
          <w:tcPr>
            <w:tcW w:w="3401" w:type="dxa"/>
            <w:hideMark/>
          </w:tcPr>
          <w:p w14:paraId="119856E3" w14:textId="77777777" w:rsidR="00771C97" w:rsidRPr="0062222B" w:rsidRDefault="00771C97" w:rsidP="0062222B">
            <w:pPr>
              <w:spacing w:before="40" w:after="20"/>
              <w:jc w:val="center"/>
              <w:rPr>
                <w:rFonts w:asciiTheme="minorHAnsi" w:hAnsiTheme="minorHAnsi"/>
                <w:sz w:val="22"/>
              </w:rPr>
            </w:pPr>
            <w:r w:rsidRPr="0062222B">
              <w:rPr>
                <w:rFonts w:asciiTheme="minorHAnsi" w:hAnsiTheme="minorHAnsi"/>
                <w:sz w:val="22"/>
              </w:rPr>
              <w:t>Output Name</w:t>
            </w:r>
          </w:p>
        </w:tc>
        <w:tc>
          <w:tcPr>
            <w:tcW w:w="1256" w:type="dxa"/>
            <w:hideMark/>
          </w:tcPr>
          <w:p w14:paraId="119856E4" w14:textId="77777777" w:rsidR="00771C97" w:rsidRPr="0062222B" w:rsidRDefault="00771C97" w:rsidP="0062222B">
            <w:pPr>
              <w:spacing w:before="40" w:after="20"/>
              <w:jc w:val="center"/>
              <w:rPr>
                <w:rFonts w:asciiTheme="minorHAnsi" w:hAnsiTheme="minorHAnsi"/>
                <w:sz w:val="22"/>
              </w:rPr>
            </w:pPr>
            <w:r w:rsidRPr="0062222B">
              <w:rPr>
                <w:rFonts w:asciiTheme="minorHAnsi" w:hAnsiTheme="minorHAnsi"/>
                <w:sz w:val="22"/>
              </w:rPr>
              <w:t>TSB Allocation</w:t>
            </w:r>
          </w:p>
        </w:tc>
        <w:tc>
          <w:tcPr>
            <w:tcW w:w="1420" w:type="dxa"/>
            <w:hideMark/>
          </w:tcPr>
          <w:p w14:paraId="119856E5" w14:textId="77777777" w:rsidR="00771C97" w:rsidRPr="0062222B" w:rsidRDefault="00771C97" w:rsidP="0062222B">
            <w:pPr>
              <w:spacing w:before="40" w:after="20"/>
              <w:jc w:val="center"/>
              <w:rPr>
                <w:rFonts w:asciiTheme="minorHAnsi" w:hAnsiTheme="minorHAnsi"/>
                <w:sz w:val="22"/>
              </w:rPr>
            </w:pPr>
            <w:r w:rsidRPr="0062222B">
              <w:rPr>
                <w:rFonts w:asciiTheme="minorHAnsi" w:hAnsiTheme="minorHAnsi"/>
                <w:sz w:val="22"/>
              </w:rPr>
              <w:t>Support costs allocation</w:t>
            </w:r>
          </w:p>
        </w:tc>
        <w:tc>
          <w:tcPr>
            <w:tcW w:w="1140" w:type="dxa"/>
            <w:hideMark/>
          </w:tcPr>
          <w:p w14:paraId="119856E6" w14:textId="77777777" w:rsidR="00771C97" w:rsidRPr="0062222B" w:rsidRDefault="00771C97" w:rsidP="0062222B">
            <w:pPr>
              <w:spacing w:before="40" w:after="20"/>
              <w:jc w:val="center"/>
              <w:rPr>
                <w:rFonts w:asciiTheme="minorHAnsi" w:hAnsiTheme="minorHAnsi"/>
                <w:sz w:val="22"/>
              </w:rPr>
            </w:pPr>
            <w:r w:rsidRPr="0062222B">
              <w:rPr>
                <w:rFonts w:asciiTheme="minorHAnsi" w:hAnsiTheme="minorHAnsi"/>
                <w:sz w:val="22"/>
              </w:rPr>
              <w:t>Documentation</w:t>
            </w:r>
          </w:p>
        </w:tc>
        <w:tc>
          <w:tcPr>
            <w:tcW w:w="1554" w:type="dxa"/>
            <w:hideMark/>
          </w:tcPr>
          <w:p w14:paraId="119856E7" w14:textId="77777777" w:rsidR="00771C97" w:rsidRPr="0062222B" w:rsidRDefault="00771C97" w:rsidP="0062222B">
            <w:pPr>
              <w:spacing w:before="40" w:after="20"/>
              <w:jc w:val="center"/>
              <w:rPr>
                <w:rFonts w:asciiTheme="minorHAnsi" w:hAnsiTheme="minorHAnsi"/>
                <w:sz w:val="22"/>
              </w:rPr>
            </w:pPr>
            <w:r w:rsidRPr="0062222B">
              <w:rPr>
                <w:rFonts w:asciiTheme="minorHAnsi" w:hAnsiTheme="minorHAnsi"/>
                <w:sz w:val="22"/>
              </w:rPr>
              <w:t>Total</w:t>
            </w:r>
          </w:p>
        </w:tc>
      </w:tr>
      <w:tr w:rsidR="00771C97" w:rsidRPr="00771C97" w14:paraId="119856EF" w14:textId="77777777" w:rsidTr="0062222B">
        <w:trPr>
          <w:trHeight w:val="900"/>
        </w:trPr>
        <w:tc>
          <w:tcPr>
            <w:tcW w:w="1147" w:type="dxa"/>
            <w:noWrap/>
            <w:hideMark/>
          </w:tcPr>
          <w:p w14:paraId="119856E9" w14:textId="77777777" w:rsidR="00771C97" w:rsidRPr="0062222B" w:rsidRDefault="00771C97" w:rsidP="00771C97">
            <w:pPr>
              <w:spacing w:before="40"/>
              <w:rPr>
                <w:rFonts w:asciiTheme="minorHAnsi" w:hAnsiTheme="minorHAnsi"/>
                <w:sz w:val="22"/>
              </w:rPr>
            </w:pPr>
            <w:r w:rsidRPr="0062222B">
              <w:rPr>
                <w:rFonts w:asciiTheme="minorHAnsi" w:hAnsiTheme="minorHAnsi"/>
                <w:sz w:val="22"/>
              </w:rPr>
              <w:t>T3.2</w:t>
            </w:r>
          </w:p>
        </w:tc>
        <w:tc>
          <w:tcPr>
            <w:tcW w:w="3401" w:type="dxa"/>
            <w:hideMark/>
          </w:tcPr>
          <w:p w14:paraId="119856EA" w14:textId="77777777" w:rsidR="00771C97" w:rsidRPr="0062222B" w:rsidRDefault="00771C97" w:rsidP="00771C97">
            <w:pPr>
              <w:spacing w:before="40"/>
              <w:rPr>
                <w:rFonts w:asciiTheme="minorHAnsi" w:hAnsiTheme="minorHAnsi"/>
                <w:sz w:val="22"/>
              </w:rPr>
            </w:pPr>
            <w:r w:rsidRPr="0062222B">
              <w:rPr>
                <w:rFonts w:asciiTheme="minorHAnsi" w:hAnsiTheme="minorHAnsi"/>
                <w:sz w:val="22"/>
              </w:rPr>
              <w:t>Allocation and management of international telecommunication numbering, naming, addressing and identification resources in accordance with ITU-T Recommendations and procedures</w:t>
            </w:r>
          </w:p>
        </w:tc>
        <w:tc>
          <w:tcPr>
            <w:tcW w:w="1256" w:type="dxa"/>
            <w:noWrap/>
            <w:hideMark/>
          </w:tcPr>
          <w:p w14:paraId="119856EB" w14:textId="77777777" w:rsidR="00771C97" w:rsidRPr="0062222B" w:rsidRDefault="00771C97" w:rsidP="00771C97">
            <w:pPr>
              <w:spacing w:before="40"/>
              <w:jc w:val="right"/>
              <w:rPr>
                <w:rFonts w:asciiTheme="minorHAnsi" w:hAnsiTheme="minorHAnsi"/>
                <w:sz w:val="22"/>
              </w:rPr>
            </w:pPr>
            <w:r w:rsidRPr="0062222B">
              <w:rPr>
                <w:rFonts w:asciiTheme="minorHAnsi" w:hAnsiTheme="minorHAnsi"/>
                <w:sz w:val="22"/>
              </w:rPr>
              <w:t xml:space="preserve">                                   439 </w:t>
            </w:r>
          </w:p>
        </w:tc>
        <w:tc>
          <w:tcPr>
            <w:tcW w:w="1420" w:type="dxa"/>
            <w:noWrap/>
            <w:hideMark/>
          </w:tcPr>
          <w:p w14:paraId="119856EC" w14:textId="77777777" w:rsidR="00771C97" w:rsidRPr="0062222B" w:rsidRDefault="00771C97" w:rsidP="00771C97">
            <w:pPr>
              <w:spacing w:before="40"/>
              <w:jc w:val="right"/>
              <w:rPr>
                <w:rFonts w:asciiTheme="minorHAnsi" w:hAnsiTheme="minorHAnsi"/>
                <w:sz w:val="22"/>
              </w:rPr>
            </w:pPr>
            <w:r w:rsidRPr="0062222B">
              <w:rPr>
                <w:rFonts w:asciiTheme="minorHAnsi" w:hAnsiTheme="minorHAnsi"/>
                <w:sz w:val="22"/>
              </w:rPr>
              <w:t xml:space="preserve">                            444 </w:t>
            </w:r>
          </w:p>
        </w:tc>
        <w:tc>
          <w:tcPr>
            <w:tcW w:w="1140" w:type="dxa"/>
            <w:noWrap/>
            <w:hideMark/>
          </w:tcPr>
          <w:p w14:paraId="119856ED" w14:textId="77777777" w:rsidR="00771C97" w:rsidRPr="0062222B" w:rsidRDefault="00771C97" w:rsidP="00771C97">
            <w:pPr>
              <w:spacing w:before="40"/>
              <w:jc w:val="right"/>
              <w:rPr>
                <w:rFonts w:asciiTheme="minorHAnsi" w:hAnsiTheme="minorHAnsi"/>
                <w:sz w:val="22"/>
              </w:rPr>
            </w:pPr>
            <w:r w:rsidRPr="0062222B">
              <w:rPr>
                <w:rFonts w:asciiTheme="minorHAnsi" w:hAnsiTheme="minorHAnsi"/>
                <w:sz w:val="22"/>
              </w:rPr>
              <w:t xml:space="preserve">                                </w:t>
            </w:r>
          </w:p>
        </w:tc>
        <w:tc>
          <w:tcPr>
            <w:tcW w:w="1554" w:type="dxa"/>
            <w:noWrap/>
            <w:hideMark/>
          </w:tcPr>
          <w:p w14:paraId="119856EE" w14:textId="77777777" w:rsidR="00771C97" w:rsidRPr="0062222B" w:rsidRDefault="00771C97" w:rsidP="00771C97">
            <w:pPr>
              <w:spacing w:before="40"/>
              <w:jc w:val="right"/>
              <w:rPr>
                <w:rFonts w:asciiTheme="minorHAnsi" w:hAnsiTheme="minorHAnsi"/>
                <w:sz w:val="22"/>
              </w:rPr>
            </w:pPr>
            <w:r w:rsidRPr="0062222B">
              <w:rPr>
                <w:rFonts w:asciiTheme="minorHAnsi" w:hAnsiTheme="minorHAnsi"/>
                <w:sz w:val="22"/>
              </w:rPr>
              <w:t xml:space="preserve">                               883 </w:t>
            </w:r>
          </w:p>
        </w:tc>
      </w:tr>
      <w:tr w:rsidR="00771C97" w:rsidRPr="00771C97" w14:paraId="119856F6" w14:textId="77777777" w:rsidTr="0062222B">
        <w:trPr>
          <w:trHeight w:val="300"/>
        </w:trPr>
        <w:tc>
          <w:tcPr>
            <w:tcW w:w="1147" w:type="dxa"/>
            <w:noWrap/>
            <w:hideMark/>
          </w:tcPr>
          <w:p w14:paraId="119856F0" w14:textId="77777777" w:rsidR="00771C97" w:rsidRPr="0062222B" w:rsidRDefault="00771C97" w:rsidP="00771C97">
            <w:pPr>
              <w:spacing w:before="40"/>
              <w:rPr>
                <w:rFonts w:asciiTheme="minorHAnsi" w:hAnsiTheme="minorHAnsi"/>
                <w:sz w:val="22"/>
              </w:rPr>
            </w:pPr>
            <w:r w:rsidRPr="0062222B">
              <w:rPr>
                <w:rFonts w:asciiTheme="minorHAnsi" w:hAnsiTheme="minorHAnsi"/>
                <w:sz w:val="22"/>
              </w:rPr>
              <w:t>T4.4</w:t>
            </w:r>
          </w:p>
        </w:tc>
        <w:tc>
          <w:tcPr>
            <w:tcW w:w="3401" w:type="dxa"/>
            <w:hideMark/>
          </w:tcPr>
          <w:p w14:paraId="119856F1" w14:textId="77777777" w:rsidR="00771C97" w:rsidRPr="0062222B" w:rsidRDefault="00771C97" w:rsidP="00771C97">
            <w:pPr>
              <w:spacing w:before="40"/>
              <w:rPr>
                <w:rFonts w:asciiTheme="minorHAnsi" w:hAnsiTheme="minorHAnsi"/>
                <w:sz w:val="22"/>
              </w:rPr>
            </w:pPr>
            <w:r w:rsidRPr="0062222B">
              <w:rPr>
                <w:rFonts w:asciiTheme="minorHAnsi" w:hAnsiTheme="minorHAnsi"/>
                <w:sz w:val="22"/>
              </w:rPr>
              <w:t>ITU Operational Bulletin</w:t>
            </w:r>
          </w:p>
        </w:tc>
        <w:tc>
          <w:tcPr>
            <w:tcW w:w="1256" w:type="dxa"/>
            <w:noWrap/>
            <w:hideMark/>
          </w:tcPr>
          <w:p w14:paraId="119856F2" w14:textId="77777777" w:rsidR="00771C97" w:rsidRPr="0062222B" w:rsidRDefault="0062222B" w:rsidP="00771C97">
            <w:pPr>
              <w:spacing w:before="40"/>
              <w:jc w:val="right"/>
              <w:rPr>
                <w:rFonts w:asciiTheme="minorHAnsi" w:hAnsiTheme="minorHAnsi"/>
                <w:sz w:val="22"/>
              </w:rPr>
            </w:pPr>
            <w:r w:rsidRPr="0062222B">
              <w:rPr>
                <w:rFonts w:asciiTheme="minorHAnsi" w:hAnsiTheme="minorHAnsi"/>
                <w:sz w:val="22"/>
              </w:rPr>
              <w:t xml:space="preserve">                      </w:t>
            </w:r>
            <w:r w:rsidR="00771C97" w:rsidRPr="0062222B">
              <w:rPr>
                <w:rFonts w:asciiTheme="minorHAnsi" w:hAnsiTheme="minorHAnsi"/>
                <w:sz w:val="22"/>
              </w:rPr>
              <w:t xml:space="preserve">176 </w:t>
            </w:r>
          </w:p>
        </w:tc>
        <w:tc>
          <w:tcPr>
            <w:tcW w:w="1420" w:type="dxa"/>
            <w:noWrap/>
            <w:hideMark/>
          </w:tcPr>
          <w:p w14:paraId="119856F3" w14:textId="77777777" w:rsidR="00771C97" w:rsidRPr="0062222B" w:rsidRDefault="00771C97" w:rsidP="00771C97">
            <w:pPr>
              <w:spacing w:before="40"/>
              <w:jc w:val="right"/>
              <w:rPr>
                <w:rFonts w:asciiTheme="minorHAnsi" w:hAnsiTheme="minorHAnsi"/>
                <w:sz w:val="22"/>
              </w:rPr>
            </w:pPr>
            <w:r w:rsidRPr="0062222B">
              <w:rPr>
                <w:rFonts w:asciiTheme="minorHAnsi" w:hAnsiTheme="minorHAnsi"/>
                <w:sz w:val="22"/>
              </w:rPr>
              <w:t xml:space="preserve">                            168 </w:t>
            </w:r>
          </w:p>
        </w:tc>
        <w:tc>
          <w:tcPr>
            <w:tcW w:w="1140" w:type="dxa"/>
            <w:noWrap/>
            <w:hideMark/>
          </w:tcPr>
          <w:p w14:paraId="119856F4" w14:textId="77777777" w:rsidR="00771C97" w:rsidRPr="0062222B" w:rsidRDefault="00771C97" w:rsidP="00771C97">
            <w:pPr>
              <w:spacing w:before="40"/>
              <w:jc w:val="right"/>
              <w:rPr>
                <w:rFonts w:asciiTheme="minorHAnsi" w:hAnsiTheme="minorHAnsi"/>
                <w:sz w:val="22"/>
              </w:rPr>
            </w:pPr>
            <w:r w:rsidRPr="0062222B">
              <w:rPr>
                <w:rFonts w:asciiTheme="minorHAnsi" w:hAnsiTheme="minorHAnsi"/>
                <w:sz w:val="22"/>
              </w:rPr>
              <w:t xml:space="preserve">                             109 </w:t>
            </w:r>
          </w:p>
        </w:tc>
        <w:tc>
          <w:tcPr>
            <w:tcW w:w="1554" w:type="dxa"/>
            <w:noWrap/>
            <w:hideMark/>
          </w:tcPr>
          <w:p w14:paraId="119856F5" w14:textId="77777777" w:rsidR="00771C97" w:rsidRPr="0062222B" w:rsidRDefault="00771C97" w:rsidP="00771C97">
            <w:pPr>
              <w:spacing w:before="40"/>
              <w:jc w:val="right"/>
              <w:rPr>
                <w:rFonts w:asciiTheme="minorHAnsi" w:hAnsiTheme="minorHAnsi"/>
                <w:sz w:val="22"/>
              </w:rPr>
            </w:pPr>
            <w:r w:rsidRPr="0062222B">
              <w:rPr>
                <w:rFonts w:asciiTheme="minorHAnsi" w:hAnsiTheme="minorHAnsi"/>
                <w:sz w:val="22"/>
              </w:rPr>
              <w:t xml:space="preserve">                               453 </w:t>
            </w:r>
          </w:p>
        </w:tc>
      </w:tr>
      <w:tr w:rsidR="00771C97" w:rsidRPr="00771C97" w14:paraId="119856FD" w14:textId="77777777" w:rsidTr="0062222B">
        <w:trPr>
          <w:trHeight w:val="362"/>
        </w:trPr>
        <w:tc>
          <w:tcPr>
            <w:tcW w:w="4548" w:type="dxa"/>
            <w:gridSpan w:val="2"/>
            <w:noWrap/>
            <w:hideMark/>
          </w:tcPr>
          <w:p w14:paraId="119856F7" w14:textId="77777777" w:rsidR="00771C97" w:rsidRPr="0062222B" w:rsidRDefault="00771C97" w:rsidP="00771C97">
            <w:pPr>
              <w:spacing w:before="40"/>
              <w:jc w:val="both"/>
              <w:rPr>
                <w:rFonts w:asciiTheme="minorHAnsi" w:hAnsiTheme="minorHAnsi"/>
                <w:b/>
                <w:bCs/>
                <w:sz w:val="22"/>
              </w:rPr>
            </w:pPr>
          </w:p>
          <w:p w14:paraId="119856F8" w14:textId="77777777" w:rsidR="00771C97" w:rsidRPr="0062222B" w:rsidRDefault="00771C97" w:rsidP="00771C97">
            <w:pPr>
              <w:spacing w:before="40"/>
              <w:jc w:val="both"/>
              <w:rPr>
                <w:rFonts w:asciiTheme="minorHAnsi" w:hAnsiTheme="minorHAnsi"/>
                <w:b/>
                <w:bCs/>
                <w:sz w:val="22"/>
              </w:rPr>
            </w:pPr>
            <w:r w:rsidRPr="0062222B">
              <w:rPr>
                <w:rFonts w:asciiTheme="minorHAnsi" w:hAnsiTheme="minorHAnsi"/>
                <w:b/>
                <w:bCs/>
                <w:sz w:val="22"/>
              </w:rPr>
              <w:t>Total cost INRs</w:t>
            </w:r>
          </w:p>
        </w:tc>
        <w:tc>
          <w:tcPr>
            <w:tcW w:w="1256" w:type="dxa"/>
            <w:noWrap/>
            <w:hideMark/>
          </w:tcPr>
          <w:p w14:paraId="119856F9" w14:textId="77777777" w:rsidR="00771C97" w:rsidRPr="0062222B" w:rsidRDefault="00771C97" w:rsidP="00771C97">
            <w:pPr>
              <w:spacing w:before="40"/>
              <w:jc w:val="right"/>
              <w:rPr>
                <w:rFonts w:asciiTheme="minorHAnsi" w:hAnsiTheme="minorHAnsi"/>
                <w:b/>
                <w:bCs/>
                <w:sz w:val="22"/>
              </w:rPr>
            </w:pPr>
            <w:r w:rsidRPr="0062222B">
              <w:rPr>
                <w:rFonts w:asciiTheme="minorHAnsi" w:hAnsiTheme="minorHAnsi"/>
                <w:b/>
                <w:bCs/>
                <w:sz w:val="22"/>
              </w:rPr>
              <w:t xml:space="preserve">                    615 </w:t>
            </w:r>
          </w:p>
        </w:tc>
        <w:tc>
          <w:tcPr>
            <w:tcW w:w="1420" w:type="dxa"/>
            <w:noWrap/>
            <w:hideMark/>
          </w:tcPr>
          <w:p w14:paraId="119856FA" w14:textId="77777777" w:rsidR="00771C97" w:rsidRPr="0062222B" w:rsidRDefault="00771C97" w:rsidP="00771C97">
            <w:pPr>
              <w:spacing w:before="40"/>
              <w:jc w:val="right"/>
              <w:rPr>
                <w:rFonts w:asciiTheme="minorHAnsi" w:hAnsiTheme="minorHAnsi"/>
                <w:b/>
                <w:bCs/>
                <w:sz w:val="22"/>
              </w:rPr>
            </w:pPr>
            <w:r w:rsidRPr="0062222B">
              <w:rPr>
                <w:rFonts w:asciiTheme="minorHAnsi" w:hAnsiTheme="minorHAnsi"/>
                <w:b/>
                <w:bCs/>
                <w:sz w:val="22"/>
              </w:rPr>
              <w:t xml:space="preserve">                            612 </w:t>
            </w:r>
          </w:p>
        </w:tc>
        <w:tc>
          <w:tcPr>
            <w:tcW w:w="1140" w:type="dxa"/>
            <w:noWrap/>
            <w:hideMark/>
          </w:tcPr>
          <w:p w14:paraId="119856FB" w14:textId="77777777" w:rsidR="00771C97" w:rsidRPr="0062222B" w:rsidRDefault="00771C97" w:rsidP="00771C97">
            <w:pPr>
              <w:spacing w:before="40"/>
              <w:jc w:val="right"/>
              <w:rPr>
                <w:rFonts w:asciiTheme="minorHAnsi" w:hAnsiTheme="minorHAnsi"/>
                <w:b/>
                <w:bCs/>
                <w:sz w:val="22"/>
              </w:rPr>
            </w:pPr>
            <w:r w:rsidRPr="0062222B">
              <w:rPr>
                <w:rFonts w:asciiTheme="minorHAnsi" w:hAnsiTheme="minorHAnsi"/>
                <w:b/>
                <w:bCs/>
                <w:sz w:val="22"/>
              </w:rPr>
              <w:t xml:space="preserve">                             109 </w:t>
            </w:r>
          </w:p>
        </w:tc>
        <w:tc>
          <w:tcPr>
            <w:tcW w:w="1554" w:type="dxa"/>
            <w:noWrap/>
            <w:hideMark/>
          </w:tcPr>
          <w:p w14:paraId="119856FC" w14:textId="77777777" w:rsidR="00771C97" w:rsidRPr="0062222B" w:rsidRDefault="00771C97" w:rsidP="00771C97">
            <w:pPr>
              <w:spacing w:before="40"/>
              <w:jc w:val="right"/>
              <w:rPr>
                <w:rFonts w:asciiTheme="minorHAnsi" w:hAnsiTheme="minorHAnsi"/>
                <w:b/>
                <w:bCs/>
                <w:sz w:val="22"/>
              </w:rPr>
            </w:pPr>
            <w:r w:rsidRPr="0062222B">
              <w:rPr>
                <w:rFonts w:asciiTheme="minorHAnsi" w:hAnsiTheme="minorHAnsi"/>
                <w:b/>
                <w:bCs/>
                <w:sz w:val="22"/>
              </w:rPr>
              <w:t xml:space="preserve">                           1,336 </w:t>
            </w:r>
          </w:p>
        </w:tc>
      </w:tr>
    </w:tbl>
    <w:p w14:paraId="119856FE" w14:textId="77777777" w:rsidR="00771C97" w:rsidRPr="00771C97" w:rsidRDefault="00771C97" w:rsidP="00447B91">
      <w:pPr>
        <w:tabs>
          <w:tab w:val="clear" w:pos="567"/>
          <w:tab w:val="clear" w:pos="1134"/>
          <w:tab w:val="clear" w:pos="1701"/>
          <w:tab w:val="clear" w:pos="2268"/>
          <w:tab w:val="clear" w:pos="2835"/>
        </w:tabs>
        <w:snapToGrid w:val="0"/>
        <w:spacing w:before="360" w:after="120"/>
        <w:jc w:val="both"/>
        <w:rPr>
          <w:rFonts w:asciiTheme="minorHAnsi" w:hAnsiTheme="minorHAnsi"/>
          <w:szCs w:val="24"/>
        </w:rPr>
      </w:pPr>
      <w:r w:rsidRPr="00771C97">
        <w:rPr>
          <w:rFonts w:asciiTheme="minorHAnsi" w:hAnsiTheme="minorHAnsi"/>
          <w:szCs w:val="24"/>
        </w:rPr>
        <w:t>The actual cost calculated above is based on the cost allocation methodology (</w:t>
      </w:r>
      <w:hyperlink r:id="rId25" w:history="1">
        <w:r w:rsidRPr="00771C97">
          <w:rPr>
            <w:rFonts w:asciiTheme="minorHAnsi" w:hAnsiTheme="minorHAnsi"/>
            <w:szCs w:val="24"/>
          </w:rPr>
          <w:t>Decision 535</w:t>
        </w:r>
      </w:hyperlink>
      <w:r w:rsidRPr="00771C97">
        <w:rPr>
          <w:rFonts w:asciiTheme="minorHAnsi" w:hAnsiTheme="minorHAnsi"/>
          <w:szCs w:val="24"/>
        </w:rPr>
        <w:t xml:space="preserve">) modified by Council at its 2014 session, and which entered in force on 1 January 2016. </w:t>
      </w:r>
    </w:p>
    <w:p w14:paraId="119856FF" w14:textId="77777777" w:rsidR="00771C97" w:rsidRPr="00771C97" w:rsidRDefault="00771C97" w:rsidP="00771C97">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771C97">
        <w:rPr>
          <w:rFonts w:asciiTheme="minorHAnsi" w:hAnsiTheme="minorHAnsi"/>
          <w:szCs w:val="24"/>
        </w:rPr>
        <w:t xml:space="preserve">The costs of the General Secretariat (column Support costs allocation) </w:t>
      </w:r>
      <w:proofErr w:type="gramStart"/>
      <w:r w:rsidRPr="00771C97">
        <w:rPr>
          <w:rFonts w:asciiTheme="minorHAnsi" w:hAnsiTheme="minorHAnsi"/>
          <w:szCs w:val="24"/>
        </w:rPr>
        <w:t>are distributed</w:t>
      </w:r>
      <w:proofErr w:type="gramEnd"/>
      <w:r w:rsidRPr="00771C97">
        <w:rPr>
          <w:rFonts w:asciiTheme="minorHAnsi" w:hAnsiTheme="minorHAnsi"/>
          <w:szCs w:val="24"/>
        </w:rPr>
        <w:t xml:space="preserve"> to the TSB through a cost-allocation driver (number of posts). The costs of the TSB (column TSB allocation) </w:t>
      </w:r>
      <w:proofErr w:type="gramStart"/>
      <w:r w:rsidRPr="00771C97">
        <w:rPr>
          <w:rFonts w:asciiTheme="minorHAnsi" w:hAnsiTheme="minorHAnsi"/>
          <w:szCs w:val="24"/>
        </w:rPr>
        <w:t>are allocated</w:t>
      </w:r>
      <w:proofErr w:type="gramEnd"/>
      <w:r w:rsidRPr="00771C97">
        <w:rPr>
          <w:rFonts w:asciiTheme="minorHAnsi" w:hAnsiTheme="minorHAnsi"/>
          <w:szCs w:val="24"/>
        </w:rPr>
        <w:t xml:space="preserve"> to the Outputs based on a Time survey. Documentation costs (column documentation) represent the works of translation and typing.</w:t>
      </w:r>
    </w:p>
    <w:p w14:paraId="11985700" w14:textId="77777777" w:rsidR="00771C97" w:rsidRPr="00771C97" w:rsidRDefault="00771C97" w:rsidP="00771C97">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771C97">
        <w:rPr>
          <w:rFonts w:asciiTheme="minorHAnsi" w:hAnsiTheme="minorHAnsi"/>
          <w:szCs w:val="24"/>
        </w:rPr>
        <w:t xml:space="preserve">The cost for ITU to allocate UIFN and IIN only, </w:t>
      </w:r>
      <w:proofErr w:type="gramStart"/>
      <w:r w:rsidRPr="00771C97">
        <w:rPr>
          <w:rFonts w:asciiTheme="minorHAnsi" w:hAnsiTheme="minorHAnsi"/>
          <w:szCs w:val="24"/>
        </w:rPr>
        <w:t>can be estimated</w:t>
      </w:r>
      <w:proofErr w:type="gramEnd"/>
      <w:r w:rsidRPr="00771C97">
        <w:rPr>
          <w:rFonts w:asciiTheme="minorHAnsi" w:hAnsiTheme="minorHAnsi"/>
          <w:szCs w:val="24"/>
        </w:rPr>
        <w:t xml:space="preserve"> at about CHF 400k. </w:t>
      </w:r>
    </w:p>
    <w:p w14:paraId="11985701" w14:textId="54DD90E6" w:rsidR="00771C97" w:rsidRPr="00771C97" w:rsidRDefault="00C7252D" w:rsidP="00771C97">
      <w:pPr>
        <w:tabs>
          <w:tab w:val="clear" w:pos="567"/>
          <w:tab w:val="clear" w:pos="1134"/>
          <w:tab w:val="clear" w:pos="1701"/>
          <w:tab w:val="clear" w:pos="2268"/>
          <w:tab w:val="clear" w:pos="2835"/>
        </w:tabs>
        <w:snapToGrid w:val="0"/>
        <w:spacing w:before="480" w:after="120"/>
        <w:jc w:val="both"/>
        <w:rPr>
          <w:rFonts w:asciiTheme="minorHAnsi" w:hAnsiTheme="minorHAnsi"/>
          <w:b/>
          <w:bCs/>
          <w:sz w:val="26"/>
          <w:szCs w:val="26"/>
        </w:rPr>
      </w:pPr>
      <w:r>
        <w:rPr>
          <w:rFonts w:asciiTheme="minorHAnsi" w:hAnsiTheme="minorHAnsi"/>
          <w:b/>
          <w:bCs/>
          <w:sz w:val="26"/>
          <w:szCs w:val="26"/>
        </w:rPr>
        <w:t>E</w:t>
      </w:r>
      <w:r w:rsidR="00771C97">
        <w:rPr>
          <w:rFonts w:asciiTheme="minorHAnsi" w:hAnsiTheme="minorHAnsi"/>
          <w:b/>
          <w:bCs/>
          <w:sz w:val="26"/>
          <w:szCs w:val="26"/>
        </w:rPr>
        <w:t>.</w:t>
      </w:r>
      <w:r w:rsidR="00771C97">
        <w:rPr>
          <w:rFonts w:asciiTheme="minorHAnsi" w:hAnsiTheme="minorHAnsi"/>
          <w:b/>
          <w:bCs/>
          <w:sz w:val="26"/>
          <w:szCs w:val="26"/>
        </w:rPr>
        <w:tab/>
      </w:r>
      <w:r w:rsidR="00771C97" w:rsidRPr="00771C97">
        <w:rPr>
          <w:rFonts w:asciiTheme="minorHAnsi" w:hAnsiTheme="minorHAnsi"/>
          <w:b/>
          <w:bCs/>
          <w:sz w:val="26"/>
          <w:szCs w:val="26"/>
        </w:rPr>
        <w:t>Summary</w:t>
      </w:r>
    </w:p>
    <w:p w14:paraId="11985702" w14:textId="77777777" w:rsidR="00771C97" w:rsidRPr="00771C97" w:rsidRDefault="00771C97" w:rsidP="00447B91">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771C97">
        <w:rPr>
          <w:rFonts w:asciiTheme="minorHAnsi" w:hAnsiTheme="minorHAnsi"/>
          <w:szCs w:val="24"/>
        </w:rPr>
        <w:t>9.</w:t>
      </w:r>
      <w:r w:rsidRPr="00771C97">
        <w:rPr>
          <w:rFonts w:asciiTheme="minorHAnsi" w:hAnsiTheme="minorHAnsi"/>
          <w:szCs w:val="24"/>
        </w:rPr>
        <w:tab/>
        <w:t xml:space="preserve">By implementing the two proposals (annual fee of CHF 20 for UIFN and CHF 100 for IIN; increased one-time registration fees of CHF 300 for UIFN and CHF 150 for IIN), the expected revenue of CHF 392,560 would cover the cost for ITU to allocate both UIFN and IIN. </w:t>
      </w:r>
    </w:p>
    <w:p w14:paraId="11985703" w14:textId="77777777" w:rsidR="00264425" w:rsidRPr="00771C97" w:rsidRDefault="00771C97" w:rsidP="00447B91">
      <w:pPr>
        <w:spacing w:before="840"/>
        <w:jc w:val="center"/>
        <w:rPr>
          <w:szCs w:val="24"/>
        </w:rPr>
      </w:pPr>
      <w:r w:rsidRPr="00415731">
        <w:t>____________</w:t>
      </w:r>
      <w:r>
        <w:rPr>
          <w:szCs w:val="24"/>
        </w:rPr>
        <w:t>______________</w:t>
      </w:r>
    </w:p>
    <w:sectPr w:rsidR="00264425" w:rsidRPr="00771C97" w:rsidSect="002E4D45">
      <w:headerReference w:type="default" r:id="rId26"/>
      <w:footerReference w:type="default" r:id="rId27"/>
      <w:footerReference w:type="first" r:id="rId28"/>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85708" w14:textId="77777777" w:rsidR="00771C97" w:rsidRDefault="00771C97">
      <w:r>
        <w:separator/>
      </w:r>
    </w:p>
  </w:endnote>
  <w:endnote w:type="continuationSeparator" w:id="0">
    <w:p w14:paraId="11985709" w14:textId="77777777" w:rsidR="00771C97" w:rsidRDefault="0077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8570C" w14:textId="77777777" w:rsidR="00CB18FF" w:rsidRPr="00447B91" w:rsidRDefault="00447B91">
    <w:pPr>
      <w:pStyle w:val="Footer"/>
      <w:rPr>
        <w:color w:val="D9D9D9" w:themeColor="background1" w:themeShade="D9"/>
      </w:rPr>
    </w:pPr>
    <w:r w:rsidRPr="00447B91">
      <w:rPr>
        <w:color w:val="D9D9D9" w:themeColor="background1" w:themeShade="D9"/>
      </w:rPr>
      <w:fldChar w:fldCharType="begin"/>
    </w:r>
    <w:r w:rsidRPr="00447B91">
      <w:rPr>
        <w:color w:val="D9D9D9" w:themeColor="background1" w:themeShade="D9"/>
      </w:rPr>
      <w:instrText xml:space="preserve"> FILENAME \p  \* MERGEFORMAT </w:instrText>
    </w:r>
    <w:r w:rsidRPr="00447B91">
      <w:rPr>
        <w:color w:val="D9D9D9" w:themeColor="background1" w:themeShade="D9"/>
      </w:rPr>
      <w:fldChar w:fldCharType="separate"/>
    </w:r>
    <w:r w:rsidR="00771C97" w:rsidRPr="00447B91">
      <w:rPr>
        <w:color w:val="D9D9D9" w:themeColor="background1" w:themeShade="D9"/>
      </w:rPr>
      <w:t>Document1</w:t>
    </w:r>
    <w:r w:rsidRPr="00447B91">
      <w:rPr>
        <w:color w:val="D9D9D9" w:themeColor="background1" w:themeShade="D9"/>
      </w:rPr>
      <w:fldChar w:fldCharType="end"/>
    </w:r>
    <w:r w:rsidR="00CB18FF" w:rsidRPr="00447B91">
      <w:rPr>
        <w:color w:val="D9D9D9" w:themeColor="background1" w:themeShade="D9"/>
      </w:rPr>
      <w:tab/>
    </w:r>
    <w:r w:rsidR="00864AFF" w:rsidRPr="00447B91">
      <w:rPr>
        <w:color w:val="D9D9D9" w:themeColor="background1" w:themeShade="D9"/>
      </w:rPr>
      <w:fldChar w:fldCharType="begin"/>
    </w:r>
    <w:r w:rsidR="00CB18FF" w:rsidRPr="00447B91">
      <w:rPr>
        <w:color w:val="D9D9D9" w:themeColor="background1" w:themeShade="D9"/>
      </w:rPr>
      <w:instrText xml:space="preserve"> SAVEDATE \@ DD.MM.YY </w:instrText>
    </w:r>
    <w:r w:rsidR="00864AFF" w:rsidRPr="00447B91">
      <w:rPr>
        <w:color w:val="D9D9D9" w:themeColor="background1" w:themeShade="D9"/>
      </w:rPr>
      <w:fldChar w:fldCharType="separate"/>
    </w:r>
    <w:r w:rsidR="00C7252D">
      <w:rPr>
        <w:color w:val="D9D9D9" w:themeColor="background1" w:themeShade="D9"/>
      </w:rPr>
      <w:t>04.04.17</w:t>
    </w:r>
    <w:r w:rsidR="00864AFF" w:rsidRPr="00447B91">
      <w:rPr>
        <w:color w:val="D9D9D9" w:themeColor="background1" w:themeShade="D9"/>
      </w:rPr>
      <w:fldChar w:fldCharType="end"/>
    </w:r>
    <w:r w:rsidR="00CB18FF" w:rsidRPr="00447B91">
      <w:rPr>
        <w:color w:val="D9D9D9" w:themeColor="background1" w:themeShade="D9"/>
      </w:rPr>
      <w:tab/>
    </w:r>
    <w:r w:rsidR="00864AFF" w:rsidRPr="00447B91">
      <w:rPr>
        <w:color w:val="D9D9D9" w:themeColor="background1" w:themeShade="D9"/>
      </w:rPr>
      <w:fldChar w:fldCharType="begin"/>
    </w:r>
    <w:r w:rsidR="00CB18FF" w:rsidRPr="00447B91">
      <w:rPr>
        <w:color w:val="D9D9D9" w:themeColor="background1" w:themeShade="D9"/>
      </w:rPr>
      <w:instrText xml:space="preserve"> PRINTDATE \@ DD.MM.YY </w:instrText>
    </w:r>
    <w:r w:rsidR="00864AFF" w:rsidRPr="00447B91">
      <w:rPr>
        <w:color w:val="D9D9D9" w:themeColor="background1" w:themeShade="D9"/>
      </w:rPr>
      <w:fldChar w:fldCharType="separate"/>
    </w:r>
    <w:r w:rsidR="00771C97" w:rsidRPr="00447B91">
      <w:rPr>
        <w:color w:val="D9D9D9" w:themeColor="background1" w:themeShade="D9"/>
      </w:rPr>
      <w:t>18.07.00</w:t>
    </w:r>
    <w:r w:rsidR="00864AFF" w:rsidRPr="00447B91">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8570D" w14:textId="77777777" w:rsidR="00322D0D" w:rsidRDefault="00322D0D">
    <w:pPr>
      <w:spacing w:after="120"/>
      <w:jc w:val="center"/>
    </w:pPr>
    <w:r>
      <w:t xml:space="preserve">• </w:t>
    </w:r>
    <w:hyperlink r:id="rId1" w:history="1">
      <w:r>
        <w:rPr>
          <w:rStyle w:val="Hyperlink"/>
        </w:rPr>
        <w:t>http://www.itu.int/council</w:t>
      </w:r>
    </w:hyperlink>
    <w:r>
      <w:t xml:space="preserve"> •</w:t>
    </w:r>
  </w:p>
  <w:p w14:paraId="1198570E" w14:textId="77777777" w:rsidR="00322D0D" w:rsidRPr="00447B91" w:rsidRDefault="00447B91">
    <w:pPr>
      <w:pStyle w:val="Footer"/>
      <w:rPr>
        <w:color w:val="D9D9D9" w:themeColor="background1" w:themeShade="D9"/>
      </w:rPr>
    </w:pPr>
    <w:r w:rsidRPr="00447B91">
      <w:rPr>
        <w:color w:val="D9D9D9" w:themeColor="background1" w:themeShade="D9"/>
      </w:rPr>
      <w:fldChar w:fldCharType="begin"/>
    </w:r>
    <w:r w:rsidRPr="00447B91">
      <w:rPr>
        <w:color w:val="D9D9D9" w:themeColor="background1" w:themeShade="D9"/>
      </w:rPr>
      <w:instrText xml:space="preserve"> FILENAME \p  \* MERGEFORMAT </w:instrText>
    </w:r>
    <w:r w:rsidRPr="00447B91">
      <w:rPr>
        <w:color w:val="D9D9D9" w:themeColor="background1" w:themeShade="D9"/>
      </w:rPr>
      <w:fldChar w:fldCharType="separate"/>
    </w:r>
    <w:r w:rsidR="00771C97" w:rsidRPr="00447B91">
      <w:rPr>
        <w:color w:val="D9D9D9" w:themeColor="background1" w:themeShade="D9"/>
      </w:rPr>
      <w:t>Document1</w:t>
    </w:r>
    <w:r w:rsidRPr="00447B91">
      <w:rPr>
        <w:color w:val="D9D9D9" w:themeColor="background1" w:themeShade="D9"/>
      </w:rPr>
      <w:fldChar w:fldCharType="end"/>
    </w:r>
    <w:r w:rsidR="00322D0D" w:rsidRPr="00447B91">
      <w:rPr>
        <w:color w:val="D9D9D9" w:themeColor="background1" w:themeShade="D9"/>
      </w:rPr>
      <w:tab/>
    </w:r>
    <w:r w:rsidR="00864AFF" w:rsidRPr="00447B91">
      <w:rPr>
        <w:color w:val="D9D9D9" w:themeColor="background1" w:themeShade="D9"/>
      </w:rPr>
      <w:fldChar w:fldCharType="begin"/>
    </w:r>
    <w:r w:rsidR="00322D0D" w:rsidRPr="00447B91">
      <w:rPr>
        <w:color w:val="D9D9D9" w:themeColor="background1" w:themeShade="D9"/>
      </w:rPr>
      <w:instrText xml:space="preserve"> SAVEDATE \@ DD.MM.YY </w:instrText>
    </w:r>
    <w:r w:rsidR="00864AFF" w:rsidRPr="00447B91">
      <w:rPr>
        <w:color w:val="D9D9D9" w:themeColor="background1" w:themeShade="D9"/>
      </w:rPr>
      <w:fldChar w:fldCharType="separate"/>
    </w:r>
    <w:r w:rsidR="00C7252D">
      <w:rPr>
        <w:color w:val="D9D9D9" w:themeColor="background1" w:themeShade="D9"/>
      </w:rPr>
      <w:t>04.04.17</w:t>
    </w:r>
    <w:r w:rsidR="00864AFF" w:rsidRPr="00447B91">
      <w:rPr>
        <w:color w:val="D9D9D9" w:themeColor="background1" w:themeShade="D9"/>
      </w:rPr>
      <w:fldChar w:fldCharType="end"/>
    </w:r>
    <w:r w:rsidR="00322D0D" w:rsidRPr="00447B91">
      <w:rPr>
        <w:color w:val="D9D9D9" w:themeColor="background1" w:themeShade="D9"/>
      </w:rPr>
      <w:tab/>
    </w:r>
    <w:r w:rsidR="00864AFF" w:rsidRPr="00447B91">
      <w:rPr>
        <w:color w:val="D9D9D9" w:themeColor="background1" w:themeShade="D9"/>
      </w:rPr>
      <w:fldChar w:fldCharType="begin"/>
    </w:r>
    <w:r w:rsidR="00322D0D" w:rsidRPr="00447B91">
      <w:rPr>
        <w:color w:val="D9D9D9" w:themeColor="background1" w:themeShade="D9"/>
      </w:rPr>
      <w:instrText xml:space="preserve"> PRINTDATE \@ DD.MM.YY </w:instrText>
    </w:r>
    <w:r w:rsidR="00864AFF" w:rsidRPr="00447B91">
      <w:rPr>
        <w:color w:val="D9D9D9" w:themeColor="background1" w:themeShade="D9"/>
      </w:rPr>
      <w:fldChar w:fldCharType="separate"/>
    </w:r>
    <w:r w:rsidR="00771C97" w:rsidRPr="00447B91">
      <w:rPr>
        <w:color w:val="D9D9D9" w:themeColor="background1" w:themeShade="D9"/>
      </w:rPr>
      <w:t>18.07.00</w:t>
    </w:r>
    <w:r w:rsidR="00864AFF" w:rsidRPr="00447B91">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85706" w14:textId="77777777" w:rsidR="00771C97" w:rsidRDefault="00771C97">
      <w:r>
        <w:t>____________________</w:t>
      </w:r>
    </w:p>
  </w:footnote>
  <w:footnote w:type="continuationSeparator" w:id="0">
    <w:p w14:paraId="11985707" w14:textId="77777777" w:rsidR="00771C97" w:rsidRDefault="00771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8570A" w14:textId="77777777" w:rsidR="00322D0D" w:rsidRDefault="006535F1" w:rsidP="00CE433C">
    <w:pPr>
      <w:pStyle w:val="Header"/>
    </w:pPr>
    <w:r>
      <w:fldChar w:fldCharType="begin"/>
    </w:r>
    <w:r>
      <w:instrText>PAGE</w:instrText>
    </w:r>
    <w:r>
      <w:fldChar w:fldCharType="separate"/>
    </w:r>
    <w:r w:rsidR="00C7252D">
      <w:rPr>
        <w:noProof/>
      </w:rPr>
      <w:t>2</w:t>
    </w:r>
    <w:r>
      <w:rPr>
        <w:noProof/>
      </w:rPr>
      <w:fldChar w:fldCharType="end"/>
    </w:r>
  </w:p>
  <w:p w14:paraId="1198570B" w14:textId="77777777" w:rsidR="00322D0D" w:rsidRDefault="00771C97" w:rsidP="005243FF">
    <w:pPr>
      <w:pStyle w:val="Header"/>
    </w:pPr>
    <w:r>
      <w:t>C17/43-E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13D1F11"/>
    <w:multiLevelType w:val="hybridMultilevel"/>
    <w:tmpl w:val="E72034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CA77AF"/>
    <w:multiLevelType w:val="hybridMultilevel"/>
    <w:tmpl w:val="77F67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97"/>
    <w:rsid w:val="000210D4"/>
    <w:rsid w:val="00063016"/>
    <w:rsid w:val="00066795"/>
    <w:rsid w:val="00076AF6"/>
    <w:rsid w:val="00085CF2"/>
    <w:rsid w:val="000B1705"/>
    <w:rsid w:val="000D75B2"/>
    <w:rsid w:val="001121F5"/>
    <w:rsid w:val="00137B3F"/>
    <w:rsid w:val="001400DC"/>
    <w:rsid w:val="00140CE1"/>
    <w:rsid w:val="0017539C"/>
    <w:rsid w:val="00175AC2"/>
    <w:rsid w:val="0017609F"/>
    <w:rsid w:val="001C628E"/>
    <w:rsid w:val="001E0F7B"/>
    <w:rsid w:val="002119FD"/>
    <w:rsid w:val="002130E0"/>
    <w:rsid w:val="002352DA"/>
    <w:rsid w:val="00264425"/>
    <w:rsid w:val="00265875"/>
    <w:rsid w:val="0027303B"/>
    <w:rsid w:val="0028109B"/>
    <w:rsid w:val="002B1F58"/>
    <w:rsid w:val="002C1C7A"/>
    <w:rsid w:val="002E4D45"/>
    <w:rsid w:val="0030160F"/>
    <w:rsid w:val="00322D0D"/>
    <w:rsid w:val="003942D4"/>
    <w:rsid w:val="003958A8"/>
    <w:rsid w:val="003C2533"/>
    <w:rsid w:val="0040435A"/>
    <w:rsid w:val="00416A24"/>
    <w:rsid w:val="00431D9E"/>
    <w:rsid w:val="00433CE8"/>
    <w:rsid w:val="00434A5C"/>
    <w:rsid w:val="00447B91"/>
    <w:rsid w:val="004544D9"/>
    <w:rsid w:val="00490E72"/>
    <w:rsid w:val="00491157"/>
    <w:rsid w:val="004921C8"/>
    <w:rsid w:val="004D1851"/>
    <w:rsid w:val="004D599D"/>
    <w:rsid w:val="004E2EA5"/>
    <w:rsid w:val="004E3AEB"/>
    <w:rsid w:val="0050223C"/>
    <w:rsid w:val="005243FF"/>
    <w:rsid w:val="00564FBC"/>
    <w:rsid w:val="00582442"/>
    <w:rsid w:val="0062222B"/>
    <w:rsid w:val="0064737F"/>
    <w:rsid w:val="006535F1"/>
    <w:rsid w:val="0065557D"/>
    <w:rsid w:val="00662984"/>
    <w:rsid w:val="006716BB"/>
    <w:rsid w:val="006B6680"/>
    <w:rsid w:val="006B6DCC"/>
    <w:rsid w:val="00702DEF"/>
    <w:rsid w:val="00706861"/>
    <w:rsid w:val="0075051B"/>
    <w:rsid w:val="00771C97"/>
    <w:rsid w:val="00794D34"/>
    <w:rsid w:val="00813E5E"/>
    <w:rsid w:val="0083581B"/>
    <w:rsid w:val="00864AFF"/>
    <w:rsid w:val="008B4A6A"/>
    <w:rsid w:val="008C7E27"/>
    <w:rsid w:val="009173EF"/>
    <w:rsid w:val="00932906"/>
    <w:rsid w:val="00961B0B"/>
    <w:rsid w:val="009B38C3"/>
    <w:rsid w:val="009E17BD"/>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7252D"/>
    <w:rsid w:val="00CA6393"/>
    <w:rsid w:val="00CB18FF"/>
    <w:rsid w:val="00CD0C08"/>
    <w:rsid w:val="00CE03FB"/>
    <w:rsid w:val="00CE433C"/>
    <w:rsid w:val="00CE5943"/>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66A6B"/>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98565B"/>
  <w15:docId w15:val="{E2817501-8DA0-4055-B699-E6B3E6E4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47B91"/>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771C9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2Char">
    <w:name w:val="Heading 2 Char"/>
    <w:basedOn w:val="DefaultParagraphFont"/>
    <w:link w:val="Heading2"/>
    <w:uiPriority w:val="9"/>
    <w:rsid w:val="00771C97"/>
    <w:rPr>
      <w:rFonts w:ascii="Calibri" w:hAnsi="Calibri"/>
      <w:b/>
      <w:sz w:val="24"/>
      <w:lang w:val="en-GB" w:eastAsia="en-US"/>
    </w:rPr>
  </w:style>
  <w:style w:type="table" w:styleId="TableGrid">
    <w:name w:val="Table Grid"/>
    <w:basedOn w:val="TableNormal"/>
    <w:uiPriority w:val="39"/>
    <w:rsid w:val="00771C9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C97"/>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Heading1Char">
    <w:name w:val="Heading 1 Char"/>
    <w:basedOn w:val="DefaultParagraphFont"/>
    <w:link w:val="Heading1"/>
    <w:uiPriority w:val="9"/>
    <w:rsid w:val="00771C97"/>
    <w:rPr>
      <w:rFonts w:ascii="Calibri" w:hAnsi="Calibri"/>
      <w:b/>
      <w:sz w:val="28"/>
      <w:lang w:val="en-GB" w:eastAsia="en-US"/>
    </w:rPr>
  </w:style>
  <w:style w:type="paragraph" w:customStyle="1" w:styleId="Body">
    <w:name w:val="Body"/>
    <w:rsid w:val="00771C97"/>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6-CL-C-0096/en" TargetMode="External"/><Relationship Id="rId18" Type="http://schemas.openxmlformats.org/officeDocument/2006/relationships/hyperlink" Target="http://www.itu.int/md/S14-PP-C-0091/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S16-CL-C-0096/en" TargetMode="External"/><Relationship Id="rId7" Type="http://schemas.openxmlformats.org/officeDocument/2006/relationships/settings" Target="settings.xml"/><Relationship Id="rId12" Type="http://schemas.openxmlformats.org/officeDocument/2006/relationships/hyperlink" Target="https://www.itu.int/md/S16-CL-C-0069/en" TargetMode="External"/><Relationship Id="rId17" Type="http://schemas.openxmlformats.org/officeDocument/2006/relationships/hyperlink" Target="https://www.itu.int/md/S14-CL-C-0111/en" TargetMode="External"/><Relationship Id="rId25" Type="http://schemas.openxmlformats.org/officeDocument/2006/relationships/hyperlink" Target="https://www.itu.int/md/S14-CL-C-0102/en" TargetMode="External"/><Relationship Id="rId2" Type="http://schemas.openxmlformats.org/officeDocument/2006/relationships/customXml" Target="../customXml/item2.xml"/><Relationship Id="rId16" Type="http://schemas.openxmlformats.org/officeDocument/2006/relationships/hyperlink" Target="http://www.itu.int/md/S16-CL-160525-DL-0007/en" TargetMode="External"/><Relationship Id="rId20" Type="http://schemas.openxmlformats.org/officeDocument/2006/relationships/hyperlink" Target="https://www.itu.int/md/S16-CL-C-0079/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pub/T-RES-T.85-2016" TargetMode="External"/><Relationship Id="rId5" Type="http://schemas.openxmlformats.org/officeDocument/2006/relationships/numbering" Target="numbering.xml"/><Relationship Id="rId15" Type="http://schemas.openxmlformats.org/officeDocument/2006/relationships/hyperlink" Target="http://www.itu.int/md/S14-PP-141020-TD-0063/en" TargetMode="External"/><Relationship Id="rId23" Type="http://schemas.openxmlformats.org/officeDocument/2006/relationships/hyperlink" Target="https://www.itu.int/md/S16-CL-C-0096/en"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16-CL-C-006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15-CLCWGFHRM5-C-0025/en" TargetMode="External"/><Relationship Id="rId22" Type="http://schemas.openxmlformats.org/officeDocument/2006/relationships/hyperlink" Target="https://www.itu.int/md/S16-CL-C-0069/en"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9CFAE3DE746A4685A8753B6C2499EA" ma:contentTypeVersion="0" ma:contentTypeDescription="Create a new document." ma:contentTypeScope="" ma:versionID="7a8b0435e6fb22d8444e7940a317a1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EFB1-CD1D-457C-95B3-52D8EFD8C700}">
  <ds:schemaRefs>
    <ds:schemaRef ds:uri="http://schemas.microsoft.com/sharepoint/v3/contenttype/forms"/>
  </ds:schemaRefs>
</ds:datastoreItem>
</file>

<file path=customXml/itemProps2.xml><?xml version="1.0" encoding="utf-8"?>
<ds:datastoreItem xmlns:ds="http://schemas.openxmlformats.org/officeDocument/2006/customXml" ds:itemID="{B6C32E54-211F-4D0E-A132-21270CEF6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497919-43DC-4101-B89C-5E55B8D83C44}">
  <ds:schemaRefs>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517CD02-94E5-469D-A186-9849B1FC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5</TotalTime>
  <Pages>4</Pages>
  <Words>1429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Proposals to increase revenues from INRs</vt:lpstr>
    </vt:vector>
  </TitlesOfParts>
  <Manager>General Secretariat - Pool</Manager>
  <Company>International Telecommunication Union (ITU)</Company>
  <LinksUpToDate>false</LinksUpToDate>
  <CharactersWithSpaces>10070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to increase revenues from INRs</dc:title>
  <dc:subject>Council 2017</dc:subject>
  <dc:creator/>
  <cp:keywords>C2017, C17</cp:keywords>
  <dc:description/>
  <cp:lastModifiedBy>Brouard, Ricarda</cp:lastModifiedBy>
  <cp:revision>4</cp:revision>
  <cp:lastPrinted>2000-07-18T13:30:00Z</cp:lastPrinted>
  <dcterms:created xsi:type="dcterms:W3CDTF">2017-04-04T13:18:00Z</dcterms:created>
  <dcterms:modified xsi:type="dcterms:W3CDTF">2017-04-07T07:47:00Z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0x010100439CFAE3DE746A4685A8753B6C2499EA</vt:lpwstr>
  </property>
</Properties>
</file>