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82240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b/>
              </w:rPr>
              <w:t>Punto del orden del día: ADM 19</w:t>
            </w:r>
          </w:p>
        </w:tc>
        <w:tc>
          <w:tcPr>
            <w:tcW w:w="3261" w:type="dxa"/>
          </w:tcPr>
          <w:p w:rsidR="00093EEB" w:rsidRPr="00093EEB" w:rsidRDefault="00093EEB" w:rsidP="0082240B">
            <w:pPr>
              <w:spacing w:before="0"/>
              <w:rPr>
                <w:b/>
                <w:bCs/>
                <w:szCs w:val="24"/>
              </w:rPr>
            </w:pPr>
            <w:r>
              <w:rPr>
                <w:b/>
                <w:bCs/>
                <w:szCs w:val="24"/>
              </w:rPr>
              <w:t>Documento C17/</w:t>
            </w:r>
            <w:r w:rsidR="0082240B">
              <w:rPr>
                <w:b/>
                <w:bCs/>
                <w:szCs w:val="24"/>
              </w:rPr>
              <w:t>43</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82240B" w:rsidP="00093EEB">
            <w:pPr>
              <w:spacing w:before="0"/>
              <w:rPr>
                <w:b/>
                <w:bCs/>
                <w:szCs w:val="24"/>
              </w:rPr>
            </w:pPr>
            <w:r>
              <w:rPr>
                <w:b/>
                <w:bCs/>
                <w:szCs w:val="24"/>
              </w:rPr>
              <w:t>31 de marzo</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82240B">
            <w:pPr>
              <w:pStyle w:val="Source"/>
            </w:pPr>
            <w:bookmarkStart w:id="7" w:name="dsource" w:colFirst="0" w:colLast="0"/>
            <w:bookmarkEnd w:id="1"/>
            <w:bookmarkEnd w:id="6"/>
            <w:r>
              <w:t>Informe del Secretario General</w:t>
            </w:r>
          </w:p>
        </w:tc>
      </w:tr>
      <w:tr w:rsidR="00093EEB" w:rsidRPr="000B0D00">
        <w:trPr>
          <w:cantSplit/>
        </w:trPr>
        <w:tc>
          <w:tcPr>
            <w:tcW w:w="10173" w:type="dxa"/>
            <w:gridSpan w:val="2"/>
          </w:tcPr>
          <w:p w:rsidR="00093EEB" w:rsidRPr="000B0D00" w:rsidRDefault="0082240B" w:rsidP="0082240B">
            <w:pPr>
              <w:pStyle w:val="Title1"/>
            </w:pPr>
            <w:bookmarkStart w:id="8" w:name="dtitle1" w:colFirst="0" w:colLast="0"/>
            <w:bookmarkEnd w:id="7"/>
            <w:r>
              <w:t>PROPUESTAS PARA AUMENTAR LOS INGRESOS</w:t>
            </w:r>
            <w:r>
              <w:br/>
              <w:t>CON LOS RECURSOS DE NUMERACIÓN INTERNACIONAL (INR)</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60F9F">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82240B">
            <w:pPr>
              <w:rPr>
                <w:lang w:val="es-ES"/>
              </w:rPr>
            </w:pPr>
            <w:r>
              <w:t>A raíz del debate celebrado en la reunión de 2016 del Consejo se ha elaborado el presente informe en el que se resumen las implicaciones financieras de dos propuestas para aumentar los ingresos con INR: 1) cobrar una tasa anual por UIFN e IIN; 2) aumentar la tasa de inscripción única por UIFN e IIN.</w:t>
            </w:r>
          </w:p>
          <w:p w:rsidR="00093EEB" w:rsidRPr="000B0D00" w:rsidRDefault="00093EEB">
            <w:pPr>
              <w:pStyle w:val="Headingb"/>
              <w:rPr>
                <w:lang w:val="es-ES"/>
              </w:rPr>
            </w:pPr>
            <w:r w:rsidRPr="000B0D00">
              <w:rPr>
                <w:lang w:val="es-ES"/>
              </w:rPr>
              <w:t>Acción solicitada</w:t>
            </w:r>
          </w:p>
          <w:p w:rsidR="00093EEB" w:rsidRPr="000B0D00" w:rsidRDefault="0082240B">
            <w:pPr>
              <w:rPr>
                <w:lang w:val="es-ES"/>
              </w:rPr>
            </w:pPr>
            <w:r>
              <w:t xml:space="preserve">Se invita al Consejo a </w:t>
            </w:r>
            <w:r>
              <w:rPr>
                <w:b/>
              </w:rPr>
              <w:t>tomar nota</w:t>
            </w:r>
            <w:r>
              <w:t xml:space="preserve"> de las propuestas de este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82240B">
              <w:rPr>
                <w:lang w:val="es-ES"/>
              </w:rPr>
              <w:t>s</w:t>
            </w:r>
          </w:p>
          <w:p w:rsidR="00093EEB" w:rsidRPr="004F4118" w:rsidRDefault="00DE6138" w:rsidP="00960F9F">
            <w:pPr>
              <w:spacing w:after="120"/>
              <w:rPr>
                <w:i/>
                <w:iCs/>
              </w:rPr>
            </w:pPr>
            <w:hyperlink r:id="rId8" w:history="1">
              <w:r w:rsidR="0082240B" w:rsidRPr="004F4118">
                <w:rPr>
                  <w:rStyle w:val="Hyperlink"/>
                </w:rPr>
                <w:t>C16/69</w:t>
              </w:r>
            </w:hyperlink>
            <w:r w:rsidR="0082240B" w:rsidRPr="004F4118">
              <w:t xml:space="preserve">, </w:t>
            </w:r>
            <w:hyperlink r:id="rId9" w:history="1">
              <w:r w:rsidR="0082240B" w:rsidRPr="004F4118">
                <w:rPr>
                  <w:rStyle w:val="Hyperlink"/>
                </w:rPr>
                <w:t>C16/96</w:t>
              </w:r>
            </w:hyperlink>
            <w:r w:rsidR="0082240B" w:rsidRPr="004F4118">
              <w:t xml:space="preserve">, </w:t>
            </w:r>
            <w:hyperlink r:id="rId10" w:history="1">
              <w:r w:rsidR="0082240B" w:rsidRPr="004F4118">
                <w:rPr>
                  <w:rStyle w:val="Hyperlink"/>
                </w:rPr>
                <w:t>CWG-FHR 5/25</w:t>
              </w:r>
            </w:hyperlink>
            <w:r w:rsidR="0082240B" w:rsidRPr="004F4118">
              <w:t xml:space="preserve">, </w:t>
            </w:r>
            <w:hyperlink r:id="rId11" w:history="1">
              <w:r w:rsidR="0082240B" w:rsidRPr="004F4118">
                <w:rPr>
                  <w:rStyle w:val="Hyperlink"/>
                </w:rPr>
                <w:t>DT/63</w:t>
              </w:r>
            </w:hyperlink>
            <w:r w:rsidR="0082240B" w:rsidRPr="004F4118">
              <w:t xml:space="preserve">, </w:t>
            </w:r>
            <w:hyperlink r:id="rId12" w:history="1">
              <w:r w:rsidR="0082240B" w:rsidRPr="004F4118">
                <w:rPr>
                  <w:rStyle w:val="Hyperlink"/>
                </w:rPr>
                <w:t>C16/DL/7</w:t>
              </w:r>
            </w:hyperlink>
            <w:r w:rsidR="0082240B" w:rsidRPr="004F4118">
              <w:t xml:space="preserve">, </w:t>
            </w:r>
            <w:hyperlink r:id="rId13" w:history="1">
              <w:r w:rsidR="0082240B" w:rsidRPr="004F4118">
                <w:rPr>
                  <w:rStyle w:val="Hyperlink"/>
                </w:rPr>
                <w:t>C14/111</w:t>
              </w:r>
            </w:hyperlink>
            <w:r w:rsidR="0082240B" w:rsidRPr="004F4118">
              <w:t xml:space="preserve">, </w:t>
            </w:r>
            <w:hyperlink r:id="rId14" w:history="1">
              <w:r w:rsidR="0082240B" w:rsidRPr="004F4118">
                <w:rPr>
                  <w:rStyle w:val="Hyperlink"/>
                </w:rPr>
                <w:t>PP14/91</w:t>
              </w:r>
            </w:hyperlink>
          </w:p>
        </w:tc>
      </w:tr>
    </w:tbl>
    <w:p w:rsidR="0082240B" w:rsidRPr="00771C97" w:rsidRDefault="0082240B" w:rsidP="003A23E8">
      <w:pPr>
        <w:pStyle w:val="Heading1"/>
      </w:pPr>
      <w:r>
        <w:t>A</w:t>
      </w:r>
      <w:r>
        <w:tab/>
        <w:t>Antecedentes</w:t>
      </w:r>
    </w:p>
    <w:p w:rsidR="0082240B" w:rsidRPr="00771C97" w:rsidRDefault="003A23E8" w:rsidP="003A23E8">
      <w:r>
        <w:t>1</w:t>
      </w:r>
      <w:r w:rsidR="0082240B">
        <w:tab/>
        <w:t xml:space="preserve">Habida cuenta de la Resolución 158 (Guadalajara, 2010) en la que se resuelve encargar al Consejo que estudie la posibilidad de generar ingresos adicionales para la UIT, posiblemente mediante la definición de nuevas fuentes de financiación que no estén relacionadas con las unidades contributivas, desde 2014 se debate la cuestión de generación de ingresos con INR en las reuniones del Consejo, la PP-14 y el GTC-RHF. De acuerdo con lo dispuesto en la reunión de 2014 del Consejo se creó un grupo de expertos dependiente de la CE 2 del UIT-T que sometió su informe al Director de la TSB. Se llevó a cabo una consulta oficial y su resultado se sometió a la reunión de 2015 del Consejo. Para más información, véase: </w:t>
      </w:r>
      <w:r w:rsidR="0082240B">
        <w:br/>
      </w:r>
      <w:hyperlink r:id="rId15" w:history="1">
        <w:r w:rsidR="0082240B">
          <w:rPr>
            <w:rStyle w:val="Hyperlink"/>
            <w:rFonts w:asciiTheme="minorHAnsi" w:hAnsiTheme="minorHAnsi"/>
            <w:szCs w:val="24"/>
          </w:rPr>
          <w:t>https://www.itu.int/net/ITU-T/forms/qs-inr-ms/rev-gen-inr.aspx</w:t>
        </w:r>
      </w:hyperlink>
      <w:r w:rsidR="0082240B">
        <w:t xml:space="preserve">. </w:t>
      </w:r>
    </w:p>
    <w:p w:rsidR="0082240B" w:rsidRPr="00771C97" w:rsidRDefault="0082240B" w:rsidP="004F4118">
      <w:r>
        <w:t>2</w:t>
      </w:r>
      <w:r>
        <w:tab/>
        <w:t xml:space="preserve">El debate sobre la generación de ingresos con INR siguió en la reunión de 2016 del Consejo. La TSB presentó el </w:t>
      </w:r>
      <w:r w:rsidR="004F4118">
        <w:t xml:space="preserve">Documento </w:t>
      </w:r>
      <w:hyperlink r:id="rId16" w:history="1">
        <w:r>
          <w:rPr>
            <w:rStyle w:val="Hyperlink"/>
            <w:rFonts w:asciiTheme="minorHAnsi" w:hAnsiTheme="minorHAnsi"/>
            <w:szCs w:val="24"/>
          </w:rPr>
          <w:t>C16/69</w:t>
        </w:r>
      </w:hyperlink>
      <w:r>
        <w:t xml:space="preserve"> en el que se resumen las actividades de la UIT relativas a la generación de ingresos con INR desde la reunión de 2014 del Consejo a raíz de la petición del GTC</w:t>
      </w:r>
      <w:r w:rsidR="004F4118">
        <w:noBreakHyphen/>
      </w:r>
      <w:r>
        <w:t xml:space="preserve">RHF de </w:t>
      </w:r>
      <w:r w:rsidR="00B667B1">
        <w:t>"</w:t>
      </w:r>
      <w:r>
        <w:t>que todos los documentos pertinentes deben estar a disposición</w:t>
      </w:r>
      <w:r w:rsidR="00B667B1">
        <w:t>"</w:t>
      </w:r>
      <w:r>
        <w:t xml:space="preserve"> de la reunión de 2016 del C</w:t>
      </w:r>
      <w:r w:rsidR="004F4118">
        <w:t xml:space="preserve">onsejo. Estados Unidos y </w:t>
      </w:r>
      <w:r>
        <w:t xml:space="preserve">Arabia Saudita presentaron los </w:t>
      </w:r>
      <w:r w:rsidR="004F4118">
        <w:t xml:space="preserve">Documentos </w:t>
      </w:r>
      <w:hyperlink r:id="rId17" w:history="1">
        <w:r>
          <w:rPr>
            <w:rStyle w:val="Hyperlink"/>
            <w:rFonts w:asciiTheme="minorHAnsi" w:hAnsiTheme="minorHAnsi"/>
            <w:szCs w:val="24"/>
          </w:rPr>
          <w:t>C16/79</w:t>
        </w:r>
      </w:hyperlink>
      <w:r>
        <w:t xml:space="preserve"> y </w:t>
      </w:r>
      <w:hyperlink r:id="rId18" w:history="1">
        <w:r>
          <w:rPr>
            <w:rStyle w:val="Hyperlink"/>
            <w:rFonts w:asciiTheme="minorHAnsi" w:hAnsiTheme="minorHAnsi"/>
            <w:szCs w:val="24"/>
          </w:rPr>
          <w:t>C16/96</w:t>
        </w:r>
      </w:hyperlink>
      <w:r>
        <w:t xml:space="preserve">, respectivamente, en los que mostraban sus puntos de vista sobre la generación de ingresos con </w:t>
      </w:r>
      <w:r>
        <w:lastRenderedPageBreak/>
        <w:t xml:space="preserve">INR. Algunos </w:t>
      </w:r>
      <w:r w:rsidR="008A645C">
        <w:t xml:space="preserve">consejeros </w:t>
      </w:r>
      <w:r>
        <w:t xml:space="preserve">expresaron su apoyo a las recomendaciones del </w:t>
      </w:r>
      <w:r w:rsidR="008A645C">
        <w:t xml:space="preserve">Documento </w:t>
      </w:r>
      <w:hyperlink r:id="rId19" w:history="1">
        <w:r>
          <w:rPr>
            <w:rStyle w:val="Hyperlink"/>
            <w:rFonts w:asciiTheme="minorHAnsi" w:hAnsiTheme="minorHAnsi"/>
            <w:szCs w:val="24"/>
          </w:rPr>
          <w:t>C16/69</w:t>
        </w:r>
      </w:hyperlink>
      <w:r>
        <w:t xml:space="preserve"> y a la propuesta del </w:t>
      </w:r>
      <w:r w:rsidR="008A645C">
        <w:t xml:space="preserve">Documento </w:t>
      </w:r>
      <w:hyperlink r:id="rId20" w:history="1">
        <w:r>
          <w:rPr>
            <w:rStyle w:val="Hyperlink"/>
            <w:rFonts w:asciiTheme="minorHAnsi" w:hAnsiTheme="minorHAnsi"/>
            <w:szCs w:val="24"/>
          </w:rPr>
          <w:t>C16/96</w:t>
        </w:r>
      </w:hyperlink>
      <w:r>
        <w:t xml:space="preserve"> relativas a la generación de ingresos con INR como parte de la labor general de la UIT por aplicar la Resolución 158 y la Decisión 5 de la PP. Otros se mostraron en desacuerdo con la idea puesto que no veían la necesidad de seguir haciendo estudios al respecto. No hubo consenso. El Consejo encargó a la Secretaría que sometiera a la reunión de 2017 del Consejo las implicaciones financieras de las propuestas sobre los INR debatidas en la reunión de 2016 del Consejo, teniendo en cuenta los distintos puntos de vista expresados por los </w:t>
      </w:r>
      <w:r w:rsidR="008A645C">
        <w:t>consejeros</w:t>
      </w:r>
      <w:r>
        <w:t>.</w:t>
      </w:r>
    </w:p>
    <w:p w:rsidR="0082240B" w:rsidRPr="00771C97" w:rsidRDefault="0082240B" w:rsidP="008A645C">
      <w:r>
        <w:t>3</w:t>
      </w:r>
      <w:r>
        <w:tab/>
        <w:t xml:space="preserve">En la reunión de 2016 de la AMNT se aprobó la </w:t>
      </w:r>
      <w:hyperlink r:id="rId21" w:history="1">
        <w:r>
          <w:rPr>
            <w:rStyle w:val="Hyperlink"/>
            <w:rFonts w:asciiTheme="minorHAnsi" w:hAnsiTheme="minorHAnsi"/>
            <w:szCs w:val="24"/>
          </w:rPr>
          <w:t xml:space="preserve">Resolución 85 </w:t>
        </w:r>
        <w:r w:rsidR="00B667B1">
          <w:rPr>
            <w:rStyle w:val="Hyperlink"/>
            <w:rFonts w:asciiTheme="minorHAnsi" w:hAnsiTheme="minorHAnsi"/>
            <w:szCs w:val="24"/>
          </w:rPr>
          <w:t>"</w:t>
        </w:r>
        <w:r>
          <w:rPr>
            <w:rStyle w:val="Hyperlink"/>
            <w:rFonts w:asciiTheme="minorHAnsi" w:hAnsiTheme="minorHAnsi"/>
            <w:szCs w:val="24"/>
          </w:rPr>
          <w:t>Fortalecimiento y diversificación de los recursos del Sector de Normalización de las Telecomunicaciones de la UIT</w:t>
        </w:r>
        <w:r w:rsidR="00B667B1">
          <w:rPr>
            <w:rStyle w:val="Hyperlink"/>
            <w:rFonts w:asciiTheme="minorHAnsi" w:hAnsiTheme="minorHAnsi"/>
            <w:szCs w:val="24"/>
          </w:rPr>
          <w:t>"</w:t>
        </w:r>
      </w:hyperlink>
      <w:r>
        <w:t xml:space="preserve">, en la que se resolvía encargar al Director de la Oficina de Normalización de las Telecomunicaciones que participase en el estudio indicado en el </w:t>
      </w:r>
      <w:r w:rsidR="008A645C">
        <w:rPr>
          <w:i/>
        </w:rPr>
        <w:t>observando</w:t>
      </w:r>
      <w:r>
        <w:rPr>
          <w:i/>
        </w:rPr>
        <w:t xml:space="preserve"> </w:t>
      </w:r>
      <w:r w:rsidRPr="008A645C">
        <w:rPr>
          <w:iCs/>
        </w:rPr>
        <w:t>b)</w:t>
      </w:r>
      <w:r>
        <w:t xml:space="preserve"> sobre posibles medidas nuevas para generar ingresos adicionales para el UIT-T, incluidos ingresos con INR y pruebas de conformidad e interoperabilidad.</w:t>
      </w:r>
    </w:p>
    <w:p w:rsidR="0082240B" w:rsidRPr="00771C97" w:rsidRDefault="003A23E8" w:rsidP="003A23E8">
      <w:pPr>
        <w:pStyle w:val="Heading1"/>
      </w:pPr>
      <w:r>
        <w:t>B</w:t>
      </w:r>
      <w:r w:rsidR="0082240B">
        <w:tab/>
        <w:t>Propuestas</w:t>
      </w:r>
    </w:p>
    <w:p w:rsidR="0082240B" w:rsidRPr="00771C97" w:rsidRDefault="0082240B" w:rsidP="008A645C">
      <w:r>
        <w:t>4</w:t>
      </w:r>
      <w:r>
        <w:tab/>
        <w:t xml:space="preserve">Desde 2014 se han propuesto y debatido varias opciones de cobro de tasas por INR, entre ellas: aumentar la tasa única por UIFN e IIN, cobrar una tasa anual por UIFN, IIN, SANC/ISCP, MCC/MNC e ICC, cobrar una tasa anual por cada número E.164 o exigir a todos los titulares de INR (incluidos números E.164, MNC </w:t>
      </w:r>
      <w:r w:rsidR="008A645C">
        <w:t>e</w:t>
      </w:r>
      <w:r>
        <w:t xml:space="preserve"> ISPC) ser miembros del UIT-T. En lo que respecta a las tasas anuales, una opción es no distinguir entre </w:t>
      </w:r>
      <w:r w:rsidR="008A645C">
        <w:t xml:space="preserve">miembros </w:t>
      </w:r>
      <w:r>
        <w:t xml:space="preserve">y no </w:t>
      </w:r>
      <w:r w:rsidR="008A645C">
        <w:t>miembros</w:t>
      </w:r>
      <w:r>
        <w:t xml:space="preserve">, y la otra es cobrar únicamente tasas anuales a los no </w:t>
      </w:r>
      <w:r w:rsidR="008A645C">
        <w:t>miembros</w:t>
      </w:r>
      <w:r>
        <w:t>. A continuación se presentan las propuestas debatidas en la reunión de 2016 del Consejo:</w:t>
      </w:r>
    </w:p>
    <w:p w:rsidR="0082240B" w:rsidRPr="003A23E8" w:rsidRDefault="008A645C" w:rsidP="003A23E8">
      <w:pPr>
        <w:pStyle w:val="Heading1"/>
        <w:rPr>
          <w:rFonts w:eastAsiaTheme="minorEastAsia"/>
        </w:rPr>
      </w:pPr>
      <w:r>
        <w:t>5</w:t>
      </w:r>
      <w:r>
        <w:tab/>
      </w:r>
      <w:r w:rsidR="0082240B" w:rsidRPr="003A23E8">
        <w:t>Arabia Saudita presentó la siguiente propuesta (C16/96):</w:t>
      </w:r>
    </w:p>
    <w:p w:rsidR="0082240B" w:rsidRPr="00771C97" w:rsidRDefault="00B667B1" w:rsidP="003A23E8">
      <w:pPr>
        <w:rPr>
          <w:rFonts w:eastAsiaTheme="minorEastAsia" w:cstheme="minorHAnsi"/>
        </w:rPr>
      </w:pPr>
      <w:r>
        <w:t>"</w:t>
      </w:r>
      <w:r w:rsidR="0082240B">
        <w:t xml:space="preserve">Habida cuenta de lo anterior, y como medida para aplicar los </w:t>
      </w:r>
      <w:r w:rsidR="0082240B">
        <w:rPr>
          <w:i/>
        </w:rPr>
        <w:t>encarga</w:t>
      </w:r>
      <w:r w:rsidR="0082240B">
        <w:t xml:space="preserve"> de la Decisión 5 y la Resolución 158, Arabia Saudita propone lo siguiente: </w:t>
      </w:r>
    </w:p>
    <w:p w:rsidR="0082240B" w:rsidRPr="00771C97" w:rsidRDefault="003A23E8" w:rsidP="003A23E8">
      <w:pPr>
        <w:pStyle w:val="enumlev1"/>
        <w:rPr>
          <w:rFonts w:eastAsiaTheme="minorEastAsia" w:cstheme="minorHAnsi"/>
        </w:rPr>
      </w:pPr>
      <w:r>
        <w:t>1)</w:t>
      </w:r>
      <w:r>
        <w:tab/>
      </w:r>
      <w:r w:rsidR="0082240B">
        <w:t>Cobrar una tasa anual por cada UIFN e IIN asignado. Invitamos al Consejo a que encargue al GTC</w:t>
      </w:r>
      <w:r w:rsidR="0082240B">
        <w:rPr>
          <w:rFonts w:ascii="MS Gothic" w:hAnsi="MS Gothic" w:cs="MS Gothic"/>
        </w:rPr>
        <w:t>‑</w:t>
      </w:r>
      <w:r w:rsidR="0082240B">
        <w:t xml:space="preserve">RHF que fije la tasa adecuada teniendo en cuenta las cifras comparables establecidas por el Grupo de Expertos, a saber, 20 CHF por cada UIFN asignado y 100 CHF por cada IIN registrado. </w:t>
      </w:r>
    </w:p>
    <w:p w:rsidR="0082240B" w:rsidRPr="00771C97" w:rsidRDefault="003A23E8" w:rsidP="003A23E8">
      <w:pPr>
        <w:pStyle w:val="enumlev1"/>
        <w:rPr>
          <w:rFonts w:cstheme="minorHAnsi"/>
          <w:szCs w:val="24"/>
        </w:rPr>
      </w:pPr>
      <w:r>
        <w:t>2)</w:t>
      </w:r>
      <w:r>
        <w:tab/>
      </w:r>
      <w:r w:rsidR="0082240B" w:rsidRPr="003A23E8">
        <w:t>Estudiar</w:t>
      </w:r>
      <w:r w:rsidR="0082240B">
        <w:rPr>
          <w:szCs w:val="24"/>
        </w:rPr>
        <w:t xml:space="preserve"> la posibilidad de exigir que los titulares de INR sean miembros del UIT-T</w:t>
      </w:r>
      <w:r w:rsidR="00B667B1">
        <w:rPr>
          <w:szCs w:val="24"/>
        </w:rPr>
        <w:t>"</w:t>
      </w:r>
      <w:r w:rsidR="0082240B">
        <w:rPr>
          <w:szCs w:val="24"/>
        </w:rPr>
        <w:t>.</w:t>
      </w:r>
    </w:p>
    <w:p w:rsidR="0082240B" w:rsidRPr="00771C97" w:rsidRDefault="0082240B" w:rsidP="003A23E8">
      <w:pPr>
        <w:rPr>
          <w:rFonts w:cstheme="minorHAnsi"/>
        </w:rPr>
      </w:pPr>
      <w:r>
        <w:t>A continuación se indican detalladam</w:t>
      </w:r>
      <w:r w:rsidR="008A645C">
        <w:t xml:space="preserve">ente la primera propuesta de </w:t>
      </w:r>
      <w:r>
        <w:t>Arabia Saudita y la propuesta de aumentar las tasas de inscripción únicas por UIFN e IIN, que se debatió en diversas reuniones, teniendo presente que la UIT ya cobra tasas a los titulares de UIFN e IIN.</w:t>
      </w:r>
    </w:p>
    <w:p w:rsidR="0082240B" w:rsidRPr="003A23E8" w:rsidRDefault="0082240B" w:rsidP="001A4D29">
      <w:pPr>
        <w:pStyle w:val="Heading1"/>
      </w:pPr>
      <w:r w:rsidRPr="003A23E8">
        <w:t>C</w:t>
      </w:r>
      <w:r w:rsidRPr="003A23E8">
        <w:tab/>
        <w:t>Análisis de implicaciones financieras</w:t>
      </w:r>
    </w:p>
    <w:p w:rsidR="0082240B" w:rsidRPr="00771C97" w:rsidRDefault="0082240B" w:rsidP="001A4D29">
      <w:pPr>
        <w:keepNext/>
        <w:keepLines/>
        <w:rPr>
          <w:rFonts w:cstheme="minorHAnsi"/>
          <w:u w:color="000000"/>
        </w:rPr>
      </w:pPr>
      <w:r>
        <w:t>6</w:t>
      </w:r>
      <w:r>
        <w:tab/>
      </w:r>
      <w:r w:rsidRPr="003A23E8">
        <w:rPr>
          <w:b/>
          <w:bCs/>
        </w:rPr>
        <w:t>Propuesta 1:</w:t>
      </w:r>
      <w:r w:rsidRPr="003A23E8">
        <w:rPr>
          <w:b/>
          <w:bCs/>
          <w:u w:color="000000"/>
        </w:rPr>
        <w:t xml:space="preserve"> Cobrar una tasa anual de 20 CHF por UIFN y una tasa anual de 100 CHF por IIN</w:t>
      </w:r>
    </w:p>
    <w:p w:rsidR="0082240B" w:rsidRPr="00771C97" w:rsidRDefault="0082240B" w:rsidP="001A4D29">
      <w:pPr>
        <w:keepNext/>
        <w:keepLines/>
      </w:pPr>
      <w:r>
        <w:t>Las hipótesis del modelo propuesto son las siguientes:</w:t>
      </w:r>
    </w:p>
    <w:p w:rsidR="0082240B" w:rsidRPr="00771C97" w:rsidRDefault="003A23E8" w:rsidP="003A23E8">
      <w:pPr>
        <w:pStyle w:val="enumlev1"/>
      </w:pPr>
      <w:r>
        <w:t>•</w:t>
      </w:r>
      <w:r>
        <w:tab/>
      </w:r>
      <w:r w:rsidR="0082240B">
        <w:t>No habrá cambios de las reglas a los procedimientos de asignación actuales, es decir que los números se seguirán asignando como hasta ahora.  Así pues no será posible evitar las autoridades nacionales ni los números nacionales.</w:t>
      </w:r>
    </w:p>
    <w:p w:rsidR="0082240B" w:rsidRPr="00771C97" w:rsidRDefault="003A23E8" w:rsidP="003A23E8">
      <w:pPr>
        <w:pStyle w:val="enumlev1"/>
        <w:rPr>
          <w:rFonts w:asciiTheme="minorHAnsi" w:hAnsiTheme="minorHAnsi"/>
          <w:szCs w:val="24"/>
        </w:rPr>
      </w:pPr>
      <w:r>
        <w:lastRenderedPageBreak/>
        <w:t>•</w:t>
      </w:r>
      <w:r>
        <w:tab/>
      </w:r>
      <w:r w:rsidR="0082240B">
        <w:rPr>
          <w:rFonts w:asciiTheme="minorHAnsi" w:hAnsiTheme="minorHAnsi"/>
          <w:szCs w:val="24"/>
        </w:rPr>
        <w:t>No habrá cambios de los mecanismos actuales de comprobación técnica de las asignaciones y la utilización de recursos asignados.</w:t>
      </w:r>
    </w:p>
    <w:p w:rsidR="0082240B" w:rsidRPr="00771C97" w:rsidRDefault="003A23E8" w:rsidP="003A23E8">
      <w:pPr>
        <w:pStyle w:val="enumlev1"/>
        <w:rPr>
          <w:rFonts w:asciiTheme="minorHAnsi" w:hAnsiTheme="minorHAnsi"/>
          <w:szCs w:val="24"/>
        </w:rPr>
      </w:pPr>
      <w:r>
        <w:t>•</w:t>
      </w:r>
      <w:r>
        <w:tab/>
      </w:r>
      <w:r w:rsidR="0082240B">
        <w:rPr>
          <w:rFonts w:asciiTheme="minorHAnsi" w:hAnsiTheme="minorHAnsi"/>
          <w:szCs w:val="24"/>
        </w:rPr>
        <w:t>Sólo los que no sean miembros del UIT-T en un país determinado pagarán una tasa anual por INR.</w:t>
      </w:r>
    </w:p>
    <w:p w:rsidR="0082240B" w:rsidRPr="00771C97" w:rsidRDefault="003A23E8" w:rsidP="003A23E8">
      <w:pPr>
        <w:pStyle w:val="enumlev1"/>
        <w:rPr>
          <w:rFonts w:asciiTheme="minorHAnsi" w:hAnsiTheme="minorHAnsi"/>
          <w:szCs w:val="24"/>
        </w:rPr>
      </w:pPr>
      <w:r>
        <w:t>•</w:t>
      </w:r>
      <w:r>
        <w:tab/>
      </w:r>
      <w:r w:rsidR="0082240B">
        <w:rPr>
          <w:rFonts w:asciiTheme="minorHAnsi" w:hAnsiTheme="minorHAnsi"/>
          <w:szCs w:val="24"/>
        </w:rPr>
        <w:t>No habrá costo adicional para los Estados Miembros, Miembros de Sector o Asociados del UIT-T en un país determinado.</w:t>
      </w:r>
    </w:p>
    <w:p w:rsidR="0082240B" w:rsidRPr="00771C97" w:rsidRDefault="003A23E8" w:rsidP="003A23E8">
      <w:pPr>
        <w:pStyle w:val="enumlev1"/>
        <w:rPr>
          <w:rFonts w:asciiTheme="minorHAnsi" w:hAnsiTheme="minorHAnsi"/>
          <w:szCs w:val="24"/>
        </w:rPr>
      </w:pPr>
      <w:r>
        <w:t>•</w:t>
      </w:r>
      <w:r>
        <w:tab/>
      </w:r>
      <w:r w:rsidR="0082240B">
        <w:rPr>
          <w:rFonts w:asciiTheme="minorHAnsi" w:hAnsiTheme="minorHAnsi"/>
          <w:szCs w:val="24"/>
        </w:rPr>
        <w:t>Las nuevas tasas no serían retroactivas: el titular no pagará las tasas anuales para los años anteriores.</w:t>
      </w:r>
    </w:p>
    <w:p w:rsidR="0082240B" w:rsidRPr="00771C97" w:rsidRDefault="003A23E8" w:rsidP="00960F9F">
      <w:pPr>
        <w:pStyle w:val="enumlev1"/>
        <w:rPr>
          <w:rFonts w:asciiTheme="minorHAnsi" w:hAnsiTheme="minorHAnsi"/>
          <w:szCs w:val="24"/>
        </w:rPr>
      </w:pPr>
      <w:r>
        <w:t>•</w:t>
      </w:r>
      <w:r>
        <w:tab/>
      </w:r>
      <w:r w:rsidR="0082240B">
        <w:rPr>
          <w:rFonts w:asciiTheme="minorHAnsi" w:hAnsiTheme="minorHAnsi"/>
          <w:szCs w:val="24"/>
        </w:rPr>
        <w:t>Si las tasas anuales totales de un no miembro son superiores a 10</w:t>
      </w:r>
      <w:r w:rsidR="00960F9F">
        <w:rPr>
          <w:rFonts w:asciiTheme="minorHAnsi" w:hAnsiTheme="minorHAnsi"/>
          <w:szCs w:val="24"/>
        </w:rPr>
        <w:t> </w:t>
      </w:r>
      <w:r w:rsidR="0082240B">
        <w:rPr>
          <w:rFonts w:asciiTheme="minorHAnsi" w:hAnsiTheme="minorHAnsi"/>
          <w:szCs w:val="24"/>
        </w:rPr>
        <w:t>600 CHF, se supone que se adherirá como Asociado a una Comisión de Estudio del UIT-T, por 10</w:t>
      </w:r>
      <w:r w:rsidR="00960F9F">
        <w:rPr>
          <w:rFonts w:asciiTheme="minorHAnsi" w:hAnsiTheme="minorHAnsi"/>
          <w:szCs w:val="24"/>
        </w:rPr>
        <w:t> </w:t>
      </w:r>
      <w:r w:rsidR="0082240B">
        <w:rPr>
          <w:rFonts w:asciiTheme="minorHAnsi" w:hAnsiTheme="minorHAnsi"/>
          <w:szCs w:val="24"/>
        </w:rPr>
        <w:t>600 CHF al año, y que si la tasa anual total de un no miembro en la categoría de los países en desarrollo mencionados en la Resolución 170 (Rev. Busán, 2014) es superior a 3</w:t>
      </w:r>
      <w:r w:rsidR="00960F9F">
        <w:rPr>
          <w:rFonts w:asciiTheme="minorHAnsi" w:hAnsiTheme="minorHAnsi"/>
          <w:szCs w:val="24"/>
        </w:rPr>
        <w:t> </w:t>
      </w:r>
      <w:r w:rsidR="0082240B">
        <w:rPr>
          <w:rFonts w:asciiTheme="minorHAnsi" w:hAnsiTheme="minorHAnsi"/>
          <w:szCs w:val="24"/>
        </w:rPr>
        <w:t>975 CHF, se supone que se adherirá al UIT-T como Miembro de Sector, por 3</w:t>
      </w:r>
      <w:r w:rsidR="00960F9F">
        <w:rPr>
          <w:rFonts w:asciiTheme="minorHAnsi" w:hAnsiTheme="minorHAnsi"/>
          <w:szCs w:val="24"/>
        </w:rPr>
        <w:t> </w:t>
      </w:r>
      <w:r w:rsidR="0082240B">
        <w:rPr>
          <w:rFonts w:asciiTheme="minorHAnsi" w:hAnsiTheme="minorHAnsi"/>
          <w:szCs w:val="24"/>
        </w:rPr>
        <w:t>975 CHF al año.</w:t>
      </w:r>
    </w:p>
    <w:p w:rsidR="0082240B" w:rsidRPr="00771C97" w:rsidRDefault="0082240B" w:rsidP="003A23E8">
      <w:r>
        <w:t>Los no miembros del UIT-T que paguen la tasa anual tendrán la ventaja de poder acceder a las bases de datos de INR que están actualmente limitadas exclusivamente a los Estados Miembros y a los Miembros de Sector del UIT-T.</w:t>
      </w:r>
    </w:p>
    <w:p w:rsidR="0082240B" w:rsidRPr="00771C97" w:rsidRDefault="0082240B" w:rsidP="00960F9F">
      <w:pPr>
        <w:spacing w:after="120"/>
        <w:rPr>
          <w:rFonts w:cstheme="minorHAnsi"/>
          <w:u w:color="000000"/>
        </w:rPr>
      </w:pPr>
      <w:r>
        <w:rPr>
          <w:u w:color="000000"/>
        </w:rPr>
        <w:t xml:space="preserve">A continuación se presenta la distribución de los UIFN y los IIN entre los </w:t>
      </w:r>
      <w:r w:rsidR="009E6704">
        <w:rPr>
          <w:u w:color="000000"/>
        </w:rPr>
        <w:t xml:space="preserve">miembros </w:t>
      </w:r>
      <w:r>
        <w:rPr>
          <w:u w:color="000000"/>
        </w:rPr>
        <w:t xml:space="preserve">y no </w:t>
      </w:r>
      <w:r w:rsidR="009E6704">
        <w:rPr>
          <w:u w:color="000000"/>
        </w:rPr>
        <w:t xml:space="preserve">miembros </w:t>
      </w:r>
      <w:r>
        <w:rPr>
          <w:u w:color="000000"/>
        </w:rPr>
        <w:t>de la UIT-T:</w:t>
      </w:r>
    </w:p>
    <w:tbl>
      <w:tblPr>
        <w:tblStyle w:val="TableGrid"/>
        <w:tblW w:w="10060" w:type="dxa"/>
        <w:jc w:val="center"/>
        <w:tblLayout w:type="fixed"/>
        <w:tblLook w:val="04A0" w:firstRow="1" w:lastRow="0" w:firstColumn="1" w:lastColumn="0" w:noHBand="0" w:noVBand="1"/>
      </w:tblPr>
      <w:tblGrid>
        <w:gridCol w:w="936"/>
        <w:gridCol w:w="1469"/>
        <w:gridCol w:w="1701"/>
        <w:gridCol w:w="1701"/>
        <w:gridCol w:w="1134"/>
        <w:gridCol w:w="1276"/>
        <w:gridCol w:w="1843"/>
      </w:tblGrid>
      <w:tr w:rsidR="0082240B" w:rsidRPr="00771C97" w:rsidTr="009E6704">
        <w:trPr>
          <w:jc w:val="center"/>
        </w:trPr>
        <w:tc>
          <w:tcPr>
            <w:tcW w:w="936" w:type="dxa"/>
            <w:vAlign w:val="center"/>
          </w:tcPr>
          <w:p w:rsidR="0082240B" w:rsidRPr="0062222B" w:rsidRDefault="0082240B" w:rsidP="003A23E8">
            <w:pPr>
              <w:pStyle w:val="Tabletext"/>
              <w:jc w:val="center"/>
            </w:pPr>
            <w:r>
              <w:t>INR</w:t>
            </w:r>
          </w:p>
        </w:tc>
        <w:tc>
          <w:tcPr>
            <w:tcW w:w="1469" w:type="dxa"/>
            <w:vAlign w:val="center"/>
          </w:tcPr>
          <w:p w:rsidR="0082240B" w:rsidRPr="0062222B" w:rsidRDefault="0082240B" w:rsidP="003A23E8">
            <w:pPr>
              <w:pStyle w:val="Tabletext"/>
              <w:jc w:val="center"/>
            </w:pPr>
            <w:r>
              <w:t>Estado el</w:t>
            </w:r>
          </w:p>
        </w:tc>
        <w:tc>
          <w:tcPr>
            <w:tcW w:w="1701" w:type="dxa"/>
            <w:vAlign w:val="center"/>
          </w:tcPr>
          <w:p w:rsidR="0082240B" w:rsidRPr="0062222B" w:rsidRDefault="0082240B" w:rsidP="003A23E8">
            <w:pPr>
              <w:pStyle w:val="Tabletext"/>
              <w:jc w:val="center"/>
            </w:pPr>
            <w:r>
              <w:t xml:space="preserve">Volumen de número para </w:t>
            </w:r>
            <w:r w:rsidR="009E6704">
              <w:t>miembros</w:t>
            </w:r>
          </w:p>
        </w:tc>
        <w:tc>
          <w:tcPr>
            <w:tcW w:w="1701" w:type="dxa"/>
            <w:vAlign w:val="center"/>
          </w:tcPr>
          <w:p w:rsidR="0082240B" w:rsidRPr="0062222B" w:rsidRDefault="0082240B" w:rsidP="003A23E8">
            <w:pPr>
              <w:pStyle w:val="Tabletext"/>
              <w:jc w:val="center"/>
            </w:pPr>
            <w:r>
              <w:t xml:space="preserve">Volumen de número para no </w:t>
            </w:r>
            <w:r w:rsidR="009E6704">
              <w:t>miembros</w:t>
            </w:r>
          </w:p>
        </w:tc>
        <w:tc>
          <w:tcPr>
            <w:tcW w:w="1134" w:type="dxa"/>
            <w:vAlign w:val="center"/>
          </w:tcPr>
          <w:p w:rsidR="0082240B" w:rsidRPr="0062222B" w:rsidRDefault="0082240B" w:rsidP="003A23E8">
            <w:pPr>
              <w:pStyle w:val="Tabletext"/>
              <w:jc w:val="center"/>
            </w:pPr>
            <w:r>
              <w:t>Volumen total</w:t>
            </w:r>
          </w:p>
        </w:tc>
        <w:tc>
          <w:tcPr>
            <w:tcW w:w="1276" w:type="dxa"/>
          </w:tcPr>
          <w:p w:rsidR="0082240B" w:rsidRPr="0062222B" w:rsidRDefault="0082240B" w:rsidP="003A23E8">
            <w:pPr>
              <w:pStyle w:val="Tabletext"/>
              <w:jc w:val="center"/>
            </w:pPr>
            <w:r>
              <w:t># de titulares</w:t>
            </w:r>
          </w:p>
          <w:p w:rsidR="0082240B" w:rsidRPr="0062222B" w:rsidRDefault="0082240B" w:rsidP="003A23E8">
            <w:pPr>
              <w:pStyle w:val="Tabletext"/>
              <w:jc w:val="center"/>
            </w:pPr>
            <w:r>
              <w:t>(</w:t>
            </w:r>
            <w:r w:rsidR="009E6704">
              <w:t>miembros</w:t>
            </w:r>
            <w:r>
              <w:t>)</w:t>
            </w:r>
          </w:p>
        </w:tc>
        <w:tc>
          <w:tcPr>
            <w:tcW w:w="1843" w:type="dxa"/>
          </w:tcPr>
          <w:p w:rsidR="0082240B" w:rsidRPr="0062222B" w:rsidRDefault="0082240B" w:rsidP="003A23E8">
            <w:pPr>
              <w:pStyle w:val="Tabletext"/>
              <w:jc w:val="center"/>
            </w:pPr>
            <w:r>
              <w:t xml:space="preserve"># de titulares (no </w:t>
            </w:r>
            <w:r w:rsidR="009E6704">
              <w:t>miembros</w:t>
            </w:r>
            <w:r>
              <w:t>)</w:t>
            </w:r>
          </w:p>
        </w:tc>
      </w:tr>
      <w:tr w:rsidR="0082240B" w:rsidRPr="00771C97" w:rsidTr="009E6704">
        <w:trPr>
          <w:jc w:val="center"/>
        </w:trPr>
        <w:tc>
          <w:tcPr>
            <w:tcW w:w="936" w:type="dxa"/>
            <w:vAlign w:val="bottom"/>
          </w:tcPr>
          <w:p w:rsidR="0082240B" w:rsidRPr="0062222B" w:rsidRDefault="0082240B" w:rsidP="003A23E8">
            <w:pPr>
              <w:pStyle w:val="Tabletext"/>
            </w:pPr>
            <w:r>
              <w:t>UIFN</w:t>
            </w:r>
          </w:p>
        </w:tc>
        <w:tc>
          <w:tcPr>
            <w:tcW w:w="1469" w:type="dxa"/>
            <w:vAlign w:val="bottom"/>
          </w:tcPr>
          <w:p w:rsidR="0082240B" w:rsidRPr="0062222B" w:rsidRDefault="0082240B" w:rsidP="009E6704">
            <w:pPr>
              <w:pStyle w:val="Tabletext"/>
            </w:pPr>
            <w:r>
              <w:t xml:space="preserve">23 </w:t>
            </w:r>
            <w:r w:rsidR="009E6704">
              <w:t>o</w:t>
            </w:r>
            <w:r>
              <w:t>ct 2014</w:t>
            </w:r>
          </w:p>
        </w:tc>
        <w:tc>
          <w:tcPr>
            <w:tcW w:w="1701" w:type="dxa"/>
            <w:vAlign w:val="center"/>
          </w:tcPr>
          <w:p w:rsidR="0082240B" w:rsidRPr="0062222B" w:rsidRDefault="0082240B" w:rsidP="009E6704">
            <w:pPr>
              <w:pStyle w:val="Tabletext"/>
              <w:jc w:val="right"/>
            </w:pPr>
            <w:r>
              <w:t>28</w:t>
            </w:r>
            <w:r w:rsidR="009E6704">
              <w:t> </w:t>
            </w:r>
            <w:r>
              <w:t>382</w:t>
            </w:r>
          </w:p>
        </w:tc>
        <w:tc>
          <w:tcPr>
            <w:tcW w:w="1701" w:type="dxa"/>
            <w:vAlign w:val="center"/>
          </w:tcPr>
          <w:p w:rsidR="0082240B" w:rsidRPr="0062222B" w:rsidRDefault="0082240B" w:rsidP="009E6704">
            <w:pPr>
              <w:pStyle w:val="Tabletext"/>
              <w:jc w:val="right"/>
            </w:pPr>
            <w:r>
              <w:t>8</w:t>
            </w:r>
            <w:r w:rsidR="00960F9F">
              <w:t> </w:t>
            </w:r>
            <w:r>
              <w:t>618</w:t>
            </w:r>
          </w:p>
        </w:tc>
        <w:tc>
          <w:tcPr>
            <w:tcW w:w="1134" w:type="dxa"/>
            <w:vAlign w:val="center"/>
          </w:tcPr>
          <w:p w:rsidR="0082240B" w:rsidRPr="0062222B" w:rsidRDefault="0082240B" w:rsidP="009E6704">
            <w:pPr>
              <w:pStyle w:val="Tabletext"/>
              <w:jc w:val="right"/>
            </w:pPr>
            <w:r>
              <w:t>37</w:t>
            </w:r>
            <w:r w:rsidR="00960F9F">
              <w:t> </w:t>
            </w:r>
            <w:r>
              <w:t>000</w:t>
            </w:r>
          </w:p>
        </w:tc>
        <w:tc>
          <w:tcPr>
            <w:tcW w:w="1276" w:type="dxa"/>
            <w:vAlign w:val="center"/>
          </w:tcPr>
          <w:p w:rsidR="0082240B" w:rsidRPr="0062222B" w:rsidRDefault="0082240B" w:rsidP="009E6704">
            <w:pPr>
              <w:pStyle w:val="Tabletext"/>
              <w:jc w:val="right"/>
            </w:pPr>
            <w:r>
              <w:t>43</w:t>
            </w:r>
          </w:p>
        </w:tc>
        <w:tc>
          <w:tcPr>
            <w:tcW w:w="1843" w:type="dxa"/>
            <w:vAlign w:val="center"/>
          </w:tcPr>
          <w:p w:rsidR="0082240B" w:rsidRPr="0062222B" w:rsidRDefault="0082240B" w:rsidP="009E6704">
            <w:pPr>
              <w:pStyle w:val="Tabletext"/>
              <w:jc w:val="right"/>
            </w:pPr>
            <w:r>
              <w:t>69</w:t>
            </w:r>
          </w:p>
        </w:tc>
      </w:tr>
      <w:tr w:rsidR="0082240B" w:rsidRPr="00771C97" w:rsidTr="009E6704">
        <w:trPr>
          <w:jc w:val="center"/>
        </w:trPr>
        <w:tc>
          <w:tcPr>
            <w:tcW w:w="936" w:type="dxa"/>
            <w:vAlign w:val="bottom"/>
          </w:tcPr>
          <w:p w:rsidR="0082240B" w:rsidRPr="0062222B" w:rsidRDefault="0082240B" w:rsidP="003A23E8">
            <w:pPr>
              <w:pStyle w:val="Tabletext"/>
            </w:pPr>
            <w:r>
              <w:t>IIN</w:t>
            </w:r>
          </w:p>
        </w:tc>
        <w:tc>
          <w:tcPr>
            <w:tcW w:w="1469" w:type="dxa"/>
            <w:vAlign w:val="bottom"/>
          </w:tcPr>
          <w:p w:rsidR="0082240B" w:rsidRPr="0062222B" w:rsidRDefault="0082240B" w:rsidP="009E6704">
            <w:pPr>
              <w:pStyle w:val="Tabletext"/>
            </w:pPr>
            <w:r>
              <w:t xml:space="preserve">1 </w:t>
            </w:r>
            <w:r w:rsidR="009E6704">
              <w:t>a</w:t>
            </w:r>
            <w:r>
              <w:t>go 2014</w:t>
            </w:r>
          </w:p>
        </w:tc>
        <w:tc>
          <w:tcPr>
            <w:tcW w:w="1701" w:type="dxa"/>
            <w:vAlign w:val="center"/>
          </w:tcPr>
          <w:p w:rsidR="0082240B" w:rsidRPr="0062222B" w:rsidRDefault="0082240B" w:rsidP="009E6704">
            <w:pPr>
              <w:pStyle w:val="Tabletext"/>
              <w:jc w:val="right"/>
            </w:pPr>
            <w:r>
              <w:t>100</w:t>
            </w:r>
          </w:p>
        </w:tc>
        <w:tc>
          <w:tcPr>
            <w:tcW w:w="1701" w:type="dxa"/>
            <w:vAlign w:val="center"/>
          </w:tcPr>
          <w:p w:rsidR="0082240B" w:rsidRPr="0062222B" w:rsidRDefault="0082240B" w:rsidP="009E6704">
            <w:pPr>
              <w:pStyle w:val="Tabletext"/>
              <w:jc w:val="right"/>
            </w:pPr>
            <w:r>
              <w:t>623</w:t>
            </w:r>
          </w:p>
        </w:tc>
        <w:tc>
          <w:tcPr>
            <w:tcW w:w="1134" w:type="dxa"/>
            <w:vAlign w:val="center"/>
          </w:tcPr>
          <w:p w:rsidR="0082240B" w:rsidRPr="0062222B" w:rsidRDefault="0082240B" w:rsidP="009E6704">
            <w:pPr>
              <w:pStyle w:val="Tabletext"/>
              <w:jc w:val="right"/>
            </w:pPr>
            <w:r>
              <w:t>723</w:t>
            </w:r>
          </w:p>
        </w:tc>
        <w:tc>
          <w:tcPr>
            <w:tcW w:w="1276" w:type="dxa"/>
            <w:vAlign w:val="center"/>
          </w:tcPr>
          <w:p w:rsidR="0082240B" w:rsidRPr="0062222B" w:rsidRDefault="0082240B" w:rsidP="009E6704">
            <w:pPr>
              <w:pStyle w:val="Tabletext"/>
              <w:jc w:val="right"/>
            </w:pPr>
            <w:r>
              <w:t>70</w:t>
            </w:r>
          </w:p>
        </w:tc>
        <w:tc>
          <w:tcPr>
            <w:tcW w:w="1843" w:type="dxa"/>
            <w:vAlign w:val="center"/>
          </w:tcPr>
          <w:p w:rsidR="0082240B" w:rsidRPr="0062222B" w:rsidRDefault="0082240B" w:rsidP="009E6704">
            <w:pPr>
              <w:pStyle w:val="Tabletext"/>
              <w:jc w:val="right"/>
            </w:pPr>
            <w:r>
              <w:t>562</w:t>
            </w:r>
          </w:p>
        </w:tc>
      </w:tr>
    </w:tbl>
    <w:p w:rsidR="0082240B" w:rsidRPr="00771C97" w:rsidRDefault="0082240B" w:rsidP="00DE6138">
      <w:pPr>
        <w:spacing w:after="120"/>
      </w:pPr>
      <w:r>
        <w:t xml:space="preserve">Si la tasa anual es de 20 CHF por UIFN y de 100 CHF por IIN y no se devuelve ningún UIFN, el ingreso total anual proveniente de no </w:t>
      </w:r>
      <w:r w:rsidR="00DE6138">
        <w:t xml:space="preserve">miembros </w:t>
      </w:r>
      <w:r>
        <w:t>sería de 164</w:t>
      </w:r>
      <w:r w:rsidR="00960F9F">
        <w:t> </w:t>
      </w:r>
      <w:r w:rsidR="00DE6138">
        <w:t>560</w:t>
      </w:r>
      <w:r>
        <w:t xml:space="preserve"> CHF, incluidas tasas de afiliación de las empresas para quienes sería más barato afiliarse como Asociados (cuatro empresas que juntas tienen más de 5</w:t>
      </w:r>
      <w:r w:rsidR="00960F9F">
        <w:t> </w:t>
      </w:r>
      <w:r>
        <w:t>600 UIFN e IIN asignados).</w:t>
      </w:r>
    </w:p>
    <w:tbl>
      <w:tblPr>
        <w:tblW w:w="8080" w:type="dxa"/>
        <w:jc w:val="center"/>
        <w:tblCellMar>
          <w:left w:w="70" w:type="dxa"/>
          <w:right w:w="70" w:type="dxa"/>
        </w:tblCellMar>
        <w:tblLook w:val="04A0" w:firstRow="1" w:lastRow="0" w:firstColumn="1" w:lastColumn="0" w:noHBand="0" w:noVBand="1"/>
      </w:tblPr>
      <w:tblGrid>
        <w:gridCol w:w="1820"/>
        <w:gridCol w:w="2220"/>
        <w:gridCol w:w="1960"/>
        <w:gridCol w:w="2080"/>
      </w:tblGrid>
      <w:tr w:rsidR="0082240B" w:rsidRPr="00771C97" w:rsidTr="00F45CF5">
        <w:trPr>
          <w:trHeight w:val="720"/>
          <w:jc w:val="center"/>
        </w:trPr>
        <w:tc>
          <w:tcPr>
            <w:tcW w:w="1820" w:type="dxa"/>
            <w:tcBorders>
              <w:top w:val="nil"/>
              <w:left w:val="nil"/>
              <w:bottom w:val="nil"/>
              <w:right w:val="nil"/>
            </w:tcBorders>
            <w:shd w:val="clear" w:color="auto" w:fill="auto"/>
            <w:noWrap/>
            <w:vAlign w:val="bottom"/>
            <w:hideMark/>
          </w:tcPr>
          <w:p w:rsidR="0082240B" w:rsidRPr="0062222B" w:rsidRDefault="0082240B" w:rsidP="003A23E8">
            <w:pPr>
              <w:pStyle w:val="Tabletext"/>
              <w:jc w:val="center"/>
              <w:rPr>
                <w:lang w:eastAsia="fr-FR"/>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color w:val="000000"/>
              </w:rPr>
            </w:pPr>
            <w:r>
              <w:rPr>
                <w:color w:val="000000"/>
              </w:rPr>
              <w:t xml:space="preserve">Volumen de número para no </w:t>
            </w:r>
            <w:r w:rsidR="00DE6138">
              <w:rPr>
                <w:color w:val="000000"/>
              </w:rPr>
              <w:t>miembros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color w:val="000000"/>
              </w:rPr>
            </w:pPr>
            <w:r>
              <w:rPr>
                <w:color w:val="000000"/>
              </w:rPr>
              <w:t>Tasa anual propuesta</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color w:val="000000"/>
              </w:rPr>
            </w:pPr>
            <w:r>
              <w:rPr>
                <w:color w:val="000000"/>
              </w:rPr>
              <w:t xml:space="preserve">Ingresos anuales para no </w:t>
            </w:r>
            <w:r w:rsidR="00DE6138">
              <w:rPr>
                <w:color w:val="000000"/>
              </w:rPr>
              <w:t>miembros</w:t>
            </w:r>
          </w:p>
        </w:tc>
      </w:tr>
      <w:tr w:rsidR="0082240B" w:rsidRPr="00771C97" w:rsidTr="000017F0">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40B" w:rsidRPr="0062222B" w:rsidRDefault="0082240B" w:rsidP="003A23E8">
            <w:pPr>
              <w:pStyle w:val="Tabletext"/>
              <w:rPr>
                <w:rFonts w:cs="Calibri"/>
                <w:color w:val="000000"/>
              </w:rPr>
            </w:pPr>
            <w:r>
              <w:rPr>
                <w:color w:val="000000"/>
              </w:rPr>
              <w:t>UIFN</w:t>
            </w:r>
          </w:p>
        </w:tc>
        <w:tc>
          <w:tcPr>
            <w:tcW w:w="222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rPr>
            </w:pPr>
            <w:r>
              <w:rPr>
                <w:color w:val="000000"/>
              </w:rPr>
              <w:t>8</w:t>
            </w:r>
            <w:r w:rsidR="00960F9F">
              <w:rPr>
                <w:color w:val="000000"/>
              </w:rPr>
              <w:t> </w:t>
            </w:r>
            <w:r>
              <w:rPr>
                <w:color w:val="000000"/>
              </w:rPr>
              <w:t xml:space="preserve">618 </w:t>
            </w:r>
          </w:p>
        </w:tc>
        <w:tc>
          <w:tcPr>
            <w:tcW w:w="196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rPr>
            </w:pPr>
            <w:r>
              <w:rPr>
                <w:color w:val="000000"/>
              </w:rPr>
              <w:t>20 CHF</w:t>
            </w:r>
          </w:p>
        </w:tc>
        <w:tc>
          <w:tcPr>
            <w:tcW w:w="208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rPr>
            </w:pPr>
            <w:r>
              <w:rPr>
                <w:color w:val="000000"/>
              </w:rPr>
              <w:t>172</w:t>
            </w:r>
            <w:r w:rsidR="00960F9F">
              <w:rPr>
                <w:color w:val="000000"/>
              </w:rPr>
              <w:t> </w:t>
            </w:r>
            <w:r>
              <w:rPr>
                <w:color w:val="000000"/>
              </w:rPr>
              <w:t>360</w:t>
            </w:r>
          </w:p>
        </w:tc>
      </w:tr>
      <w:tr w:rsidR="0082240B" w:rsidRPr="00771C97" w:rsidTr="000017F0">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2240B" w:rsidRPr="0062222B" w:rsidRDefault="0082240B" w:rsidP="003A23E8">
            <w:pPr>
              <w:pStyle w:val="Tabletext"/>
              <w:rPr>
                <w:rFonts w:cs="Calibri"/>
                <w:color w:val="000000"/>
              </w:rPr>
            </w:pPr>
            <w:r>
              <w:rPr>
                <w:color w:val="000000"/>
              </w:rPr>
              <w:t>IIN</w:t>
            </w:r>
          </w:p>
        </w:tc>
        <w:tc>
          <w:tcPr>
            <w:tcW w:w="222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rPr>
            </w:pPr>
            <w:r>
              <w:rPr>
                <w:color w:val="000000"/>
              </w:rPr>
              <w:t xml:space="preserve">623 </w:t>
            </w:r>
          </w:p>
        </w:tc>
        <w:tc>
          <w:tcPr>
            <w:tcW w:w="196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rPr>
            </w:pPr>
            <w:r>
              <w:rPr>
                <w:color w:val="000000"/>
              </w:rPr>
              <w:t>100 CHF</w:t>
            </w:r>
          </w:p>
        </w:tc>
        <w:tc>
          <w:tcPr>
            <w:tcW w:w="208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rPr>
            </w:pPr>
            <w:r>
              <w:rPr>
                <w:color w:val="000000"/>
              </w:rPr>
              <w:t>62</w:t>
            </w:r>
            <w:r w:rsidR="00960F9F">
              <w:rPr>
                <w:color w:val="000000"/>
              </w:rPr>
              <w:t> </w:t>
            </w:r>
            <w:r>
              <w:rPr>
                <w:color w:val="000000"/>
              </w:rPr>
              <w:t xml:space="preserve">300 </w:t>
            </w:r>
          </w:p>
        </w:tc>
      </w:tr>
      <w:tr w:rsidR="0082240B" w:rsidRPr="00771C97" w:rsidTr="000017F0">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2240B" w:rsidRPr="0062222B" w:rsidRDefault="0082240B" w:rsidP="003A23E8">
            <w:pPr>
              <w:pStyle w:val="Tabletext"/>
              <w:rPr>
                <w:rFonts w:cs="Calibri"/>
                <w:color w:val="000000"/>
              </w:rPr>
            </w:pPr>
            <w:r>
              <w:rPr>
                <w:color w:val="000000"/>
              </w:rPr>
              <w:t>Total</w:t>
            </w:r>
          </w:p>
        </w:tc>
        <w:tc>
          <w:tcPr>
            <w:tcW w:w="222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rPr>
            </w:pPr>
            <w:r>
              <w:rPr>
                <w:color w:val="000000"/>
              </w:rPr>
              <w:t>9</w:t>
            </w:r>
            <w:r w:rsidR="00960F9F">
              <w:rPr>
                <w:color w:val="000000"/>
              </w:rPr>
              <w:t> </w:t>
            </w:r>
            <w:r>
              <w:rPr>
                <w:color w:val="000000"/>
              </w:rPr>
              <w:t xml:space="preserve">241 </w:t>
            </w:r>
          </w:p>
        </w:tc>
        <w:tc>
          <w:tcPr>
            <w:tcW w:w="196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rPr>
            </w:pPr>
            <w:r>
              <w:rPr>
                <w:color w:val="000000"/>
              </w:rPr>
              <w:t>-</w:t>
            </w:r>
          </w:p>
        </w:tc>
        <w:tc>
          <w:tcPr>
            <w:tcW w:w="208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b/>
                <w:bCs/>
                <w:color w:val="000000"/>
              </w:rPr>
            </w:pPr>
            <w:r>
              <w:rPr>
                <w:b/>
                <w:bCs/>
                <w:color w:val="000000"/>
              </w:rPr>
              <w:t>234</w:t>
            </w:r>
            <w:r w:rsidR="00960F9F">
              <w:rPr>
                <w:b/>
                <w:bCs/>
                <w:color w:val="000000"/>
              </w:rPr>
              <w:t> </w:t>
            </w:r>
            <w:r>
              <w:rPr>
                <w:b/>
                <w:bCs/>
                <w:color w:val="000000"/>
              </w:rPr>
              <w:t xml:space="preserve">660 </w:t>
            </w:r>
          </w:p>
        </w:tc>
      </w:tr>
      <w:tr w:rsidR="0082240B" w:rsidRPr="00771C97" w:rsidTr="000017F0">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2240B" w:rsidRPr="0062222B" w:rsidRDefault="0082240B" w:rsidP="00960F9F">
            <w:pPr>
              <w:pStyle w:val="Tabletext"/>
              <w:rPr>
                <w:rFonts w:cs="Calibri"/>
                <w:color w:val="000000"/>
              </w:rPr>
            </w:pPr>
            <w:r>
              <w:rPr>
                <w:color w:val="000000"/>
              </w:rPr>
              <w:t>Límite en 10</w:t>
            </w:r>
            <w:r w:rsidR="00960F9F">
              <w:rPr>
                <w:color w:val="000000"/>
              </w:rPr>
              <w:t> </w:t>
            </w:r>
            <w:r>
              <w:rPr>
                <w:color w:val="000000"/>
              </w:rPr>
              <w:t xml:space="preserve">600 </w:t>
            </w:r>
          </w:p>
        </w:tc>
        <w:tc>
          <w:tcPr>
            <w:tcW w:w="222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lang w:val="fr-FR" w:eastAsia="fr-FR"/>
              </w:rPr>
            </w:pPr>
          </w:p>
        </w:tc>
        <w:tc>
          <w:tcPr>
            <w:tcW w:w="196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color w:val="000000"/>
                <w:lang w:val="fr-FR" w:eastAsia="fr-FR"/>
              </w:rPr>
            </w:pPr>
          </w:p>
        </w:tc>
        <w:tc>
          <w:tcPr>
            <w:tcW w:w="2080" w:type="dxa"/>
            <w:tcBorders>
              <w:top w:val="nil"/>
              <w:left w:val="nil"/>
              <w:bottom w:val="single" w:sz="4" w:space="0" w:color="auto"/>
              <w:right w:val="single" w:sz="4" w:space="0" w:color="auto"/>
            </w:tcBorders>
            <w:shd w:val="clear" w:color="auto" w:fill="auto"/>
            <w:noWrap/>
            <w:vAlign w:val="center"/>
            <w:hideMark/>
          </w:tcPr>
          <w:p w:rsidR="0082240B" w:rsidRPr="0062222B" w:rsidRDefault="0082240B" w:rsidP="000017F0">
            <w:pPr>
              <w:pStyle w:val="Tabletext"/>
              <w:jc w:val="right"/>
              <w:rPr>
                <w:rFonts w:cs="Calibri"/>
                <w:b/>
                <w:bCs/>
                <w:color w:val="000000"/>
              </w:rPr>
            </w:pPr>
            <w:r>
              <w:rPr>
                <w:b/>
                <w:bCs/>
                <w:color w:val="000000"/>
              </w:rPr>
              <w:t>164</w:t>
            </w:r>
            <w:r w:rsidR="00960F9F">
              <w:rPr>
                <w:b/>
                <w:bCs/>
                <w:color w:val="000000"/>
              </w:rPr>
              <w:t> </w:t>
            </w:r>
            <w:r>
              <w:rPr>
                <w:b/>
                <w:bCs/>
                <w:color w:val="000000"/>
              </w:rPr>
              <w:t>560</w:t>
            </w:r>
          </w:p>
        </w:tc>
      </w:tr>
    </w:tbl>
    <w:p w:rsidR="0082240B" w:rsidRPr="00771C97" w:rsidRDefault="003A23E8" w:rsidP="003A23E8">
      <w:pPr>
        <w:rPr>
          <w:rFonts w:cstheme="minorHAnsi"/>
          <w:u w:color="000000"/>
        </w:rPr>
      </w:pPr>
      <w:r>
        <w:t>7</w:t>
      </w:r>
      <w:r w:rsidR="0082240B">
        <w:tab/>
      </w:r>
      <w:r w:rsidR="0082240B" w:rsidRPr="003A23E8">
        <w:rPr>
          <w:b/>
          <w:bCs/>
        </w:rPr>
        <w:t>Propuesta 2:</w:t>
      </w:r>
      <w:r w:rsidR="0082240B" w:rsidRPr="003A23E8">
        <w:rPr>
          <w:b/>
          <w:bCs/>
          <w:u w:color="000000"/>
        </w:rPr>
        <w:t xml:space="preserve"> Aumentar las tasas de inscripción únicas: 300 CHF por UIFN y 150 CHF por IIN</w:t>
      </w:r>
    </w:p>
    <w:p w:rsidR="0082240B" w:rsidRPr="00771C97" w:rsidRDefault="0082240B" w:rsidP="003A23E8">
      <w:pPr>
        <w:rPr>
          <w:rFonts w:cstheme="minorHAnsi"/>
          <w:u w:color="000000"/>
        </w:rPr>
      </w:pPr>
      <w:r>
        <w:rPr>
          <w:u w:color="000000"/>
        </w:rPr>
        <w:t>Actualmente la tasa de inscripción única es de 200 CHF por UIFN asignado y de 80 CHF por IIN asignado.</w:t>
      </w:r>
    </w:p>
    <w:p w:rsidR="0082240B" w:rsidRPr="00771C97" w:rsidRDefault="0082240B" w:rsidP="003A23E8">
      <w:pPr>
        <w:rPr>
          <w:rFonts w:cstheme="minorHAnsi"/>
          <w:u w:color="000000"/>
        </w:rPr>
      </w:pPr>
      <w:r>
        <w:rPr>
          <w:u w:color="000000"/>
        </w:rPr>
        <w:t>Se propone aumentar la tasa de inscripción única de 200 CHF a 300 CHF para UIFN, y de 80 CHF a 150 CHF para IIN.</w:t>
      </w:r>
    </w:p>
    <w:p w:rsidR="0082240B" w:rsidRPr="00771C97" w:rsidRDefault="0082240B" w:rsidP="003A23E8">
      <w:pPr>
        <w:spacing w:after="120"/>
        <w:rPr>
          <w:rFonts w:cstheme="minorHAnsi"/>
          <w:highlight w:val="yellow"/>
        </w:rPr>
      </w:pPr>
      <w:r>
        <w:lastRenderedPageBreak/>
        <w:t>Con la asignación actual de unos 750 UIFN y 20 IIN por año, un aumento en las tasas de inscripción únicas implicaría obtener los siguientes ingresos:</w:t>
      </w:r>
    </w:p>
    <w:tbl>
      <w:tblPr>
        <w:tblW w:w="10060" w:type="dxa"/>
        <w:jc w:val="center"/>
        <w:tblCellMar>
          <w:left w:w="70" w:type="dxa"/>
          <w:right w:w="70" w:type="dxa"/>
        </w:tblCellMar>
        <w:tblLook w:val="04A0" w:firstRow="1" w:lastRow="0" w:firstColumn="1" w:lastColumn="0" w:noHBand="0" w:noVBand="1"/>
      </w:tblPr>
      <w:tblGrid>
        <w:gridCol w:w="1683"/>
        <w:gridCol w:w="2003"/>
        <w:gridCol w:w="1984"/>
        <w:gridCol w:w="1985"/>
        <w:gridCol w:w="2405"/>
      </w:tblGrid>
      <w:tr w:rsidR="0082240B" w:rsidRPr="00771C97" w:rsidTr="00F45CF5">
        <w:trPr>
          <w:trHeight w:val="900"/>
          <w:jc w:val="center"/>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INR</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Volumen de números asignados por año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Tasa de inscripción única propuesta (CHF)</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Ingresos anuales totales (CHF)</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Ingresos adicionales (CHF) comparados con tasas actuales</w:t>
            </w:r>
          </w:p>
        </w:tc>
      </w:tr>
      <w:tr w:rsidR="0082240B" w:rsidRPr="00771C97" w:rsidTr="00F45CF5">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82240B" w:rsidRPr="0062222B" w:rsidRDefault="0082240B" w:rsidP="003A23E8">
            <w:pPr>
              <w:pStyle w:val="Tabletext"/>
              <w:jc w:val="center"/>
              <w:rPr>
                <w:rFonts w:cs="Calibri"/>
              </w:rPr>
            </w:pPr>
            <w:r>
              <w:t>UIFN</w:t>
            </w:r>
          </w:p>
        </w:tc>
        <w:tc>
          <w:tcPr>
            <w:tcW w:w="2003"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750</w:t>
            </w:r>
          </w:p>
        </w:tc>
        <w:tc>
          <w:tcPr>
            <w:tcW w:w="1984"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300</w:t>
            </w:r>
          </w:p>
        </w:tc>
        <w:tc>
          <w:tcPr>
            <w:tcW w:w="1985"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960F9F">
            <w:pPr>
              <w:pStyle w:val="Tabletext"/>
              <w:jc w:val="center"/>
              <w:rPr>
                <w:rFonts w:cs="Calibri"/>
              </w:rPr>
            </w:pPr>
            <w:r>
              <w:t>225</w:t>
            </w:r>
            <w:r w:rsidR="00960F9F">
              <w:t> </w:t>
            </w:r>
            <w:r>
              <w:t>000</w:t>
            </w:r>
          </w:p>
        </w:tc>
        <w:tc>
          <w:tcPr>
            <w:tcW w:w="2405"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960F9F">
            <w:pPr>
              <w:pStyle w:val="Tabletext"/>
              <w:jc w:val="center"/>
              <w:rPr>
                <w:rFonts w:cs="Calibri"/>
              </w:rPr>
            </w:pPr>
            <w:r>
              <w:t>75</w:t>
            </w:r>
            <w:r w:rsidR="00960F9F">
              <w:t> </w:t>
            </w:r>
            <w:r>
              <w:t>000</w:t>
            </w:r>
          </w:p>
        </w:tc>
      </w:tr>
      <w:tr w:rsidR="0082240B" w:rsidRPr="00771C97" w:rsidTr="00F45CF5">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82240B" w:rsidRPr="0062222B" w:rsidRDefault="0082240B" w:rsidP="003A23E8">
            <w:pPr>
              <w:pStyle w:val="Tabletext"/>
              <w:jc w:val="center"/>
              <w:rPr>
                <w:rFonts w:cs="Calibri"/>
              </w:rPr>
            </w:pPr>
            <w:r>
              <w:t>IIN</w:t>
            </w:r>
          </w:p>
        </w:tc>
        <w:tc>
          <w:tcPr>
            <w:tcW w:w="2003"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20</w:t>
            </w:r>
          </w:p>
        </w:tc>
        <w:tc>
          <w:tcPr>
            <w:tcW w:w="1984"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rPr>
            </w:pPr>
            <w:r>
              <w:t>150</w:t>
            </w:r>
          </w:p>
        </w:tc>
        <w:tc>
          <w:tcPr>
            <w:tcW w:w="1985"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960F9F">
            <w:pPr>
              <w:pStyle w:val="Tabletext"/>
              <w:jc w:val="center"/>
              <w:rPr>
                <w:rFonts w:cs="Calibri"/>
              </w:rPr>
            </w:pPr>
            <w:r>
              <w:t>3</w:t>
            </w:r>
            <w:r w:rsidR="00960F9F">
              <w:t> </w:t>
            </w:r>
            <w:r>
              <w:t>000</w:t>
            </w:r>
          </w:p>
        </w:tc>
        <w:tc>
          <w:tcPr>
            <w:tcW w:w="2405"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960F9F">
            <w:pPr>
              <w:pStyle w:val="Tabletext"/>
              <w:jc w:val="center"/>
              <w:rPr>
                <w:rFonts w:cs="Calibri"/>
              </w:rPr>
            </w:pPr>
            <w:r>
              <w:t>1</w:t>
            </w:r>
            <w:r w:rsidR="00960F9F">
              <w:t> </w:t>
            </w:r>
            <w:r>
              <w:t>400</w:t>
            </w:r>
          </w:p>
        </w:tc>
      </w:tr>
      <w:tr w:rsidR="0082240B" w:rsidRPr="00771C97" w:rsidTr="00F45CF5">
        <w:trPr>
          <w:trHeight w:val="300"/>
          <w:jc w:val="center"/>
        </w:trPr>
        <w:tc>
          <w:tcPr>
            <w:tcW w:w="1683" w:type="dxa"/>
            <w:tcBorders>
              <w:top w:val="nil"/>
              <w:left w:val="single" w:sz="4" w:space="0" w:color="auto"/>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b/>
              </w:rPr>
            </w:pPr>
            <w:r>
              <w:rPr>
                <w:b/>
              </w:rPr>
              <w:t>Total</w:t>
            </w:r>
          </w:p>
        </w:tc>
        <w:tc>
          <w:tcPr>
            <w:tcW w:w="2003"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b/>
              </w:rPr>
            </w:pPr>
            <w:r>
              <w:rPr>
                <w:b/>
              </w:rPr>
              <w:t>770</w:t>
            </w:r>
          </w:p>
        </w:tc>
        <w:tc>
          <w:tcPr>
            <w:tcW w:w="1984"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3A23E8">
            <w:pPr>
              <w:pStyle w:val="Tabletext"/>
              <w:jc w:val="center"/>
              <w:rPr>
                <w:rFonts w:cs="Calibri"/>
                <w:b/>
              </w:rPr>
            </w:pPr>
            <w:r>
              <w:rPr>
                <w:b/>
              </w:rPr>
              <w:t>-</w:t>
            </w:r>
          </w:p>
        </w:tc>
        <w:tc>
          <w:tcPr>
            <w:tcW w:w="1985"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960F9F">
            <w:pPr>
              <w:pStyle w:val="Tabletext"/>
              <w:jc w:val="center"/>
              <w:rPr>
                <w:rFonts w:cs="Calibri"/>
                <w:b/>
              </w:rPr>
            </w:pPr>
            <w:r>
              <w:rPr>
                <w:b/>
              </w:rPr>
              <w:t>228</w:t>
            </w:r>
            <w:r w:rsidR="00960F9F">
              <w:rPr>
                <w:b/>
              </w:rPr>
              <w:t> </w:t>
            </w:r>
            <w:r>
              <w:rPr>
                <w:b/>
              </w:rPr>
              <w:t>000</w:t>
            </w:r>
          </w:p>
        </w:tc>
        <w:tc>
          <w:tcPr>
            <w:tcW w:w="2405" w:type="dxa"/>
            <w:tcBorders>
              <w:top w:val="nil"/>
              <w:left w:val="nil"/>
              <w:bottom w:val="single" w:sz="4" w:space="0" w:color="auto"/>
              <w:right w:val="single" w:sz="4" w:space="0" w:color="auto"/>
            </w:tcBorders>
            <w:shd w:val="clear" w:color="auto" w:fill="auto"/>
            <w:vAlign w:val="center"/>
            <w:hideMark/>
          </w:tcPr>
          <w:p w:rsidR="0082240B" w:rsidRPr="0062222B" w:rsidRDefault="0082240B" w:rsidP="00960F9F">
            <w:pPr>
              <w:pStyle w:val="Tabletext"/>
              <w:jc w:val="center"/>
              <w:rPr>
                <w:rFonts w:cs="Calibri"/>
                <w:b/>
              </w:rPr>
            </w:pPr>
            <w:r>
              <w:rPr>
                <w:b/>
              </w:rPr>
              <w:t>76</w:t>
            </w:r>
            <w:r w:rsidR="00960F9F">
              <w:rPr>
                <w:b/>
              </w:rPr>
              <w:t> </w:t>
            </w:r>
            <w:r>
              <w:rPr>
                <w:b/>
              </w:rPr>
              <w:t>400</w:t>
            </w:r>
          </w:p>
        </w:tc>
      </w:tr>
    </w:tbl>
    <w:p w:rsidR="0082240B" w:rsidRPr="00771C97" w:rsidRDefault="0082240B" w:rsidP="00DE6138">
      <w:r>
        <w:t>Si se suman las dos propuestas, los ingresos anuales totales adicionales por INR serían de 240</w:t>
      </w:r>
      <w:r w:rsidR="00960F9F">
        <w:t> </w:t>
      </w:r>
      <w:r>
        <w:t>960</w:t>
      </w:r>
      <w:r w:rsidR="00960F9F">
        <w:t> </w:t>
      </w:r>
      <w:r>
        <w:t>CHF (164</w:t>
      </w:r>
      <w:r w:rsidR="00960F9F">
        <w:t> </w:t>
      </w:r>
      <w:r>
        <w:t>560 CHF de tasas anuales y 76</w:t>
      </w:r>
      <w:r w:rsidR="00960F9F">
        <w:t> </w:t>
      </w:r>
      <w:r>
        <w:t>400 CHF de tasas únicas aumentadas). Los ingresos anuales totales serían entonces de 392</w:t>
      </w:r>
      <w:r w:rsidR="00960F9F">
        <w:t> </w:t>
      </w:r>
      <w:r>
        <w:t>560 CHF (164</w:t>
      </w:r>
      <w:r w:rsidR="00960F9F">
        <w:t> </w:t>
      </w:r>
      <w:r>
        <w:t>560 CHF de tasas anuales y 228</w:t>
      </w:r>
      <w:r w:rsidR="00960F9F">
        <w:t> </w:t>
      </w:r>
      <w:r>
        <w:t>000</w:t>
      </w:r>
      <w:r w:rsidR="00DE6138">
        <w:t> </w:t>
      </w:r>
      <w:bookmarkStart w:id="9" w:name="_GoBack"/>
      <w:bookmarkEnd w:id="9"/>
      <w:r>
        <w:t>CHF de tasas únicas aumentadas).</w:t>
      </w:r>
    </w:p>
    <w:p w:rsidR="0082240B" w:rsidRPr="00771C97" w:rsidRDefault="003A23E8" w:rsidP="003A23E8">
      <w:pPr>
        <w:pStyle w:val="Heading1"/>
        <w:rPr>
          <w:rFonts w:cstheme="minorHAnsi"/>
          <w:u w:color="000000"/>
        </w:rPr>
      </w:pPr>
      <w:r>
        <w:rPr>
          <w:u w:color="000000"/>
        </w:rPr>
        <w:t>D</w:t>
      </w:r>
      <w:r w:rsidR="0082240B">
        <w:rPr>
          <w:u w:color="000000"/>
        </w:rPr>
        <w:tab/>
        <w:t>Costos soportados por la Secretaría de la UIT para la gestión de INR</w:t>
      </w:r>
    </w:p>
    <w:p w:rsidR="0082240B" w:rsidRPr="00771C97" w:rsidRDefault="003A23E8" w:rsidP="003A23E8">
      <w:pPr>
        <w:spacing w:after="120"/>
      </w:pPr>
      <w:r>
        <w:t>8</w:t>
      </w:r>
      <w:r w:rsidR="0082240B">
        <w:tab/>
        <w:t>A continuación se presentan los costos reales de 2016 que la UIT ha soportado para atribuir INR de conformidad con las Recomendaciones pertinentes del UIT-T. Todas las cifras son en miles de CHF.</w:t>
      </w:r>
    </w:p>
    <w:tbl>
      <w:tblPr>
        <w:tblStyle w:val="TableGrid"/>
        <w:tblW w:w="9918" w:type="dxa"/>
        <w:tblInd w:w="-147" w:type="dxa"/>
        <w:tblLayout w:type="fixed"/>
        <w:tblLook w:val="04A0" w:firstRow="1" w:lastRow="0" w:firstColumn="1" w:lastColumn="0" w:noHBand="0" w:noVBand="1"/>
      </w:tblPr>
      <w:tblGrid>
        <w:gridCol w:w="1147"/>
        <w:gridCol w:w="3401"/>
        <w:gridCol w:w="1256"/>
        <w:gridCol w:w="1420"/>
        <w:gridCol w:w="1140"/>
        <w:gridCol w:w="1554"/>
      </w:tblGrid>
      <w:tr w:rsidR="0082240B" w:rsidRPr="00771C97" w:rsidTr="003A23E8">
        <w:trPr>
          <w:trHeight w:val="600"/>
        </w:trPr>
        <w:tc>
          <w:tcPr>
            <w:tcW w:w="1147" w:type="dxa"/>
            <w:vAlign w:val="center"/>
            <w:hideMark/>
          </w:tcPr>
          <w:p w:rsidR="0082240B" w:rsidRPr="0062222B" w:rsidRDefault="0082240B" w:rsidP="003A23E8">
            <w:pPr>
              <w:pStyle w:val="Tabletext"/>
              <w:jc w:val="center"/>
            </w:pPr>
            <w:r>
              <w:t>Número de resultado</w:t>
            </w:r>
          </w:p>
        </w:tc>
        <w:tc>
          <w:tcPr>
            <w:tcW w:w="3401" w:type="dxa"/>
            <w:vAlign w:val="center"/>
            <w:hideMark/>
          </w:tcPr>
          <w:p w:rsidR="0082240B" w:rsidRPr="0062222B" w:rsidRDefault="0082240B" w:rsidP="003A23E8">
            <w:pPr>
              <w:pStyle w:val="Tabletext"/>
              <w:jc w:val="center"/>
            </w:pPr>
            <w:r>
              <w:t>Nombre de resultado</w:t>
            </w:r>
          </w:p>
        </w:tc>
        <w:tc>
          <w:tcPr>
            <w:tcW w:w="1256" w:type="dxa"/>
            <w:vAlign w:val="center"/>
            <w:hideMark/>
          </w:tcPr>
          <w:p w:rsidR="0082240B" w:rsidRPr="0062222B" w:rsidRDefault="0082240B" w:rsidP="003A23E8">
            <w:pPr>
              <w:pStyle w:val="Tabletext"/>
              <w:jc w:val="center"/>
            </w:pPr>
            <w:r>
              <w:t>Atribución TSB</w:t>
            </w:r>
          </w:p>
        </w:tc>
        <w:tc>
          <w:tcPr>
            <w:tcW w:w="1420" w:type="dxa"/>
            <w:vAlign w:val="center"/>
            <w:hideMark/>
          </w:tcPr>
          <w:p w:rsidR="0082240B" w:rsidRPr="0062222B" w:rsidRDefault="0082240B" w:rsidP="003A23E8">
            <w:pPr>
              <w:pStyle w:val="Tabletext"/>
              <w:jc w:val="center"/>
            </w:pPr>
            <w:r>
              <w:t>Atribución de costos de soporte</w:t>
            </w:r>
          </w:p>
        </w:tc>
        <w:tc>
          <w:tcPr>
            <w:tcW w:w="1140" w:type="dxa"/>
            <w:vAlign w:val="center"/>
            <w:hideMark/>
          </w:tcPr>
          <w:p w:rsidR="0082240B" w:rsidRPr="0062222B" w:rsidRDefault="0082240B" w:rsidP="003A23E8">
            <w:pPr>
              <w:pStyle w:val="Tabletext"/>
              <w:jc w:val="center"/>
            </w:pPr>
            <w:r>
              <w:t>Documentación</w:t>
            </w:r>
          </w:p>
        </w:tc>
        <w:tc>
          <w:tcPr>
            <w:tcW w:w="1554" w:type="dxa"/>
            <w:vAlign w:val="center"/>
            <w:hideMark/>
          </w:tcPr>
          <w:p w:rsidR="0082240B" w:rsidRPr="0062222B" w:rsidRDefault="0082240B" w:rsidP="003A23E8">
            <w:pPr>
              <w:pStyle w:val="Tabletext"/>
              <w:jc w:val="center"/>
            </w:pPr>
            <w:r>
              <w:t>Total</w:t>
            </w:r>
          </w:p>
        </w:tc>
      </w:tr>
      <w:tr w:rsidR="0082240B" w:rsidRPr="00771C97" w:rsidTr="00F45CF5">
        <w:trPr>
          <w:trHeight w:val="900"/>
        </w:trPr>
        <w:tc>
          <w:tcPr>
            <w:tcW w:w="1147" w:type="dxa"/>
            <w:noWrap/>
            <w:hideMark/>
          </w:tcPr>
          <w:p w:rsidR="0082240B" w:rsidRPr="0062222B" w:rsidRDefault="0082240B" w:rsidP="003A23E8">
            <w:pPr>
              <w:pStyle w:val="Tabletext"/>
            </w:pPr>
            <w:r>
              <w:t>T3.2</w:t>
            </w:r>
          </w:p>
        </w:tc>
        <w:tc>
          <w:tcPr>
            <w:tcW w:w="3401" w:type="dxa"/>
            <w:hideMark/>
          </w:tcPr>
          <w:p w:rsidR="0082240B" w:rsidRPr="0062222B" w:rsidRDefault="0082240B" w:rsidP="003A23E8">
            <w:pPr>
              <w:pStyle w:val="Tabletext"/>
            </w:pPr>
            <w:r>
              <w:t>Atribución y gestión de recursos de numeración, denominación, direccionamiento e identificación de las telecomunicaciones internacionales, de conformidad con las Recomendaciones y los procedimientos del UIT-T</w:t>
            </w:r>
          </w:p>
        </w:tc>
        <w:tc>
          <w:tcPr>
            <w:tcW w:w="1256" w:type="dxa"/>
            <w:noWrap/>
            <w:hideMark/>
          </w:tcPr>
          <w:p w:rsidR="0082240B" w:rsidRPr="0062222B" w:rsidRDefault="0082240B" w:rsidP="003A23E8">
            <w:pPr>
              <w:pStyle w:val="Tabletext"/>
              <w:jc w:val="right"/>
            </w:pPr>
            <w:r>
              <w:t xml:space="preserve">439 </w:t>
            </w:r>
          </w:p>
        </w:tc>
        <w:tc>
          <w:tcPr>
            <w:tcW w:w="1420" w:type="dxa"/>
            <w:noWrap/>
            <w:hideMark/>
          </w:tcPr>
          <w:p w:rsidR="0082240B" w:rsidRPr="0062222B" w:rsidRDefault="0082240B" w:rsidP="003A23E8">
            <w:pPr>
              <w:pStyle w:val="Tabletext"/>
              <w:jc w:val="right"/>
            </w:pPr>
            <w:r>
              <w:t xml:space="preserve">444 </w:t>
            </w:r>
          </w:p>
        </w:tc>
        <w:tc>
          <w:tcPr>
            <w:tcW w:w="1140" w:type="dxa"/>
            <w:noWrap/>
            <w:hideMark/>
          </w:tcPr>
          <w:p w:rsidR="0082240B" w:rsidRPr="0062222B" w:rsidRDefault="0082240B" w:rsidP="003A23E8">
            <w:pPr>
              <w:pStyle w:val="Tabletext"/>
              <w:jc w:val="right"/>
            </w:pPr>
          </w:p>
        </w:tc>
        <w:tc>
          <w:tcPr>
            <w:tcW w:w="1554" w:type="dxa"/>
            <w:noWrap/>
            <w:hideMark/>
          </w:tcPr>
          <w:p w:rsidR="0082240B" w:rsidRPr="0062222B" w:rsidRDefault="0082240B" w:rsidP="003A23E8">
            <w:pPr>
              <w:pStyle w:val="Tabletext"/>
              <w:jc w:val="right"/>
            </w:pPr>
            <w:r>
              <w:t xml:space="preserve">883 </w:t>
            </w:r>
          </w:p>
        </w:tc>
      </w:tr>
      <w:tr w:rsidR="0082240B" w:rsidRPr="00771C97" w:rsidTr="003A23E8">
        <w:trPr>
          <w:trHeight w:val="300"/>
        </w:trPr>
        <w:tc>
          <w:tcPr>
            <w:tcW w:w="1147" w:type="dxa"/>
            <w:noWrap/>
            <w:hideMark/>
          </w:tcPr>
          <w:p w:rsidR="0082240B" w:rsidRPr="0062222B" w:rsidRDefault="0082240B" w:rsidP="00F45CF5">
            <w:pPr>
              <w:spacing w:before="40"/>
              <w:rPr>
                <w:rFonts w:asciiTheme="minorHAnsi" w:hAnsiTheme="minorHAnsi"/>
              </w:rPr>
            </w:pPr>
            <w:r>
              <w:rPr>
                <w:rFonts w:asciiTheme="minorHAnsi" w:hAnsiTheme="minorHAnsi"/>
              </w:rPr>
              <w:t>T4.4</w:t>
            </w:r>
          </w:p>
        </w:tc>
        <w:tc>
          <w:tcPr>
            <w:tcW w:w="3401" w:type="dxa"/>
            <w:hideMark/>
          </w:tcPr>
          <w:p w:rsidR="0082240B" w:rsidRPr="0062222B" w:rsidRDefault="0082240B" w:rsidP="00F45CF5">
            <w:pPr>
              <w:spacing w:before="40"/>
              <w:rPr>
                <w:rFonts w:asciiTheme="minorHAnsi" w:hAnsiTheme="minorHAnsi"/>
              </w:rPr>
            </w:pPr>
            <w:r>
              <w:rPr>
                <w:rFonts w:asciiTheme="minorHAnsi" w:hAnsiTheme="minorHAnsi"/>
              </w:rPr>
              <w:t>Boletín de Explotación de la UIT</w:t>
            </w:r>
          </w:p>
        </w:tc>
        <w:tc>
          <w:tcPr>
            <w:tcW w:w="1256" w:type="dxa"/>
            <w:noWrap/>
            <w:hideMark/>
          </w:tcPr>
          <w:p w:rsidR="0082240B" w:rsidRPr="0062222B" w:rsidRDefault="003A23E8" w:rsidP="003A23E8">
            <w:pPr>
              <w:spacing w:before="40"/>
              <w:jc w:val="right"/>
              <w:rPr>
                <w:rFonts w:asciiTheme="minorHAnsi" w:hAnsiTheme="minorHAnsi"/>
              </w:rPr>
            </w:pPr>
            <w:r>
              <w:rPr>
                <w:rFonts w:asciiTheme="minorHAnsi" w:hAnsiTheme="minorHAnsi"/>
              </w:rPr>
              <w:t>176</w:t>
            </w:r>
          </w:p>
        </w:tc>
        <w:tc>
          <w:tcPr>
            <w:tcW w:w="1420" w:type="dxa"/>
            <w:noWrap/>
          </w:tcPr>
          <w:p w:rsidR="0082240B" w:rsidRPr="0062222B" w:rsidRDefault="003A23E8" w:rsidP="00F45CF5">
            <w:pPr>
              <w:spacing w:before="40"/>
              <w:jc w:val="right"/>
              <w:rPr>
                <w:rFonts w:asciiTheme="minorHAnsi" w:hAnsiTheme="minorHAnsi"/>
              </w:rPr>
            </w:pPr>
            <w:r>
              <w:rPr>
                <w:rFonts w:asciiTheme="minorHAnsi" w:hAnsiTheme="minorHAnsi"/>
              </w:rPr>
              <w:t>168</w:t>
            </w:r>
          </w:p>
        </w:tc>
        <w:tc>
          <w:tcPr>
            <w:tcW w:w="1140" w:type="dxa"/>
            <w:noWrap/>
          </w:tcPr>
          <w:p w:rsidR="0082240B" w:rsidRPr="0062222B" w:rsidRDefault="003A23E8" w:rsidP="00F45CF5">
            <w:pPr>
              <w:spacing w:before="40"/>
              <w:jc w:val="right"/>
              <w:rPr>
                <w:rFonts w:asciiTheme="minorHAnsi" w:hAnsiTheme="minorHAnsi"/>
              </w:rPr>
            </w:pPr>
            <w:r>
              <w:rPr>
                <w:rFonts w:asciiTheme="minorHAnsi" w:hAnsiTheme="minorHAnsi"/>
              </w:rPr>
              <w:t>109</w:t>
            </w:r>
          </w:p>
        </w:tc>
        <w:tc>
          <w:tcPr>
            <w:tcW w:w="1554" w:type="dxa"/>
            <w:noWrap/>
          </w:tcPr>
          <w:p w:rsidR="0082240B" w:rsidRPr="0062222B" w:rsidRDefault="003A23E8" w:rsidP="00F45CF5">
            <w:pPr>
              <w:spacing w:before="40"/>
              <w:jc w:val="right"/>
              <w:rPr>
                <w:rFonts w:asciiTheme="minorHAnsi" w:hAnsiTheme="minorHAnsi"/>
              </w:rPr>
            </w:pPr>
            <w:r>
              <w:rPr>
                <w:rFonts w:asciiTheme="minorHAnsi" w:hAnsiTheme="minorHAnsi"/>
              </w:rPr>
              <w:t>453</w:t>
            </w:r>
          </w:p>
        </w:tc>
      </w:tr>
      <w:tr w:rsidR="0082240B" w:rsidRPr="00771C97" w:rsidTr="003A23E8">
        <w:trPr>
          <w:trHeight w:val="362"/>
        </w:trPr>
        <w:tc>
          <w:tcPr>
            <w:tcW w:w="4548" w:type="dxa"/>
            <w:gridSpan w:val="2"/>
            <w:noWrap/>
            <w:hideMark/>
          </w:tcPr>
          <w:p w:rsidR="0082240B" w:rsidRPr="0062222B" w:rsidRDefault="0082240B" w:rsidP="00F45CF5">
            <w:pPr>
              <w:spacing w:before="40"/>
              <w:jc w:val="both"/>
              <w:rPr>
                <w:rFonts w:asciiTheme="minorHAnsi" w:hAnsiTheme="minorHAnsi"/>
                <w:b/>
                <w:bCs/>
              </w:rPr>
            </w:pPr>
            <w:r>
              <w:rPr>
                <w:rFonts w:asciiTheme="minorHAnsi" w:hAnsiTheme="minorHAnsi"/>
                <w:b/>
                <w:bCs/>
              </w:rPr>
              <w:t>Costo total de INR</w:t>
            </w:r>
          </w:p>
        </w:tc>
        <w:tc>
          <w:tcPr>
            <w:tcW w:w="1256" w:type="dxa"/>
            <w:noWrap/>
          </w:tcPr>
          <w:p w:rsidR="0082240B" w:rsidRPr="0062222B" w:rsidRDefault="003A23E8" w:rsidP="00F45CF5">
            <w:pPr>
              <w:spacing w:before="40"/>
              <w:jc w:val="right"/>
              <w:rPr>
                <w:rFonts w:asciiTheme="minorHAnsi" w:hAnsiTheme="minorHAnsi"/>
                <w:b/>
                <w:bCs/>
              </w:rPr>
            </w:pPr>
            <w:r>
              <w:rPr>
                <w:rFonts w:asciiTheme="minorHAnsi" w:hAnsiTheme="minorHAnsi"/>
                <w:b/>
                <w:bCs/>
              </w:rPr>
              <w:t>615</w:t>
            </w:r>
          </w:p>
        </w:tc>
        <w:tc>
          <w:tcPr>
            <w:tcW w:w="1420" w:type="dxa"/>
            <w:noWrap/>
          </w:tcPr>
          <w:p w:rsidR="0082240B" w:rsidRPr="0062222B" w:rsidRDefault="003A23E8" w:rsidP="00F45CF5">
            <w:pPr>
              <w:spacing w:before="40"/>
              <w:jc w:val="right"/>
              <w:rPr>
                <w:rFonts w:asciiTheme="minorHAnsi" w:hAnsiTheme="minorHAnsi"/>
                <w:b/>
                <w:bCs/>
              </w:rPr>
            </w:pPr>
            <w:r>
              <w:rPr>
                <w:rFonts w:asciiTheme="minorHAnsi" w:hAnsiTheme="minorHAnsi"/>
                <w:b/>
                <w:bCs/>
              </w:rPr>
              <w:t>612</w:t>
            </w:r>
          </w:p>
        </w:tc>
        <w:tc>
          <w:tcPr>
            <w:tcW w:w="1140" w:type="dxa"/>
            <w:noWrap/>
          </w:tcPr>
          <w:p w:rsidR="0082240B" w:rsidRPr="0062222B" w:rsidRDefault="003A23E8" w:rsidP="00F45CF5">
            <w:pPr>
              <w:spacing w:before="40"/>
              <w:jc w:val="right"/>
              <w:rPr>
                <w:rFonts w:asciiTheme="minorHAnsi" w:hAnsiTheme="minorHAnsi"/>
                <w:b/>
                <w:bCs/>
              </w:rPr>
            </w:pPr>
            <w:r>
              <w:rPr>
                <w:rFonts w:asciiTheme="minorHAnsi" w:hAnsiTheme="minorHAnsi"/>
                <w:b/>
                <w:bCs/>
              </w:rPr>
              <w:t>103</w:t>
            </w:r>
          </w:p>
        </w:tc>
        <w:tc>
          <w:tcPr>
            <w:tcW w:w="1554" w:type="dxa"/>
            <w:noWrap/>
          </w:tcPr>
          <w:p w:rsidR="0082240B" w:rsidRPr="0062222B" w:rsidRDefault="003A23E8" w:rsidP="00F45CF5">
            <w:pPr>
              <w:spacing w:before="40"/>
              <w:jc w:val="right"/>
              <w:rPr>
                <w:rFonts w:asciiTheme="minorHAnsi" w:hAnsiTheme="minorHAnsi"/>
                <w:b/>
                <w:bCs/>
              </w:rPr>
            </w:pPr>
            <w:r>
              <w:rPr>
                <w:rFonts w:asciiTheme="minorHAnsi" w:hAnsiTheme="minorHAnsi"/>
                <w:b/>
                <w:bCs/>
              </w:rPr>
              <w:t>1 336</w:t>
            </w:r>
          </w:p>
        </w:tc>
      </w:tr>
    </w:tbl>
    <w:p w:rsidR="0082240B" w:rsidRPr="00771C97" w:rsidRDefault="0082240B" w:rsidP="00DA0011">
      <w:pPr>
        <w:rPr>
          <w:rFonts w:asciiTheme="minorHAnsi" w:hAnsiTheme="minorHAnsi"/>
          <w:szCs w:val="24"/>
        </w:rPr>
      </w:pPr>
      <w:r>
        <w:t xml:space="preserve">El costo real calculado anteriormente se basa en la metodología de atribución de costos </w:t>
      </w:r>
      <w:r>
        <w:rPr>
          <w:rFonts w:asciiTheme="minorHAnsi" w:hAnsiTheme="minorHAnsi"/>
          <w:szCs w:val="24"/>
        </w:rPr>
        <w:t>(</w:t>
      </w:r>
      <w:hyperlink r:id="rId22" w:history="1">
        <w:r>
          <w:rPr>
            <w:rFonts w:asciiTheme="minorHAnsi" w:hAnsiTheme="minorHAnsi"/>
            <w:szCs w:val="24"/>
          </w:rPr>
          <w:t>Decisión</w:t>
        </w:r>
        <w:r w:rsidR="00DA0011">
          <w:rPr>
            <w:rFonts w:asciiTheme="minorHAnsi" w:hAnsiTheme="minorHAnsi"/>
            <w:szCs w:val="24"/>
          </w:rPr>
          <w:t> </w:t>
        </w:r>
        <w:r>
          <w:rPr>
            <w:rFonts w:asciiTheme="minorHAnsi" w:hAnsiTheme="minorHAnsi"/>
            <w:szCs w:val="24"/>
          </w:rPr>
          <w:t>535</w:t>
        </w:r>
      </w:hyperlink>
      <w:r>
        <w:rPr>
          <w:rFonts w:asciiTheme="minorHAnsi" w:hAnsiTheme="minorHAnsi"/>
          <w:szCs w:val="24"/>
        </w:rPr>
        <w:t xml:space="preserve">) modificada por el Consejo en su reunión de 2014, y que entró en vigor el 1 de enero de 2016. </w:t>
      </w:r>
    </w:p>
    <w:p w:rsidR="0082240B" w:rsidRPr="00771C97" w:rsidRDefault="0082240B" w:rsidP="00DA0011">
      <w:r>
        <w:t>Los costos de la Secretaría General (columna Atribución de costos de soporte) se distribuyen a la TSB mediante un factor de atribución de costos (número de puestos). Los costos de la TSB (columna Atribución TSB) se atribuyen a los Resultados basados en un estudio del tiempo. Los costos de documentación (columna Documentación) corresponden a la traducción y mecanografía.</w:t>
      </w:r>
    </w:p>
    <w:p w:rsidR="0082240B" w:rsidRPr="00771C97" w:rsidRDefault="0082240B" w:rsidP="00DA0011">
      <w:r>
        <w:t>Se calcula que el costo que soporta la UIT únicamente para atribuir UIFN e IIN es de unos 400</w:t>
      </w:r>
      <w:r w:rsidR="00DA0011">
        <w:t> </w:t>
      </w:r>
      <w:r>
        <w:t>000</w:t>
      </w:r>
      <w:r w:rsidR="00DA0011">
        <w:t> </w:t>
      </w:r>
      <w:r>
        <w:t xml:space="preserve">CHF. </w:t>
      </w:r>
    </w:p>
    <w:p w:rsidR="0082240B" w:rsidRPr="00771C97" w:rsidRDefault="00DA0011" w:rsidP="00DA0011">
      <w:pPr>
        <w:pStyle w:val="Heading1"/>
      </w:pPr>
      <w:r>
        <w:lastRenderedPageBreak/>
        <w:t>E</w:t>
      </w:r>
      <w:r w:rsidR="0082240B">
        <w:tab/>
        <w:t>Resumen</w:t>
      </w:r>
    </w:p>
    <w:p w:rsidR="0082240B" w:rsidRDefault="00DA0011" w:rsidP="00960F9F">
      <w:r>
        <w:t>9</w:t>
      </w:r>
      <w:r w:rsidR="0082240B">
        <w:tab/>
        <w:t>Si se aplican las dos propuestas (tasa anual de 20 CHF por UIFN y de 100 CHF por IIN; tasas de inscripción únicas aumentadas de 300 CHF por UIFN y de 150 CHF por IIN) se calcula que los ingresos obtenidos (392</w:t>
      </w:r>
      <w:r w:rsidR="00960F9F">
        <w:t> </w:t>
      </w:r>
      <w:r w:rsidR="0082240B">
        <w:t xml:space="preserve">560 CHF) cubrirían el costo que soporta la UIT para atribuir UIFN e IIN. </w:t>
      </w:r>
    </w:p>
    <w:p w:rsidR="0082240B" w:rsidRDefault="0082240B" w:rsidP="0032202E">
      <w:pPr>
        <w:pStyle w:val="Reasons"/>
      </w:pPr>
    </w:p>
    <w:p w:rsidR="0082240B" w:rsidRDefault="0082240B">
      <w:pPr>
        <w:jc w:val="center"/>
      </w:pPr>
      <w:r>
        <w:t>______________</w:t>
      </w:r>
    </w:p>
    <w:sectPr w:rsidR="0082240B" w:rsidSect="006710F6">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16" w:rsidRDefault="00B56216">
      <w:r>
        <w:separator/>
      </w:r>
    </w:p>
  </w:endnote>
  <w:endnote w:type="continuationSeparator" w:id="0">
    <w:p w:rsidR="00B56216" w:rsidRDefault="00B5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A23E8" w:rsidRDefault="003A23E8" w:rsidP="003A23E8">
    <w:pPr>
      <w:pStyle w:val="Footer"/>
      <w:rPr>
        <w:lang w:val="fr-CH"/>
      </w:rPr>
    </w:pPr>
    <w:r>
      <w:fldChar w:fldCharType="begin"/>
    </w:r>
    <w:r w:rsidRPr="003A23E8">
      <w:rPr>
        <w:lang w:val="fr-CH"/>
      </w:rPr>
      <w:instrText xml:space="preserve"> FILENAME \p  \* MERGEFORMAT </w:instrText>
    </w:r>
    <w:r>
      <w:fldChar w:fldCharType="separate"/>
    </w:r>
    <w:r w:rsidRPr="003A23E8">
      <w:rPr>
        <w:lang w:val="fr-CH"/>
      </w:rPr>
      <w:t>P:\ESP\SG\CONSEIL\C17\000\043S.docx</w:t>
    </w:r>
    <w:r>
      <w:fldChar w:fldCharType="end"/>
    </w:r>
    <w:r>
      <w:rPr>
        <w:lang w:val="fr-CH"/>
      </w:rPr>
      <w:t xml:space="preserve"> (409493</w:t>
    </w:r>
    <w:r w:rsidRPr="003A23E8">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16" w:rsidRDefault="00B56216">
      <w:r>
        <w:t>____________________</w:t>
      </w:r>
    </w:p>
  </w:footnote>
  <w:footnote w:type="continuationSeparator" w:id="0">
    <w:p w:rsidR="00B56216" w:rsidRDefault="00B5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E6138">
      <w:rPr>
        <w:noProof/>
      </w:rPr>
      <w:t>5</w:t>
    </w:r>
    <w:r>
      <w:rPr>
        <w:noProof/>
      </w:rPr>
      <w:fldChar w:fldCharType="end"/>
    </w:r>
  </w:p>
  <w:p w:rsidR="00760F1C" w:rsidRDefault="00760F1C" w:rsidP="003A23E8">
    <w:pPr>
      <w:pStyle w:val="Header"/>
    </w:pPr>
    <w:r>
      <w:t>C</w:t>
    </w:r>
    <w:r w:rsidR="007F350B">
      <w:t>1</w:t>
    </w:r>
    <w:r w:rsidR="00B8298E">
      <w:t>7</w:t>
    </w:r>
    <w:r>
      <w:t>/</w:t>
    </w:r>
    <w:r w:rsidR="003A23E8">
      <w:t>43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D1F11"/>
    <w:multiLevelType w:val="hybridMultilevel"/>
    <w:tmpl w:val="E7203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A77AF"/>
    <w:multiLevelType w:val="hybridMultilevel"/>
    <w:tmpl w:val="77F67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16"/>
    <w:rsid w:val="000017F0"/>
    <w:rsid w:val="00093EEB"/>
    <w:rsid w:val="000B0D00"/>
    <w:rsid w:val="000B7C15"/>
    <w:rsid w:val="000D1D0F"/>
    <w:rsid w:val="000F5290"/>
    <w:rsid w:val="0010165C"/>
    <w:rsid w:val="00136A69"/>
    <w:rsid w:val="00146BFB"/>
    <w:rsid w:val="001A4D29"/>
    <w:rsid w:val="001F14A2"/>
    <w:rsid w:val="002801AA"/>
    <w:rsid w:val="002C4676"/>
    <w:rsid w:val="002C70B0"/>
    <w:rsid w:val="002F3CC4"/>
    <w:rsid w:val="003A23E8"/>
    <w:rsid w:val="004F4118"/>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2240B"/>
    <w:rsid w:val="008451E8"/>
    <w:rsid w:val="008A645C"/>
    <w:rsid w:val="00913B9C"/>
    <w:rsid w:val="00956E77"/>
    <w:rsid w:val="00960F9F"/>
    <w:rsid w:val="009E6704"/>
    <w:rsid w:val="00AA390C"/>
    <w:rsid w:val="00B0200A"/>
    <w:rsid w:val="00B56216"/>
    <w:rsid w:val="00B574DB"/>
    <w:rsid w:val="00B667B1"/>
    <w:rsid w:val="00B826C2"/>
    <w:rsid w:val="00B8298E"/>
    <w:rsid w:val="00BD0723"/>
    <w:rsid w:val="00BD2518"/>
    <w:rsid w:val="00BF1D1C"/>
    <w:rsid w:val="00C20C59"/>
    <w:rsid w:val="00C55B1F"/>
    <w:rsid w:val="00CF1A67"/>
    <w:rsid w:val="00D2750E"/>
    <w:rsid w:val="00D62446"/>
    <w:rsid w:val="00DA0011"/>
    <w:rsid w:val="00DA4EA2"/>
    <w:rsid w:val="00DC3D3E"/>
    <w:rsid w:val="00DE2C90"/>
    <w:rsid w:val="00DE3B24"/>
    <w:rsid w:val="00DE6138"/>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93200D9-9EA5-4E50-BEDC-688854F3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2Char">
    <w:name w:val="Heading 2 Char"/>
    <w:basedOn w:val="DefaultParagraphFont"/>
    <w:link w:val="Heading2"/>
    <w:uiPriority w:val="9"/>
    <w:rsid w:val="0082240B"/>
    <w:rPr>
      <w:rFonts w:ascii="Calibri" w:hAnsi="Calibri"/>
      <w:b/>
      <w:sz w:val="24"/>
      <w:lang w:val="es-ES_tradnl" w:eastAsia="en-US"/>
    </w:rPr>
  </w:style>
  <w:style w:type="table" w:styleId="TableGrid">
    <w:name w:val="Table Grid"/>
    <w:basedOn w:val="TableNormal"/>
    <w:uiPriority w:val="39"/>
    <w:rsid w:val="0082240B"/>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40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s-ES" w:eastAsia="zh-CN"/>
    </w:rPr>
  </w:style>
  <w:style w:type="character" w:customStyle="1" w:styleId="Heading1Char">
    <w:name w:val="Heading 1 Char"/>
    <w:basedOn w:val="DefaultParagraphFont"/>
    <w:link w:val="Heading1"/>
    <w:uiPriority w:val="9"/>
    <w:rsid w:val="0082240B"/>
    <w:rPr>
      <w:rFonts w:ascii="Calibri" w:hAnsi="Calibri"/>
      <w:b/>
      <w:sz w:val="28"/>
      <w:lang w:val="es-ES_tradnl" w:eastAsia="en-US"/>
    </w:rPr>
  </w:style>
  <w:style w:type="paragraph" w:customStyle="1" w:styleId="Body">
    <w:name w:val="Body"/>
    <w:rsid w:val="0082240B"/>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69/es" TargetMode="External"/><Relationship Id="rId13" Type="http://schemas.openxmlformats.org/officeDocument/2006/relationships/hyperlink" Target="https://www.itu.int/md/S14-CL-C-0111/es" TargetMode="External"/><Relationship Id="rId18" Type="http://schemas.openxmlformats.org/officeDocument/2006/relationships/hyperlink" Target="https://www.itu.int/md/S16-CL-C-0096/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pub/T-RES-T.85-2016/es" TargetMode="External"/><Relationship Id="rId7" Type="http://schemas.openxmlformats.org/officeDocument/2006/relationships/image" Target="media/image1.jpeg"/><Relationship Id="rId12" Type="http://schemas.openxmlformats.org/officeDocument/2006/relationships/hyperlink" Target="http://www.itu.int/md/S16-CL-160525-DL-0007/es" TargetMode="External"/><Relationship Id="rId17" Type="http://schemas.openxmlformats.org/officeDocument/2006/relationships/hyperlink" Target="https://www.itu.int/md/S16-CL-C-0079/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16-CL-C-0069/es" TargetMode="External"/><Relationship Id="rId20" Type="http://schemas.openxmlformats.org/officeDocument/2006/relationships/hyperlink" Target="https://www.itu.int/md/S16-CL-C-0096/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4-PP-141020-TD-0063/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net/ITU-T/forms/qs-inr-ms/rev-gen-inr.aspx" TargetMode="External"/><Relationship Id="rId23" Type="http://schemas.openxmlformats.org/officeDocument/2006/relationships/header" Target="header1.xml"/><Relationship Id="rId10" Type="http://schemas.openxmlformats.org/officeDocument/2006/relationships/hyperlink" Target="http://www.itu.int/md/S15-CLCWGFHRM5-C-0025/es" TargetMode="External"/><Relationship Id="rId19" Type="http://schemas.openxmlformats.org/officeDocument/2006/relationships/hyperlink" Target="https://www.itu.int/md/S16-CL-C-0069/es" TargetMode="External"/><Relationship Id="rId4" Type="http://schemas.openxmlformats.org/officeDocument/2006/relationships/webSettings" Target="webSettings.xml"/><Relationship Id="rId9" Type="http://schemas.openxmlformats.org/officeDocument/2006/relationships/hyperlink" Target="https://www.itu.int/md/S16-CL-C-0096/es" TargetMode="External"/><Relationship Id="rId14" Type="http://schemas.openxmlformats.org/officeDocument/2006/relationships/hyperlink" Target="http://www.itu.int/md/S14-PP-C-0091/es" TargetMode="External"/><Relationship Id="rId22" Type="http://schemas.openxmlformats.org/officeDocument/2006/relationships/hyperlink" Target="https://www.itu.int/md/S14-CL-C-0102/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28</TotalTime>
  <Pages>5</Pages>
  <Words>1599</Words>
  <Characters>9118</Characters>
  <Application>Microsoft Office Word</Application>
  <DocSecurity>0</DocSecurity>
  <Lines>75</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10696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12</cp:revision>
  <cp:lastPrinted>2006-03-24T09:51:00Z</cp:lastPrinted>
  <dcterms:created xsi:type="dcterms:W3CDTF">2017-05-10T13:46:00Z</dcterms:created>
  <dcterms:modified xsi:type="dcterms:W3CDTF">2017-05-11T18:31:00Z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