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9713DC">
        <w:trPr>
          <w:cantSplit/>
        </w:trPr>
        <w:tc>
          <w:tcPr>
            <w:tcW w:w="6912" w:type="dxa"/>
          </w:tcPr>
          <w:p w:rsidR="00093EEB" w:rsidRPr="009713DC" w:rsidRDefault="00093EEB" w:rsidP="00093EEB">
            <w:pPr>
              <w:spacing w:before="360"/>
              <w:rPr>
                <w:szCs w:val="24"/>
                <w:lang w:val="es-ES"/>
              </w:rPr>
            </w:pPr>
            <w:bookmarkStart w:id="0" w:name="dc06"/>
            <w:bookmarkStart w:id="1" w:name="dbluepink" w:colFirst="0" w:colLast="0"/>
            <w:bookmarkEnd w:id="0"/>
            <w:r w:rsidRPr="009713DC">
              <w:rPr>
                <w:b/>
                <w:bCs/>
                <w:sz w:val="30"/>
                <w:szCs w:val="30"/>
                <w:lang w:val="es-ES"/>
              </w:rPr>
              <w:t>Consejo 2017</w:t>
            </w:r>
            <w:r w:rsidRPr="009713DC">
              <w:rPr>
                <w:b/>
                <w:bCs/>
                <w:sz w:val="26"/>
                <w:szCs w:val="26"/>
                <w:lang w:val="es-ES"/>
              </w:rPr>
              <w:br/>
            </w:r>
            <w:r w:rsidRPr="009713DC">
              <w:rPr>
                <w:b/>
                <w:bCs/>
                <w:szCs w:val="24"/>
                <w:lang w:val="es-ES"/>
              </w:rPr>
              <w:t>Ginebra, 15-25 de mayo de 2017</w:t>
            </w:r>
          </w:p>
        </w:tc>
        <w:tc>
          <w:tcPr>
            <w:tcW w:w="3261" w:type="dxa"/>
          </w:tcPr>
          <w:p w:rsidR="00093EEB" w:rsidRPr="009713DC" w:rsidRDefault="00093EEB" w:rsidP="00093EEB">
            <w:pPr>
              <w:spacing w:before="0"/>
              <w:jc w:val="right"/>
              <w:rPr>
                <w:szCs w:val="24"/>
                <w:lang w:val="es-ES"/>
              </w:rPr>
            </w:pPr>
            <w:bookmarkStart w:id="2" w:name="ditulogo"/>
            <w:bookmarkEnd w:id="2"/>
            <w:r w:rsidRPr="009713DC">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9713DC">
        <w:trPr>
          <w:cantSplit/>
          <w:trHeight w:val="20"/>
        </w:trPr>
        <w:tc>
          <w:tcPr>
            <w:tcW w:w="10173" w:type="dxa"/>
            <w:gridSpan w:val="2"/>
            <w:tcBorders>
              <w:bottom w:val="single" w:sz="12" w:space="0" w:color="auto"/>
            </w:tcBorders>
          </w:tcPr>
          <w:p w:rsidR="00093EEB" w:rsidRPr="009713DC" w:rsidRDefault="00093EEB">
            <w:pPr>
              <w:spacing w:before="0"/>
              <w:rPr>
                <w:b/>
                <w:bCs/>
                <w:szCs w:val="24"/>
                <w:lang w:val="es-ES"/>
              </w:rPr>
            </w:pPr>
          </w:p>
        </w:tc>
      </w:tr>
      <w:tr w:rsidR="00093EEB" w:rsidRPr="009713DC">
        <w:trPr>
          <w:cantSplit/>
          <w:trHeight w:val="20"/>
        </w:trPr>
        <w:tc>
          <w:tcPr>
            <w:tcW w:w="6912" w:type="dxa"/>
            <w:tcBorders>
              <w:top w:val="single" w:sz="12" w:space="0" w:color="auto"/>
            </w:tcBorders>
          </w:tcPr>
          <w:p w:rsidR="00093EEB" w:rsidRPr="009713DC"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rsidR="00093EEB" w:rsidRPr="009713DC" w:rsidRDefault="00093EEB">
            <w:pPr>
              <w:spacing w:before="0"/>
              <w:rPr>
                <w:b/>
                <w:bCs/>
                <w:szCs w:val="24"/>
                <w:lang w:val="es-ES"/>
              </w:rPr>
            </w:pPr>
          </w:p>
        </w:tc>
      </w:tr>
      <w:tr w:rsidR="00093EEB" w:rsidRPr="009713DC">
        <w:trPr>
          <w:cantSplit/>
          <w:trHeight w:val="20"/>
        </w:trPr>
        <w:tc>
          <w:tcPr>
            <w:tcW w:w="6912" w:type="dxa"/>
            <w:shd w:val="clear" w:color="auto" w:fill="auto"/>
          </w:tcPr>
          <w:p w:rsidR="00093EEB" w:rsidRPr="009713DC" w:rsidRDefault="006734C4">
            <w:pPr>
              <w:tabs>
                <w:tab w:val="clear" w:pos="2268"/>
                <w:tab w:val="left" w:pos="1560"/>
                <w:tab w:val="left" w:pos="2269"/>
                <w:tab w:val="left" w:pos="3544"/>
                <w:tab w:val="left" w:pos="3969"/>
              </w:tabs>
              <w:spacing w:before="0" w:line="240" w:lineRule="atLeast"/>
              <w:rPr>
                <w:rFonts w:cs="Times"/>
                <w:b/>
                <w:szCs w:val="24"/>
                <w:lang w:val="es-ES"/>
              </w:rPr>
            </w:pPr>
            <w:bookmarkStart w:id="3" w:name="dnum" w:colFirst="1" w:colLast="1"/>
            <w:bookmarkStart w:id="4" w:name="dmeeting" w:colFirst="0" w:colLast="0"/>
            <w:r>
              <w:rPr>
                <w:rFonts w:cs="Times"/>
                <w:b/>
                <w:szCs w:val="24"/>
                <w:lang w:val="es-ES"/>
              </w:rPr>
              <w:t>Punto del orden del día: ADM 1</w:t>
            </w:r>
          </w:p>
        </w:tc>
        <w:tc>
          <w:tcPr>
            <w:tcW w:w="3261" w:type="dxa"/>
          </w:tcPr>
          <w:p w:rsidR="00093EEB" w:rsidRPr="009713DC" w:rsidRDefault="00093EEB" w:rsidP="000C3CBD">
            <w:pPr>
              <w:spacing w:before="0"/>
              <w:rPr>
                <w:b/>
                <w:bCs/>
                <w:szCs w:val="24"/>
                <w:lang w:val="es-ES"/>
              </w:rPr>
            </w:pPr>
            <w:r w:rsidRPr="009713DC">
              <w:rPr>
                <w:b/>
                <w:bCs/>
                <w:szCs w:val="24"/>
                <w:lang w:val="es-ES"/>
              </w:rPr>
              <w:t>Documento C17/</w:t>
            </w:r>
            <w:r w:rsidR="000C3CBD" w:rsidRPr="009713DC">
              <w:rPr>
                <w:b/>
                <w:bCs/>
                <w:szCs w:val="24"/>
                <w:lang w:val="es-ES"/>
              </w:rPr>
              <w:t>57</w:t>
            </w:r>
            <w:r w:rsidRPr="009713DC">
              <w:rPr>
                <w:b/>
                <w:bCs/>
                <w:szCs w:val="24"/>
                <w:lang w:val="es-ES"/>
              </w:rPr>
              <w:t>-S</w:t>
            </w:r>
          </w:p>
        </w:tc>
      </w:tr>
      <w:tr w:rsidR="00093EEB" w:rsidRPr="009713DC">
        <w:trPr>
          <w:cantSplit/>
          <w:trHeight w:val="20"/>
        </w:trPr>
        <w:tc>
          <w:tcPr>
            <w:tcW w:w="6912" w:type="dxa"/>
            <w:shd w:val="clear" w:color="auto" w:fill="auto"/>
          </w:tcPr>
          <w:p w:rsidR="00093EEB" w:rsidRPr="009713DC" w:rsidRDefault="00093EEB">
            <w:pPr>
              <w:shd w:val="solid" w:color="FFFFFF" w:fill="FFFFFF"/>
              <w:spacing w:before="0"/>
              <w:rPr>
                <w:smallCaps/>
                <w:szCs w:val="24"/>
                <w:lang w:val="es-ES"/>
              </w:rPr>
            </w:pPr>
            <w:bookmarkStart w:id="5" w:name="ddate" w:colFirst="1" w:colLast="1"/>
            <w:bookmarkEnd w:id="3"/>
            <w:bookmarkEnd w:id="4"/>
          </w:p>
        </w:tc>
        <w:tc>
          <w:tcPr>
            <w:tcW w:w="3261" w:type="dxa"/>
          </w:tcPr>
          <w:p w:rsidR="00093EEB" w:rsidRPr="009713DC" w:rsidRDefault="00B2466C" w:rsidP="00093EEB">
            <w:pPr>
              <w:spacing w:before="0"/>
              <w:rPr>
                <w:b/>
                <w:bCs/>
                <w:szCs w:val="24"/>
                <w:lang w:val="es-ES"/>
              </w:rPr>
            </w:pPr>
            <w:r w:rsidRPr="009713DC">
              <w:rPr>
                <w:b/>
                <w:lang w:val="es-ES"/>
              </w:rPr>
              <w:t>31 de marzo</w:t>
            </w:r>
            <w:r w:rsidRPr="009713DC">
              <w:rPr>
                <w:b/>
                <w:bCs/>
                <w:szCs w:val="24"/>
                <w:lang w:val="es-ES"/>
              </w:rPr>
              <w:t xml:space="preserve"> </w:t>
            </w:r>
            <w:r w:rsidR="00093EEB" w:rsidRPr="009713DC">
              <w:rPr>
                <w:b/>
                <w:bCs/>
                <w:szCs w:val="24"/>
                <w:lang w:val="es-ES"/>
              </w:rPr>
              <w:t>de 2017</w:t>
            </w:r>
          </w:p>
        </w:tc>
      </w:tr>
      <w:tr w:rsidR="00093EEB" w:rsidRPr="009713DC">
        <w:trPr>
          <w:cantSplit/>
          <w:trHeight w:val="20"/>
        </w:trPr>
        <w:tc>
          <w:tcPr>
            <w:tcW w:w="6912" w:type="dxa"/>
            <w:shd w:val="clear" w:color="auto" w:fill="auto"/>
          </w:tcPr>
          <w:p w:rsidR="00093EEB" w:rsidRPr="009713DC" w:rsidRDefault="00093EEB">
            <w:pPr>
              <w:shd w:val="solid" w:color="FFFFFF" w:fill="FFFFFF"/>
              <w:spacing w:before="0"/>
              <w:rPr>
                <w:smallCaps/>
                <w:szCs w:val="24"/>
                <w:lang w:val="es-ES"/>
              </w:rPr>
            </w:pPr>
            <w:bookmarkStart w:id="6" w:name="dorlang" w:colFirst="1" w:colLast="1"/>
            <w:bookmarkEnd w:id="5"/>
          </w:p>
        </w:tc>
        <w:tc>
          <w:tcPr>
            <w:tcW w:w="3261" w:type="dxa"/>
          </w:tcPr>
          <w:p w:rsidR="00093EEB" w:rsidRPr="009713DC" w:rsidRDefault="00093EEB" w:rsidP="00093EEB">
            <w:pPr>
              <w:spacing w:before="0"/>
              <w:rPr>
                <w:b/>
                <w:bCs/>
                <w:szCs w:val="24"/>
                <w:lang w:val="es-ES"/>
              </w:rPr>
            </w:pPr>
            <w:r w:rsidRPr="009713DC">
              <w:rPr>
                <w:b/>
                <w:bCs/>
                <w:szCs w:val="24"/>
                <w:lang w:val="es-ES"/>
              </w:rPr>
              <w:t>Original: inglés</w:t>
            </w:r>
          </w:p>
        </w:tc>
      </w:tr>
      <w:tr w:rsidR="00093EEB" w:rsidRPr="009713DC">
        <w:trPr>
          <w:cantSplit/>
        </w:trPr>
        <w:tc>
          <w:tcPr>
            <w:tcW w:w="10173" w:type="dxa"/>
            <w:gridSpan w:val="2"/>
          </w:tcPr>
          <w:p w:rsidR="00093EEB" w:rsidRPr="009713DC" w:rsidRDefault="00B2466C">
            <w:pPr>
              <w:pStyle w:val="Source"/>
              <w:rPr>
                <w:lang w:val="es-ES"/>
              </w:rPr>
            </w:pPr>
            <w:bookmarkStart w:id="7" w:name="dsource" w:colFirst="0" w:colLast="0"/>
            <w:bookmarkEnd w:id="1"/>
            <w:bookmarkEnd w:id="6"/>
            <w:r w:rsidRPr="009713DC">
              <w:rPr>
                <w:lang w:val="es-ES"/>
              </w:rPr>
              <w:t>Informe del</w:t>
            </w:r>
            <w:r w:rsidRPr="009713DC">
              <w:rPr>
                <w:i/>
                <w:iCs/>
                <w:lang w:val="es-ES"/>
              </w:rPr>
              <w:t xml:space="preserve"> </w:t>
            </w:r>
            <w:r w:rsidRPr="009713DC">
              <w:rPr>
                <w:lang w:val="es-ES"/>
              </w:rPr>
              <w:t>Secretario General</w:t>
            </w:r>
          </w:p>
        </w:tc>
      </w:tr>
      <w:tr w:rsidR="00093EEB" w:rsidRPr="009713DC">
        <w:trPr>
          <w:cantSplit/>
        </w:trPr>
        <w:tc>
          <w:tcPr>
            <w:tcW w:w="10173" w:type="dxa"/>
            <w:gridSpan w:val="2"/>
          </w:tcPr>
          <w:p w:rsidR="00093EEB" w:rsidRPr="009713DC" w:rsidRDefault="00B2466C">
            <w:pPr>
              <w:pStyle w:val="Title1"/>
              <w:rPr>
                <w:lang w:val="es-ES"/>
              </w:rPr>
            </w:pPr>
            <w:bookmarkStart w:id="8" w:name="dtitle1" w:colFirst="0" w:colLast="0"/>
            <w:bookmarkEnd w:id="7"/>
            <w:r w:rsidRPr="009713DC">
              <w:rPr>
                <w:lang w:val="es-ES"/>
              </w:rPr>
              <w:t>IMPORTE PROVISIONAL DE LA UNIDAD CONTRIBUTIVA</w:t>
            </w:r>
          </w:p>
        </w:tc>
      </w:tr>
      <w:bookmarkEnd w:id="8"/>
    </w:tbl>
    <w:p w:rsidR="00093EEB" w:rsidRPr="009713DC" w:rsidRDefault="00093EEB">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B7707F">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9713DC" w:rsidRDefault="00093EEB">
            <w:pPr>
              <w:pStyle w:val="Headingb"/>
              <w:rPr>
                <w:lang w:val="es-ES"/>
              </w:rPr>
            </w:pPr>
            <w:r w:rsidRPr="009713DC">
              <w:rPr>
                <w:lang w:val="es-ES"/>
              </w:rPr>
              <w:t>Resumen</w:t>
            </w:r>
          </w:p>
          <w:p w:rsidR="00093EEB" w:rsidRPr="009713DC" w:rsidRDefault="00B2466C">
            <w:pPr>
              <w:rPr>
                <w:lang w:val="es-ES"/>
              </w:rPr>
            </w:pPr>
            <w:r w:rsidRPr="009713DC">
              <w:rPr>
                <w:lang w:val="es-ES"/>
              </w:rPr>
              <w:t>El Secretario General tiene intención de proponer que se mantenga la unidad contributiva al nivel actual de 318 000 CHF.</w:t>
            </w:r>
            <w:r w:rsidR="009713DC">
              <w:rPr>
                <w:lang w:val="es-ES"/>
              </w:rPr>
              <w:t xml:space="preserve"> </w:t>
            </w:r>
            <w:r w:rsidRPr="009713DC">
              <w:rPr>
                <w:lang w:val="es-ES"/>
              </w:rPr>
              <w:t xml:space="preserve">Al igual que en la última Conferencia de Plenipotenciarios, será una buena base para debatir el Plan Financiero con todos los </w:t>
            </w:r>
            <w:r w:rsidR="006734C4">
              <w:rPr>
                <w:lang w:val="es-ES"/>
              </w:rPr>
              <w:t xml:space="preserve">Estados </w:t>
            </w:r>
            <w:r w:rsidRPr="009713DC">
              <w:rPr>
                <w:lang w:val="es-ES"/>
              </w:rPr>
              <w:t>Miembros y facilitar una preparación adecuada antes de la Conferencia de Plenipotenciarios de 2018.</w:t>
            </w:r>
          </w:p>
          <w:p w:rsidR="00093EEB" w:rsidRPr="009713DC" w:rsidRDefault="00093EEB">
            <w:pPr>
              <w:pStyle w:val="Headingb"/>
              <w:rPr>
                <w:lang w:val="es-ES"/>
              </w:rPr>
            </w:pPr>
            <w:r w:rsidRPr="009713DC">
              <w:rPr>
                <w:lang w:val="es-ES"/>
              </w:rPr>
              <w:t>Acción solicitada</w:t>
            </w:r>
          </w:p>
          <w:p w:rsidR="00093EEB" w:rsidRPr="009713DC" w:rsidRDefault="00B2466C">
            <w:pPr>
              <w:rPr>
                <w:lang w:val="es-ES"/>
              </w:rPr>
            </w:pPr>
            <w:r w:rsidRPr="009713DC">
              <w:rPr>
                <w:lang w:val="es-ES"/>
              </w:rPr>
              <w:t xml:space="preserve">Se invita al Consejo a </w:t>
            </w:r>
            <w:r w:rsidRPr="009713DC">
              <w:rPr>
                <w:b/>
                <w:bCs/>
                <w:lang w:val="es-ES"/>
              </w:rPr>
              <w:t>examinar</w:t>
            </w:r>
            <w:r w:rsidR="009713DC">
              <w:rPr>
                <w:b/>
                <w:bCs/>
                <w:lang w:val="es-ES"/>
              </w:rPr>
              <w:t xml:space="preserve"> </w:t>
            </w:r>
            <w:r w:rsidRPr="009713DC">
              <w:rPr>
                <w:lang w:val="es-ES"/>
              </w:rPr>
              <w:t xml:space="preserve">y </w:t>
            </w:r>
            <w:r w:rsidRPr="009713DC">
              <w:rPr>
                <w:b/>
                <w:bCs/>
                <w:lang w:val="es-ES"/>
              </w:rPr>
              <w:t xml:space="preserve">aprobar </w:t>
            </w:r>
            <w:r w:rsidRPr="009713DC">
              <w:rPr>
                <w:lang w:val="es-ES"/>
              </w:rPr>
              <w:t>esta propuesta.</w:t>
            </w:r>
          </w:p>
          <w:p w:rsidR="00093EEB" w:rsidRPr="00B7707F" w:rsidRDefault="00093EEB">
            <w:pPr>
              <w:pStyle w:val="Table"/>
              <w:keepNext w:val="0"/>
              <w:spacing w:before="0" w:after="0"/>
              <w:rPr>
                <w:caps w:val="0"/>
                <w:sz w:val="22"/>
                <w:lang w:val="en-US"/>
              </w:rPr>
            </w:pPr>
            <w:r w:rsidRPr="00B7707F">
              <w:rPr>
                <w:caps w:val="0"/>
                <w:sz w:val="22"/>
                <w:lang w:val="en-US"/>
              </w:rPr>
              <w:t>____________</w:t>
            </w:r>
          </w:p>
          <w:p w:rsidR="00093EEB" w:rsidRPr="00B7707F" w:rsidRDefault="00093EEB">
            <w:pPr>
              <w:pStyle w:val="Headingb"/>
              <w:rPr>
                <w:lang w:val="en-US"/>
              </w:rPr>
            </w:pPr>
            <w:r w:rsidRPr="00B7707F">
              <w:rPr>
                <w:lang w:val="en-US"/>
              </w:rPr>
              <w:t>Referencia</w:t>
            </w:r>
          </w:p>
          <w:p w:rsidR="00093EEB" w:rsidRPr="00B7707F" w:rsidRDefault="00B2466C" w:rsidP="00B2466C">
            <w:pPr>
              <w:spacing w:after="120"/>
              <w:rPr>
                <w:i/>
                <w:iCs/>
                <w:lang w:val="en-US"/>
              </w:rPr>
            </w:pPr>
            <w:r w:rsidRPr="00B7707F">
              <w:rPr>
                <w:bCs/>
                <w:i/>
                <w:iCs/>
                <w:szCs w:val="24"/>
                <w:lang w:val="en-US"/>
              </w:rPr>
              <w:t xml:space="preserve">CS/Art. 8, CS/Art. 28, CS/Art. 33; </w:t>
            </w:r>
            <w:hyperlink r:id="rId7" w:history="1">
              <w:r w:rsidRPr="00B7707F">
                <w:rPr>
                  <w:rStyle w:val="Hyperlink"/>
                  <w:bCs/>
                  <w:i/>
                  <w:iCs/>
                  <w:szCs w:val="24"/>
                  <w:lang w:val="en-US"/>
                </w:rPr>
                <w:t>Decisión 5</w:t>
              </w:r>
            </w:hyperlink>
            <w:r w:rsidRPr="00B7707F">
              <w:rPr>
                <w:bCs/>
                <w:i/>
                <w:iCs/>
                <w:szCs w:val="24"/>
                <w:lang w:val="en-US"/>
              </w:rPr>
              <w:t xml:space="preserve"> (Rev. Busán, 2014)</w:t>
            </w:r>
          </w:p>
        </w:tc>
      </w:tr>
    </w:tbl>
    <w:p w:rsidR="00B2466C" w:rsidRPr="009713DC" w:rsidRDefault="00B2466C" w:rsidP="009713DC">
      <w:pPr>
        <w:pStyle w:val="Headingb"/>
        <w:rPr>
          <w:lang w:val="es-ES"/>
        </w:rPr>
      </w:pPr>
      <w:r w:rsidRPr="009713DC">
        <w:rPr>
          <w:lang w:val="es-ES"/>
        </w:rPr>
        <w:t>Propuesta</w:t>
      </w:r>
    </w:p>
    <w:p w:rsidR="00B2466C" w:rsidRPr="009713DC" w:rsidRDefault="00B2466C" w:rsidP="009713DC">
      <w:pPr>
        <w:rPr>
          <w:rFonts w:eastAsia="SimSun"/>
          <w:lang w:val="es-ES" w:eastAsia="zh-CN"/>
        </w:rPr>
      </w:pPr>
      <w:r w:rsidRPr="009713DC">
        <w:rPr>
          <w:rFonts w:eastAsia="SimSun"/>
          <w:lang w:val="es-ES" w:eastAsia="zh-CN"/>
        </w:rPr>
        <w:t>1</w:t>
      </w:r>
      <w:r w:rsidRPr="009713DC">
        <w:rPr>
          <w:rFonts w:eastAsia="SimSun"/>
          <w:lang w:val="es-ES" w:eastAsia="zh-CN"/>
        </w:rPr>
        <w:tab/>
        <w:t>La finalidad del proyecto de Plan Financiero para 2020-2023 es ofrecer a la Conferencia de Plenipotenciarios de 2018 una referencia para establecer las bases del presupuesto de la Unión y fijar los correspondientes límites financieros hasta la siguiente Conferencia de Plenipotenciarios después de considerar todos los aspectos pertinentes de las actividades de la Unión durante dicho periodo (número 51 del Artículo 8 de la Constitución).</w:t>
      </w:r>
    </w:p>
    <w:p w:rsidR="00B2466C" w:rsidRPr="009713DC" w:rsidRDefault="00B2466C" w:rsidP="009713DC">
      <w:pPr>
        <w:rPr>
          <w:rFonts w:eastAsia="SimSun"/>
          <w:lang w:val="es-ES" w:eastAsia="zh-CN"/>
        </w:rPr>
      </w:pPr>
      <w:r w:rsidRPr="009713DC">
        <w:rPr>
          <w:rFonts w:eastAsia="SimSun"/>
          <w:lang w:val="es-ES" w:eastAsia="zh-CN"/>
        </w:rPr>
        <w:t>2</w:t>
      </w:r>
      <w:r w:rsidRPr="009713DC">
        <w:rPr>
          <w:rFonts w:eastAsia="SimSun"/>
          <w:lang w:val="es-ES" w:eastAsia="zh-CN"/>
        </w:rPr>
        <w:tab/>
        <w:t>De conformidad con el número 161B del Artículo 28 de la Constitución, el Consejo, en su reunión anterior a la Conferencia de Plenipotenciarios, fijará el importe provisional de la unidad contributiva, sobre la base del proyecto de Plan Financiero para el periodo correspondiente y del número total de unidades contributivas.</w:t>
      </w:r>
    </w:p>
    <w:p w:rsidR="00B2466C" w:rsidRPr="009713DC" w:rsidRDefault="00B2466C" w:rsidP="009713DC">
      <w:pPr>
        <w:rPr>
          <w:rFonts w:eastAsia="SimSun"/>
          <w:lang w:val="es-ES" w:eastAsia="zh-CN"/>
        </w:rPr>
      </w:pPr>
      <w:r w:rsidRPr="009713DC">
        <w:rPr>
          <w:rFonts w:eastAsia="SimSun"/>
          <w:lang w:val="es-ES" w:eastAsia="zh-CN"/>
        </w:rPr>
        <w:t>3</w:t>
      </w:r>
      <w:r w:rsidRPr="009713DC">
        <w:rPr>
          <w:rFonts w:eastAsia="SimSun"/>
          <w:lang w:val="es-ES" w:eastAsia="zh-CN"/>
        </w:rPr>
        <w:tab/>
        <w:t xml:space="preserve">En este contexto, en la Decisión 5 (Rev. Busán, 2014) se </w:t>
      </w:r>
      <w:r w:rsidRPr="009713DC">
        <w:rPr>
          <w:rFonts w:eastAsia="SimSun"/>
          <w:i/>
          <w:iCs/>
          <w:lang w:val="es-ES" w:eastAsia="zh-CN"/>
        </w:rPr>
        <w:t>invita al Consejo</w:t>
      </w:r>
      <w:r w:rsidRPr="009713DC">
        <w:rPr>
          <w:rFonts w:eastAsia="SimSun"/>
          <w:lang w:val="es-ES" w:eastAsia="zh-CN"/>
        </w:rPr>
        <w:t xml:space="preserve"> a determinar en la medida de lo posible el importe provisional de la unidad contributiva para el periodo 2020-2023 en su reunión ordinaria de 2017, y se </w:t>
      </w:r>
      <w:r w:rsidRPr="009713DC">
        <w:rPr>
          <w:rFonts w:eastAsia="SimSun"/>
          <w:i/>
          <w:iCs/>
          <w:lang w:val="es-ES" w:eastAsia="zh-CN"/>
        </w:rPr>
        <w:t>invita a los Estados Miembros</w:t>
      </w:r>
      <w:r w:rsidRPr="009713DC">
        <w:rPr>
          <w:rFonts w:eastAsia="SimSun"/>
          <w:lang w:val="es-ES" w:eastAsia="zh-CN"/>
        </w:rPr>
        <w:t xml:space="preserve"> a anunciar su clase de contribución provisional para el periodo 2020-2023 antes del final del año 2017.</w:t>
      </w:r>
    </w:p>
    <w:p w:rsidR="00B2466C" w:rsidRPr="009713DC" w:rsidRDefault="00B2466C" w:rsidP="009713DC">
      <w:pPr>
        <w:rPr>
          <w:rFonts w:eastAsia="SimSun"/>
          <w:bCs/>
          <w:szCs w:val="24"/>
          <w:lang w:val="es-ES" w:eastAsia="zh-CN"/>
        </w:rPr>
      </w:pPr>
      <w:r w:rsidRPr="009713DC">
        <w:rPr>
          <w:rFonts w:eastAsia="SimSun" w:cs="Calibri"/>
          <w:bCs/>
          <w:szCs w:val="24"/>
          <w:lang w:val="es-ES" w:eastAsia="zh-CN"/>
        </w:rPr>
        <w:t>4</w:t>
      </w:r>
      <w:r w:rsidRPr="009713DC">
        <w:rPr>
          <w:rFonts w:eastAsia="SimSun" w:cs="Calibri"/>
          <w:bCs/>
          <w:szCs w:val="24"/>
          <w:lang w:val="es-ES" w:eastAsia="zh-CN"/>
        </w:rPr>
        <w:tab/>
      </w:r>
      <w:r w:rsidRPr="009713DC">
        <w:rPr>
          <w:lang w:val="es-ES"/>
        </w:rPr>
        <w:t>El Secretario General tiene intención de proponer que se mantenga la unidad contributiva al nivel actual de 318 000 CHF</w:t>
      </w:r>
      <w:r w:rsidRPr="009713DC">
        <w:rPr>
          <w:rFonts w:eastAsia="SimSun"/>
          <w:bCs/>
          <w:szCs w:val="24"/>
          <w:lang w:val="es-ES" w:eastAsia="zh-CN"/>
        </w:rPr>
        <w:t xml:space="preserve">. </w:t>
      </w:r>
      <w:r w:rsidRPr="009713DC">
        <w:rPr>
          <w:lang w:val="es-ES"/>
        </w:rPr>
        <w:t>Al igual que en la última Conferencia de Plenipotenciarios, será una buena base para debatir el Pla</w:t>
      </w:r>
      <w:bookmarkStart w:id="9" w:name="_GoBack"/>
      <w:bookmarkEnd w:id="9"/>
      <w:r w:rsidRPr="009713DC">
        <w:rPr>
          <w:lang w:val="es-ES"/>
        </w:rPr>
        <w:t xml:space="preserve">n Financiero con todos los </w:t>
      </w:r>
      <w:r w:rsidR="006734C4">
        <w:rPr>
          <w:lang w:val="es-ES"/>
        </w:rPr>
        <w:t>Estados</w:t>
      </w:r>
      <w:r w:rsidR="006734C4" w:rsidRPr="009713DC">
        <w:rPr>
          <w:lang w:val="es-ES"/>
        </w:rPr>
        <w:t xml:space="preserve"> </w:t>
      </w:r>
      <w:r w:rsidRPr="009713DC">
        <w:rPr>
          <w:lang w:val="es-ES"/>
        </w:rPr>
        <w:t xml:space="preserve">Miembros y facilitar una </w:t>
      </w:r>
      <w:proofErr w:type="gramStart"/>
      <w:r w:rsidRPr="009713DC">
        <w:rPr>
          <w:lang w:val="es-ES"/>
        </w:rPr>
        <w:lastRenderedPageBreak/>
        <w:t>preparación</w:t>
      </w:r>
      <w:proofErr w:type="gramEnd"/>
      <w:r w:rsidRPr="009713DC">
        <w:rPr>
          <w:lang w:val="es-ES"/>
        </w:rPr>
        <w:t xml:space="preserve"> adecuada antes de la </w:t>
      </w:r>
      <w:r w:rsidRPr="009713DC">
        <w:rPr>
          <w:rFonts w:eastAsia="SimSun" w:cs="Calibri"/>
          <w:szCs w:val="24"/>
          <w:lang w:val="es-ES" w:eastAsia="zh-CN"/>
        </w:rPr>
        <w:t xml:space="preserve">Conferencia de Plenipotenciarios de 2018. El valor de la unidad contributiva se ha mantenido en </w:t>
      </w:r>
      <w:r w:rsidRPr="009713DC">
        <w:rPr>
          <w:rFonts w:asciiTheme="minorHAnsi" w:hAnsiTheme="minorHAnsi" w:cstheme="minorBidi"/>
          <w:lang w:val="es-ES"/>
        </w:rPr>
        <w:t>318 000 CHF con arreglo a la Decisión 5 (Rev. Busán, 2014), lo que equivale a un crecimiento nominal cero desde el año 2006.</w:t>
      </w:r>
    </w:p>
    <w:p w:rsidR="00B2466C" w:rsidRPr="009713DC" w:rsidRDefault="00B2466C" w:rsidP="009713DC">
      <w:pPr>
        <w:rPr>
          <w:lang w:val="es-ES"/>
        </w:rPr>
      </w:pPr>
      <w:r w:rsidRPr="009713DC">
        <w:rPr>
          <w:rFonts w:eastAsia="SimSun" w:cs="Calibri"/>
          <w:bCs/>
          <w:lang w:val="es-ES"/>
        </w:rPr>
        <w:t>5</w:t>
      </w:r>
      <w:r w:rsidRPr="009713DC">
        <w:rPr>
          <w:rFonts w:eastAsia="SimSun" w:cs="Calibri"/>
          <w:bCs/>
          <w:lang w:val="es-ES"/>
        </w:rPr>
        <w:tab/>
        <w:t xml:space="preserve">Una vez que el Consejo haya aprobado el importe provisional de la unidad contributiva, el </w:t>
      </w:r>
      <w:r w:rsidRPr="009713DC">
        <w:rPr>
          <w:lang w:val="es-ES"/>
        </w:rPr>
        <w:t xml:space="preserve">Secretario General enviará una carta a todos los </w:t>
      </w:r>
      <w:r w:rsidR="006734C4">
        <w:rPr>
          <w:lang w:val="es-ES"/>
        </w:rPr>
        <w:t>Estados</w:t>
      </w:r>
      <w:r w:rsidR="006734C4" w:rsidRPr="009713DC">
        <w:rPr>
          <w:lang w:val="es-ES"/>
        </w:rPr>
        <w:t xml:space="preserve"> </w:t>
      </w:r>
      <w:r w:rsidRPr="009713DC">
        <w:rPr>
          <w:lang w:val="es-ES"/>
        </w:rPr>
        <w:t>Miembros en la que les pedirá que anuncien su clase de contribución provisional para el periodo 2020-2023 antes del 31 de diciembre de 2017.</w:t>
      </w:r>
    </w:p>
    <w:p w:rsidR="00B2466C" w:rsidRPr="009713DC" w:rsidRDefault="00B2466C" w:rsidP="009713DC">
      <w:pPr>
        <w:rPr>
          <w:rFonts w:eastAsia="SimSun"/>
          <w:lang w:val="es-ES" w:eastAsia="zh-CN"/>
        </w:rPr>
      </w:pPr>
      <w:r w:rsidRPr="009713DC">
        <w:rPr>
          <w:rFonts w:eastAsia="SimSun"/>
          <w:lang w:val="es-ES" w:eastAsia="zh-CN"/>
        </w:rPr>
        <w:t>6</w:t>
      </w:r>
      <w:r w:rsidRPr="009713DC">
        <w:rPr>
          <w:rFonts w:eastAsia="SimSun"/>
          <w:lang w:val="es-ES" w:eastAsia="zh-CN"/>
        </w:rPr>
        <w:tab/>
        <w:t>Se espera que la Conferencia de Plenipotenciarios de 2018 establezca el marco y las directrices a partir de las cuales se elaborarán los dos presupuestos bienales para 2020-2021 y 2022-2023.</w:t>
      </w:r>
    </w:p>
    <w:p w:rsidR="00B2466C" w:rsidRPr="009713DC" w:rsidRDefault="00B2466C" w:rsidP="009713DC">
      <w:pPr>
        <w:rPr>
          <w:rFonts w:eastAsia="SimSun" w:cs="Calibri"/>
          <w:lang w:val="es-ES" w:eastAsia="zh-CN"/>
        </w:rPr>
      </w:pPr>
      <w:r w:rsidRPr="009713DC">
        <w:rPr>
          <w:rFonts w:eastAsia="SimSun" w:cs="Calibri"/>
          <w:lang w:val="es-ES" w:eastAsia="zh-CN"/>
        </w:rPr>
        <w:t>7</w:t>
      </w:r>
      <w:r w:rsidRPr="009713DC">
        <w:rPr>
          <w:rFonts w:eastAsia="SimSun" w:cs="Calibri"/>
          <w:lang w:val="es-ES" w:eastAsia="zh-CN"/>
        </w:rPr>
        <w:tab/>
        <w:t xml:space="preserve">El proyecto de Plan Financiero </w:t>
      </w:r>
      <w:r w:rsidRPr="009713DC">
        <w:rPr>
          <w:rFonts w:eastAsia="SimSun"/>
          <w:lang w:val="es-ES" w:eastAsia="zh-CN"/>
        </w:rPr>
        <w:t>para 2020-</w:t>
      </w:r>
      <w:r w:rsidRPr="009713DC">
        <w:rPr>
          <w:rFonts w:eastAsia="SimSun" w:cs="Calibri"/>
          <w:lang w:val="es-ES" w:eastAsia="zh-CN"/>
        </w:rPr>
        <w:t>2023</w:t>
      </w:r>
      <w:r w:rsidRPr="009713DC">
        <w:rPr>
          <w:rFonts w:eastAsia="SimSun"/>
          <w:lang w:val="es-ES" w:eastAsia="zh-CN"/>
        </w:rPr>
        <w:t xml:space="preserve"> se presentará y examinará durante la próxima reunión del Grupo de Trabajo del Consejo sobre recursos humanos y financieros (GTC</w:t>
      </w:r>
      <w:r w:rsidR="009713DC" w:rsidRPr="009713DC">
        <w:rPr>
          <w:rFonts w:eastAsia="SimSun"/>
          <w:lang w:val="es-ES" w:eastAsia="zh-CN"/>
        </w:rPr>
        <w:noBreakHyphen/>
      </w:r>
      <w:r w:rsidRPr="009713DC">
        <w:rPr>
          <w:rFonts w:eastAsia="SimSun"/>
          <w:lang w:val="es-ES" w:eastAsia="zh-CN"/>
        </w:rPr>
        <w:t>RHF), en 2018.</w:t>
      </w:r>
    </w:p>
    <w:p w:rsidR="00B2466C" w:rsidRPr="009713DC" w:rsidRDefault="00B2466C" w:rsidP="009713DC">
      <w:pPr>
        <w:rPr>
          <w:lang w:val="es-ES"/>
        </w:rPr>
      </w:pPr>
      <w:r w:rsidRPr="009713DC">
        <w:rPr>
          <w:lang w:val="es-ES"/>
        </w:rPr>
        <w:t>8</w:t>
      </w:r>
      <w:r w:rsidRPr="009713DC">
        <w:rPr>
          <w:lang w:val="es-ES"/>
        </w:rPr>
        <w:tab/>
        <w:t xml:space="preserve">En el Anexo 1 se presenta la situación actual respecto de las clases contributivas elegidas por los </w:t>
      </w:r>
      <w:r w:rsidR="006734C4">
        <w:rPr>
          <w:lang w:val="es-ES"/>
        </w:rPr>
        <w:t>Estados</w:t>
      </w:r>
      <w:r w:rsidR="006734C4" w:rsidRPr="009713DC">
        <w:rPr>
          <w:lang w:val="es-ES"/>
        </w:rPr>
        <w:t xml:space="preserve"> </w:t>
      </w:r>
      <w:r w:rsidRPr="009713DC">
        <w:rPr>
          <w:lang w:val="es-ES"/>
        </w:rPr>
        <w:t>Miembros.</w:t>
      </w:r>
    </w:p>
    <w:p w:rsidR="00B2466C" w:rsidRPr="009713DC" w:rsidRDefault="00B2466C" w:rsidP="009713DC">
      <w:pPr>
        <w:rPr>
          <w:lang w:val="es-ES"/>
        </w:rPr>
      </w:pPr>
      <w:r w:rsidRPr="009713DC">
        <w:rPr>
          <w:lang w:val="es-ES"/>
        </w:rPr>
        <w:t>9</w:t>
      </w:r>
      <w:r w:rsidRPr="009713DC">
        <w:rPr>
          <w:lang w:val="es-ES"/>
        </w:rPr>
        <w:tab/>
        <w:t>En el Anexo 2 se observa la evolución de las unidades contributivas elegidas por los Miembros de Sector, y la evolución del número de Asociados y de Instituciones Académicas entre la última Conferencia de Plenipotenciarios (Busán, 2014) y la actualidad.</w:t>
      </w:r>
    </w:p>
    <w:p w:rsidR="00B2466C" w:rsidRPr="009713DC" w:rsidRDefault="00B2466C" w:rsidP="00B2466C">
      <w:pPr>
        <w:tabs>
          <w:tab w:val="clear" w:pos="567"/>
          <w:tab w:val="clear" w:pos="1134"/>
          <w:tab w:val="clear" w:pos="1701"/>
          <w:tab w:val="clear" w:pos="2268"/>
          <w:tab w:val="clear" w:pos="2835"/>
        </w:tabs>
        <w:overflowPunct/>
        <w:autoSpaceDE/>
        <w:autoSpaceDN/>
        <w:snapToGrid w:val="0"/>
        <w:spacing w:before="4080" w:after="120"/>
        <w:textAlignment w:val="auto"/>
        <w:rPr>
          <w:caps/>
          <w:sz w:val="28"/>
          <w:lang w:val="es-ES" w:eastAsia="zh-CN"/>
        </w:rPr>
      </w:pPr>
      <w:r w:rsidRPr="009713DC">
        <w:rPr>
          <w:b/>
          <w:bCs/>
          <w:lang w:val="es-ES" w:eastAsia="zh-CN"/>
        </w:rPr>
        <w:t>Anexos:</w:t>
      </w:r>
      <w:r w:rsidRPr="009713DC">
        <w:rPr>
          <w:lang w:val="es-ES" w:eastAsia="zh-CN"/>
        </w:rPr>
        <w:t xml:space="preserve"> 2</w:t>
      </w:r>
      <w:r w:rsidRPr="009713DC">
        <w:rPr>
          <w:lang w:val="es-ES" w:eastAsia="zh-CN"/>
        </w:rPr>
        <w:br w:type="page"/>
      </w:r>
    </w:p>
    <w:p w:rsidR="00B2466C" w:rsidRPr="009713DC" w:rsidRDefault="00B2466C" w:rsidP="009713DC">
      <w:pPr>
        <w:pStyle w:val="AnnexNo"/>
        <w:spacing w:after="240"/>
        <w:rPr>
          <w:lang w:val="es-ES"/>
        </w:rPr>
      </w:pPr>
      <w:r w:rsidRPr="009713DC">
        <w:rPr>
          <w:lang w:val="es-ES"/>
        </w:rPr>
        <w:lastRenderedPageBreak/>
        <w:t>ANEXO 1</w:t>
      </w:r>
    </w:p>
    <w:tbl>
      <w:tblPr>
        <w:tblW w:w="7508" w:type="dxa"/>
        <w:jc w:val="center"/>
        <w:tblLook w:val="04A0" w:firstRow="1" w:lastRow="0" w:firstColumn="1" w:lastColumn="0" w:noHBand="0" w:noVBand="1"/>
      </w:tblPr>
      <w:tblGrid>
        <w:gridCol w:w="4390"/>
        <w:gridCol w:w="3118"/>
      </w:tblGrid>
      <w:tr w:rsidR="00B2466C" w:rsidRPr="009713DC" w:rsidTr="00324942">
        <w:trPr>
          <w:trHeight w:val="141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ESTADOS MIEMBROS</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Número de unidades en la actualidad</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 xml:space="preserve">Afganistán </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 xml:space="preserve">Albania </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 xml:space="preserve">Argelia </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Andorra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Angola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Antigua y Barbuda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Argentina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1/2 </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Armenia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Australia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13</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Austria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Azerbaiyán</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 xml:space="preserve">Bahamas </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proofErr w:type="spellStart"/>
            <w:r w:rsidRPr="009713DC">
              <w:rPr>
                <w:rFonts w:cs="Arial"/>
                <w:b/>
                <w:bCs/>
                <w:sz w:val="22"/>
                <w:szCs w:val="22"/>
                <w:lang w:val="es-ES" w:eastAsia="zh-CN"/>
              </w:rPr>
              <w:t>Bahrein</w:t>
            </w:r>
            <w:proofErr w:type="spellEnd"/>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Bangladesh</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1/8 </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Barbados</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proofErr w:type="spellStart"/>
            <w:r w:rsidRPr="009713DC">
              <w:rPr>
                <w:rFonts w:cs="Arial"/>
                <w:b/>
                <w:bCs/>
                <w:sz w:val="22"/>
                <w:szCs w:val="22"/>
                <w:lang w:val="es-ES" w:eastAsia="zh-CN"/>
              </w:rPr>
              <w:t>Belarús</w:t>
            </w:r>
            <w:proofErr w:type="spellEnd"/>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Bélgica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2 ½</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 xml:space="preserve">Belice </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1/8 </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proofErr w:type="spellStart"/>
            <w:r w:rsidRPr="009713DC">
              <w:rPr>
                <w:rFonts w:cs="Arial"/>
                <w:b/>
                <w:bCs/>
                <w:sz w:val="22"/>
                <w:szCs w:val="22"/>
                <w:lang w:val="es-ES" w:eastAsia="zh-CN"/>
              </w:rPr>
              <w:t>Benin</w:t>
            </w:r>
            <w:proofErr w:type="spellEnd"/>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proofErr w:type="spellStart"/>
            <w:r w:rsidRPr="009713DC">
              <w:rPr>
                <w:rFonts w:cs="Arial"/>
                <w:b/>
                <w:bCs/>
                <w:sz w:val="22"/>
                <w:szCs w:val="22"/>
                <w:lang w:val="es-ES" w:eastAsia="zh-CN"/>
              </w:rPr>
              <w:t>Bhután</w:t>
            </w:r>
            <w:proofErr w:type="spellEnd"/>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1/8 </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Bolivia (Estado Plurinacional de)</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Bosnia y Herzegovina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proofErr w:type="spellStart"/>
            <w:r w:rsidRPr="009713DC">
              <w:rPr>
                <w:rFonts w:cs="Arial"/>
                <w:b/>
                <w:bCs/>
                <w:sz w:val="22"/>
                <w:szCs w:val="22"/>
                <w:lang w:val="es-ES" w:eastAsia="zh-CN"/>
              </w:rPr>
              <w:t>Botswana</w:t>
            </w:r>
            <w:proofErr w:type="spellEnd"/>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1/2 </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Brasil</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3</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Brunei Darussalam</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1/2 </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Bulgaria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Burkina Faso</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Burundi</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Camboya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 xml:space="preserve">Camerún </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Canadá</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13</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Cabo Verde</w:t>
            </w:r>
          </w:p>
        </w:tc>
        <w:tc>
          <w:tcPr>
            <w:tcW w:w="3118" w:type="dxa"/>
            <w:tcBorders>
              <w:top w:val="nil"/>
              <w:left w:val="single" w:sz="4" w:space="0" w:color="auto"/>
              <w:bottom w:val="nil"/>
              <w:right w:val="single" w:sz="4" w:space="0" w:color="auto"/>
            </w:tcBorders>
            <w:shd w:val="clear" w:color="auto" w:fill="auto"/>
            <w:noWrap/>
            <w:vAlign w:val="bottom"/>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Rep. Centroafricana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Chad</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Chile</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324942">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China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14</w:t>
            </w:r>
          </w:p>
        </w:tc>
      </w:tr>
      <w:tr w:rsidR="00B2466C" w:rsidRPr="009713DC" w:rsidTr="00324942">
        <w:trPr>
          <w:trHeight w:val="300"/>
          <w:jc w:val="center"/>
        </w:trPr>
        <w:tc>
          <w:tcPr>
            <w:tcW w:w="4390" w:type="dxa"/>
            <w:tcBorders>
              <w:top w:val="nil"/>
              <w:left w:val="single" w:sz="4" w:space="0" w:color="auto"/>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Colombia</w:t>
            </w:r>
          </w:p>
        </w:tc>
        <w:tc>
          <w:tcPr>
            <w:tcW w:w="3118" w:type="dxa"/>
            <w:tcBorders>
              <w:top w:val="nil"/>
              <w:left w:val="single" w:sz="4" w:space="0" w:color="auto"/>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324942">
        <w:trPr>
          <w:trHeight w:val="300"/>
          <w:jc w:val="center"/>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Comoras</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bl>
    <w:p w:rsidR="00AE105F" w:rsidRDefault="00AE105F">
      <w:r>
        <w:br w:type="page"/>
      </w:r>
    </w:p>
    <w:tbl>
      <w:tblPr>
        <w:tblW w:w="7372" w:type="dxa"/>
        <w:jc w:val="center"/>
        <w:tblLook w:val="04A0" w:firstRow="1" w:lastRow="0" w:firstColumn="1" w:lastColumn="0" w:noHBand="0" w:noVBand="1"/>
      </w:tblPr>
      <w:tblGrid>
        <w:gridCol w:w="4248"/>
        <w:gridCol w:w="3124"/>
      </w:tblGrid>
      <w:tr w:rsidR="00B2466C" w:rsidRPr="009713DC" w:rsidTr="00AE105F">
        <w:trPr>
          <w:trHeight w:val="300"/>
          <w:jc w:val="center"/>
        </w:trPr>
        <w:tc>
          <w:tcPr>
            <w:tcW w:w="4248" w:type="dxa"/>
            <w:tcBorders>
              <w:top w:val="single" w:sz="4" w:space="0" w:color="auto"/>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lastRenderedPageBreak/>
              <w:t>Congo (Rep. del)</w:t>
            </w:r>
          </w:p>
        </w:tc>
        <w:tc>
          <w:tcPr>
            <w:tcW w:w="3124" w:type="dxa"/>
            <w:tcBorders>
              <w:top w:val="single" w:sz="4" w:space="0" w:color="auto"/>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 xml:space="preserve">Costa Rica </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proofErr w:type="spellStart"/>
            <w:r w:rsidRPr="009713DC">
              <w:rPr>
                <w:rFonts w:cs="Arial"/>
                <w:b/>
                <w:bCs/>
                <w:sz w:val="22"/>
                <w:szCs w:val="22"/>
                <w:lang w:val="es-ES" w:eastAsia="zh-CN"/>
              </w:rPr>
              <w:t>Côte</w:t>
            </w:r>
            <w:proofErr w:type="spellEnd"/>
            <w:r w:rsidRPr="009713DC">
              <w:rPr>
                <w:rFonts w:cs="Arial"/>
                <w:b/>
                <w:bCs/>
                <w:sz w:val="22"/>
                <w:szCs w:val="22"/>
                <w:lang w:val="es-ES" w:eastAsia="zh-CN"/>
              </w:rPr>
              <w:t xml:space="preserve"> </w:t>
            </w:r>
            <w:proofErr w:type="spellStart"/>
            <w:r w:rsidRPr="009713DC">
              <w:rPr>
                <w:rFonts w:cs="Arial"/>
                <w:b/>
                <w:bCs/>
                <w:sz w:val="22"/>
                <w:szCs w:val="22"/>
                <w:lang w:val="es-ES" w:eastAsia="zh-CN"/>
              </w:rPr>
              <w:t>d'Ivoire</w:t>
            </w:r>
            <w:proofErr w:type="spellEnd"/>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Croacia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 xml:space="preserve">Cuba </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Chipre</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Rep. Checa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 xml:space="preserve">Rep. </w:t>
            </w:r>
            <w:proofErr w:type="spellStart"/>
            <w:r w:rsidRPr="009713DC">
              <w:rPr>
                <w:rFonts w:cs="Arial"/>
                <w:b/>
                <w:bCs/>
                <w:sz w:val="22"/>
                <w:szCs w:val="22"/>
                <w:lang w:val="es-ES" w:eastAsia="zh-CN"/>
              </w:rPr>
              <w:t>Dem</w:t>
            </w:r>
            <w:proofErr w:type="spellEnd"/>
            <w:r w:rsidRPr="009713DC">
              <w:rPr>
                <w:rFonts w:cs="Arial"/>
                <w:b/>
                <w:bCs/>
                <w:sz w:val="22"/>
                <w:szCs w:val="22"/>
                <w:lang w:val="es-ES" w:eastAsia="zh-CN"/>
              </w:rPr>
              <w:t>. del Congo</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 xml:space="preserve">Rep. Pop. </w:t>
            </w:r>
            <w:proofErr w:type="spellStart"/>
            <w:r w:rsidRPr="009713DC">
              <w:rPr>
                <w:rFonts w:cs="Arial"/>
                <w:b/>
                <w:bCs/>
                <w:sz w:val="22"/>
                <w:szCs w:val="22"/>
                <w:lang w:val="es-ES" w:eastAsia="zh-CN"/>
              </w:rPr>
              <w:t>Dem</w:t>
            </w:r>
            <w:proofErr w:type="spellEnd"/>
            <w:r w:rsidRPr="009713DC">
              <w:rPr>
                <w:rFonts w:cs="Arial"/>
                <w:b/>
                <w:bCs/>
                <w:sz w:val="22"/>
                <w:szCs w:val="22"/>
                <w:lang w:val="es-ES" w:eastAsia="zh-CN"/>
              </w:rPr>
              <w:t>. de Corea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1/8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Dinamarca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1 ½</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Djibouti</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Dominica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Rep. Dominicana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Ecuador</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Egipto</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1/2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El Salvador</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 xml:space="preserve">Guinea Ecuatorial </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1/8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Eritrea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Estonia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Etiopía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4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 xml:space="preserve">Saint </w:t>
            </w:r>
            <w:proofErr w:type="spellStart"/>
            <w:r w:rsidRPr="009713DC">
              <w:rPr>
                <w:rFonts w:cs="Arial"/>
                <w:b/>
                <w:bCs/>
                <w:sz w:val="22"/>
                <w:szCs w:val="22"/>
                <w:lang w:val="es-ES" w:eastAsia="zh-CN"/>
              </w:rPr>
              <w:t>Kitts</w:t>
            </w:r>
            <w:proofErr w:type="spellEnd"/>
            <w:r w:rsidRPr="009713DC">
              <w:rPr>
                <w:rFonts w:cs="Arial"/>
                <w:b/>
                <w:bCs/>
                <w:sz w:val="22"/>
                <w:szCs w:val="22"/>
                <w:lang w:val="es-ES" w:eastAsia="zh-CN"/>
              </w:rPr>
              <w:t xml:space="preserve"> y </w:t>
            </w:r>
            <w:proofErr w:type="spellStart"/>
            <w:r w:rsidRPr="009713DC">
              <w:rPr>
                <w:rFonts w:cs="Arial"/>
                <w:b/>
                <w:bCs/>
                <w:sz w:val="22"/>
                <w:szCs w:val="22"/>
                <w:lang w:val="es-ES" w:eastAsia="zh-CN"/>
              </w:rPr>
              <w:t>Nevis</w:t>
            </w:r>
            <w:proofErr w:type="spellEnd"/>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proofErr w:type="spellStart"/>
            <w:r w:rsidRPr="009713DC">
              <w:rPr>
                <w:rFonts w:cs="Arial"/>
                <w:b/>
                <w:bCs/>
                <w:sz w:val="22"/>
                <w:szCs w:val="22"/>
                <w:lang w:val="es-ES" w:eastAsia="zh-CN"/>
              </w:rPr>
              <w:t>Fiji</w:t>
            </w:r>
            <w:proofErr w:type="spellEnd"/>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Finlandia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2</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Francia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21</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Gabón</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Gambia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1/8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Georgia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Alemania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25</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Ghana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Grecia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Granada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Guatemala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Guinea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Guinea-Bissau</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Guyana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Haití</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Honduras</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Hungría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1/2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Islandia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India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10</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Indonesia</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Irán (República Islámica del)</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Iraq</w:t>
            </w:r>
          </w:p>
        </w:tc>
        <w:tc>
          <w:tcPr>
            <w:tcW w:w="3124"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 xml:space="preserve">Irlanda </w:t>
            </w:r>
          </w:p>
        </w:tc>
        <w:tc>
          <w:tcPr>
            <w:tcW w:w="3124" w:type="dxa"/>
            <w:tcBorders>
              <w:top w:val="nil"/>
              <w:left w:val="single" w:sz="4" w:space="0" w:color="auto"/>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2</w:t>
            </w:r>
          </w:p>
        </w:tc>
      </w:tr>
      <w:tr w:rsidR="00B2466C" w:rsidRPr="009713DC" w:rsidTr="00AE105F">
        <w:trPr>
          <w:trHeight w:val="300"/>
          <w:jc w:val="center"/>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Israel</w:t>
            </w:r>
          </w:p>
        </w:tc>
        <w:tc>
          <w:tcPr>
            <w:tcW w:w="3124" w:type="dxa"/>
            <w:tcBorders>
              <w:top w:val="nil"/>
              <w:left w:val="single" w:sz="4" w:space="0" w:color="auto"/>
              <w:bottom w:val="single" w:sz="4" w:space="0" w:color="auto"/>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bl>
    <w:p w:rsidR="00AE105F" w:rsidRDefault="00AE105F">
      <w:r>
        <w:br w:type="page"/>
      </w:r>
    </w:p>
    <w:tbl>
      <w:tblPr>
        <w:tblW w:w="7366" w:type="dxa"/>
        <w:jc w:val="center"/>
        <w:tblLook w:val="04A0" w:firstRow="1" w:lastRow="0" w:firstColumn="1" w:lastColumn="0" w:noHBand="0" w:noVBand="1"/>
      </w:tblPr>
      <w:tblGrid>
        <w:gridCol w:w="4248"/>
        <w:gridCol w:w="3118"/>
      </w:tblGrid>
      <w:tr w:rsidR="00B2466C" w:rsidRPr="009713DC" w:rsidTr="00AE105F">
        <w:trPr>
          <w:trHeight w:val="300"/>
          <w:jc w:val="center"/>
        </w:trPr>
        <w:tc>
          <w:tcPr>
            <w:tcW w:w="4248" w:type="dxa"/>
            <w:tcBorders>
              <w:top w:val="single" w:sz="4" w:space="0" w:color="auto"/>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lastRenderedPageBreak/>
              <w:t>Italia</w:t>
            </w:r>
          </w:p>
        </w:tc>
        <w:tc>
          <w:tcPr>
            <w:tcW w:w="3118" w:type="dxa"/>
            <w:tcBorders>
              <w:top w:val="single" w:sz="4" w:space="0" w:color="auto"/>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15</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Jamaica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Japón</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30</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Jordania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1/2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Kazajstán</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proofErr w:type="spellStart"/>
            <w:r w:rsidRPr="009713DC">
              <w:rPr>
                <w:rFonts w:cs="Arial"/>
                <w:b/>
                <w:bCs/>
                <w:sz w:val="22"/>
                <w:szCs w:val="22"/>
                <w:lang w:val="es-ES" w:eastAsia="zh-CN"/>
              </w:rPr>
              <w:t>Kenya</w:t>
            </w:r>
            <w:proofErr w:type="spellEnd"/>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Kiribati</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Corea (Rep. de)</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10</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Kuwait</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3</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Kirguistán</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4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Lao (R.D.P.)</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Letonia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6734C4">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L</w:t>
            </w:r>
            <w:r w:rsidR="006734C4">
              <w:rPr>
                <w:rFonts w:cs="Arial"/>
                <w:b/>
                <w:bCs/>
                <w:sz w:val="22"/>
                <w:szCs w:val="22"/>
                <w:lang w:val="es-ES" w:eastAsia="zh-CN"/>
              </w:rPr>
              <w:t>íbano</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proofErr w:type="spellStart"/>
            <w:r w:rsidRPr="009713DC">
              <w:rPr>
                <w:rFonts w:cs="Arial"/>
                <w:b/>
                <w:bCs/>
                <w:sz w:val="22"/>
                <w:szCs w:val="22"/>
                <w:lang w:val="es-ES" w:eastAsia="zh-CN"/>
              </w:rPr>
              <w:t>Lesotho</w:t>
            </w:r>
            <w:proofErr w:type="spellEnd"/>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Liberia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Libia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Liechtenstein</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1/2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Lituania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Luxemburgo</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1/2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Ex Rep. Yugoslava de Macedonia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1/8</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Madagascar</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1/8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 xml:space="preserve">Malawi </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Malasia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2</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Maldivas</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1/8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Malí</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Malta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9713DC" w:rsidP="009713DC">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Pr>
                <w:rFonts w:cs="Arial"/>
                <w:b/>
                <w:bCs/>
                <w:sz w:val="22"/>
                <w:szCs w:val="22"/>
                <w:lang w:val="es-ES" w:eastAsia="zh-CN"/>
              </w:rPr>
              <w:t xml:space="preserve">Islas </w:t>
            </w:r>
            <w:r w:rsidR="00B2466C" w:rsidRPr="009713DC">
              <w:rPr>
                <w:rFonts w:cs="Arial"/>
                <w:b/>
                <w:bCs/>
                <w:sz w:val="22"/>
                <w:szCs w:val="22"/>
                <w:lang w:val="es-ES" w:eastAsia="zh-CN"/>
              </w:rPr>
              <w:t>Marshall</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Mauritania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Mauricio</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México</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3</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Micronesia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proofErr w:type="spellStart"/>
            <w:r w:rsidRPr="009713DC">
              <w:rPr>
                <w:rFonts w:cs="Arial"/>
                <w:b/>
                <w:bCs/>
                <w:sz w:val="22"/>
                <w:szCs w:val="22"/>
                <w:lang w:val="es-ES" w:eastAsia="zh-CN"/>
              </w:rPr>
              <w:t>Moldova</w:t>
            </w:r>
            <w:proofErr w:type="spellEnd"/>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Mónaco</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Mongolia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Montenegro</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1/8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Marruecos</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Mozambique</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Myanmar</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1/8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Namibia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Nauru</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Nepal (República de)</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Países Bajos</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5</w:t>
            </w:r>
          </w:p>
        </w:tc>
      </w:tr>
      <w:tr w:rsidR="00B2466C" w:rsidRPr="009713DC" w:rsidTr="00AE105F">
        <w:trPr>
          <w:trHeight w:val="300"/>
          <w:jc w:val="center"/>
        </w:trPr>
        <w:tc>
          <w:tcPr>
            <w:tcW w:w="4248" w:type="dxa"/>
            <w:tcBorders>
              <w:top w:val="nil"/>
              <w:left w:val="single" w:sz="4" w:space="0" w:color="auto"/>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Nueva Zelandia</w:t>
            </w:r>
          </w:p>
        </w:tc>
        <w:tc>
          <w:tcPr>
            <w:tcW w:w="3118" w:type="dxa"/>
            <w:tcBorders>
              <w:top w:val="nil"/>
              <w:left w:val="single" w:sz="4" w:space="0" w:color="auto"/>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2</w:t>
            </w:r>
          </w:p>
        </w:tc>
      </w:tr>
      <w:tr w:rsidR="00B2466C" w:rsidRPr="009713DC" w:rsidTr="00AE105F">
        <w:trPr>
          <w:trHeight w:val="300"/>
          <w:jc w:val="center"/>
        </w:trPr>
        <w:tc>
          <w:tcPr>
            <w:tcW w:w="4248" w:type="dxa"/>
            <w:tcBorders>
              <w:top w:val="nil"/>
              <w:left w:val="single" w:sz="4" w:space="0" w:color="auto"/>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Nicaragua</w:t>
            </w:r>
          </w:p>
        </w:tc>
        <w:tc>
          <w:tcPr>
            <w:tcW w:w="3118" w:type="dxa"/>
            <w:tcBorders>
              <w:top w:val="nil"/>
              <w:left w:val="single" w:sz="4" w:space="0" w:color="auto"/>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left w:val="single" w:sz="4" w:space="0" w:color="auto"/>
              <w:bottom w:val="nil"/>
              <w:right w:val="single" w:sz="4" w:space="0" w:color="auto"/>
            </w:tcBorders>
            <w:shd w:val="clear" w:color="000000" w:fill="FFFFFF"/>
            <w:vAlign w:val="center"/>
            <w:hideMark/>
          </w:tcPr>
          <w:p w:rsidR="00B2466C" w:rsidRPr="009713DC" w:rsidRDefault="00B2466C" w:rsidP="00AE105F">
            <w:pPr>
              <w:keepNext/>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lastRenderedPageBreak/>
              <w:t>Níger</w:t>
            </w:r>
          </w:p>
        </w:tc>
        <w:tc>
          <w:tcPr>
            <w:tcW w:w="3118" w:type="dxa"/>
            <w:tcBorders>
              <w:left w:val="single" w:sz="4" w:space="0" w:color="auto"/>
              <w:bottom w:val="nil"/>
              <w:right w:val="single" w:sz="4" w:space="0" w:color="auto"/>
            </w:tcBorders>
            <w:shd w:val="clear" w:color="auto" w:fill="auto"/>
            <w:noWrap/>
            <w:vAlign w:val="bottom"/>
            <w:hideMark/>
          </w:tcPr>
          <w:p w:rsidR="00B2466C" w:rsidRPr="009713DC" w:rsidRDefault="00B2466C" w:rsidP="00AE105F">
            <w:pPr>
              <w:keepNext/>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1/8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keepNext/>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Nigeria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keepNext/>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2</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Noruega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keepNext/>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5</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Omán</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Pakistán</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Panamá</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proofErr w:type="spellStart"/>
            <w:r w:rsidRPr="009713DC">
              <w:rPr>
                <w:rFonts w:cs="Arial"/>
                <w:b/>
                <w:bCs/>
                <w:sz w:val="22"/>
                <w:szCs w:val="22"/>
                <w:lang w:val="es-ES" w:eastAsia="zh-CN"/>
              </w:rPr>
              <w:t>Papua</w:t>
            </w:r>
            <w:proofErr w:type="spellEnd"/>
            <w:r w:rsidRPr="009713DC">
              <w:rPr>
                <w:rFonts w:cs="Arial"/>
                <w:b/>
                <w:bCs/>
                <w:sz w:val="22"/>
                <w:szCs w:val="22"/>
                <w:lang w:val="es-ES" w:eastAsia="zh-CN"/>
              </w:rPr>
              <w:t xml:space="preserve"> Nueva Guinea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Paraguay</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Perú</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9713D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Pr>
                <w:rFonts w:cs="Arial"/>
                <w:b/>
                <w:bCs/>
                <w:sz w:val="22"/>
                <w:szCs w:val="22"/>
                <w:lang w:val="es-ES" w:eastAsia="zh-CN"/>
              </w:rPr>
              <w:t>Filip</w:t>
            </w:r>
            <w:r w:rsidR="00B2466C" w:rsidRPr="009713DC">
              <w:rPr>
                <w:rFonts w:cs="Arial"/>
                <w:b/>
                <w:bCs/>
                <w:sz w:val="22"/>
                <w:szCs w:val="22"/>
                <w:lang w:val="es-ES" w:eastAsia="zh-CN"/>
              </w:rPr>
              <w:t>inas</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1/2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Polonia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Portugal</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1 ½</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Qatar</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Rumania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Federación de Rusia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15</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proofErr w:type="spellStart"/>
            <w:r w:rsidRPr="009713DC">
              <w:rPr>
                <w:rFonts w:cs="Arial"/>
                <w:b/>
                <w:bCs/>
                <w:sz w:val="22"/>
                <w:szCs w:val="22"/>
                <w:lang w:val="es-ES" w:eastAsia="zh-CN"/>
              </w:rPr>
              <w:t>Rwanda</w:t>
            </w:r>
            <w:proofErr w:type="spellEnd"/>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Santa Lucía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4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San Vicente y las Granadinas</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Samoa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San Marino</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Santo Tomé y Príncipe</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Arabia Saudita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13</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Senegal</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Serbia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 xml:space="preserve">Seychelles </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Sierra Leona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1/8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Singapur</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Eslovaquia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1/2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Eslovenia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Islas Salomón</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Somalia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Sudafricana (Rep.)</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4</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Sudán del Sur</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España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Sri Lanka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1/2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Sudán</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proofErr w:type="spellStart"/>
            <w:r w:rsidRPr="009713DC">
              <w:rPr>
                <w:rFonts w:cs="Arial"/>
                <w:b/>
                <w:bCs/>
                <w:sz w:val="22"/>
                <w:szCs w:val="22"/>
                <w:lang w:val="es-ES" w:eastAsia="zh-CN"/>
              </w:rPr>
              <w:t>Suriname</w:t>
            </w:r>
            <w:proofErr w:type="spellEnd"/>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proofErr w:type="spellStart"/>
            <w:r w:rsidRPr="009713DC">
              <w:rPr>
                <w:rFonts w:cs="Arial"/>
                <w:b/>
                <w:bCs/>
                <w:sz w:val="22"/>
                <w:szCs w:val="22"/>
                <w:lang w:val="es-ES" w:eastAsia="zh-CN"/>
              </w:rPr>
              <w:t>Swazilandia</w:t>
            </w:r>
            <w:proofErr w:type="spellEnd"/>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1/8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Suecia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4</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Suiza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10</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República Árabe Siria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Tayikistán</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proofErr w:type="spellStart"/>
            <w:r w:rsidRPr="009713DC">
              <w:rPr>
                <w:rFonts w:cs="Arial"/>
                <w:b/>
                <w:bCs/>
                <w:sz w:val="22"/>
                <w:szCs w:val="22"/>
                <w:lang w:val="es-ES" w:eastAsia="zh-CN"/>
              </w:rPr>
              <w:t>Tanzanía</w:t>
            </w:r>
            <w:proofErr w:type="spellEnd"/>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Tailandia</w:t>
            </w:r>
          </w:p>
        </w:tc>
        <w:tc>
          <w:tcPr>
            <w:tcW w:w="3118" w:type="dxa"/>
            <w:tcBorders>
              <w:top w:val="nil"/>
              <w:left w:val="single" w:sz="4" w:space="0" w:color="auto"/>
              <w:right w:val="single" w:sz="4" w:space="0" w:color="auto"/>
            </w:tcBorders>
            <w:shd w:val="clear" w:color="auto" w:fill="auto"/>
            <w:noWrap/>
            <w:vAlign w:val="bottom"/>
            <w:hideMark/>
          </w:tcPr>
          <w:p w:rsidR="00B2466C" w:rsidRPr="009713DC" w:rsidRDefault="009713D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Pr>
                <w:rFonts w:cs="Arial"/>
                <w:sz w:val="22"/>
                <w:szCs w:val="22"/>
                <w:lang w:val="es-ES" w:eastAsia="zh-CN"/>
              </w:rPr>
              <w:t xml:space="preserve">1 </w:t>
            </w:r>
            <w:r w:rsidR="00B2466C" w:rsidRPr="009713DC">
              <w:rPr>
                <w:rFonts w:cs="Arial"/>
                <w:sz w:val="22"/>
                <w:szCs w:val="22"/>
                <w:lang w:val="es-ES" w:eastAsia="zh-CN"/>
              </w:rPr>
              <w:t xml:space="preserve">1/2 </w:t>
            </w:r>
          </w:p>
        </w:tc>
      </w:tr>
      <w:tr w:rsidR="00B2466C" w:rsidRPr="009713DC" w:rsidTr="00AE105F">
        <w:trPr>
          <w:trHeight w:val="300"/>
          <w:jc w:val="center"/>
        </w:trPr>
        <w:tc>
          <w:tcPr>
            <w:tcW w:w="4248" w:type="dxa"/>
            <w:tcBorders>
              <w:top w:val="nil"/>
              <w:left w:val="single" w:sz="4" w:space="0" w:color="auto"/>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Timor-Leste</w:t>
            </w:r>
          </w:p>
        </w:tc>
        <w:tc>
          <w:tcPr>
            <w:tcW w:w="3118" w:type="dxa"/>
            <w:tcBorders>
              <w:top w:val="nil"/>
              <w:left w:val="single" w:sz="4" w:space="0" w:color="auto"/>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Togo</w:t>
            </w:r>
          </w:p>
        </w:tc>
        <w:tc>
          <w:tcPr>
            <w:tcW w:w="3118" w:type="dxa"/>
            <w:tcBorders>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lastRenderedPageBreak/>
              <w:t>Tonga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 xml:space="preserve">Trinidad y </w:t>
            </w:r>
            <w:proofErr w:type="spellStart"/>
            <w:r w:rsidRPr="009713DC">
              <w:rPr>
                <w:rFonts w:cs="Arial"/>
                <w:b/>
                <w:bCs/>
                <w:sz w:val="22"/>
                <w:szCs w:val="22"/>
                <w:lang w:val="es-ES" w:eastAsia="zh-CN"/>
              </w:rPr>
              <w:t>Tabago</w:t>
            </w:r>
            <w:proofErr w:type="spellEnd"/>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1/2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Túnez</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1/2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Turquía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Turkmenistán</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Tuvalu</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Uganda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Ucrania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Emiratos Árabes Unidos</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3</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Reino Unido</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10</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Estados Unidos</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30</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Uruguay</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Uzbekistán</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Vanuatu</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1/16</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Vaticano</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1/4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Venezuela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1</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proofErr w:type="spellStart"/>
            <w:r w:rsidRPr="009713DC">
              <w:rPr>
                <w:rFonts w:cs="Arial"/>
                <w:b/>
                <w:bCs/>
                <w:sz w:val="22"/>
                <w:szCs w:val="22"/>
                <w:lang w:val="es-ES" w:eastAsia="zh-CN"/>
              </w:rPr>
              <w:t>Viet</w:t>
            </w:r>
            <w:proofErr w:type="spellEnd"/>
            <w:r w:rsidRPr="009713DC">
              <w:rPr>
                <w:rFonts w:cs="Arial"/>
                <w:b/>
                <w:bCs/>
                <w:sz w:val="22"/>
                <w:szCs w:val="22"/>
                <w:lang w:val="es-ES" w:eastAsia="zh-CN"/>
              </w:rPr>
              <w:t xml:space="preserve"> </w:t>
            </w:r>
            <w:proofErr w:type="spellStart"/>
            <w:r w:rsidRPr="009713DC">
              <w:rPr>
                <w:rFonts w:cs="Arial"/>
                <w:b/>
                <w:bCs/>
                <w:sz w:val="22"/>
                <w:szCs w:val="22"/>
                <w:lang w:val="es-ES" w:eastAsia="zh-CN"/>
              </w:rPr>
              <w:t>Nam</w:t>
            </w:r>
            <w:proofErr w:type="spellEnd"/>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1/2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Yemen</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1/8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Zambia</w:t>
            </w:r>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1/8 </w:t>
            </w:r>
          </w:p>
        </w:tc>
      </w:tr>
      <w:tr w:rsidR="00B2466C" w:rsidRPr="009713DC" w:rsidTr="00AE105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proofErr w:type="spellStart"/>
            <w:r w:rsidRPr="009713DC">
              <w:rPr>
                <w:rFonts w:cs="Arial"/>
                <w:b/>
                <w:bCs/>
                <w:sz w:val="22"/>
                <w:szCs w:val="22"/>
                <w:lang w:val="es-ES" w:eastAsia="zh-CN"/>
              </w:rPr>
              <w:t>Zimbabwe</w:t>
            </w:r>
            <w:proofErr w:type="spellEnd"/>
          </w:p>
        </w:tc>
        <w:tc>
          <w:tcPr>
            <w:tcW w:w="3118" w:type="dxa"/>
            <w:tcBorders>
              <w:top w:val="nil"/>
              <w:left w:val="single" w:sz="4" w:space="0" w:color="auto"/>
              <w:bottom w:val="nil"/>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s-ES" w:eastAsia="zh-CN"/>
              </w:rPr>
            </w:pPr>
            <w:r w:rsidRPr="009713DC">
              <w:rPr>
                <w:rFonts w:cs="Arial"/>
                <w:sz w:val="22"/>
                <w:szCs w:val="22"/>
                <w:lang w:val="es-ES" w:eastAsia="zh-CN"/>
              </w:rPr>
              <w:t xml:space="preserve">1/2 </w:t>
            </w:r>
          </w:p>
        </w:tc>
      </w:tr>
      <w:tr w:rsidR="00B2466C" w:rsidRPr="009713DC" w:rsidTr="00AE105F">
        <w:trPr>
          <w:trHeight w:val="255"/>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 xml:space="preserve">334 1/4 </w:t>
            </w:r>
          </w:p>
        </w:tc>
      </w:tr>
    </w:tbl>
    <w:p w:rsidR="00B2466C" w:rsidRPr="009713DC" w:rsidRDefault="00B2466C" w:rsidP="00B2466C">
      <w:pPr>
        <w:tabs>
          <w:tab w:val="clear" w:pos="567"/>
          <w:tab w:val="clear" w:pos="1134"/>
          <w:tab w:val="clear" w:pos="1701"/>
          <w:tab w:val="clear" w:pos="2268"/>
          <w:tab w:val="clear" w:pos="2835"/>
        </w:tabs>
        <w:overflowPunct/>
        <w:autoSpaceDE/>
        <w:autoSpaceDN/>
        <w:adjustRightInd/>
        <w:spacing w:before="0"/>
        <w:textAlignment w:val="auto"/>
        <w:rPr>
          <w:lang w:val="es-ES"/>
        </w:rPr>
      </w:pPr>
      <w:r w:rsidRPr="009713DC">
        <w:rPr>
          <w:lang w:val="es-ES"/>
        </w:rPr>
        <w:br w:type="page"/>
      </w:r>
    </w:p>
    <w:p w:rsidR="00B2466C" w:rsidRPr="009713DC" w:rsidRDefault="00B2466C" w:rsidP="009713DC">
      <w:pPr>
        <w:pStyle w:val="AnnexNo"/>
        <w:spacing w:after="240"/>
      </w:pPr>
      <w:r w:rsidRPr="009713DC">
        <w:lastRenderedPageBreak/>
        <w:t>aNEXo 2</w:t>
      </w:r>
    </w:p>
    <w:tbl>
      <w:tblPr>
        <w:tblW w:w="9440" w:type="dxa"/>
        <w:jc w:val="center"/>
        <w:tblLook w:val="04A0" w:firstRow="1" w:lastRow="0" w:firstColumn="1" w:lastColumn="0" w:noHBand="0" w:noVBand="1"/>
      </w:tblPr>
      <w:tblGrid>
        <w:gridCol w:w="2972"/>
        <w:gridCol w:w="2410"/>
        <w:gridCol w:w="1578"/>
        <w:gridCol w:w="1240"/>
        <w:gridCol w:w="1240"/>
      </w:tblGrid>
      <w:tr w:rsidR="00B2466C" w:rsidRPr="009713DC" w:rsidTr="00D77A24">
        <w:trPr>
          <w:trHeight w:val="1065"/>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66C" w:rsidRPr="009713DC" w:rsidRDefault="00B2466C" w:rsidP="009713DC">
            <w:pPr>
              <w:pStyle w:val="Tabletitle"/>
              <w:rPr>
                <w:lang w:val="es-ES" w:eastAsia="zh-CN"/>
              </w:rPr>
            </w:pPr>
            <w:r w:rsidRPr="009713DC">
              <w:rPr>
                <w:lang w:val="es-ES" w:eastAsia="zh-CN"/>
              </w:rPr>
              <w:t>Número de unidades por Sector</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2466C" w:rsidRPr="009713DC" w:rsidRDefault="00B2466C" w:rsidP="009713DC">
            <w:pPr>
              <w:pStyle w:val="Tabletitle"/>
              <w:rPr>
                <w:lang w:val="es-ES" w:eastAsia="zh-CN"/>
              </w:rPr>
            </w:pPr>
            <w:r w:rsidRPr="009713DC">
              <w:rPr>
                <w:lang w:val="es-ES" w:eastAsia="zh-CN"/>
              </w:rPr>
              <w:t>Número de unidades en la PP-14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2466C" w:rsidRPr="009713DC" w:rsidRDefault="00B2466C" w:rsidP="009713DC">
            <w:pPr>
              <w:pStyle w:val="Tabletitle"/>
              <w:rPr>
                <w:lang w:val="es-ES" w:eastAsia="zh-CN"/>
              </w:rPr>
            </w:pPr>
            <w:r w:rsidRPr="009713DC">
              <w:rPr>
                <w:lang w:val="es-ES" w:eastAsia="zh-CN"/>
              </w:rPr>
              <w:t>Número de unidades</w:t>
            </w:r>
            <w:r w:rsidR="009713DC" w:rsidRPr="009713DC">
              <w:rPr>
                <w:lang w:val="es-ES" w:eastAsia="zh-CN"/>
              </w:rPr>
              <w:t xml:space="preserve"> </w:t>
            </w:r>
            <w:r w:rsidRPr="009713DC">
              <w:rPr>
                <w:lang w:val="es-ES" w:eastAsia="zh-CN"/>
              </w:rPr>
              <w:t>al 31.01.2017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2466C" w:rsidRPr="009713DC" w:rsidRDefault="00B2466C" w:rsidP="009713DC">
            <w:pPr>
              <w:pStyle w:val="Tabletitle"/>
              <w:rPr>
                <w:lang w:val="es-ES" w:eastAsia="zh-CN"/>
              </w:rPr>
            </w:pPr>
            <w:r w:rsidRPr="009713DC">
              <w:rPr>
                <w:lang w:val="es-ES" w:eastAsia="zh-CN"/>
              </w:rPr>
              <w:t>Diferencia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2466C" w:rsidRPr="009713DC" w:rsidRDefault="00B2466C" w:rsidP="009713DC">
            <w:pPr>
              <w:pStyle w:val="Tabletitle"/>
              <w:rPr>
                <w:lang w:val="es-ES" w:eastAsia="zh-CN"/>
              </w:rPr>
            </w:pPr>
            <w:r w:rsidRPr="009713DC">
              <w:rPr>
                <w:lang w:val="es-ES" w:eastAsia="zh-CN"/>
              </w:rPr>
              <w:t>Diferencia en %</w:t>
            </w:r>
          </w:p>
        </w:tc>
      </w:tr>
      <w:tr w:rsidR="00B2466C" w:rsidRPr="009713DC" w:rsidTr="00D77A24">
        <w:trPr>
          <w:trHeight w:val="402"/>
          <w:jc w:val="center"/>
        </w:trPr>
        <w:tc>
          <w:tcPr>
            <w:tcW w:w="2972" w:type="dxa"/>
            <w:tcBorders>
              <w:top w:val="nil"/>
              <w:left w:val="single" w:sz="4" w:space="0" w:color="auto"/>
              <w:bottom w:val="single" w:sz="4" w:space="0" w:color="auto"/>
              <w:right w:val="single" w:sz="4" w:space="0" w:color="auto"/>
            </w:tcBorders>
            <w:shd w:val="clear" w:color="000000" w:fill="FFFFFF"/>
            <w:vAlign w:val="bottom"/>
            <w:hideMark/>
          </w:tcPr>
          <w:p w:rsidR="00B2466C" w:rsidRPr="009713DC" w:rsidRDefault="00B2466C" w:rsidP="007C5CF3">
            <w:pPr>
              <w:pStyle w:val="Tabletext"/>
              <w:rPr>
                <w:lang w:val="es-ES" w:eastAsia="zh-CN"/>
              </w:rPr>
            </w:pPr>
            <w:r w:rsidRPr="009713DC">
              <w:rPr>
                <w:lang w:val="es-ES" w:eastAsia="zh-CN"/>
              </w:rPr>
              <w:t>Miembros del Sector UIT-R</w:t>
            </w:r>
          </w:p>
        </w:tc>
        <w:tc>
          <w:tcPr>
            <w:tcW w:w="2410" w:type="dxa"/>
            <w:tcBorders>
              <w:top w:val="nil"/>
              <w:left w:val="nil"/>
              <w:bottom w:val="single" w:sz="4" w:space="0" w:color="auto"/>
              <w:right w:val="single" w:sz="4" w:space="0" w:color="auto"/>
            </w:tcBorders>
            <w:shd w:val="clear" w:color="000000" w:fill="FFFFFF"/>
            <w:noWrap/>
            <w:vAlign w:val="bottom"/>
            <w:hideMark/>
          </w:tcPr>
          <w:p w:rsidR="00B2466C" w:rsidRPr="009713DC" w:rsidRDefault="00B2466C" w:rsidP="007C5CF3">
            <w:pPr>
              <w:pStyle w:val="Tabletext"/>
              <w:jc w:val="center"/>
              <w:rPr>
                <w:rFonts w:cs="Arial"/>
                <w:szCs w:val="22"/>
                <w:lang w:val="es-ES" w:eastAsia="zh-CN"/>
              </w:rPr>
            </w:pPr>
            <w:r w:rsidRPr="009713DC">
              <w:rPr>
                <w:rFonts w:cs="Arial"/>
                <w:szCs w:val="22"/>
                <w:lang w:val="es-ES" w:eastAsia="zh-CN"/>
              </w:rPr>
              <w:t>100 ½</w:t>
            </w:r>
          </w:p>
        </w:tc>
        <w:tc>
          <w:tcPr>
            <w:tcW w:w="1578" w:type="dxa"/>
            <w:tcBorders>
              <w:top w:val="nil"/>
              <w:left w:val="nil"/>
              <w:bottom w:val="single" w:sz="4" w:space="0" w:color="auto"/>
              <w:right w:val="single" w:sz="4" w:space="0" w:color="auto"/>
            </w:tcBorders>
            <w:shd w:val="clear" w:color="000000" w:fill="FFFFFF"/>
            <w:noWrap/>
            <w:vAlign w:val="bottom"/>
            <w:hideMark/>
          </w:tcPr>
          <w:p w:rsidR="00B2466C" w:rsidRPr="007C5CF3" w:rsidRDefault="00B2466C" w:rsidP="007C5CF3">
            <w:pPr>
              <w:pStyle w:val="Tabletext"/>
              <w:jc w:val="center"/>
              <w:rPr>
                <w:lang w:val="es-ES" w:eastAsia="zh-CN"/>
              </w:rPr>
            </w:pPr>
            <w:r w:rsidRPr="007C5CF3">
              <w:rPr>
                <w:lang w:val="es-ES" w:eastAsia="zh-CN"/>
              </w:rPr>
              <w:t>100 3/16</w:t>
            </w:r>
          </w:p>
        </w:tc>
        <w:tc>
          <w:tcPr>
            <w:tcW w:w="1240" w:type="dxa"/>
            <w:tcBorders>
              <w:top w:val="nil"/>
              <w:left w:val="nil"/>
              <w:bottom w:val="single" w:sz="4" w:space="0" w:color="auto"/>
              <w:right w:val="single" w:sz="4" w:space="0" w:color="auto"/>
            </w:tcBorders>
            <w:shd w:val="clear" w:color="000000" w:fill="FFFFFF"/>
            <w:noWrap/>
            <w:vAlign w:val="bottom"/>
            <w:hideMark/>
          </w:tcPr>
          <w:p w:rsidR="00B2466C" w:rsidRPr="007C5CF3" w:rsidRDefault="00B2466C" w:rsidP="007C5CF3">
            <w:pPr>
              <w:pStyle w:val="Tabletext"/>
              <w:jc w:val="center"/>
              <w:rPr>
                <w:lang w:val="es-ES" w:eastAsia="zh-CN"/>
              </w:rPr>
            </w:pPr>
            <w:r w:rsidRPr="007C5CF3">
              <w:rPr>
                <w:lang w:val="es-ES" w:eastAsia="zh-CN"/>
              </w:rPr>
              <w:t>-5/16</w:t>
            </w:r>
          </w:p>
        </w:tc>
        <w:tc>
          <w:tcPr>
            <w:tcW w:w="1240" w:type="dxa"/>
            <w:tcBorders>
              <w:top w:val="nil"/>
              <w:left w:val="nil"/>
              <w:bottom w:val="single" w:sz="4" w:space="0" w:color="auto"/>
              <w:right w:val="single" w:sz="4" w:space="0" w:color="auto"/>
            </w:tcBorders>
            <w:shd w:val="clear" w:color="auto" w:fill="auto"/>
            <w:noWrap/>
            <w:vAlign w:val="bottom"/>
            <w:hideMark/>
          </w:tcPr>
          <w:p w:rsidR="00B2466C" w:rsidRPr="007C5CF3" w:rsidRDefault="00B2466C" w:rsidP="007C5CF3">
            <w:pPr>
              <w:pStyle w:val="Tabletext"/>
              <w:jc w:val="center"/>
              <w:rPr>
                <w:lang w:val="es-ES" w:eastAsia="zh-CN"/>
              </w:rPr>
            </w:pPr>
            <w:r w:rsidRPr="007C5CF3">
              <w:rPr>
                <w:lang w:val="es-ES" w:eastAsia="zh-CN"/>
              </w:rPr>
              <w:t>&lt;1%</w:t>
            </w:r>
          </w:p>
        </w:tc>
      </w:tr>
      <w:tr w:rsidR="00B2466C" w:rsidRPr="009713DC" w:rsidTr="00D77A24">
        <w:trPr>
          <w:trHeight w:val="402"/>
          <w:jc w:val="center"/>
        </w:trPr>
        <w:tc>
          <w:tcPr>
            <w:tcW w:w="2972" w:type="dxa"/>
            <w:tcBorders>
              <w:top w:val="nil"/>
              <w:left w:val="single" w:sz="4" w:space="0" w:color="auto"/>
              <w:bottom w:val="single" w:sz="4" w:space="0" w:color="auto"/>
              <w:right w:val="single" w:sz="4" w:space="0" w:color="auto"/>
            </w:tcBorders>
            <w:shd w:val="clear" w:color="000000" w:fill="FFFFFF"/>
            <w:vAlign w:val="bottom"/>
            <w:hideMark/>
          </w:tcPr>
          <w:p w:rsidR="00B2466C" w:rsidRPr="009713DC" w:rsidRDefault="00B2466C" w:rsidP="007C5CF3">
            <w:pPr>
              <w:pStyle w:val="Tabletext"/>
              <w:rPr>
                <w:rFonts w:cs="Arial"/>
                <w:szCs w:val="22"/>
                <w:lang w:val="es-ES" w:eastAsia="zh-CN"/>
              </w:rPr>
            </w:pPr>
            <w:r w:rsidRPr="009713DC">
              <w:rPr>
                <w:rFonts w:cs="Arial"/>
                <w:szCs w:val="22"/>
                <w:lang w:val="es-ES" w:eastAsia="zh-CN"/>
              </w:rPr>
              <w:t>Miembros del Sector UIT-T</w:t>
            </w:r>
          </w:p>
        </w:tc>
        <w:tc>
          <w:tcPr>
            <w:tcW w:w="2410" w:type="dxa"/>
            <w:tcBorders>
              <w:top w:val="nil"/>
              <w:left w:val="nil"/>
              <w:bottom w:val="single" w:sz="4" w:space="0" w:color="auto"/>
              <w:right w:val="single" w:sz="4" w:space="0" w:color="auto"/>
            </w:tcBorders>
            <w:shd w:val="clear" w:color="000000" w:fill="FFFFFF"/>
            <w:noWrap/>
            <w:vAlign w:val="bottom"/>
            <w:hideMark/>
          </w:tcPr>
          <w:p w:rsidR="00B2466C" w:rsidRPr="009713DC" w:rsidRDefault="00B2466C" w:rsidP="007C5CF3">
            <w:pPr>
              <w:pStyle w:val="Tabletext"/>
              <w:jc w:val="center"/>
              <w:rPr>
                <w:lang w:val="es-ES" w:eastAsia="zh-CN"/>
              </w:rPr>
            </w:pPr>
            <w:r w:rsidRPr="009713DC">
              <w:rPr>
                <w:lang w:val="es-ES" w:eastAsia="zh-CN"/>
              </w:rPr>
              <w:t>105 3/16</w:t>
            </w:r>
          </w:p>
        </w:tc>
        <w:tc>
          <w:tcPr>
            <w:tcW w:w="1578" w:type="dxa"/>
            <w:tcBorders>
              <w:top w:val="nil"/>
              <w:left w:val="nil"/>
              <w:bottom w:val="single" w:sz="4" w:space="0" w:color="auto"/>
              <w:right w:val="single" w:sz="4" w:space="0" w:color="auto"/>
            </w:tcBorders>
            <w:shd w:val="clear" w:color="000000" w:fill="FFFFFF"/>
            <w:noWrap/>
            <w:vAlign w:val="bottom"/>
            <w:hideMark/>
          </w:tcPr>
          <w:p w:rsidR="00B2466C" w:rsidRPr="007C5CF3" w:rsidRDefault="00B2466C" w:rsidP="007C5CF3">
            <w:pPr>
              <w:pStyle w:val="Tabletext"/>
              <w:jc w:val="center"/>
              <w:rPr>
                <w:lang w:val="es-ES" w:eastAsia="zh-CN"/>
              </w:rPr>
            </w:pPr>
            <w:r w:rsidRPr="007C5CF3">
              <w:rPr>
                <w:lang w:val="es-ES" w:eastAsia="zh-CN"/>
              </w:rPr>
              <w:t>97 3/8</w:t>
            </w:r>
          </w:p>
        </w:tc>
        <w:tc>
          <w:tcPr>
            <w:tcW w:w="1240" w:type="dxa"/>
            <w:tcBorders>
              <w:top w:val="nil"/>
              <w:left w:val="nil"/>
              <w:bottom w:val="single" w:sz="4" w:space="0" w:color="auto"/>
              <w:right w:val="single" w:sz="4" w:space="0" w:color="auto"/>
            </w:tcBorders>
            <w:shd w:val="clear" w:color="000000" w:fill="FFFFFF"/>
            <w:noWrap/>
            <w:vAlign w:val="bottom"/>
            <w:hideMark/>
          </w:tcPr>
          <w:p w:rsidR="00B2466C" w:rsidRPr="007C5CF3" w:rsidRDefault="00B2466C" w:rsidP="007C5CF3">
            <w:pPr>
              <w:pStyle w:val="Tabletext"/>
              <w:jc w:val="center"/>
              <w:rPr>
                <w:lang w:val="es-ES" w:eastAsia="zh-CN"/>
              </w:rPr>
            </w:pPr>
            <w:r w:rsidRPr="007C5CF3">
              <w:rPr>
                <w:lang w:val="es-ES" w:eastAsia="zh-CN"/>
              </w:rPr>
              <w:t>-7 13/16</w:t>
            </w:r>
          </w:p>
        </w:tc>
        <w:tc>
          <w:tcPr>
            <w:tcW w:w="1240" w:type="dxa"/>
            <w:tcBorders>
              <w:top w:val="nil"/>
              <w:left w:val="nil"/>
              <w:bottom w:val="single" w:sz="4" w:space="0" w:color="auto"/>
              <w:right w:val="single" w:sz="4" w:space="0" w:color="auto"/>
            </w:tcBorders>
            <w:shd w:val="clear" w:color="auto" w:fill="auto"/>
            <w:noWrap/>
            <w:vAlign w:val="bottom"/>
            <w:hideMark/>
          </w:tcPr>
          <w:p w:rsidR="00B2466C" w:rsidRPr="007C5CF3" w:rsidRDefault="00B2466C" w:rsidP="007C5CF3">
            <w:pPr>
              <w:pStyle w:val="Tabletext"/>
              <w:jc w:val="center"/>
              <w:rPr>
                <w:lang w:val="es-ES" w:eastAsia="zh-CN"/>
              </w:rPr>
            </w:pPr>
            <w:r w:rsidRPr="007C5CF3">
              <w:rPr>
                <w:lang w:val="es-ES" w:eastAsia="zh-CN"/>
              </w:rPr>
              <w:t>-7%</w:t>
            </w:r>
          </w:p>
        </w:tc>
      </w:tr>
      <w:tr w:rsidR="00B2466C" w:rsidRPr="009713DC" w:rsidTr="00D77A24">
        <w:trPr>
          <w:trHeight w:val="402"/>
          <w:jc w:val="center"/>
        </w:trPr>
        <w:tc>
          <w:tcPr>
            <w:tcW w:w="2972" w:type="dxa"/>
            <w:tcBorders>
              <w:top w:val="nil"/>
              <w:left w:val="single" w:sz="4" w:space="0" w:color="auto"/>
              <w:bottom w:val="single" w:sz="4" w:space="0" w:color="auto"/>
              <w:right w:val="single" w:sz="4" w:space="0" w:color="auto"/>
            </w:tcBorders>
            <w:shd w:val="clear" w:color="000000" w:fill="FFFFFF"/>
            <w:vAlign w:val="bottom"/>
            <w:hideMark/>
          </w:tcPr>
          <w:p w:rsidR="00B2466C" w:rsidRPr="009713DC" w:rsidRDefault="00B2466C" w:rsidP="007C5CF3">
            <w:pPr>
              <w:pStyle w:val="Tabletext"/>
              <w:rPr>
                <w:rFonts w:cs="Arial"/>
                <w:szCs w:val="22"/>
                <w:lang w:val="es-ES" w:eastAsia="zh-CN"/>
              </w:rPr>
            </w:pPr>
            <w:r w:rsidRPr="009713DC">
              <w:rPr>
                <w:rFonts w:cs="Arial"/>
                <w:szCs w:val="22"/>
                <w:lang w:val="es-ES" w:eastAsia="zh-CN"/>
              </w:rPr>
              <w:t>Miembros del Sector UIT-D</w:t>
            </w:r>
          </w:p>
        </w:tc>
        <w:tc>
          <w:tcPr>
            <w:tcW w:w="2410" w:type="dxa"/>
            <w:tcBorders>
              <w:top w:val="nil"/>
              <w:left w:val="nil"/>
              <w:bottom w:val="single" w:sz="4" w:space="0" w:color="auto"/>
              <w:right w:val="single" w:sz="4" w:space="0" w:color="auto"/>
            </w:tcBorders>
            <w:shd w:val="clear" w:color="000000" w:fill="FFFFFF"/>
            <w:noWrap/>
            <w:vAlign w:val="bottom"/>
            <w:hideMark/>
          </w:tcPr>
          <w:p w:rsidR="00B2466C" w:rsidRPr="009713DC" w:rsidRDefault="00B2466C" w:rsidP="007C5CF3">
            <w:pPr>
              <w:pStyle w:val="Tabletext"/>
              <w:jc w:val="center"/>
              <w:rPr>
                <w:rFonts w:cs="Arial"/>
                <w:szCs w:val="22"/>
                <w:lang w:val="es-ES" w:eastAsia="zh-CN"/>
              </w:rPr>
            </w:pPr>
            <w:r w:rsidRPr="009713DC">
              <w:rPr>
                <w:rFonts w:cs="Arial"/>
                <w:szCs w:val="22"/>
                <w:lang w:val="es-ES" w:eastAsia="zh-CN"/>
              </w:rPr>
              <w:t>25 11/16</w:t>
            </w:r>
          </w:p>
        </w:tc>
        <w:tc>
          <w:tcPr>
            <w:tcW w:w="1578" w:type="dxa"/>
            <w:tcBorders>
              <w:top w:val="nil"/>
              <w:left w:val="nil"/>
              <w:bottom w:val="single" w:sz="4" w:space="0" w:color="auto"/>
              <w:right w:val="single" w:sz="4" w:space="0" w:color="auto"/>
            </w:tcBorders>
            <w:shd w:val="clear" w:color="000000" w:fill="FFFFFF"/>
            <w:noWrap/>
            <w:vAlign w:val="bottom"/>
            <w:hideMark/>
          </w:tcPr>
          <w:p w:rsidR="00B2466C" w:rsidRPr="007C5CF3" w:rsidRDefault="00B2466C" w:rsidP="007C5CF3">
            <w:pPr>
              <w:pStyle w:val="Tabletext"/>
              <w:jc w:val="center"/>
              <w:rPr>
                <w:lang w:val="es-ES" w:eastAsia="zh-CN"/>
              </w:rPr>
            </w:pPr>
            <w:r w:rsidRPr="007C5CF3">
              <w:rPr>
                <w:lang w:val="es-ES" w:eastAsia="zh-CN"/>
              </w:rPr>
              <w:t>24 13/16</w:t>
            </w:r>
          </w:p>
        </w:tc>
        <w:tc>
          <w:tcPr>
            <w:tcW w:w="1240" w:type="dxa"/>
            <w:tcBorders>
              <w:top w:val="nil"/>
              <w:left w:val="nil"/>
              <w:bottom w:val="single" w:sz="4" w:space="0" w:color="auto"/>
              <w:right w:val="single" w:sz="4" w:space="0" w:color="auto"/>
            </w:tcBorders>
            <w:shd w:val="clear" w:color="000000" w:fill="FFFFFF"/>
            <w:noWrap/>
            <w:vAlign w:val="bottom"/>
            <w:hideMark/>
          </w:tcPr>
          <w:p w:rsidR="00B2466C" w:rsidRPr="007C5CF3" w:rsidRDefault="00B2466C" w:rsidP="007C5CF3">
            <w:pPr>
              <w:pStyle w:val="Tabletext"/>
              <w:jc w:val="center"/>
              <w:rPr>
                <w:lang w:val="es-ES" w:eastAsia="zh-CN"/>
              </w:rPr>
            </w:pPr>
            <w:r w:rsidRPr="007C5CF3">
              <w:rPr>
                <w:lang w:val="es-ES" w:eastAsia="zh-CN"/>
              </w:rPr>
              <w:t>-7/8</w:t>
            </w:r>
          </w:p>
        </w:tc>
        <w:tc>
          <w:tcPr>
            <w:tcW w:w="1240" w:type="dxa"/>
            <w:tcBorders>
              <w:top w:val="nil"/>
              <w:left w:val="nil"/>
              <w:bottom w:val="single" w:sz="4" w:space="0" w:color="auto"/>
              <w:right w:val="single" w:sz="4" w:space="0" w:color="auto"/>
            </w:tcBorders>
            <w:shd w:val="clear" w:color="auto" w:fill="auto"/>
            <w:noWrap/>
            <w:vAlign w:val="bottom"/>
            <w:hideMark/>
          </w:tcPr>
          <w:p w:rsidR="00B2466C" w:rsidRPr="007C5CF3" w:rsidRDefault="00B2466C" w:rsidP="007C5CF3">
            <w:pPr>
              <w:pStyle w:val="Tabletext"/>
              <w:jc w:val="center"/>
              <w:rPr>
                <w:lang w:val="es-ES" w:eastAsia="zh-CN"/>
              </w:rPr>
            </w:pPr>
            <w:r w:rsidRPr="007C5CF3">
              <w:rPr>
                <w:lang w:val="es-ES" w:eastAsia="zh-CN"/>
              </w:rPr>
              <w:t>-3%</w:t>
            </w:r>
          </w:p>
        </w:tc>
      </w:tr>
      <w:tr w:rsidR="00B2466C" w:rsidRPr="009713DC" w:rsidTr="00D77A24">
        <w:trPr>
          <w:trHeight w:val="402"/>
          <w:jc w:val="center"/>
        </w:trPr>
        <w:tc>
          <w:tcPr>
            <w:tcW w:w="2972" w:type="dxa"/>
            <w:tcBorders>
              <w:top w:val="nil"/>
              <w:left w:val="single" w:sz="4" w:space="0" w:color="auto"/>
              <w:bottom w:val="single" w:sz="4" w:space="0" w:color="auto"/>
              <w:right w:val="single" w:sz="4" w:space="0" w:color="auto"/>
            </w:tcBorders>
            <w:shd w:val="clear" w:color="000000" w:fill="FFFFFF"/>
            <w:vAlign w:val="bottom"/>
            <w:hideMark/>
          </w:tcPr>
          <w:p w:rsidR="00B2466C" w:rsidRPr="009713DC" w:rsidRDefault="00B2466C" w:rsidP="007C5CF3">
            <w:pPr>
              <w:pStyle w:val="Tabletext"/>
              <w:rPr>
                <w:rFonts w:cs="Arial"/>
                <w:b/>
                <w:bCs/>
                <w:szCs w:val="22"/>
                <w:lang w:val="es-ES" w:eastAsia="zh-CN"/>
              </w:rPr>
            </w:pPr>
            <w:r w:rsidRPr="009713DC">
              <w:rPr>
                <w:rFonts w:cs="Arial"/>
                <w:b/>
                <w:bCs/>
                <w:szCs w:val="22"/>
                <w:lang w:val="es-ES" w:eastAsia="zh-CN"/>
              </w:rPr>
              <w:t>Total</w:t>
            </w:r>
          </w:p>
        </w:tc>
        <w:tc>
          <w:tcPr>
            <w:tcW w:w="2410" w:type="dxa"/>
            <w:tcBorders>
              <w:top w:val="nil"/>
              <w:left w:val="nil"/>
              <w:bottom w:val="single" w:sz="4" w:space="0" w:color="auto"/>
              <w:right w:val="single" w:sz="4" w:space="0" w:color="auto"/>
            </w:tcBorders>
            <w:shd w:val="clear" w:color="000000" w:fill="FFFFFF"/>
            <w:noWrap/>
            <w:vAlign w:val="bottom"/>
            <w:hideMark/>
          </w:tcPr>
          <w:p w:rsidR="00B2466C" w:rsidRPr="007C5CF3" w:rsidRDefault="00B2466C" w:rsidP="007C5CF3">
            <w:pPr>
              <w:pStyle w:val="Tabletext"/>
              <w:jc w:val="center"/>
              <w:rPr>
                <w:rFonts w:cs="Arial"/>
                <w:b/>
                <w:bCs/>
                <w:szCs w:val="22"/>
                <w:lang w:val="es-ES" w:eastAsia="zh-CN"/>
              </w:rPr>
            </w:pPr>
            <w:r w:rsidRPr="007C5CF3">
              <w:rPr>
                <w:rFonts w:cs="Arial"/>
                <w:b/>
                <w:bCs/>
                <w:szCs w:val="22"/>
                <w:lang w:val="es-ES" w:eastAsia="zh-CN"/>
              </w:rPr>
              <w:t>231 3/8</w:t>
            </w:r>
          </w:p>
        </w:tc>
        <w:tc>
          <w:tcPr>
            <w:tcW w:w="1578" w:type="dxa"/>
            <w:tcBorders>
              <w:top w:val="nil"/>
              <w:left w:val="nil"/>
              <w:bottom w:val="single" w:sz="4" w:space="0" w:color="auto"/>
              <w:right w:val="single" w:sz="4" w:space="0" w:color="auto"/>
            </w:tcBorders>
            <w:shd w:val="clear" w:color="000000" w:fill="FFFFFF"/>
            <w:noWrap/>
            <w:vAlign w:val="bottom"/>
            <w:hideMark/>
          </w:tcPr>
          <w:p w:rsidR="00B2466C" w:rsidRPr="007C5CF3" w:rsidRDefault="00B2466C" w:rsidP="007C5CF3">
            <w:pPr>
              <w:pStyle w:val="Tabletext"/>
              <w:jc w:val="center"/>
              <w:rPr>
                <w:rFonts w:cs="Arial"/>
                <w:b/>
                <w:bCs/>
                <w:szCs w:val="22"/>
                <w:lang w:val="es-ES" w:eastAsia="zh-CN"/>
              </w:rPr>
            </w:pPr>
            <w:r w:rsidRPr="007C5CF3">
              <w:rPr>
                <w:rFonts w:cs="Arial"/>
                <w:b/>
                <w:bCs/>
                <w:szCs w:val="22"/>
                <w:lang w:val="es-ES" w:eastAsia="zh-CN"/>
              </w:rPr>
              <w:t>222 3/8</w:t>
            </w:r>
          </w:p>
        </w:tc>
        <w:tc>
          <w:tcPr>
            <w:tcW w:w="1240" w:type="dxa"/>
            <w:tcBorders>
              <w:top w:val="nil"/>
              <w:left w:val="nil"/>
              <w:bottom w:val="single" w:sz="4" w:space="0" w:color="auto"/>
              <w:right w:val="single" w:sz="4" w:space="0" w:color="auto"/>
            </w:tcBorders>
            <w:shd w:val="clear" w:color="000000" w:fill="FFFFFF"/>
            <w:noWrap/>
            <w:vAlign w:val="bottom"/>
            <w:hideMark/>
          </w:tcPr>
          <w:p w:rsidR="00B2466C" w:rsidRPr="007C5CF3" w:rsidRDefault="00B2466C" w:rsidP="007C5CF3">
            <w:pPr>
              <w:pStyle w:val="Tabletext"/>
              <w:jc w:val="center"/>
              <w:rPr>
                <w:rFonts w:cs="Arial"/>
                <w:b/>
                <w:bCs/>
                <w:szCs w:val="22"/>
                <w:lang w:val="es-ES" w:eastAsia="zh-CN"/>
              </w:rPr>
            </w:pPr>
            <w:r w:rsidRPr="007C5CF3">
              <w:rPr>
                <w:rFonts w:cs="Arial"/>
                <w:b/>
                <w:bCs/>
                <w:szCs w:val="22"/>
                <w:lang w:val="es-ES" w:eastAsia="zh-CN"/>
              </w:rPr>
              <w:t>-9</w:t>
            </w:r>
          </w:p>
        </w:tc>
        <w:tc>
          <w:tcPr>
            <w:tcW w:w="1240" w:type="dxa"/>
            <w:tcBorders>
              <w:top w:val="nil"/>
              <w:left w:val="nil"/>
              <w:bottom w:val="single" w:sz="4" w:space="0" w:color="auto"/>
              <w:right w:val="single" w:sz="4" w:space="0" w:color="auto"/>
            </w:tcBorders>
            <w:shd w:val="clear" w:color="auto" w:fill="auto"/>
            <w:noWrap/>
            <w:vAlign w:val="bottom"/>
            <w:hideMark/>
          </w:tcPr>
          <w:p w:rsidR="00B2466C" w:rsidRPr="007C5CF3" w:rsidRDefault="00B2466C" w:rsidP="007C5CF3">
            <w:pPr>
              <w:pStyle w:val="Tabletext"/>
              <w:jc w:val="center"/>
              <w:rPr>
                <w:rFonts w:cs="Arial"/>
                <w:b/>
                <w:bCs/>
                <w:szCs w:val="22"/>
                <w:lang w:val="es-ES" w:eastAsia="zh-CN"/>
              </w:rPr>
            </w:pPr>
            <w:r w:rsidRPr="007C5CF3">
              <w:rPr>
                <w:rFonts w:cs="Arial"/>
                <w:b/>
                <w:bCs/>
                <w:szCs w:val="22"/>
                <w:lang w:val="es-ES" w:eastAsia="zh-CN"/>
              </w:rPr>
              <w:t>-4%</w:t>
            </w:r>
          </w:p>
        </w:tc>
      </w:tr>
      <w:tr w:rsidR="00B2466C" w:rsidRPr="009713DC" w:rsidTr="00D77A24">
        <w:trPr>
          <w:trHeight w:val="435"/>
          <w:jc w:val="center"/>
        </w:trPr>
        <w:tc>
          <w:tcPr>
            <w:tcW w:w="2972" w:type="dxa"/>
            <w:tcBorders>
              <w:top w:val="nil"/>
              <w:left w:val="nil"/>
              <w:bottom w:val="nil"/>
              <w:right w:val="nil"/>
            </w:tcBorders>
            <w:shd w:val="clear" w:color="000000" w:fill="FFFFFF"/>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 </w:t>
            </w:r>
          </w:p>
        </w:tc>
        <w:tc>
          <w:tcPr>
            <w:tcW w:w="2410" w:type="dxa"/>
            <w:tcBorders>
              <w:top w:val="nil"/>
              <w:left w:val="nil"/>
              <w:bottom w:val="nil"/>
              <w:right w:val="nil"/>
            </w:tcBorders>
            <w:shd w:val="clear" w:color="000000" w:fill="FFFFFF"/>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 </w:t>
            </w:r>
          </w:p>
        </w:tc>
        <w:tc>
          <w:tcPr>
            <w:tcW w:w="1578" w:type="dxa"/>
            <w:tcBorders>
              <w:top w:val="nil"/>
              <w:left w:val="nil"/>
              <w:bottom w:val="nil"/>
              <w:right w:val="nil"/>
            </w:tcBorders>
            <w:shd w:val="clear" w:color="000000" w:fill="FFFFFF"/>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 </w:t>
            </w:r>
          </w:p>
        </w:tc>
        <w:tc>
          <w:tcPr>
            <w:tcW w:w="1240" w:type="dxa"/>
            <w:tcBorders>
              <w:top w:val="nil"/>
              <w:left w:val="nil"/>
              <w:bottom w:val="nil"/>
              <w:right w:val="nil"/>
            </w:tcBorders>
            <w:shd w:val="clear" w:color="000000" w:fill="FFFFFF"/>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 </w:t>
            </w:r>
          </w:p>
        </w:tc>
        <w:tc>
          <w:tcPr>
            <w:tcW w:w="1240" w:type="dxa"/>
            <w:tcBorders>
              <w:top w:val="nil"/>
              <w:left w:val="nil"/>
              <w:bottom w:val="nil"/>
              <w:right w:val="nil"/>
            </w:tcBorders>
            <w:shd w:val="clear" w:color="000000" w:fill="FFFFFF"/>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val="es-ES" w:eastAsia="zh-CN"/>
              </w:rPr>
            </w:pPr>
            <w:r w:rsidRPr="009713DC">
              <w:rPr>
                <w:rFonts w:cs="Arial"/>
                <w:b/>
                <w:bCs/>
                <w:sz w:val="22"/>
                <w:szCs w:val="22"/>
                <w:lang w:val="es-ES" w:eastAsia="zh-CN"/>
              </w:rPr>
              <w:t> </w:t>
            </w:r>
          </w:p>
        </w:tc>
      </w:tr>
      <w:tr w:rsidR="00B2466C" w:rsidRPr="009713DC" w:rsidTr="00D77A24">
        <w:trPr>
          <w:trHeight w:val="1065"/>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66C" w:rsidRPr="009713DC" w:rsidRDefault="00B2466C" w:rsidP="009713DC">
            <w:pPr>
              <w:pStyle w:val="Tabletitle"/>
              <w:rPr>
                <w:lang w:val="es-ES" w:eastAsia="zh-CN"/>
              </w:rPr>
            </w:pPr>
            <w:r w:rsidRPr="009713DC">
              <w:rPr>
                <w:lang w:val="es-ES" w:eastAsia="zh-CN"/>
              </w:rPr>
              <w:t>Número de Asociados por Sector</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2466C" w:rsidRPr="009713DC" w:rsidRDefault="00B2466C" w:rsidP="009713DC">
            <w:pPr>
              <w:pStyle w:val="Tabletitle"/>
              <w:rPr>
                <w:lang w:val="es-ES" w:eastAsia="zh-CN"/>
              </w:rPr>
            </w:pPr>
            <w:r w:rsidRPr="009713DC">
              <w:rPr>
                <w:lang w:val="es-ES" w:eastAsia="zh-CN"/>
              </w:rPr>
              <w:t>Número en la PP-14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2466C" w:rsidRPr="009713DC" w:rsidRDefault="00B2466C" w:rsidP="009713DC">
            <w:pPr>
              <w:pStyle w:val="Tabletitle"/>
              <w:rPr>
                <w:lang w:val="es-ES" w:eastAsia="zh-CN"/>
              </w:rPr>
            </w:pPr>
            <w:r w:rsidRPr="009713DC">
              <w:rPr>
                <w:lang w:val="es-ES" w:eastAsia="zh-CN"/>
              </w:rPr>
              <w:t>Número al 31.01.2017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2466C" w:rsidRPr="009713DC" w:rsidRDefault="00B2466C" w:rsidP="009713DC">
            <w:pPr>
              <w:pStyle w:val="Tabletitle"/>
              <w:rPr>
                <w:lang w:val="es-ES" w:eastAsia="zh-CN"/>
              </w:rPr>
            </w:pPr>
            <w:r w:rsidRPr="009713DC">
              <w:rPr>
                <w:lang w:val="es-ES" w:eastAsia="zh-CN"/>
              </w:rPr>
              <w:t>Diferencia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2466C" w:rsidRPr="009713DC" w:rsidRDefault="00B2466C" w:rsidP="009713DC">
            <w:pPr>
              <w:pStyle w:val="Tabletitle"/>
              <w:rPr>
                <w:lang w:val="es-ES" w:eastAsia="zh-CN"/>
              </w:rPr>
            </w:pPr>
            <w:r w:rsidRPr="009713DC">
              <w:rPr>
                <w:lang w:val="es-ES" w:eastAsia="zh-CN"/>
              </w:rPr>
              <w:t>Diferencia en %</w:t>
            </w:r>
          </w:p>
        </w:tc>
      </w:tr>
      <w:tr w:rsidR="00B2466C" w:rsidRPr="009713DC" w:rsidTr="00D77A24">
        <w:trPr>
          <w:trHeight w:val="402"/>
          <w:jc w:val="center"/>
        </w:trPr>
        <w:tc>
          <w:tcPr>
            <w:tcW w:w="2972" w:type="dxa"/>
            <w:tcBorders>
              <w:top w:val="nil"/>
              <w:left w:val="single" w:sz="4" w:space="0" w:color="auto"/>
              <w:bottom w:val="single" w:sz="4" w:space="0" w:color="auto"/>
              <w:right w:val="single" w:sz="4" w:space="0" w:color="auto"/>
            </w:tcBorders>
            <w:shd w:val="clear" w:color="000000" w:fill="FFFFFF"/>
            <w:vAlign w:val="bottom"/>
            <w:hideMark/>
          </w:tcPr>
          <w:p w:rsidR="00B2466C" w:rsidRPr="009713DC" w:rsidRDefault="00B2466C" w:rsidP="007C5CF3">
            <w:pPr>
              <w:pStyle w:val="Tabletext"/>
              <w:rPr>
                <w:rFonts w:cs="Arial"/>
                <w:szCs w:val="22"/>
                <w:lang w:val="es-ES" w:eastAsia="zh-CN"/>
              </w:rPr>
            </w:pPr>
            <w:r w:rsidRPr="009713DC">
              <w:rPr>
                <w:rFonts w:cs="Arial"/>
                <w:szCs w:val="22"/>
                <w:lang w:val="es-ES" w:eastAsia="zh-CN"/>
              </w:rPr>
              <w:t xml:space="preserve">Asociados del UIT-R </w:t>
            </w:r>
          </w:p>
        </w:tc>
        <w:tc>
          <w:tcPr>
            <w:tcW w:w="2410" w:type="dxa"/>
            <w:tcBorders>
              <w:top w:val="nil"/>
              <w:left w:val="nil"/>
              <w:bottom w:val="single" w:sz="4" w:space="0" w:color="auto"/>
              <w:right w:val="single" w:sz="4" w:space="0" w:color="auto"/>
            </w:tcBorders>
            <w:shd w:val="clear" w:color="000000" w:fill="FFFFFF"/>
            <w:noWrap/>
            <w:vAlign w:val="bottom"/>
            <w:hideMark/>
          </w:tcPr>
          <w:p w:rsidR="00B2466C" w:rsidRPr="007C5CF3" w:rsidRDefault="00B2466C" w:rsidP="007C5CF3">
            <w:pPr>
              <w:pStyle w:val="Tabletext"/>
              <w:jc w:val="center"/>
              <w:rPr>
                <w:lang w:val="es-ES" w:eastAsia="zh-CN"/>
              </w:rPr>
            </w:pPr>
            <w:r w:rsidRPr="007C5CF3">
              <w:rPr>
                <w:lang w:val="es-ES" w:eastAsia="zh-CN"/>
              </w:rPr>
              <w:t>15</w:t>
            </w:r>
          </w:p>
        </w:tc>
        <w:tc>
          <w:tcPr>
            <w:tcW w:w="1578" w:type="dxa"/>
            <w:tcBorders>
              <w:top w:val="nil"/>
              <w:left w:val="nil"/>
              <w:bottom w:val="single" w:sz="4" w:space="0" w:color="auto"/>
              <w:right w:val="single" w:sz="4" w:space="0" w:color="auto"/>
            </w:tcBorders>
            <w:shd w:val="clear" w:color="000000" w:fill="FFFFFF"/>
            <w:noWrap/>
            <w:vAlign w:val="bottom"/>
            <w:hideMark/>
          </w:tcPr>
          <w:p w:rsidR="00B2466C" w:rsidRPr="007C5CF3" w:rsidRDefault="00B2466C" w:rsidP="007C5CF3">
            <w:pPr>
              <w:pStyle w:val="Tabletext"/>
              <w:jc w:val="center"/>
              <w:rPr>
                <w:lang w:val="es-ES" w:eastAsia="zh-CN"/>
              </w:rPr>
            </w:pPr>
            <w:r w:rsidRPr="007C5CF3">
              <w:rPr>
                <w:lang w:val="es-ES" w:eastAsia="zh-CN"/>
              </w:rPr>
              <w:t>22</w:t>
            </w:r>
          </w:p>
        </w:tc>
        <w:tc>
          <w:tcPr>
            <w:tcW w:w="1240" w:type="dxa"/>
            <w:tcBorders>
              <w:top w:val="nil"/>
              <w:left w:val="nil"/>
              <w:bottom w:val="single" w:sz="4" w:space="0" w:color="auto"/>
              <w:right w:val="single" w:sz="4" w:space="0" w:color="auto"/>
            </w:tcBorders>
            <w:shd w:val="clear" w:color="000000" w:fill="FFFFFF"/>
            <w:noWrap/>
            <w:vAlign w:val="bottom"/>
            <w:hideMark/>
          </w:tcPr>
          <w:p w:rsidR="00B2466C" w:rsidRPr="007C5CF3" w:rsidRDefault="00B2466C" w:rsidP="007C5CF3">
            <w:pPr>
              <w:pStyle w:val="Tabletext"/>
              <w:jc w:val="center"/>
              <w:rPr>
                <w:lang w:val="es-ES" w:eastAsia="zh-CN"/>
              </w:rPr>
            </w:pPr>
            <w:r w:rsidRPr="007C5CF3">
              <w:rPr>
                <w:lang w:val="es-ES" w:eastAsia="zh-CN"/>
              </w:rPr>
              <w:t>7</w:t>
            </w:r>
          </w:p>
        </w:tc>
        <w:tc>
          <w:tcPr>
            <w:tcW w:w="1240" w:type="dxa"/>
            <w:tcBorders>
              <w:top w:val="nil"/>
              <w:left w:val="nil"/>
              <w:bottom w:val="single" w:sz="4" w:space="0" w:color="auto"/>
              <w:right w:val="single" w:sz="4" w:space="0" w:color="auto"/>
            </w:tcBorders>
            <w:shd w:val="clear" w:color="auto" w:fill="auto"/>
            <w:noWrap/>
            <w:vAlign w:val="bottom"/>
            <w:hideMark/>
          </w:tcPr>
          <w:p w:rsidR="00B2466C" w:rsidRPr="007C5CF3" w:rsidRDefault="00B2466C" w:rsidP="007C5CF3">
            <w:pPr>
              <w:pStyle w:val="Tabletext"/>
              <w:jc w:val="center"/>
              <w:rPr>
                <w:lang w:val="es-ES" w:eastAsia="zh-CN"/>
              </w:rPr>
            </w:pPr>
            <w:r w:rsidRPr="007C5CF3">
              <w:rPr>
                <w:lang w:val="es-ES" w:eastAsia="zh-CN"/>
              </w:rPr>
              <w:t>46%</w:t>
            </w:r>
          </w:p>
        </w:tc>
      </w:tr>
      <w:tr w:rsidR="00B2466C" w:rsidRPr="009713DC" w:rsidTr="00D77A24">
        <w:trPr>
          <w:trHeight w:val="402"/>
          <w:jc w:val="center"/>
        </w:trPr>
        <w:tc>
          <w:tcPr>
            <w:tcW w:w="2972" w:type="dxa"/>
            <w:tcBorders>
              <w:top w:val="nil"/>
              <w:left w:val="single" w:sz="4" w:space="0" w:color="auto"/>
              <w:bottom w:val="single" w:sz="4" w:space="0" w:color="auto"/>
              <w:right w:val="single" w:sz="4" w:space="0" w:color="auto"/>
            </w:tcBorders>
            <w:shd w:val="clear" w:color="000000" w:fill="FFFFFF"/>
            <w:vAlign w:val="bottom"/>
            <w:hideMark/>
          </w:tcPr>
          <w:p w:rsidR="00B2466C" w:rsidRPr="009713DC" w:rsidRDefault="00B2466C" w:rsidP="007C5CF3">
            <w:pPr>
              <w:pStyle w:val="Tabletext"/>
              <w:rPr>
                <w:rFonts w:cs="Arial"/>
                <w:szCs w:val="22"/>
                <w:lang w:val="es-ES" w:eastAsia="zh-CN"/>
              </w:rPr>
            </w:pPr>
            <w:r w:rsidRPr="009713DC">
              <w:rPr>
                <w:rFonts w:cs="Arial"/>
                <w:szCs w:val="22"/>
                <w:lang w:val="es-ES" w:eastAsia="zh-CN"/>
              </w:rPr>
              <w:t xml:space="preserve">Asociados del UIT-T </w:t>
            </w:r>
          </w:p>
        </w:tc>
        <w:tc>
          <w:tcPr>
            <w:tcW w:w="2410" w:type="dxa"/>
            <w:tcBorders>
              <w:top w:val="nil"/>
              <w:left w:val="nil"/>
              <w:bottom w:val="single" w:sz="4" w:space="0" w:color="auto"/>
              <w:right w:val="single" w:sz="4" w:space="0" w:color="auto"/>
            </w:tcBorders>
            <w:shd w:val="clear" w:color="000000" w:fill="FFFFFF"/>
            <w:noWrap/>
            <w:vAlign w:val="bottom"/>
            <w:hideMark/>
          </w:tcPr>
          <w:p w:rsidR="00B2466C" w:rsidRPr="007C5CF3" w:rsidRDefault="00B2466C" w:rsidP="007C5CF3">
            <w:pPr>
              <w:pStyle w:val="Tabletext"/>
              <w:jc w:val="center"/>
              <w:rPr>
                <w:lang w:val="es-ES" w:eastAsia="zh-CN"/>
              </w:rPr>
            </w:pPr>
            <w:r w:rsidRPr="007C5CF3">
              <w:rPr>
                <w:lang w:val="es-ES" w:eastAsia="zh-CN"/>
              </w:rPr>
              <w:t>129</w:t>
            </w:r>
          </w:p>
        </w:tc>
        <w:tc>
          <w:tcPr>
            <w:tcW w:w="1578" w:type="dxa"/>
            <w:tcBorders>
              <w:top w:val="nil"/>
              <w:left w:val="nil"/>
              <w:bottom w:val="single" w:sz="4" w:space="0" w:color="auto"/>
              <w:right w:val="single" w:sz="4" w:space="0" w:color="auto"/>
            </w:tcBorders>
            <w:shd w:val="clear" w:color="000000" w:fill="FFFFFF"/>
            <w:noWrap/>
            <w:vAlign w:val="bottom"/>
            <w:hideMark/>
          </w:tcPr>
          <w:p w:rsidR="00B2466C" w:rsidRPr="007C5CF3" w:rsidRDefault="00B2466C" w:rsidP="007C5CF3">
            <w:pPr>
              <w:pStyle w:val="Tabletext"/>
              <w:jc w:val="center"/>
              <w:rPr>
                <w:lang w:val="es-ES" w:eastAsia="zh-CN"/>
              </w:rPr>
            </w:pPr>
            <w:r w:rsidRPr="007C5CF3">
              <w:rPr>
                <w:lang w:val="es-ES" w:eastAsia="zh-CN"/>
              </w:rPr>
              <w:t>125</w:t>
            </w:r>
          </w:p>
        </w:tc>
        <w:tc>
          <w:tcPr>
            <w:tcW w:w="1240" w:type="dxa"/>
            <w:tcBorders>
              <w:top w:val="nil"/>
              <w:left w:val="nil"/>
              <w:bottom w:val="single" w:sz="4" w:space="0" w:color="auto"/>
              <w:right w:val="single" w:sz="4" w:space="0" w:color="auto"/>
            </w:tcBorders>
            <w:shd w:val="clear" w:color="000000" w:fill="FFFFFF"/>
            <w:noWrap/>
            <w:vAlign w:val="bottom"/>
            <w:hideMark/>
          </w:tcPr>
          <w:p w:rsidR="00B2466C" w:rsidRPr="007C5CF3" w:rsidRDefault="00B2466C" w:rsidP="007C5CF3">
            <w:pPr>
              <w:pStyle w:val="Tabletext"/>
              <w:jc w:val="center"/>
              <w:rPr>
                <w:lang w:val="es-ES" w:eastAsia="zh-CN"/>
              </w:rPr>
            </w:pPr>
            <w:r w:rsidRPr="007C5CF3">
              <w:rPr>
                <w:lang w:val="es-ES" w:eastAsia="zh-CN"/>
              </w:rPr>
              <w:t>-4</w:t>
            </w:r>
          </w:p>
        </w:tc>
        <w:tc>
          <w:tcPr>
            <w:tcW w:w="1240" w:type="dxa"/>
            <w:tcBorders>
              <w:top w:val="nil"/>
              <w:left w:val="nil"/>
              <w:bottom w:val="single" w:sz="4" w:space="0" w:color="auto"/>
              <w:right w:val="single" w:sz="4" w:space="0" w:color="auto"/>
            </w:tcBorders>
            <w:shd w:val="clear" w:color="auto" w:fill="auto"/>
            <w:noWrap/>
            <w:vAlign w:val="bottom"/>
            <w:hideMark/>
          </w:tcPr>
          <w:p w:rsidR="00B2466C" w:rsidRPr="007C5CF3" w:rsidRDefault="00B2466C" w:rsidP="007C5CF3">
            <w:pPr>
              <w:pStyle w:val="Tabletext"/>
              <w:jc w:val="center"/>
              <w:rPr>
                <w:lang w:val="es-ES" w:eastAsia="zh-CN"/>
              </w:rPr>
            </w:pPr>
            <w:r w:rsidRPr="007C5CF3">
              <w:rPr>
                <w:lang w:val="es-ES" w:eastAsia="zh-CN"/>
              </w:rPr>
              <w:t>-3%</w:t>
            </w:r>
          </w:p>
        </w:tc>
      </w:tr>
      <w:tr w:rsidR="00B2466C" w:rsidRPr="009713DC" w:rsidTr="00D77A24">
        <w:trPr>
          <w:trHeight w:val="402"/>
          <w:jc w:val="center"/>
        </w:trPr>
        <w:tc>
          <w:tcPr>
            <w:tcW w:w="2972" w:type="dxa"/>
            <w:tcBorders>
              <w:top w:val="nil"/>
              <w:left w:val="single" w:sz="4" w:space="0" w:color="auto"/>
              <w:bottom w:val="single" w:sz="4" w:space="0" w:color="auto"/>
              <w:right w:val="single" w:sz="4" w:space="0" w:color="auto"/>
            </w:tcBorders>
            <w:shd w:val="clear" w:color="000000" w:fill="FFFFFF"/>
            <w:vAlign w:val="bottom"/>
            <w:hideMark/>
          </w:tcPr>
          <w:p w:rsidR="00B2466C" w:rsidRPr="009713DC" w:rsidRDefault="00B2466C" w:rsidP="007C5CF3">
            <w:pPr>
              <w:pStyle w:val="Tabletext"/>
              <w:rPr>
                <w:rFonts w:cs="Arial"/>
                <w:szCs w:val="22"/>
                <w:lang w:val="es-ES" w:eastAsia="zh-CN"/>
              </w:rPr>
            </w:pPr>
            <w:r w:rsidRPr="009713DC">
              <w:rPr>
                <w:rFonts w:cs="Arial"/>
                <w:szCs w:val="22"/>
                <w:lang w:val="es-ES" w:eastAsia="zh-CN"/>
              </w:rPr>
              <w:t xml:space="preserve">Asociados del UIT -D </w:t>
            </w:r>
          </w:p>
        </w:tc>
        <w:tc>
          <w:tcPr>
            <w:tcW w:w="2410" w:type="dxa"/>
            <w:tcBorders>
              <w:top w:val="nil"/>
              <w:left w:val="nil"/>
              <w:bottom w:val="single" w:sz="4" w:space="0" w:color="auto"/>
              <w:right w:val="single" w:sz="4" w:space="0" w:color="auto"/>
            </w:tcBorders>
            <w:shd w:val="clear" w:color="000000" w:fill="FFFFFF"/>
            <w:noWrap/>
            <w:vAlign w:val="bottom"/>
            <w:hideMark/>
          </w:tcPr>
          <w:p w:rsidR="00B2466C" w:rsidRPr="007C5CF3" w:rsidRDefault="00B2466C" w:rsidP="007C5CF3">
            <w:pPr>
              <w:pStyle w:val="Tabletext"/>
              <w:jc w:val="center"/>
              <w:rPr>
                <w:lang w:val="es-ES" w:eastAsia="zh-CN"/>
              </w:rPr>
            </w:pPr>
            <w:r w:rsidRPr="007C5CF3">
              <w:rPr>
                <w:lang w:val="es-ES" w:eastAsia="zh-CN"/>
              </w:rPr>
              <w:t>8</w:t>
            </w:r>
          </w:p>
        </w:tc>
        <w:tc>
          <w:tcPr>
            <w:tcW w:w="1578" w:type="dxa"/>
            <w:tcBorders>
              <w:top w:val="nil"/>
              <w:left w:val="nil"/>
              <w:bottom w:val="single" w:sz="4" w:space="0" w:color="auto"/>
              <w:right w:val="single" w:sz="4" w:space="0" w:color="auto"/>
            </w:tcBorders>
            <w:shd w:val="clear" w:color="000000" w:fill="FFFFFF"/>
            <w:noWrap/>
            <w:vAlign w:val="bottom"/>
            <w:hideMark/>
          </w:tcPr>
          <w:p w:rsidR="00B2466C" w:rsidRPr="007C5CF3" w:rsidRDefault="00B2466C" w:rsidP="007C5CF3">
            <w:pPr>
              <w:pStyle w:val="Tabletext"/>
              <w:jc w:val="center"/>
              <w:rPr>
                <w:lang w:val="es-ES" w:eastAsia="zh-CN"/>
              </w:rPr>
            </w:pPr>
            <w:r w:rsidRPr="007C5CF3">
              <w:rPr>
                <w:lang w:val="es-ES" w:eastAsia="zh-CN"/>
              </w:rPr>
              <w:t>9</w:t>
            </w:r>
          </w:p>
        </w:tc>
        <w:tc>
          <w:tcPr>
            <w:tcW w:w="1240" w:type="dxa"/>
            <w:tcBorders>
              <w:top w:val="nil"/>
              <w:left w:val="nil"/>
              <w:bottom w:val="single" w:sz="4" w:space="0" w:color="auto"/>
              <w:right w:val="single" w:sz="4" w:space="0" w:color="auto"/>
            </w:tcBorders>
            <w:shd w:val="clear" w:color="000000" w:fill="FFFFFF"/>
            <w:noWrap/>
            <w:vAlign w:val="bottom"/>
            <w:hideMark/>
          </w:tcPr>
          <w:p w:rsidR="00B2466C" w:rsidRPr="007C5CF3" w:rsidRDefault="00B2466C" w:rsidP="007C5CF3">
            <w:pPr>
              <w:pStyle w:val="Tabletext"/>
              <w:jc w:val="center"/>
              <w:rPr>
                <w:lang w:val="es-ES" w:eastAsia="zh-CN"/>
              </w:rPr>
            </w:pPr>
            <w:r w:rsidRPr="007C5CF3">
              <w:rPr>
                <w:lang w:val="es-ES" w:eastAsia="zh-CN"/>
              </w:rPr>
              <w:t>1</w:t>
            </w:r>
          </w:p>
        </w:tc>
        <w:tc>
          <w:tcPr>
            <w:tcW w:w="1240" w:type="dxa"/>
            <w:tcBorders>
              <w:top w:val="nil"/>
              <w:left w:val="nil"/>
              <w:bottom w:val="single" w:sz="4" w:space="0" w:color="auto"/>
              <w:right w:val="single" w:sz="4" w:space="0" w:color="auto"/>
            </w:tcBorders>
            <w:shd w:val="clear" w:color="auto" w:fill="auto"/>
            <w:noWrap/>
            <w:vAlign w:val="bottom"/>
            <w:hideMark/>
          </w:tcPr>
          <w:p w:rsidR="00B2466C" w:rsidRPr="007C5CF3" w:rsidRDefault="00B2466C" w:rsidP="007C5CF3">
            <w:pPr>
              <w:pStyle w:val="Tabletext"/>
              <w:jc w:val="center"/>
              <w:rPr>
                <w:lang w:val="es-ES" w:eastAsia="zh-CN"/>
              </w:rPr>
            </w:pPr>
            <w:r w:rsidRPr="007C5CF3">
              <w:rPr>
                <w:lang w:val="es-ES" w:eastAsia="zh-CN"/>
              </w:rPr>
              <w:t>12%</w:t>
            </w:r>
          </w:p>
        </w:tc>
      </w:tr>
      <w:tr w:rsidR="00B2466C" w:rsidRPr="009713DC" w:rsidTr="00D77A24">
        <w:trPr>
          <w:trHeight w:val="402"/>
          <w:jc w:val="center"/>
        </w:trPr>
        <w:tc>
          <w:tcPr>
            <w:tcW w:w="2972" w:type="dxa"/>
            <w:tcBorders>
              <w:top w:val="nil"/>
              <w:left w:val="single" w:sz="4" w:space="0" w:color="auto"/>
              <w:bottom w:val="single" w:sz="4" w:space="0" w:color="auto"/>
              <w:right w:val="single" w:sz="4" w:space="0" w:color="auto"/>
            </w:tcBorders>
            <w:shd w:val="clear" w:color="000000" w:fill="FFFFFF"/>
            <w:vAlign w:val="bottom"/>
            <w:hideMark/>
          </w:tcPr>
          <w:p w:rsidR="00B2466C" w:rsidRPr="009713DC" w:rsidRDefault="00B2466C" w:rsidP="007C5CF3">
            <w:pPr>
              <w:pStyle w:val="Tabletext"/>
              <w:rPr>
                <w:rFonts w:cs="Arial"/>
                <w:b/>
                <w:bCs/>
                <w:szCs w:val="22"/>
                <w:lang w:val="es-ES" w:eastAsia="zh-CN"/>
              </w:rPr>
            </w:pPr>
            <w:r w:rsidRPr="009713DC">
              <w:rPr>
                <w:rFonts w:cs="Arial"/>
                <w:b/>
                <w:bCs/>
                <w:szCs w:val="22"/>
                <w:lang w:val="es-ES" w:eastAsia="zh-CN"/>
              </w:rPr>
              <w:t xml:space="preserve">Total </w:t>
            </w:r>
          </w:p>
        </w:tc>
        <w:tc>
          <w:tcPr>
            <w:tcW w:w="2410" w:type="dxa"/>
            <w:tcBorders>
              <w:top w:val="nil"/>
              <w:left w:val="nil"/>
              <w:bottom w:val="single" w:sz="4" w:space="0" w:color="auto"/>
              <w:right w:val="single" w:sz="4" w:space="0" w:color="auto"/>
            </w:tcBorders>
            <w:shd w:val="clear" w:color="000000" w:fill="FFFFFF"/>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152</w:t>
            </w:r>
          </w:p>
        </w:tc>
        <w:tc>
          <w:tcPr>
            <w:tcW w:w="1578" w:type="dxa"/>
            <w:tcBorders>
              <w:top w:val="nil"/>
              <w:left w:val="nil"/>
              <w:bottom w:val="single" w:sz="4" w:space="0" w:color="auto"/>
              <w:right w:val="single" w:sz="4" w:space="0" w:color="auto"/>
            </w:tcBorders>
            <w:shd w:val="clear" w:color="000000" w:fill="FFFFFF"/>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156</w:t>
            </w:r>
          </w:p>
        </w:tc>
        <w:tc>
          <w:tcPr>
            <w:tcW w:w="1240" w:type="dxa"/>
            <w:tcBorders>
              <w:top w:val="nil"/>
              <w:left w:val="nil"/>
              <w:bottom w:val="single" w:sz="4" w:space="0" w:color="auto"/>
              <w:right w:val="single" w:sz="4" w:space="0" w:color="auto"/>
            </w:tcBorders>
            <w:shd w:val="clear" w:color="000000" w:fill="FFFFFF"/>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4</w:t>
            </w:r>
          </w:p>
        </w:tc>
        <w:tc>
          <w:tcPr>
            <w:tcW w:w="1240" w:type="dxa"/>
            <w:tcBorders>
              <w:top w:val="nil"/>
              <w:left w:val="nil"/>
              <w:bottom w:val="single" w:sz="4" w:space="0" w:color="auto"/>
              <w:right w:val="single" w:sz="4" w:space="0" w:color="auto"/>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3%</w:t>
            </w:r>
          </w:p>
        </w:tc>
      </w:tr>
      <w:tr w:rsidR="00B2466C" w:rsidRPr="009713DC" w:rsidTr="00D77A24">
        <w:trPr>
          <w:trHeight w:val="435"/>
          <w:jc w:val="center"/>
        </w:trPr>
        <w:tc>
          <w:tcPr>
            <w:tcW w:w="2972" w:type="dxa"/>
            <w:tcBorders>
              <w:top w:val="nil"/>
              <w:left w:val="nil"/>
              <w:bottom w:val="nil"/>
              <w:right w:val="nil"/>
            </w:tcBorders>
            <w:shd w:val="clear" w:color="000000" w:fill="FFFFFF"/>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sz w:val="22"/>
                <w:szCs w:val="22"/>
                <w:lang w:val="es-ES" w:eastAsia="zh-CN"/>
              </w:rPr>
            </w:pPr>
            <w:r w:rsidRPr="009713DC">
              <w:rPr>
                <w:rFonts w:cs="Arial"/>
                <w:sz w:val="22"/>
                <w:szCs w:val="22"/>
                <w:lang w:val="es-ES" w:eastAsia="zh-CN"/>
              </w:rPr>
              <w:t> </w:t>
            </w:r>
          </w:p>
        </w:tc>
        <w:tc>
          <w:tcPr>
            <w:tcW w:w="2410" w:type="dxa"/>
            <w:tcBorders>
              <w:top w:val="nil"/>
              <w:left w:val="nil"/>
              <w:bottom w:val="nil"/>
              <w:right w:val="nil"/>
            </w:tcBorders>
            <w:shd w:val="clear" w:color="000000" w:fill="FFFFFF"/>
            <w:noWrap/>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 </w:t>
            </w:r>
          </w:p>
        </w:tc>
        <w:tc>
          <w:tcPr>
            <w:tcW w:w="1578" w:type="dxa"/>
            <w:tcBorders>
              <w:top w:val="nil"/>
              <w:left w:val="nil"/>
              <w:bottom w:val="nil"/>
              <w:right w:val="nil"/>
            </w:tcBorders>
            <w:shd w:val="clear" w:color="000000" w:fill="FFFFFF"/>
            <w:noWrap/>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s-ES" w:eastAsia="zh-CN"/>
              </w:rPr>
            </w:pPr>
            <w:r w:rsidRPr="009713DC">
              <w:rPr>
                <w:rFonts w:cs="Arial"/>
                <w:b/>
                <w:bCs/>
                <w:sz w:val="22"/>
                <w:szCs w:val="22"/>
                <w:lang w:val="es-ES" w:eastAsia="zh-CN"/>
              </w:rPr>
              <w:t> </w:t>
            </w:r>
          </w:p>
        </w:tc>
        <w:tc>
          <w:tcPr>
            <w:tcW w:w="1240" w:type="dxa"/>
            <w:tcBorders>
              <w:top w:val="nil"/>
              <w:left w:val="nil"/>
              <w:bottom w:val="nil"/>
              <w:right w:val="nil"/>
            </w:tcBorders>
            <w:shd w:val="clear" w:color="000000" w:fill="FFFFFF"/>
            <w:noWrap/>
            <w:vAlign w:val="center"/>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2"/>
                <w:szCs w:val="22"/>
                <w:lang w:val="es-ES" w:eastAsia="zh-CN"/>
              </w:rPr>
            </w:pPr>
            <w:r w:rsidRPr="009713DC">
              <w:rPr>
                <w:rFonts w:cs="Arial"/>
                <w:b/>
                <w:bCs/>
                <w:sz w:val="22"/>
                <w:szCs w:val="22"/>
                <w:lang w:val="es-ES" w:eastAsia="zh-CN"/>
              </w:rPr>
              <w:t> </w:t>
            </w:r>
          </w:p>
        </w:tc>
        <w:tc>
          <w:tcPr>
            <w:tcW w:w="1240" w:type="dxa"/>
            <w:tcBorders>
              <w:top w:val="nil"/>
              <w:left w:val="nil"/>
              <w:bottom w:val="nil"/>
              <w:right w:val="nil"/>
            </w:tcBorders>
            <w:shd w:val="clear" w:color="auto" w:fill="auto"/>
            <w:noWrap/>
            <w:vAlign w:val="bottom"/>
            <w:hideMark/>
          </w:tcPr>
          <w:p w:rsidR="00B2466C" w:rsidRPr="009713DC" w:rsidRDefault="00B2466C" w:rsidP="00AE105F">
            <w:pPr>
              <w:tabs>
                <w:tab w:val="clear" w:pos="567"/>
                <w:tab w:val="clear" w:pos="1134"/>
                <w:tab w:val="clear" w:pos="1701"/>
                <w:tab w:val="clear" w:pos="2268"/>
                <w:tab w:val="clear" w:pos="2835"/>
              </w:tabs>
              <w:overflowPunct/>
              <w:autoSpaceDE/>
              <w:autoSpaceDN/>
              <w:adjustRightInd/>
              <w:spacing w:before="0"/>
              <w:textAlignment w:val="auto"/>
              <w:rPr>
                <w:rFonts w:cs="Arial"/>
                <w:sz w:val="22"/>
                <w:szCs w:val="22"/>
                <w:lang w:val="es-ES" w:eastAsia="zh-CN"/>
              </w:rPr>
            </w:pPr>
          </w:p>
        </w:tc>
      </w:tr>
      <w:tr w:rsidR="00B2466C" w:rsidRPr="009713DC" w:rsidTr="00D77A24">
        <w:trPr>
          <w:trHeight w:val="630"/>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66C" w:rsidRPr="009713DC" w:rsidRDefault="00B2466C" w:rsidP="009713DC">
            <w:pPr>
              <w:pStyle w:val="Tabletitle"/>
              <w:rPr>
                <w:lang w:val="es-ES" w:eastAsia="zh-CN"/>
              </w:rPr>
            </w:pPr>
            <w:r w:rsidRPr="009713DC">
              <w:rPr>
                <w:lang w:val="es-ES" w:eastAsia="zh-CN"/>
              </w:rPr>
              <w:t>Número de Instituciones Académicas (Resolución 169 (Rev. Busán, 2014))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2466C" w:rsidRPr="009713DC" w:rsidRDefault="00B2466C" w:rsidP="009713DC">
            <w:pPr>
              <w:pStyle w:val="Tabletitle"/>
              <w:rPr>
                <w:lang w:val="es-ES" w:eastAsia="zh-CN"/>
              </w:rPr>
            </w:pPr>
            <w:r w:rsidRPr="009713DC">
              <w:rPr>
                <w:lang w:val="es-ES" w:eastAsia="zh-CN"/>
              </w:rPr>
              <w:t>Número en la PP-14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2466C" w:rsidRPr="009713DC" w:rsidRDefault="00B2466C" w:rsidP="009713DC">
            <w:pPr>
              <w:pStyle w:val="Tabletitle"/>
              <w:rPr>
                <w:lang w:val="es-ES" w:eastAsia="zh-CN"/>
              </w:rPr>
            </w:pPr>
            <w:r w:rsidRPr="009713DC">
              <w:rPr>
                <w:lang w:val="es-ES" w:eastAsia="zh-CN"/>
              </w:rPr>
              <w:t>Número al 31.01.2017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2466C" w:rsidRPr="009713DC" w:rsidRDefault="00B2466C" w:rsidP="009713DC">
            <w:pPr>
              <w:pStyle w:val="Tabletitle"/>
              <w:rPr>
                <w:lang w:val="es-ES" w:eastAsia="zh-CN"/>
              </w:rPr>
            </w:pPr>
            <w:r w:rsidRPr="009713DC">
              <w:rPr>
                <w:lang w:val="es-ES" w:eastAsia="zh-CN"/>
              </w:rPr>
              <w:t>Diferencia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2466C" w:rsidRPr="009713DC" w:rsidRDefault="00B2466C" w:rsidP="009713DC">
            <w:pPr>
              <w:pStyle w:val="Tabletitle"/>
              <w:rPr>
                <w:lang w:val="es-ES" w:eastAsia="zh-CN"/>
              </w:rPr>
            </w:pPr>
            <w:r w:rsidRPr="009713DC">
              <w:rPr>
                <w:lang w:val="es-ES" w:eastAsia="zh-CN"/>
              </w:rPr>
              <w:t>Diferencia en %</w:t>
            </w:r>
          </w:p>
        </w:tc>
      </w:tr>
      <w:tr w:rsidR="00B2466C" w:rsidRPr="009713DC" w:rsidTr="00D77A24">
        <w:trPr>
          <w:trHeight w:val="390"/>
          <w:jc w:val="center"/>
        </w:trPr>
        <w:tc>
          <w:tcPr>
            <w:tcW w:w="2972" w:type="dxa"/>
            <w:tcBorders>
              <w:top w:val="nil"/>
              <w:left w:val="single" w:sz="4" w:space="0" w:color="auto"/>
              <w:bottom w:val="single" w:sz="4" w:space="0" w:color="auto"/>
              <w:right w:val="single" w:sz="4" w:space="0" w:color="auto"/>
            </w:tcBorders>
            <w:shd w:val="clear" w:color="000000" w:fill="FFFFFF"/>
            <w:vAlign w:val="bottom"/>
            <w:hideMark/>
          </w:tcPr>
          <w:p w:rsidR="00B2466C" w:rsidRPr="009713DC" w:rsidRDefault="00B2466C" w:rsidP="007C5CF3">
            <w:pPr>
              <w:pStyle w:val="Tabletext"/>
              <w:rPr>
                <w:rFonts w:cs="Arial"/>
                <w:szCs w:val="22"/>
                <w:lang w:val="es-ES" w:eastAsia="zh-CN"/>
              </w:rPr>
            </w:pPr>
            <w:r w:rsidRPr="009713DC">
              <w:rPr>
                <w:rFonts w:cs="Arial"/>
                <w:szCs w:val="22"/>
                <w:lang w:val="es-ES" w:eastAsia="zh-CN"/>
              </w:rPr>
              <w:t>Instituciones Académicas en la Unión</w:t>
            </w:r>
          </w:p>
        </w:tc>
        <w:tc>
          <w:tcPr>
            <w:tcW w:w="2410" w:type="dxa"/>
            <w:tcBorders>
              <w:top w:val="nil"/>
              <w:left w:val="nil"/>
              <w:bottom w:val="single" w:sz="4" w:space="0" w:color="auto"/>
              <w:right w:val="single" w:sz="4" w:space="0" w:color="auto"/>
            </w:tcBorders>
            <w:shd w:val="clear" w:color="000000" w:fill="FFFFFF"/>
            <w:noWrap/>
            <w:vAlign w:val="bottom"/>
            <w:hideMark/>
          </w:tcPr>
          <w:p w:rsidR="00B2466C" w:rsidRPr="007C5CF3" w:rsidRDefault="00B2466C" w:rsidP="007C5CF3">
            <w:pPr>
              <w:pStyle w:val="Tabletext"/>
              <w:jc w:val="center"/>
              <w:rPr>
                <w:rFonts w:cs="Arial"/>
                <w:b/>
                <w:bCs/>
                <w:szCs w:val="22"/>
                <w:lang w:val="es-ES" w:eastAsia="zh-CN"/>
              </w:rPr>
            </w:pPr>
            <w:r w:rsidRPr="007C5CF3">
              <w:rPr>
                <w:rFonts w:cs="Arial"/>
                <w:b/>
                <w:bCs/>
                <w:szCs w:val="22"/>
                <w:lang w:val="es-ES" w:eastAsia="zh-CN"/>
              </w:rPr>
              <w:t>83</w:t>
            </w:r>
          </w:p>
        </w:tc>
        <w:tc>
          <w:tcPr>
            <w:tcW w:w="1578" w:type="dxa"/>
            <w:tcBorders>
              <w:top w:val="nil"/>
              <w:left w:val="nil"/>
              <w:bottom w:val="single" w:sz="4" w:space="0" w:color="auto"/>
              <w:right w:val="single" w:sz="4" w:space="0" w:color="auto"/>
            </w:tcBorders>
            <w:shd w:val="clear" w:color="000000" w:fill="FFFFFF"/>
            <w:noWrap/>
            <w:vAlign w:val="bottom"/>
            <w:hideMark/>
          </w:tcPr>
          <w:p w:rsidR="00B2466C" w:rsidRPr="007C5CF3" w:rsidRDefault="00B2466C" w:rsidP="007C5CF3">
            <w:pPr>
              <w:pStyle w:val="Tabletext"/>
              <w:jc w:val="center"/>
              <w:rPr>
                <w:rFonts w:cs="Arial"/>
                <w:b/>
                <w:bCs/>
                <w:szCs w:val="22"/>
                <w:lang w:val="es-ES" w:eastAsia="zh-CN"/>
              </w:rPr>
            </w:pPr>
            <w:r w:rsidRPr="007C5CF3">
              <w:rPr>
                <w:rFonts w:cs="Arial"/>
                <w:b/>
                <w:bCs/>
                <w:szCs w:val="22"/>
                <w:lang w:val="es-ES" w:eastAsia="zh-CN"/>
              </w:rPr>
              <w:t>126</w:t>
            </w:r>
          </w:p>
        </w:tc>
        <w:tc>
          <w:tcPr>
            <w:tcW w:w="1240" w:type="dxa"/>
            <w:tcBorders>
              <w:top w:val="nil"/>
              <w:left w:val="nil"/>
              <w:bottom w:val="single" w:sz="4" w:space="0" w:color="auto"/>
              <w:right w:val="single" w:sz="4" w:space="0" w:color="auto"/>
            </w:tcBorders>
            <w:shd w:val="clear" w:color="000000" w:fill="FFFFFF"/>
            <w:noWrap/>
            <w:vAlign w:val="bottom"/>
            <w:hideMark/>
          </w:tcPr>
          <w:p w:rsidR="00B2466C" w:rsidRPr="007C5CF3" w:rsidRDefault="00B2466C" w:rsidP="007C5CF3">
            <w:pPr>
              <w:pStyle w:val="Tabletext"/>
              <w:jc w:val="center"/>
              <w:rPr>
                <w:rFonts w:cs="Arial"/>
                <w:b/>
                <w:bCs/>
                <w:szCs w:val="22"/>
                <w:lang w:val="es-ES" w:eastAsia="zh-CN"/>
              </w:rPr>
            </w:pPr>
            <w:r w:rsidRPr="007C5CF3">
              <w:rPr>
                <w:rFonts w:cs="Arial"/>
                <w:b/>
                <w:bCs/>
                <w:szCs w:val="22"/>
                <w:lang w:val="es-ES" w:eastAsia="zh-CN"/>
              </w:rPr>
              <w:t>43</w:t>
            </w:r>
          </w:p>
        </w:tc>
        <w:tc>
          <w:tcPr>
            <w:tcW w:w="1240" w:type="dxa"/>
            <w:tcBorders>
              <w:top w:val="nil"/>
              <w:left w:val="nil"/>
              <w:bottom w:val="single" w:sz="4" w:space="0" w:color="auto"/>
              <w:right w:val="single" w:sz="4" w:space="0" w:color="auto"/>
            </w:tcBorders>
            <w:shd w:val="clear" w:color="auto" w:fill="auto"/>
            <w:noWrap/>
            <w:vAlign w:val="bottom"/>
            <w:hideMark/>
          </w:tcPr>
          <w:p w:rsidR="00B2466C" w:rsidRPr="007C5CF3" w:rsidRDefault="00B2466C" w:rsidP="007C5CF3">
            <w:pPr>
              <w:pStyle w:val="Tabletext"/>
              <w:jc w:val="center"/>
              <w:rPr>
                <w:rFonts w:cs="Arial"/>
                <w:b/>
                <w:bCs/>
                <w:szCs w:val="22"/>
                <w:lang w:val="es-ES" w:eastAsia="zh-CN"/>
              </w:rPr>
            </w:pPr>
            <w:r w:rsidRPr="007C5CF3">
              <w:rPr>
                <w:rFonts w:cs="Arial"/>
                <w:b/>
                <w:bCs/>
                <w:szCs w:val="22"/>
                <w:lang w:val="es-ES" w:eastAsia="zh-CN"/>
              </w:rPr>
              <w:t>52%</w:t>
            </w:r>
          </w:p>
        </w:tc>
      </w:tr>
    </w:tbl>
    <w:p w:rsidR="00B2466C" w:rsidRPr="009713DC" w:rsidRDefault="00B2466C" w:rsidP="00AE105F">
      <w:pPr>
        <w:pStyle w:val="Reasons"/>
        <w:rPr>
          <w:lang w:val="es-ES"/>
        </w:rPr>
      </w:pPr>
    </w:p>
    <w:p w:rsidR="00B2466C" w:rsidRPr="009713DC" w:rsidRDefault="00B2466C">
      <w:pPr>
        <w:jc w:val="center"/>
        <w:rPr>
          <w:lang w:val="es-ES"/>
        </w:rPr>
      </w:pPr>
      <w:r w:rsidRPr="009713DC">
        <w:rPr>
          <w:lang w:val="es-ES"/>
        </w:rPr>
        <w:t>______________</w:t>
      </w:r>
    </w:p>
    <w:sectPr w:rsidR="00B2466C" w:rsidRPr="009713DC"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05F" w:rsidRDefault="00AE105F">
      <w:r>
        <w:separator/>
      </w:r>
    </w:p>
  </w:endnote>
  <w:endnote w:type="continuationSeparator" w:id="0">
    <w:p w:rsidR="00AE105F" w:rsidRDefault="00AE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5F" w:rsidRPr="00B7707F" w:rsidRDefault="00AE105F" w:rsidP="00B2466C">
    <w:pPr>
      <w:pStyle w:val="Footer"/>
      <w:rPr>
        <w:color w:val="D9D9D9" w:themeColor="background1" w:themeShade="D9"/>
        <w:lang w:val="fr-CH"/>
      </w:rPr>
    </w:pPr>
    <w:r w:rsidRPr="00B7707F">
      <w:rPr>
        <w:color w:val="D9D9D9" w:themeColor="background1" w:themeShade="D9"/>
      </w:rPr>
      <w:fldChar w:fldCharType="begin"/>
    </w:r>
    <w:r w:rsidRPr="00B7707F">
      <w:rPr>
        <w:color w:val="D9D9D9" w:themeColor="background1" w:themeShade="D9"/>
        <w:lang w:val="fr-CH"/>
      </w:rPr>
      <w:instrText xml:space="preserve"> FILENAME \p  \* MERGEFORMAT </w:instrText>
    </w:r>
    <w:r w:rsidRPr="00B7707F">
      <w:rPr>
        <w:color w:val="D9D9D9" w:themeColor="background1" w:themeShade="D9"/>
      </w:rPr>
      <w:fldChar w:fldCharType="separate"/>
    </w:r>
    <w:r w:rsidRPr="00B7707F">
      <w:rPr>
        <w:color w:val="D9D9D9" w:themeColor="background1" w:themeShade="D9"/>
        <w:lang w:val="fr-CH"/>
      </w:rPr>
      <w:t>P:\ESP\SG\CONSEIL\C17\000\057S.docx</w:t>
    </w:r>
    <w:r w:rsidRPr="00B7707F">
      <w:rPr>
        <w:color w:val="D9D9D9" w:themeColor="background1" w:themeShade="D9"/>
      </w:rPr>
      <w:fldChar w:fldCharType="end"/>
    </w:r>
    <w:r w:rsidRPr="00B7707F">
      <w:rPr>
        <w:color w:val="D9D9D9" w:themeColor="background1" w:themeShade="D9"/>
        <w:lang w:val="fr-CH"/>
      </w:rPr>
      <w:t xml:space="preserve"> (409507)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5F" w:rsidRPr="00B7707F" w:rsidRDefault="00AE105F" w:rsidP="00B2466C">
    <w:pPr>
      <w:pStyle w:val="Footer"/>
      <w:rPr>
        <w:color w:val="D9D9D9" w:themeColor="background1" w:themeShade="D9"/>
        <w:lang w:val="fr-CH"/>
      </w:rPr>
    </w:pPr>
    <w:r w:rsidRPr="00B7707F">
      <w:rPr>
        <w:color w:val="D9D9D9" w:themeColor="background1" w:themeShade="D9"/>
      </w:rPr>
      <w:fldChar w:fldCharType="begin"/>
    </w:r>
    <w:r w:rsidRPr="00B7707F">
      <w:rPr>
        <w:color w:val="D9D9D9" w:themeColor="background1" w:themeShade="D9"/>
        <w:lang w:val="fr-CH"/>
      </w:rPr>
      <w:instrText xml:space="preserve"> FILENAME \p  \* MERGEFORMAT </w:instrText>
    </w:r>
    <w:r w:rsidRPr="00B7707F">
      <w:rPr>
        <w:color w:val="D9D9D9" w:themeColor="background1" w:themeShade="D9"/>
      </w:rPr>
      <w:fldChar w:fldCharType="separate"/>
    </w:r>
    <w:r w:rsidRPr="00B7707F">
      <w:rPr>
        <w:color w:val="D9D9D9" w:themeColor="background1" w:themeShade="D9"/>
        <w:lang w:val="fr-CH"/>
      </w:rPr>
      <w:t>P:\ESP\SG\CONSEIL\C17\000\057S.docx</w:t>
    </w:r>
    <w:r w:rsidRPr="00B7707F">
      <w:rPr>
        <w:color w:val="D9D9D9" w:themeColor="background1" w:themeShade="D9"/>
      </w:rPr>
      <w:fldChar w:fldCharType="end"/>
    </w:r>
    <w:r w:rsidRPr="00B7707F">
      <w:rPr>
        <w:color w:val="D9D9D9" w:themeColor="background1" w:themeShade="D9"/>
        <w:lang w:val="fr-CH"/>
      </w:rPr>
      <w:t xml:space="preserve"> (409507)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05F" w:rsidRDefault="00AE105F">
      <w:r>
        <w:t>____________________</w:t>
      </w:r>
    </w:p>
  </w:footnote>
  <w:footnote w:type="continuationSeparator" w:id="0">
    <w:p w:rsidR="00AE105F" w:rsidRDefault="00AE1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5F" w:rsidRDefault="00AE105F" w:rsidP="007657F0">
    <w:pPr>
      <w:pStyle w:val="Header"/>
    </w:pPr>
    <w:r>
      <w:fldChar w:fldCharType="begin"/>
    </w:r>
    <w:r>
      <w:instrText>PAGE</w:instrText>
    </w:r>
    <w:r>
      <w:fldChar w:fldCharType="separate"/>
    </w:r>
    <w:r w:rsidR="00B7707F">
      <w:rPr>
        <w:noProof/>
      </w:rPr>
      <w:t>2</w:t>
    </w:r>
    <w:r>
      <w:rPr>
        <w:noProof/>
      </w:rPr>
      <w:fldChar w:fldCharType="end"/>
    </w:r>
  </w:p>
  <w:p w:rsidR="00AE105F" w:rsidRDefault="00AE105F" w:rsidP="00B2466C">
    <w:pPr>
      <w:pStyle w:val="Header"/>
    </w:pPr>
    <w:r>
      <w:t>C17/57-S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BD"/>
    <w:rsid w:val="00093EEB"/>
    <w:rsid w:val="000B0D00"/>
    <w:rsid w:val="000B7C15"/>
    <w:rsid w:val="000C3CBD"/>
    <w:rsid w:val="000D1D0F"/>
    <w:rsid w:val="000F5290"/>
    <w:rsid w:val="0010165C"/>
    <w:rsid w:val="00146BFB"/>
    <w:rsid w:val="001F14A2"/>
    <w:rsid w:val="002801AA"/>
    <w:rsid w:val="002C4676"/>
    <w:rsid w:val="002C70B0"/>
    <w:rsid w:val="002F3CC4"/>
    <w:rsid w:val="00324942"/>
    <w:rsid w:val="00513630"/>
    <w:rsid w:val="00560125"/>
    <w:rsid w:val="00585553"/>
    <w:rsid w:val="005B34D9"/>
    <w:rsid w:val="005D0CCF"/>
    <w:rsid w:val="005F410F"/>
    <w:rsid w:val="0060149A"/>
    <w:rsid w:val="00601924"/>
    <w:rsid w:val="00621677"/>
    <w:rsid w:val="006447EA"/>
    <w:rsid w:val="0064731F"/>
    <w:rsid w:val="006710F6"/>
    <w:rsid w:val="006734C4"/>
    <w:rsid w:val="006C1B56"/>
    <w:rsid w:val="006D4761"/>
    <w:rsid w:val="00726872"/>
    <w:rsid w:val="00760F1C"/>
    <w:rsid w:val="007657F0"/>
    <w:rsid w:val="0077252D"/>
    <w:rsid w:val="007C5CF3"/>
    <w:rsid w:val="007E5DD3"/>
    <w:rsid w:val="007F350B"/>
    <w:rsid w:val="00820BE4"/>
    <w:rsid w:val="008451E8"/>
    <w:rsid w:val="00913B9C"/>
    <w:rsid w:val="00955547"/>
    <w:rsid w:val="00956E77"/>
    <w:rsid w:val="009713DC"/>
    <w:rsid w:val="00AA390C"/>
    <w:rsid w:val="00AE105F"/>
    <w:rsid w:val="00B0200A"/>
    <w:rsid w:val="00B2466C"/>
    <w:rsid w:val="00B574DB"/>
    <w:rsid w:val="00B7707F"/>
    <w:rsid w:val="00B826C2"/>
    <w:rsid w:val="00B8298E"/>
    <w:rsid w:val="00BD0723"/>
    <w:rsid w:val="00BD2518"/>
    <w:rsid w:val="00BF1D1C"/>
    <w:rsid w:val="00C20C59"/>
    <w:rsid w:val="00C55B1F"/>
    <w:rsid w:val="00CF1A67"/>
    <w:rsid w:val="00D2750E"/>
    <w:rsid w:val="00D62446"/>
    <w:rsid w:val="00D77A24"/>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5D5DD70-784C-4A77-AAA0-71D03C56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uiPriority w:val="99"/>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HTMLPreformatted">
    <w:name w:val="HTML Preformatted"/>
    <w:basedOn w:val="Normal"/>
    <w:link w:val="HTMLPreformattedChar"/>
    <w:uiPriority w:val="99"/>
    <w:semiHidden/>
    <w:unhideWhenUsed/>
    <w:rsid w:val="00B2466C"/>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US" w:eastAsia="zh-CN"/>
    </w:rPr>
  </w:style>
  <w:style w:type="character" w:customStyle="1" w:styleId="HTMLPreformattedChar">
    <w:name w:val="HTML Preformatted Char"/>
    <w:basedOn w:val="DefaultParagraphFont"/>
    <w:link w:val="HTMLPreformatted"/>
    <w:uiPriority w:val="99"/>
    <w:semiHidden/>
    <w:rsid w:val="00B2466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tu.int/pub/S-CONF-ACTF-201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0</TotalTime>
  <Pages>8</Pages>
  <Words>1170</Words>
  <Characters>6233</Characters>
  <Application>Microsoft Office Word</Application>
  <DocSecurity>4</DocSecurity>
  <Lines>51</Lines>
  <Paragraphs>14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7389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 provisional de la unidad contributiva</dc:title>
  <dc:subject>Consejo 2017</dc:subject>
  <dc:creator>Spanish</dc:creator>
  <cp:keywords>C2017, C17</cp:keywords>
  <dc:description/>
  <cp:lastModifiedBy>Brouard, Ricarda</cp:lastModifiedBy>
  <cp:revision>2</cp:revision>
  <cp:lastPrinted>2017-04-24T12:19:00Z</cp:lastPrinted>
  <dcterms:created xsi:type="dcterms:W3CDTF">2017-04-25T09:28:00Z</dcterms:created>
  <dcterms:modified xsi:type="dcterms:W3CDTF">2017-04-25T09:28:00Z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