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623" w:rsidRPr="00DD63B4" w:rsidRDefault="004C4623">
      <w:pPr>
        <w:tabs>
          <w:tab w:val="clear" w:pos="567"/>
          <w:tab w:val="clear" w:pos="1134"/>
          <w:tab w:val="clear" w:pos="1701"/>
          <w:tab w:val="clear" w:pos="2268"/>
          <w:tab w:val="clear" w:pos="2835"/>
        </w:tabs>
        <w:overflowPunct/>
        <w:autoSpaceDE/>
        <w:autoSpaceDN/>
        <w:adjustRightInd/>
        <w:spacing w:before="0"/>
        <w:textAlignment w:val="auto"/>
      </w:pPr>
    </w:p>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4C4623" w:rsidRPr="00DD63B4">
        <w:trPr>
          <w:cantSplit/>
        </w:trPr>
        <w:tc>
          <w:tcPr>
            <w:tcW w:w="6912" w:type="dxa"/>
          </w:tcPr>
          <w:p w:rsidR="004C4623" w:rsidRPr="00DD63B4" w:rsidRDefault="004C4623" w:rsidP="00507E6E">
            <w:pPr>
              <w:spacing w:before="360"/>
              <w:rPr>
                <w:szCs w:val="24"/>
              </w:rPr>
            </w:pPr>
            <w:r w:rsidRPr="00DD63B4">
              <w:rPr>
                <w:b/>
                <w:bCs/>
                <w:sz w:val="30"/>
                <w:szCs w:val="30"/>
              </w:rPr>
              <w:t>Consejo 2017</w:t>
            </w:r>
            <w:r w:rsidRPr="00DD63B4">
              <w:rPr>
                <w:b/>
                <w:bCs/>
                <w:sz w:val="26"/>
                <w:szCs w:val="26"/>
              </w:rPr>
              <w:br/>
            </w:r>
            <w:r w:rsidRPr="00DD63B4">
              <w:rPr>
                <w:b/>
                <w:bCs/>
                <w:szCs w:val="24"/>
              </w:rPr>
              <w:t>Ginebra, 15-25 de mayo de 2017</w:t>
            </w:r>
          </w:p>
        </w:tc>
        <w:tc>
          <w:tcPr>
            <w:tcW w:w="3261" w:type="dxa"/>
          </w:tcPr>
          <w:p w:rsidR="004C4623" w:rsidRPr="00DD63B4" w:rsidRDefault="004C4623" w:rsidP="00B32192">
            <w:pPr>
              <w:spacing w:before="0"/>
              <w:jc w:val="right"/>
              <w:rPr>
                <w:szCs w:val="24"/>
              </w:rPr>
            </w:pPr>
            <w:r w:rsidRPr="00DD63B4">
              <w:rPr>
                <w:rFonts w:cstheme="minorHAnsi"/>
                <w:b/>
                <w:bCs/>
                <w:noProof/>
                <w:szCs w:val="24"/>
                <w:lang w:val="en-US" w:eastAsia="zh-CN"/>
              </w:rPr>
              <w:drawing>
                <wp:inline distT="0" distB="0" distL="0" distR="0" wp14:anchorId="20716D67" wp14:editId="3A7EBAD8">
                  <wp:extent cx="1771650" cy="695325"/>
                  <wp:effectExtent l="0" t="0" r="0" b="9525"/>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4C4623" w:rsidRPr="00DD63B4">
        <w:trPr>
          <w:cantSplit/>
          <w:trHeight w:val="20"/>
        </w:trPr>
        <w:tc>
          <w:tcPr>
            <w:tcW w:w="10173" w:type="dxa"/>
            <w:gridSpan w:val="2"/>
            <w:tcBorders>
              <w:bottom w:val="single" w:sz="12" w:space="0" w:color="auto"/>
            </w:tcBorders>
          </w:tcPr>
          <w:p w:rsidR="004C4623" w:rsidRPr="00DD63B4" w:rsidRDefault="004C4623">
            <w:pPr>
              <w:spacing w:before="0"/>
              <w:rPr>
                <w:b/>
                <w:bCs/>
                <w:szCs w:val="24"/>
              </w:rPr>
            </w:pPr>
          </w:p>
        </w:tc>
      </w:tr>
      <w:tr w:rsidR="004C4623" w:rsidRPr="00DD63B4">
        <w:trPr>
          <w:cantSplit/>
          <w:trHeight w:val="20"/>
        </w:trPr>
        <w:tc>
          <w:tcPr>
            <w:tcW w:w="6912" w:type="dxa"/>
            <w:tcBorders>
              <w:top w:val="single" w:sz="12" w:space="0" w:color="auto"/>
            </w:tcBorders>
          </w:tcPr>
          <w:p w:rsidR="004C4623" w:rsidRPr="00DD63B4" w:rsidRDefault="004C4623">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4C4623" w:rsidRPr="00DD63B4" w:rsidRDefault="004C4623">
            <w:pPr>
              <w:spacing w:before="0"/>
              <w:rPr>
                <w:b/>
                <w:bCs/>
                <w:szCs w:val="24"/>
              </w:rPr>
            </w:pPr>
          </w:p>
        </w:tc>
      </w:tr>
      <w:tr w:rsidR="004C4623" w:rsidRPr="00DD63B4">
        <w:trPr>
          <w:cantSplit/>
          <w:trHeight w:val="20"/>
        </w:trPr>
        <w:tc>
          <w:tcPr>
            <w:tcW w:w="6912" w:type="dxa"/>
            <w:shd w:val="clear" w:color="auto" w:fill="auto"/>
          </w:tcPr>
          <w:p w:rsidR="004C4623" w:rsidRPr="00DD63B4" w:rsidRDefault="004C4623" w:rsidP="00507E6E">
            <w:pPr>
              <w:tabs>
                <w:tab w:val="left" w:pos="1560"/>
                <w:tab w:val="left" w:pos="3544"/>
                <w:tab w:val="left" w:pos="3969"/>
              </w:tabs>
              <w:spacing w:before="0" w:line="240" w:lineRule="atLeast"/>
              <w:rPr>
                <w:rFonts w:cs="Calibri"/>
                <w:b/>
                <w:szCs w:val="24"/>
              </w:rPr>
            </w:pPr>
            <w:r w:rsidRPr="00DD63B4">
              <w:rPr>
                <w:b/>
              </w:rPr>
              <w:t>Punto del orden del día : ADM 4</w:t>
            </w:r>
          </w:p>
        </w:tc>
        <w:tc>
          <w:tcPr>
            <w:tcW w:w="3261" w:type="dxa"/>
          </w:tcPr>
          <w:p w:rsidR="004C4623" w:rsidRPr="00DD63B4" w:rsidRDefault="004C4623" w:rsidP="00507E6E">
            <w:pPr>
              <w:tabs>
                <w:tab w:val="left" w:pos="851"/>
              </w:tabs>
              <w:spacing w:before="0" w:line="240" w:lineRule="atLeast"/>
              <w:rPr>
                <w:b/>
              </w:rPr>
            </w:pPr>
            <w:r w:rsidRPr="00DD63B4">
              <w:rPr>
                <w:b/>
              </w:rPr>
              <w:t>Documento C17/66-S</w:t>
            </w:r>
          </w:p>
        </w:tc>
      </w:tr>
      <w:tr w:rsidR="004C4623" w:rsidRPr="00DD63B4">
        <w:trPr>
          <w:cantSplit/>
          <w:trHeight w:val="20"/>
        </w:trPr>
        <w:tc>
          <w:tcPr>
            <w:tcW w:w="6912" w:type="dxa"/>
            <w:shd w:val="clear" w:color="auto" w:fill="auto"/>
          </w:tcPr>
          <w:p w:rsidR="004C4623" w:rsidRPr="00DD63B4" w:rsidRDefault="004C4623" w:rsidP="00B32192">
            <w:pPr>
              <w:shd w:val="solid" w:color="FFFFFF" w:fill="FFFFFF"/>
              <w:spacing w:before="0"/>
              <w:rPr>
                <w:smallCaps/>
                <w:szCs w:val="24"/>
              </w:rPr>
            </w:pPr>
          </w:p>
        </w:tc>
        <w:tc>
          <w:tcPr>
            <w:tcW w:w="3261" w:type="dxa"/>
          </w:tcPr>
          <w:p w:rsidR="004C4623" w:rsidRPr="00DD63B4" w:rsidRDefault="004C4623" w:rsidP="00507E6E">
            <w:pPr>
              <w:tabs>
                <w:tab w:val="left" w:pos="993"/>
              </w:tabs>
              <w:spacing w:before="0"/>
              <w:rPr>
                <w:b/>
              </w:rPr>
            </w:pPr>
            <w:r w:rsidRPr="00DD63B4">
              <w:rPr>
                <w:b/>
              </w:rPr>
              <w:t>14 de marzo de 2017</w:t>
            </w:r>
          </w:p>
        </w:tc>
      </w:tr>
      <w:tr w:rsidR="004C4623" w:rsidRPr="00DD63B4">
        <w:trPr>
          <w:cantSplit/>
          <w:trHeight w:val="20"/>
        </w:trPr>
        <w:tc>
          <w:tcPr>
            <w:tcW w:w="6912" w:type="dxa"/>
            <w:shd w:val="clear" w:color="auto" w:fill="auto"/>
          </w:tcPr>
          <w:p w:rsidR="004C4623" w:rsidRPr="00DD63B4" w:rsidRDefault="004C4623" w:rsidP="00B32192">
            <w:pPr>
              <w:shd w:val="solid" w:color="FFFFFF" w:fill="FFFFFF"/>
              <w:spacing w:before="0"/>
              <w:rPr>
                <w:smallCaps/>
                <w:szCs w:val="24"/>
              </w:rPr>
            </w:pPr>
          </w:p>
        </w:tc>
        <w:tc>
          <w:tcPr>
            <w:tcW w:w="3261" w:type="dxa"/>
          </w:tcPr>
          <w:p w:rsidR="004C4623" w:rsidRPr="00DD63B4" w:rsidRDefault="004C4623" w:rsidP="00B32192">
            <w:pPr>
              <w:tabs>
                <w:tab w:val="left" w:pos="993"/>
              </w:tabs>
              <w:spacing w:before="0"/>
              <w:rPr>
                <w:b/>
              </w:rPr>
            </w:pPr>
            <w:r w:rsidRPr="00DD63B4">
              <w:rPr>
                <w:b/>
              </w:rPr>
              <w:t>Original: inglés</w:t>
            </w:r>
          </w:p>
        </w:tc>
      </w:tr>
      <w:tr w:rsidR="004C4623" w:rsidRPr="00DD63B4">
        <w:trPr>
          <w:cantSplit/>
        </w:trPr>
        <w:tc>
          <w:tcPr>
            <w:tcW w:w="10173" w:type="dxa"/>
            <w:gridSpan w:val="2"/>
          </w:tcPr>
          <w:p w:rsidR="004C4623" w:rsidRPr="00DD63B4" w:rsidRDefault="004C4623">
            <w:pPr>
              <w:pStyle w:val="Source"/>
            </w:pPr>
            <w:r w:rsidRPr="00DD63B4">
              <w:t>Informe del Secretario General</w:t>
            </w:r>
          </w:p>
        </w:tc>
      </w:tr>
      <w:tr w:rsidR="004C4623" w:rsidRPr="00DD63B4">
        <w:trPr>
          <w:cantSplit/>
        </w:trPr>
        <w:tc>
          <w:tcPr>
            <w:tcW w:w="10173" w:type="dxa"/>
            <w:gridSpan w:val="2"/>
          </w:tcPr>
          <w:p w:rsidR="004C4623" w:rsidRPr="00DD63B4" w:rsidRDefault="00DD63B4">
            <w:pPr>
              <w:pStyle w:val="Title1"/>
            </w:pPr>
            <w:r>
              <w:t xml:space="preserve">implementación de la </w:t>
            </w:r>
            <w:r w:rsidR="004C4623" w:rsidRPr="00DD63B4">
              <w:t xml:space="preserve">POLÍTICA DE ACCESO A LA INFORMACIÓN Y </w:t>
            </w:r>
            <w:r w:rsidR="00B251FD">
              <w:br/>
            </w:r>
            <w:r w:rsidR="004C4623" w:rsidRPr="00DD63B4">
              <w:t>LOS DOCUMENTOS DE LA UIT</w:t>
            </w:r>
          </w:p>
        </w:tc>
      </w:tr>
    </w:tbl>
    <w:p w:rsidR="004C4623" w:rsidRPr="00DD63B4" w:rsidRDefault="004C4623"/>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4C4623" w:rsidRPr="00DD63B4">
        <w:trPr>
          <w:trHeight w:val="3372"/>
        </w:trPr>
        <w:tc>
          <w:tcPr>
            <w:tcW w:w="8080" w:type="dxa"/>
            <w:tcBorders>
              <w:top w:val="single" w:sz="12" w:space="0" w:color="auto"/>
              <w:left w:val="single" w:sz="12" w:space="0" w:color="auto"/>
              <w:bottom w:val="single" w:sz="12" w:space="0" w:color="auto"/>
              <w:right w:val="single" w:sz="12" w:space="0" w:color="auto"/>
            </w:tcBorders>
          </w:tcPr>
          <w:p w:rsidR="004C4623" w:rsidRPr="00DD63B4" w:rsidRDefault="004C4623">
            <w:pPr>
              <w:pStyle w:val="Headingb"/>
            </w:pPr>
            <w:r w:rsidRPr="00DD63B4">
              <w:t>Resumen</w:t>
            </w:r>
          </w:p>
          <w:p w:rsidR="004C4623" w:rsidRPr="00DD63B4" w:rsidRDefault="004C4623">
            <w:r w:rsidRPr="00DD63B4">
              <w:rPr>
                <w:szCs w:val="24"/>
              </w:rPr>
              <w:t>En este documento se presenta un informe de los primeros meses de implementación de la Política de acceso a la inf</w:t>
            </w:r>
            <w:r w:rsidR="00047B33">
              <w:rPr>
                <w:szCs w:val="24"/>
              </w:rPr>
              <w:t>ormación y los documentos de la </w:t>
            </w:r>
            <w:r w:rsidRPr="00DD63B4">
              <w:rPr>
                <w:szCs w:val="24"/>
              </w:rPr>
              <w:t>UIT, adoptada por el Consejo 2016.</w:t>
            </w:r>
          </w:p>
          <w:p w:rsidR="004C4623" w:rsidRPr="00DD63B4" w:rsidRDefault="004C4623">
            <w:pPr>
              <w:pStyle w:val="Headingb"/>
            </w:pPr>
            <w:r w:rsidRPr="00DD63B4">
              <w:t>Acción solicitada</w:t>
            </w:r>
          </w:p>
          <w:p w:rsidR="004C4623" w:rsidRPr="00DD63B4" w:rsidRDefault="004C4623" w:rsidP="00B32192">
            <w:pPr>
              <w:spacing w:after="120"/>
              <w:jc w:val="both"/>
            </w:pPr>
            <w:r w:rsidRPr="00DD63B4">
              <w:rPr>
                <w:szCs w:val="24"/>
              </w:rPr>
              <w:t xml:space="preserve">Se invita al Consejo a </w:t>
            </w:r>
            <w:r w:rsidRPr="00DD63B4">
              <w:rPr>
                <w:b/>
                <w:bCs/>
                <w:szCs w:val="24"/>
              </w:rPr>
              <w:t xml:space="preserve">tomar nota </w:t>
            </w:r>
            <w:r w:rsidRPr="00DD63B4">
              <w:rPr>
                <w:szCs w:val="24"/>
              </w:rPr>
              <w:t>del Informe.</w:t>
            </w:r>
          </w:p>
          <w:p w:rsidR="004C4623" w:rsidRPr="00DD63B4" w:rsidRDefault="004C4623">
            <w:pPr>
              <w:pStyle w:val="Table"/>
              <w:keepNext w:val="0"/>
              <w:spacing w:before="0" w:after="0"/>
              <w:rPr>
                <w:caps w:val="0"/>
                <w:sz w:val="22"/>
                <w:lang w:val="es-ES_tradnl"/>
              </w:rPr>
            </w:pPr>
            <w:r w:rsidRPr="00DD63B4">
              <w:rPr>
                <w:caps w:val="0"/>
                <w:sz w:val="22"/>
                <w:lang w:val="es-ES_tradnl"/>
              </w:rPr>
              <w:t>____________</w:t>
            </w:r>
          </w:p>
          <w:p w:rsidR="004C4623" w:rsidRPr="00DD63B4" w:rsidRDefault="004C4623">
            <w:pPr>
              <w:pStyle w:val="Headingb"/>
            </w:pPr>
            <w:r w:rsidRPr="00DD63B4">
              <w:t>Referencia</w:t>
            </w:r>
          </w:p>
          <w:p w:rsidR="004C4623" w:rsidRPr="00DD63B4" w:rsidRDefault="005B06FF" w:rsidP="00507E6E">
            <w:pPr>
              <w:spacing w:after="120"/>
              <w:rPr>
                <w:i/>
                <w:iCs/>
              </w:rPr>
            </w:pPr>
            <w:hyperlink r:id="rId8" w:history="1">
              <w:r w:rsidR="004C4623" w:rsidRPr="00DD63B4">
                <w:rPr>
                  <w:rStyle w:val="Hyperlink"/>
                  <w:szCs w:val="24"/>
                </w:rPr>
                <w:t>Política de acceso a la información y los documentos de la UIT</w:t>
              </w:r>
            </w:hyperlink>
            <w:r w:rsidR="004C4623" w:rsidRPr="00DD63B4">
              <w:t xml:space="preserve"> </w:t>
            </w:r>
          </w:p>
        </w:tc>
      </w:tr>
    </w:tbl>
    <w:p w:rsidR="004C4623" w:rsidRPr="00DD63B4" w:rsidRDefault="004C4623" w:rsidP="00507E6E">
      <w:pPr>
        <w:pStyle w:val="Heading1"/>
        <w:rPr>
          <w:rFonts w:cstheme="minorHAnsi"/>
          <w:color w:val="000000"/>
          <w:shd w:val="clear" w:color="auto" w:fill="FFFFFF"/>
        </w:rPr>
      </w:pPr>
      <w:r w:rsidRPr="00DD63B4">
        <w:t>1</w:t>
      </w:r>
      <w:r w:rsidRPr="00DD63B4">
        <w:tab/>
        <w:t>Antecedentes</w:t>
      </w:r>
    </w:p>
    <w:p w:rsidR="004C4623" w:rsidRPr="00DD63B4" w:rsidRDefault="00DD63B4" w:rsidP="00DD63B4">
      <w:pPr>
        <w:rPr>
          <w:rFonts w:eastAsia="SimSun"/>
        </w:rPr>
      </w:pPr>
      <w:bookmarkStart w:id="0" w:name="lt_pId019"/>
      <w:r>
        <w:rPr>
          <w:rFonts w:eastAsia="SimSun"/>
        </w:rPr>
        <w:t>1.1</w:t>
      </w:r>
      <w:r>
        <w:rPr>
          <w:rFonts w:eastAsia="SimSun"/>
        </w:rPr>
        <w:tab/>
      </w:r>
      <w:r w:rsidR="004C4623" w:rsidRPr="00DD63B4">
        <w:rPr>
          <w:rFonts w:eastAsia="SimSun"/>
        </w:rPr>
        <w:t>La Conferencia de Plenipotenciarios de 2014 decidió:</w:t>
      </w:r>
      <w:bookmarkEnd w:id="0"/>
    </w:p>
    <w:p w:rsidR="004C4623" w:rsidRPr="00DD63B4" w:rsidRDefault="00FC7957" w:rsidP="00FC7957">
      <w:pPr>
        <w:pStyle w:val="enumlev1"/>
        <w:rPr>
          <w:rFonts w:eastAsia="SimSun"/>
        </w:rPr>
      </w:pPr>
      <w:bookmarkStart w:id="1" w:name="lt_pId020"/>
      <w:r w:rsidRPr="00FC7957">
        <w:rPr>
          <w:rFonts w:eastAsia="SimSun"/>
        </w:rPr>
        <w:t>•</w:t>
      </w:r>
      <w:r>
        <w:rPr>
          <w:rFonts w:eastAsia="SimSun"/>
        </w:rPr>
        <w:tab/>
      </w:r>
      <w:proofErr w:type="gramStart"/>
      <w:r w:rsidR="004C4623" w:rsidRPr="00DD63B4">
        <w:rPr>
          <w:rFonts w:eastAsia="SimSun"/>
        </w:rPr>
        <w:t>que</w:t>
      </w:r>
      <w:proofErr w:type="gramEnd"/>
      <w:r w:rsidR="004C4623" w:rsidRPr="00DD63B4">
        <w:rPr>
          <w:rFonts w:eastAsia="SimSun"/>
        </w:rPr>
        <w:t xml:space="preserve">, a partir de principios de 2015, se ponga a disposición del público en general las contribuciones y los documentos finales de todas las conferencias y asambleas de la Unión, a menos que su divulgación pueda causar a intereses legítimos privados o públicos daños superiores a las ventajas de la </w:t>
      </w:r>
      <w:bookmarkEnd w:id="1"/>
      <w:r>
        <w:rPr>
          <w:rFonts w:eastAsia="SimSun"/>
        </w:rPr>
        <w:t>accesibilidad;</w:t>
      </w:r>
    </w:p>
    <w:p w:rsidR="004C4623" w:rsidRPr="00DD63B4" w:rsidRDefault="00FC7957" w:rsidP="00FC7957">
      <w:pPr>
        <w:pStyle w:val="enumlev1"/>
        <w:rPr>
          <w:rFonts w:eastAsia="SimSun"/>
          <w:color w:val="000000"/>
          <w:szCs w:val="24"/>
        </w:rPr>
      </w:pPr>
      <w:bookmarkStart w:id="2" w:name="lt_pId021"/>
      <w:r w:rsidRPr="00FC7957">
        <w:rPr>
          <w:rFonts w:eastAsia="SimSun"/>
          <w:color w:val="000000"/>
          <w:szCs w:val="24"/>
        </w:rPr>
        <w:t>•</w:t>
      </w:r>
      <w:r>
        <w:rPr>
          <w:rFonts w:eastAsia="SimSun"/>
          <w:color w:val="000000"/>
          <w:szCs w:val="24"/>
        </w:rPr>
        <w:tab/>
      </w:r>
      <w:r w:rsidR="004C4623" w:rsidRPr="00DD63B4">
        <w:rPr>
          <w:rFonts w:eastAsia="SimSun"/>
          <w:color w:val="000000"/>
          <w:szCs w:val="24"/>
        </w:rPr>
        <w:t>Encargar a través del Consejo al Grupo de Trabajo del Consejo sobre Recursos Humanos y Financieros (GTC-RHF) que:</w:t>
      </w:r>
      <w:bookmarkEnd w:id="2"/>
    </w:p>
    <w:p w:rsidR="004C4623" w:rsidRPr="00DD63B4" w:rsidRDefault="00FC7957" w:rsidP="00FC7957">
      <w:pPr>
        <w:pStyle w:val="enumlev2"/>
        <w:rPr>
          <w:rFonts w:eastAsia="SimSun"/>
        </w:rPr>
      </w:pPr>
      <w:bookmarkStart w:id="3" w:name="lt_pId022"/>
      <w:r>
        <w:rPr>
          <w:rFonts w:eastAsia="SimSun"/>
        </w:rPr>
        <w:t>i)</w:t>
      </w:r>
      <w:r>
        <w:rPr>
          <w:rFonts w:eastAsia="SimSun"/>
        </w:rPr>
        <w:tab/>
      </w:r>
      <w:r w:rsidR="004C4623" w:rsidRPr="00DD63B4">
        <w:rPr>
          <w:rFonts w:eastAsia="SimSun"/>
        </w:rPr>
        <w:t>siga examinando la política de la UIT en materia de acceso a los documentos, con miras a determinar en qué medida puede ponerse la documentación a disposición del público en general, y prepare un proyecto de política de acceso a los documentos para su ulterior presentación al Consejo;</w:t>
      </w:r>
      <w:bookmarkEnd w:id="3"/>
    </w:p>
    <w:p w:rsidR="004C4623" w:rsidRPr="00DD63B4" w:rsidRDefault="00FC7957" w:rsidP="00FC7957">
      <w:pPr>
        <w:pStyle w:val="enumlev2"/>
        <w:rPr>
          <w:rFonts w:eastAsia="SimSun"/>
          <w:szCs w:val="24"/>
        </w:rPr>
      </w:pPr>
      <w:bookmarkStart w:id="4" w:name="lt_pId023"/>
      <w:r>
        <w:rPr>
          <w:rFonts w:eastAsia="SimSun"/>
          <w:color w:val="000000"/>
          <w:szCs w:val="24"/>
        </w:rPr>
        <w:t>ii)</w:t>
      </w:r>
      <w:r>
        <w:rPr>
          <w:rFonts w:eastAsia="SimSun"/>
          <w:color w:val="000000"/>
          <w:szCs w:val="24"/>
        </w:rPr>
        <w:tab/>
      </w:r>
      <w:r w:rsidR="004C4623" w:rsidRPr="00DD63B4">
        <w:rPr>
          <w:rFonts w:eastAsia="SimSun"/>
          <w:color w:val="000000"/>
          <w:szCs w:val="24"/>
        </w:rPr>
        <w:t>considere la necesidad de crear un grupo especializado a tal efecto</w:t>
      </w:r>
      <w:bookmarkEnd w:id="4"/>
      <w:r>
        <w:rPr>
          <w:rFonts w:eastAsia="SimSun"/>
          <w:color w:val="000000"/>
          <w:szCs w:val="24"/>
        </w:rPr>
        <w:t>;</w:t>
      </w:r>
    </w:p>
    <w:p w:rsidR="004C4623" w:rsidRPr="00DD63B4" w:rsidRDefault="00FC7957" w:rsidP="00FC7957">
      <w:pPr>
        <w:pStyle w:val="enumlev1"/>
        <w:rPr>
          <w:rFonts w:eastAsia="SimSun"/>
          <w:szCs w:val="24"/>
        </w:rPr>
      </w:pPr>
      <w:bookmarkStart w:id="5" w:name="lt_pId024"/>
      <w:r w:rsidRPr="00FC7957">
        <w:rPr>
          <w:rFonts w:eastAsia="SimSun"/>
          <w:color w:val="000000"/>
          <w:szCs w:val="24"/>
        </w:rPr>
        <w:lastRenderedPageBreak/>
        <w:t>•</w:t>
      </w:r>
      <w:r>
        <w:rPr>
          <w:rFonts w:eastAsia="SimSun"/>
          <w:color w:val="000000"/>
          <w:szCs w:val="24"/>
        </w:rPr>
        <w:tab/>
      </w:r>
      <w:r w:rsidR="004C4623" w:rsidRPr="00DD63B4">
        <w:rPr>
          <w:rFonts w:eastAsia="SimSun"/>
          <w:color w:val="000000"/>
          <w:szCs w:val="24"/>
        </w:rPr>
        <w:t>que, a través del Consejo, encargue al Grupo de Trabajo del Consejo sobre Recursos Humanos y Financieros que someta la propuesta de política de acceso a la consideración del Consejo para aprobación provisional y su aplicación, según corresponda</w:t>
      </w:r>
      <w:bookmarkEnd w:id="5"/>
      <w:r>
        <w:rPr>
          <w:rFonts w:eastAsia="SimSun"/>
          <w:color w:val="000000"/>
          <w:szCs w:val="24"/>
        </w:rPr>
        <w:t>;</w:t>
      </w:r>
    </w:p>
    <w:p w:rsidR="004C4623" w:rsidRPr="00DD63B4" w:rsidRDefault="00FC7957" w:rsidP="00FC7957">
      <w:pPr>
        <w:pStyle w:val="enumlev1"/>
        <w:rPr>
          <w:rFonts w:eastAsia="SimSun"/>
          <w:szCs w:val="24"/>
        </w:rPr>
      </w:pPr>
      <w:bookmarkStart w:id="6" w:name="lt_pId025"/>
      <w:r w:rsidRPr="00FC7957">
        <w:rPr>
          <w:rFonts w:eastAsia="SimSun"/>
          <w:color w:val="000000"/>
          <w:szCs w:val="24"/>
        </w:rPr>
        <w:t>•</w:t>
      </w:r>
      <w:r>
        <w:rPr>
          <w:rFonts w:eastAsia="SimSun"/>
          <w:color w:val="000000"/>
          <w:szCs w:val="24"/>
        </w:rPr>
        <w:tab/>
      </w:r>
      <w:proofErr w:type="gramStart"/>
      <w:r w:rsidR="004C4623" w:rsidRPr="00DD63B4">
        <w:rPr>
          <w:rFonts w:eastAsia="SimSun"/>
          <w:color w:val="000000"/>
          <w:szCs w:val="24"/>
        </w:rPr>
        <w:t>que</w:t>
      </w:r>
      <w:proofErr w:type="gramEnd"/>
      <w:r w:rsidR="004C4623" w:rsidRPr="00DD63B4">
        <w:rPr>
          <w:rFonts w:eastAsia="SimSun"/>
          <w:color w:val="000000"/>
          <w:szCs w:val="24"/>
        </w:rPr>
        <w:t xml:space="preserve"> encargue y autorice al Consejo a examinar el informe del Grupo de Trabajo del Consejo y, según proceda, aprobarlo y poner en práctica la política con carácter provisional</w:t>
      </w:r>
      <w:bookmarkEnd w:id="6"/>
      <w:r>
        <w:rPr>
          <w:rFonts w:eastAsia="SimSun"/>
          <w:color w:val="000000"/>
          <w:szCs w:val="24"/>
        </w:rPr>
        <w:t>;</w:t>
      </w:r>
    </w:p>
    <w:p w:rsidR="004C4623" w:rsidRPr="00DD63B4" w:rsidRDefault="00FC7957" w:rsidP="00FC7957">
      <w:pPr>
        <w:pStyle w:val="enumlev1"/>
        <w:rPr>
          <w:rFonts w:eastAsia="SimSun"/>
          <w:szCs w:val="24"/>
        </w:rPr>
      </w:pPr>
      <w:bookmarkStart w:id="7" w:name="lt_pId026"/>
      <w:r w:rsidRPr="00FC7957">
        <w:rPr>
          <w:rFonts w:eastAsia="SimSun"/>
          <w:color w:val="000000"/>
          <w:szCs w:val="24"/>
        </w:rPr>
        <w:t>•</w:t>
      </w:r>
      <w:r>
        <w:rPr>
          <w:rFonts w:eastAsia="SimSun"/>
          <w:color w:val="000000"/>
          <w:szCs w:val="24"/>
        </w:rPr>
        <w:tab/>
      </w:r>
      <w:proofErr w:type="gramStart"/>
      <w:r w:rsidR="004C4623" w:rsidRPr="00DD63B4">
        <w:rPr>
          <w:rFonts w:eastAsia="SimSun"/>
          <w:color w:val="000000"/>
          <w:szCs w:val="24"/>
        </w:rPr>
        <w:t>que</w:t>
      </w:r>
      <w:proofErr w:type="gramEnd"/>
      <w:r w:rsidR="004C4623" w:rsidRPr="00DD63B4">
        <w:rPr>
          <w:rFonts w:eastAsia="SimSun"/>
          <w:color w:val="000000"/>
          <w:szCs w:val="24"/>
        </w:rPr>
        <w:t xml:space="preserve"> encomiende al Consejo que someta la política a la consideración de la Conferencia de Plenipotenciarios de 2018, para que adopte una decisión definitiva al respecto.</w:t>
      </w:r>
      <w:bookmarkEnd w:id="7"/>
    </w:p>
    <w:p w:rsidR="004C4623" w:rsidRPr="00DD63B4" w:rsidRDefault="00DD63B4" w:rsidP="00DD63B4">
      <w:pPr>
        <w:rPr>
          <w:rFonts w:eastAsia="SimSun"/>
        </w:rPr>
      </w:pPr>
      <w:bookmarkStart w:id="8" w:name="lt_pId027"/>
      <w:r>
        <w:rPr>
          <w:rFonts w:eastAsia="SimSun"/>
        </w:rPr>
        <w:t>1.2</w:t>
      </w:r>
      <w:r>
        <w:rPr>
          <w:rFonts w:eastAsia="SimSun"/>
        </w:rPr>
        <w:tab/>
      </w:r>
      <w:r w:rsidR="004C4623" w:rsidRPr="00DD63B4">
        <w:rPr>
          <w:rFonts w:eastAsia="SimSun"/>
        </w:rPr>
        <w:t>En su reunión de</w:t>
      </w:r>
      <w:r w:rsidR="00AA528F">
        <w:rPr>
          <w:rFonts w:eastAsia="SimSun"/>
        </w:rPr>
        <w:t>l 5 de</w:t>
      </w:r>
      <w:r w:rsidR="004C4623" w:rsidRPr="00DD63B4">
        <w:rPr>
          <w:rFonts w:eastAsia="SimSun"/>
        </w:rPr>
        <w:t xml:space="preserve"> febrero de 2015, el Grupo de Trabajo sobre Recursos Humanos y Financieros resolvió crear un grupo específico para examinar la política de acceso a los documentos. El mandato del Grupo Especializado sobre política de acceso a la información y los documentos, presidido por el Sr. </w:t>
      </w:r>
      <w:bookmarkStart w:id="9" w:name="lt_pId028"/>
      <w:bookmarkEnd w:id="8"/>
      <w:r w:rsidR="004C4623" w:rsidRPr="00DD63B4">
        <w:rPr>
          <w:rFonts w:eastAsia="SimSun"/>
        </w:rPr>
        <w:t xml:space="preserve">Petko Kantchev (Bulgaria), y abierto a todos los Estados Miembros y Miembros de Sector, figura en el </w:t>
      </w:r>
      <w:hyperlink r:id="rId9" w:history="1">
        <w:r w:rsidR="004C4623" w:rsidRPr="00DD63B4">
          <w:rPr>
            <w:rStyle w:val="Hyperlink"/>
            <w:szCs w:val="24"/>
          </w:rPr>
          <w:t>Documento </w:t>
        </w:r>
        <w:r w:rsidR="004C4623" w:rsidRPr="00DD63B4">
          <w:rPr>
            <w:rStyle w:val="Hyperlink"/>
            <w:bCs/>
            <w:szCs w:val="24"/>
          </w:rPr>
          <w:t>CWG</w:t>
        </w:r>
        <w:r w:rsidR="004C4623" w:rsidRPr="00DD63B4">
          <w:rPr>
            <w:rStyle w:val="Hyperlink"/>
            <w:bCs/>
            <w:szCs w:val="24"/>
          </w:rPr>
          <w:noBreakHyphen/>
          <w:t>FHR 4/19 (Rev.2)</w:t>
        </w:r>
      </w:hyperlink>
      <w:r w:rsidR="004C4623" w:rsidRPr="00DD63B4">
        <w:rPr>
          <w:rStyle w:val="Hyperlink"/>
          <w:bCs/>
          <w:szCs w:val="24"/>
        </w:rPr>
        <w:t>.</w:t>
      </w:r>
      <w:bookmarkEnd w:id="9"/>
    </w:p>
    <w:p w:rsidR="004C4623" w:rsidRPr="00DD63B4" w:rsidRDefault="00DD63B4" w:rsidP="00DD63B4">
      <w:pPr>
        <w:rPr>
          <w:rFonts w:eastAsia="SimSun"/>
        </w:rPr>
      </w:pPr>
      <w:bookmarkStart w:id="10" w:name="lt_pId029"/>
      <w:r>
        <w:rPr>
          <w:rFonts w:eastAsia="SimSun"/>
        </w:rPr>
        <w:t>1.3</w:t>
      </w:r>
      <w:r>
        <w:rPr>
          <w:rFonts w:eastAsia="SimSun"/>
        </w:rPr>
        <w:tab/>
      </w:r>
      <w:r w:rsidR="004C4623" w:rsidRPr="00DD63B4">
        <w:rPr>
          <w:rFonts w:eastAsia="SimSun"/>
        </w:rPr>
        <w:t>El Grupo especializado sobre política de acceso a la información y los documentos se reunió físicamente en dos ocasiones, el 11 de mayo de 2015 y el 6 de octubre de 2015 a fin de preparar un proyecto de política de acceso a la información/documentación para su presentación a la reunión de 2016 del GTC-RHF.</w:t>
      </w:r>
      <w:bookmarkEnd w:id="10"/>
      <w:r w:rsidR="004C4623" w:rsidRPr="00DD63B4">
        <w:rPr>
          <w:rFonts w:eastAsia="SimSun"/>
          <w:b/>
          <w:color w:val="800000"/>
        </w:rPr>
        <w:t xml:space="preserve"> </w:t>
      </w:r>
      <w:bookmarkStart w:id="11" w:name="lt_pId030"/>
      <w:r w:rsidR="004C4623" w:rsidRPr="00DD63B4">
        <w:rPr>
          <w:rFonts w:eastAsia="SimSun"/>
        </w:rPr>
        <w:t>El GTC-RHF acordó someter el proyecto de política al Consejo 2016.</w:t>
      </w:r>
      <w:bookmarkEnd w:id="11"/>
    </w:p>
    <w:p w:rsidR="004C4623" w:rsidRPr="00DD63B4" w:rsidRDefault="00DD63B4" w:rsidP="00DD63B4">
      <w:pPr>
        <w:rPr>
          <w:rFonts w:eastAsia="SimSun"/>
          <w:color w:val="000000"/>
        </w:rPr>
      </w:pPr>
      <w:bookmarkStart w:id="12" w:name="lt_pId031"/>
      <w:r>
        <w:t>1.4</w:t>
      </w:r>
      <w:r>
        <w:tab/>
      </w:r>
      <w:r w:rsidR="004C4623" w:rsidRPr="00DD63B4">
        <w:t>La reunión del Consejo de 2016 refrendó el proyecto de política para su aplicación provisional en espera de la aprobación final por la Conferencia de Plenipotenciarios de 2018. El Consejo de 2016 encargó al Secretario General para desarrollar los procedimientos y procesos oportunos, y para comenzar a implementar la política a partir del 1 de enero de 2017. El Consejo también encargó al Secretario General que informara a las reuniones del Consejo de 2017 y 2018 sobre la implementación de la política, incluidas las sugerencias acerca de la manera en que podría mejorarse dicha política.</w:t>
      </w:r>
      <w:bookmarkEnd w:id="12"/>
    </w:p>
    <w:p w:rsidR="004C4623" w:rsidRPr="00DD63B4" w:rsidRDefault="00DD63B4" w:rsidP="00DD63B4">
      <w:pPr>
        <w:pStyle w:val="Heading1"/>
      </w:pPr>
      <w:bookmarkStart w:id="13" w:name="lt_pId034"/>
      <w:r>
        <w:t>2</w:t>
      </w:r>
      <w:r>
        <w:tab/>
      </w:r>
      <w:r w:rsidR="004C4623" w:rsidRPr="00DD63B4">
        <w:t xml:space="preserve">MEDIDAS ADOPTADAS POR LA SECRETARÍA PARA IMPLEMENTAR LA POLÍTICA </w:t>
      </w:r>
      <w:bookmarkEnd w:id="13"/>
    </w:p>
    <w:p w:rsidR="004C4623" w:rsidRPr="00DD63B4" w:rsidRDefault="004C4623" w:rsidP="00507E6E">
      <w:pPr>
        <w:pStyle w:val="ListParagraph"/>
        <w:adjustRightInd w:val="0"/>
        <w:snapToGrid w:val="0"/>
        <w:spacing w:before="240" w:after="120" w:line="240" w:lineRule="auto"/>
        <w:ind w:left="0"/>
        <w:contextualSpacing w:val="0"/>
        <w:jc w:val="both"/>
        <w:rPr>
          <w:b/>
          <w:bCs/>
          <w:i/>
          <w:iCs/>
          <w:sz w:val="24"/>
          <w:szCs w:val="24"/>
          <w:lang w:val="es-ES_tradnl"/>
        </w:rPr>
      </w:pPr>
      <w:bookmarkStart w:id="14" w:name="lt_pId035"/>
      <w:r w:rsidRPr="00DD63B4">
        <w:rPr>
          <w:b/>
          <w:bCs/>
          <w:i/>
          <w:iCs/>
          <w:sz w:val="24"/>
          <w:szCs w:val="24"/>
          <w:lang w:val="es-ES_tradnl"/>
        </w:rPr>
        <w:t>Preparativos en 2016</w:t>
      </w:r>
      <w:bookmarkEnd w:id="14"/>
    </w:p>
    <w:p w:rsidR="004C4623" w:rsidRPr="00DD63B4" w:rsidRDefault="00DD63B4" w:rsidP="00DD63B4">
      <w:pPr>
        <w:rPr>
          <w:rFonts w:eastAsia="SimSun"/>
          <w:color w:val="000000"/>
        </w:rPr>
      </w:pPr>
      <w:bookmarkStart w:id="15" w:name="lt_pId036"/>
      <w:r>
        <w:t>2.1</w:t>
      </w:r>
      <w:r>
        <w:tab/>
      </w:r>
      <w:r w:rsidR="004C4623" w:rsidRPr="00DD63B4">
        <w:t>Se introdujeron modificaciones al Sistema de Gestión de Documentos (DMS) central para poder aplicar restricciones de acceso a un documento por separado y tramitar los casos de versiones redactadas de los documentos.</w:t>
      </w:r>
      <w:bookmarkStart w:id="16" w:name="_GoBack"/>
      <w:bookmarkEnd w:id="15"/>
      <w:bookmarkEnd w:id="16"/>
    </w:p>
    <w:p w:rsidR="004C4623" w:rsidRPr="00DD63B4" w:rsidRDefault="00DD63B4" w:rsidP="00DD63B4">
      <w:pPr>
        <w:rPr>
          <w:rFonts w:eastAsia="SimSun"/>
          <w:color w:val="000000"/>
        </w:rPr>
      </w:pPr>
      <w:bookmarkStart w:id="17" w:name="lt_pId037"/>
      <w:r>
        <w:t>2.2</w:t>
      </w:r>
      <w:r>
        <w:tab/>
      </w:r>
      <w:r w:rsidR="004C4623" w:rsidRPr="00DD63B4">
        <w:t xml:space="preserve">La Secretaría revisó los documentos creados habitualmente para las conferencias, asambleas y reuniones afectados por la política y llegó a una definición de categorías común de documentos </w:t>
      </w:r>
      <w:r>
        <w:t>"</w:t>
      </w:r>
      <w:r w:rsidR="004C4623" w:rsidRPr="00DD63B4">
        <w:t>entrantes</w:t>
      </w:r>
      <w:r>
        <w:t>"</w:t>
      </w:r>
      <w:r w:rsidR="004C4623" w:rsidRPr="00DD63B4">
        <w:t xml:space="preserve"> y </w:t>
      </w:r>
      <w:r>
        <w:t>"</w:t>
      </w:r>
      <w:r w:rsidR="004C4623" w:rsidRPr="00DD63B4">
        <w:t>salientes</w:t>
      </w:r>
      <w:r>
        <w:t>"</w:t>
      </w:r>
      <w:r w:rsidR="004C4623" w:rsidRPr="00DD63B4">
        <w:t>.</w:t>
      </w:r>
      <w:bookmarkEnd w:id="17"/>
    </w:p>
    <w:p w:rsidR="004C4623" w:rsidRPr="00DD63B4" w:rsidRDefault="00DD63B4" w:rsidP="00DD63B4">
      <w:pPr>
        <w:rPr>
          <w:rFonts w:eastAsia="SimSun"/>
        </w:rPr>
      </w:pPr>
      <w:bookmarkStart w:id="18" w:name="lt_pId038"/>
      <w:r>
        <w:rPr>
          <w:rFonts w:eastAsia="SimSun"/>
        </w:rPr>
        <w:t>2.3</w:t>
      </w:r>
      <w:r>
        <w:rPr>
          <w:rFonts w:eastAsia="SimSun"/>
        </w:rPr>
        <w:tab/>
      </w:r>
      <w:r w:rsidR="004C4623" w:rsidRPr="00DD63B4">
        <w:rPr>
          <w:rFonts w:eastAsia="SimSun"/>
        </w:rPr>
        <w:t>Se creó una dirección de correo-e (</w:t>
      </w:r>
      <w:hyperlink r:id="rId10" w:history="1">
        <w:r w:rsidR="004C4623" w:rsidRPr="00DD63B4">
          <w:rPr>
            <w:rStyle w:val="Hyperlink"/>
            <w:rFonts w:eastAsia="SimSun"/>
            <w:szCs w:val="24"/>
          </w:rPr>
          <w:t>access@itu.int</w:t>
        </w:r>
      </w:hyperlink>
      <w:r w:rsidR="004C4623" w:rsidRPr="00DD63B4">
        <w:rPr>
          <w:rFonts w:eastAsia="SimSun"/>
        </w:rPr>
        <w:t>) y se asignó a un pequeño equipo de funcionarios la responsabilidad de gestionar las solicitudes.</w:t>
      </w:r>
      <w:bookmarkEnd w:id="18"/>
    </w:p>
    <w:p w:rsidR="004C4623" w:rsidRPr="00DD63B4" w:rsidRDefault="00DD63B4" w:rsidP="00AA528F">
      <w:pPr>
        <w:rPr>
          <w:rFonts w:eastAsia="SimSun"/>
          <w:color w:val="000000"/>
        </w:rPr>
      </w:pPr>
      <w:bookmarkStart w:id="19" w:name="lt_pId039"/>
      <w:r>
        <w:t>2.4</w:t>
      </w:r>
      <w:r>
        <w:tab/>
      </w:r>
      <w:r w:rsidR="004C4623" w:rsidRPr="00DD63B4">
        <w:t xml:space="preserve">Información a todo el personal: el 15 de diciembre de 2016, el Secretario General de la UIT publicó un memorándum interno informando a los Directores de las Oficinas y los Directores de Departamento que la política entraría </w:t>
      </w:r>
      <w:r>
        <w:t>en vigor el 1 de enero de 2017.</w:t>
      </w:r>
      <w:r w:rsidR="004C4623" w:rsidRPr="00DD63B4">
        <w:t xml:space="preserve"> </w:t>
      </w:r>
      <w:bookmarkEnd w:id="19"/>
      <w:r w:rsidR="004C4623" w:rsidRPr="00DD63B4">
        <w:t xml:space="preserve">Se invitó a los Directores de las Oficinas y los Directores de Departamento </w:t>
      </w:r>
      <w:bookmarkStart w:id="20" w:name="lt_pId040"/>
      <w:r w:rsidR="004C4623" w:rsidRPr="00DD63B4">
        <w:t xml:space="preserve">a comunicar esta información a todo el personal interesado en el Sector/Departamento y a garantizar que se aplicara la política. </w:t>
      </w:r>
      <w:bookmarkStart w:id="21" w:name="lt_pId041"/>
      <w:bookmarkEnd w:id="20"/>
      <w:r w:rsidR="004C4623" w:rsidRPr="00DD63B4">
        <w:t>Además, se está creando una página web interna con información detallada para el personal.</w:t>
      </w:r>
      <w:bookmarkEnd w:id="21"/>
    </w:p>
    <w:p w:rsidR="004C4623" w:rsidRPr="00DD63B4" w:rsidRDefault="00DD63B4" w:rsidP="00FC7957">
      <w:pPr>
        <w:keepLines/>
        <w:rPr>
          <w:rFonts w:eastAsia="SimSun"/>
        </w:rPr>
      </w:pPr>
      <w:bookmarkStart w:id="22" w:name="lt_pId042"/>
      <w:r>
        <w:rPr>
          <w:rFonts w:eastAsia="SimSun"/>
        </w:rPr>
        <w:lastRenderedPageBreak/>
        <w:t>2.5</w:t>
      </w:r>
      <w:r>
        <w:rPr>
          <w:rFonts w:eastAsia="SimSun"/>
        </w:rPr>
        <w:tab/>
      </w:r>
      <w:r w:rsidR="004C4623" w:rsidRPr="00DD63B4">
        <w:rPr>
          <w:rFonts w:eastAsia="SimSun"/>
        </w:rPr>
        <w:t>Información a todos los delegados: Desde enero de 2017, en las invitaciones a las reuniones de la UIT abarcadas por la política se ha informado a los delegados que los documentos para la reunión serán accesibles para el público salvo que quien presente los documentos avise a la Secretaría en otro sentido. Esta información se ha publicado también en los sitios web de las distintas reuniones.</w:t>
      </w:r>
      <w:bookmarkEnd w:id="22"/>
    </w:p>
    <w:p w:rsidR="004C4623" w:rsidRPr="00DD63B4" w:rsidRDefault="00DD63B4" w:rsidP="00DD63B4">
      <w:pPr>
        <w:rPr>
          <w:rFonts w:eastAsia="SimSun"/>
          <w:color w:val="000000"/>
        </w:rPr>
      </w:pPr>
      <w:bookmarkStart w:id="23" w:name="lt_pId044"/>
      <w:r>
        <w:t>2.6</w:t>
      </w:r>
      <w:r>
        <w:tab/>
      </w:r>
      <w:r w:rsidR="004C4623" w:rsidRPr="00DD63B4">
        <w:t>Con arreglo al punto 4.4 de la política, la Secretaría publicó la política de acceso a la información y los documentos de la UIT en el sitio web de la UIT en los seis idiomas de la Unión. Se creó una página web específica</w:t>
      </w:r>
      <w:bookmarkStart w:id="24" w:name="lt_pId045"/>
      <w:bookmarkEnd w:id="23"/>
      <w:r w:rsidR="004C4623" w:rsidRPr="00DD63B4">
        <w:t xml:space="preserve"> (</w:t>
      </w:r>
      <w:hyperlink r:id="rId11" w:history="1">
        <w:r w:rsidR="004C4623" w:rsidRPr="00DD63B4">
          <w:rPr>
            <w:rStyle w:val="Hyperlink"/>
            <w:szCs w:val="24"/>
          </w:rPr>
          <w:t>http://www.itu.int/en/access-policy</w:t>
        </w:r>
      </w:hyperlink>
      <w:r w:rsidR="004C4623" w:rsidRPr="00DD63B4">
        <w:t xml:space="preserve">) que incluye una presentación de la política, una presentación PowerPoint en la que se explica la política, y los procedimientos de aplicación. En la página principal de la UIT hay un enlace a dicha página en el cuadro </w:t>
      </w:r>
      <w:r>
        <w:t>"</w:t>
      </w:r>
      <w:r w:rsidR="004C4623" w:rsidRPr="00DD63B4">
        <w:t>Gobernanza</w:t>
      </w:r>
      <w:r>
        <w:t>"</w:t>
      </w:r>
      <w:r w:rsidR="004C4623" w:rsidRPr="00DD63B4">
        <w:t>.</w:t>
      </w:r>
      <w:bookmarkEnd w:id="24"/>
    </w:p>
    <w:p w:rsidR="004C4623" w:rsidRPr="00DD63B4" w:rsidRDefault="00DD63B4" w:rsidP="00DD63B4">
      <w:pPr>
        <w:rPr>
          <w:rFonts w:eastAsia="SimSun"/>
          <w:color w:val="000000"/>
        </w:rPr>
      </w:pPr>
      <w:bookmarkStart w:id="25" w:name="lt_pId047"/>
      <w:r>
        <w:t>2.7</w:t>
      </w:r>
      <w:r>
        <w:tab/>
      </w:r>
      <w:r w:rsidR="004C4623" w:rsidRPr="00DD63B4">
        <w:t>El 1 de enero de 2017 se publicó un comunicado de prensa anunciando la entrada en vigor de la nueva política. La información fue recogida y publicada en diversos periódicos comerciales.</w:t>
      </w:r>
      <w:bookmarkEnd w:id="25"/>
    </w:p>
    <w:p w:rsidR="004C4623" w:rsidRPr="00DD63B4" w:rsidRDefault="004C4623" w:rsidP="005B3B1F">
      <w:pPr>
        <w:pStyle w:val="ListParagraph"/>
        <w:adjustRightInd w:val="0"/>
        <w:snapToGrid w:val="0"/>
        <w:spacing w:before="240" w:after="120" w:line="240" w:lineRule="auto"/>
        <w:ind w:left="0"/>
        <w:contextualSpacing w:val="0"/>
        <w:jc w:val="both"/>
        <w:rPr>
          <w:b/>
          <w:bCs/>
          <w:i/>
          <w:iCs/>
          <w:sz w:val="24"/>
          <w:szCs w:val="24"/>
          <w:lang w:val="es-ES_tradnl"/>
        </w:rPr>
      </w:pPr>
      <w:bookmarkStart w:id="26" w:name="lt_pId049"/>
      <w:r w:rsidRPr="00DD63B4">
        <w:rPr>
          <w:b/>
          <w:bCs/>
          <w:i/>
          <w:iCs/>
          <w:sz w:val="24"/>
          <w:szCs w:val="24"/>
          <w:lang w:val="es-ES_tradnl"/>
        </w:rPr>
        <w:t>Documentos puestos a disposición del público a partir del 1 de enero de 2017</w:t>
      </w:r>
      <w:bookmarkEnd w:id="26"/>
    </w:p>
    <w:p w:rsidR="004C4623" w:rsidRPr="00DD63B4" w:rsidRDefault="00DD63B4" w:rsidP="00DD63B4">
      <w:bookmarkStart w:id="27" w:name="lt_pId050"/>
      <w:r>
        <w:t>2.8</w:t>
      </w:r>
      <w:r>
        <w:tab/>
      </w:r>
      <w:r w:rsidR="004C4623" w:rsidRPr="00DD63B4">
        <w:t>Desde el 1 de enero de 2017, la política se ha aplicado a los documentos entrantes y salientes de las Reuniones Preparatorias Regionales para la CMDT-17, del ciclo de reuniones de los Grupos de Trabajo del Consejo, las reuniones del GAR, GANT y GADT, y la reunión de 2017 del Consejo. Las Cartas Circulares del Secretario General también se han puesto a disposición del público. La política se aplicará a los documentos entrantes y salientes de la CMDT-17 de octubre de 2017.</w:t>
      </w:r>
      <w:bookmarkEnd w:id="27"/>
    </w:p>
    <w:p w:rsidR="004C4623" w:rsidRPr="00DD63B4" w:rsidRDefault="00DD63B4" w:rsidP="00DD63B4">
      <w:bookmarkStart w:id="28" w:name="lt_pId053"/>
      <w:r>
        <w:t>2.9</w:t>
      </w:r>
      <w:r>
        <w:tab/>
      </w:r>
      <w:r w:rsidR="004C4623" w:rsidRPr="00DD63B4">
        <w:t>Se han gestionado en el Sistema de Gestión de Documentos las solicitudes de autores para que se impida el acceso a documentos concretos con arreglo al Artículo 3.2 de la política.</w:t>
      </w:r>
      <w:bookmarkEnd w:id="28"/>
    </w:p>
    <w:p w:rsidR="004C4623" w:rsidRPr="00DD63B4" w:rsidRDefault="004C4623" w:rsidP="005B3B1F">
      <w:pPr>
        <w:pStyle w:val="ListParagraph"/>
        <w:adjustRightInd w:val="0"/>
        <w:snapToGrid w:val="0"/>
        <w:spacing w:before="240" w:after="120" w:line="240" w:lineRule="auto"/>
        <w:ind w:left="0"/>
        <w:contextualSpacing w:val="0"/>
        <w:jc w:val="both"/>
        <w:rPr>
          <w:b/>
          <w:bCs/>
          <w:i/>
          <w:iCs/>
          <w:sz w:val="24"/>
          <w:szCs w:val="24"/>
          <w:lang w:val="es-ES_tradnl"/>
        </w:rPr>
      </w:pPr>
      <w:bookmarkStart w:id="29" w:name="lt_pId054"/>
      <w:r w:rsidRPr="00DD63B4">
        <w:rPr>
          <w:b/>
          <w:bCs/>
          <w:i/>
          <w:iCs/>
          <w:sz w:val="24"/>
          <w:szCs w:val="24"/>
          <w:lang w:val="es-ES_tradnl"/>
        </w:rPr>
        <w:t xml:space="preserve">Solicitudes de acceso recibidas desde el 1 de enero de </w:t>
      </w:r>
      <w:bookmarkEnd w:id="29"/>
      <w:r w:rsidRPr="00DD63B4">
        <w:rPr>
          <w:b/>
          <w:bCs/>
          <w:i/>
          <w:iCs/>
          <w:sz w:val="24"/>
          <w:szCs w:val="24"/>
          <w:lang w:val="es-ES_tradnl"/>
        </w:rPr>
        <w:t>2017</w:t>
      </w:r>
    </w:p>
    <w:p w:rsidR="004C4623" w:rsidRDefault="00DD63B4" w:rsidP="00DD63B4">
      <w:bookmarkStart w:id="30" w:name="lt_pId055"/>
      <w:r>
        <w:t>2.10</w:t>
      </w:r>
      <w:r>
        <w:tab/>
      </w:r>
      <w:r w:rsidR="004C4623" w:rsidRPr="00DD63B4">
        <w:t>Desde el 1 de enero de 2017, se han recibido dos peticiones de documentos por parte del público en general. El equipo encargado de gestionar las solicitudes respondió a ambas peticiones.</w:t>
      </w:r>
      <w:bookmarkEnd w:id="30"/>
    </w:p>
    <w:p w:rsidR="00DD63B4" w:rsidRDefault="00DD63B4" w:rsidP="0032202E">
      <w:pPr>
        <w:pStyle w:val="Reasons"/>
      </w:pPr>
    </w:p>
    <w:p w:rsidR="00DD63B4" w:rsidRDefault="00DD63B4">
      <w:pPr>
        <w:jc w:val="center"/>
      </w:pPr>
      <w:r>
        <w:t>______________</w:t>
      </w:r>
    </w:p>
    <w:sectPr w:rsidR="00DD63B4" w:rsidSect="006710F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623" w:rsidRDefault="004C4623">
      <w:r>
        <w:separator/>
      </w:r>
    </w:p>
  </w:endnote>
  <w:endnote w:type="continuationSeparator" w:id="0">
    <w:p w:rsidR="004C4623" w:rsidRDefault="004C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C049A5" w:rsidRDefault="00C049A5" w:rsidP="00C049A5">
    <w:pPr>
      <w:pStyle w:val="Footer"/>
      <w:rPr>
        <w:szCs w:val="16"/>
        <w:lang w:val="fr-CH"/>
      </w:rPr>
    </w:pPr>
    <w:r w:rsidRPr="00C049A5">
      <w:rPr>
        <w:szCs w:val="16"/>
      </w:rPr>
      <w:fldChar w:fldCharType="begin"/>
    </w:r>
    <w:r w:rsidRPr="00C049A5">
      <w:rPr>
        <w:szCs w:val="16"/>
        <w:lang w:val="fr-CH"/>
      </w:rPr>
      <w:instrText xml:space="preserve"> FILENAME \p  \* MERGEFORMAT </w:instrText>
    </w:r>
    <w:r w:rsidRPr="00C049A5">
      <w:rPr>
        <w:szCs w:val="16"/>
      </w:rPr>
      <w:fldChar w:fldCharType="separate"/>
    </w:r>
    <w:r w:rsidR="00B251FD">
      <w:rPr>
        <w:szCs w:val="16"/>
        <w:lang w:val="fr-CH"/>
      </w:rPr>
      <w:t>P:\ESP\SG\CONSEIL\C17\000\066S.docx</w:t>
    </w:r>
    <w:r w:rsidRPr="00C049A5">
      <w:rPr>
        <w:szCs w:val="16"/>
      </w:rPr>
      <w:fldChar w:fldCharType="end"/>
    </w:r>
    <w:r w:rsidRPr="00C049A5">
      <w:rPr>
        <w:szCs w:val="16"/>
        <w:lang w:val="fr-CH"/>
      </w:rPr>
      <w:t xml:space="preserve"> (413882)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623" w:rsidRDefault="004C4623">
      <w:r>
        <w:t>____________________</w:t>
      </w:r>
    </w:p>
  </w:footnote>
  <w:footnote w:type="continuationSeparator" w:id="0">
    <w:p w:rsidR="004C4623" w:rsidRDefault="004C4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5B06FF">
      <w:rPr>
        <w:noProof/>
      </w:rPr>
      <w:t>3</w:t>
    </w:r>
    <w:r>
      <w:rPr>
        <w:noProof/>
      </w:rPr>
      <w:fldChar w:fldCharType="end"/>
    </w:r>
  </w:p>
  <w:p w:rsidR="00760F1C" w:rsidRDefault="00760F1C" w:rsidP="00C049A5">
    <w:pPr>
      <w:pStyle w:val="Header"/>
    </w:pPr>
    <w:r>
      <w:t>C</w:t>
    </w:r>
    <w:r w:rsidR="007F350B">
      <w:t>1</w:t>
    </w:r>
    <w:r w:rsidR="00B8298E">
      <w:t>7</w:t>
    </w:r>
    <w:r>
      <w:t>/</w:t>
    </w:r>
    <w:r w:rsidR="00C049A5">
      <w:t>66</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439C7"/>
    <w:multiLevelType w:val="multilevel"/>
    <w:tmpl w:val="C5A852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D202A0"/>
    <w:multiLevelType w:val="hybridMultilevel"/>
    <w:tmpl w:val="E49CCE94"/>
    <w:lvl w:ilvl="0" w:tplc="57EEA32A">
      <w:start w:val="1"/>
      <w:numFmt w:val="bullet"/>
      <w:lvlText w:val=""/>
      <w:lvlJc w:val="left"/>
      <w:pPr>
        <w:ind w:left="1440" w:hanging="360"/>
      </w:pPr>
      <w:rPr>
        <w:rFonts w:ascii="Symbol" w:hAnsi="Symbol" w:hint="default"/>
      </w:rPr>
    </w:lvl>
    <w:lvl w:ilvl="1" w:tplc="3550C90E" w:tentative="1">
      <w:start w:val="1"/>
      <w:numFmt w:val="bullet"/>
      <w:lvlText w:val="o"/>
      <w:lvlJc w:val="left"/>
      <w:pPr>
        <w:ind w:left="2160" w:hanging="360"/>
      </w:pPr>
      <w:rPr>
        <w:rFonts w:ascii="Courier New" w:hAnsi="Courier New" w:cs="Courier New" w:hint="default"/>
      </w:rPr>
    </w:lvl>
    <w:lvl w:ilvl="2" w:tplc="D18A3158" w:tentative="1">
      <w:start w:val="1"/>
      <w:numFmt w:val="bullet"/>
      <w:lvlText w:val=""/>
      <w:lvlJc w:val="left"/>
      <w:pPr>
        <w:ind w:left="2880" w:hanging="360"/>
      </w:pPr>
      <w:rPr>
        <w:rFonts w:ascii="Wingdings" w:hAnsi="Wingdings" w:hint="default"/>
      </w:rPr>
    </w:lvl>
    <w:lvl w:ilvl="3" w:tplc="87E86FA2" w:tentative="1">
      <w:start w:val="1"/>
      <w:numFmt w:val="bullet"/>
      <w:lvlText w:val=""/>
      <w:lvlJc w:val="left"/>
      <w:pPr>
        <w:ind w:left="3600" w:hanging="360"/>
      </w:pPr>
      <w:rPr>
        <w:rFonts w:ascii="Symbol" w:hAnsi="Symbol" w:hint="default"/>
      </w:rPr>
    </w:lvl>
    <w:lvl w:ilvl="4" w:tplc="01045A6A" w:tentative="1">
      <w:start w:val="1"/>
      <w:numFmt w:val="bullet"/>
      <w:lvlText w:val="o"/>
      <w:lvlJc w:val="left"/>
      <w:pPr>
        <w:ind w:left="4320" w:hanging="360"/>
      </w:pPr>
      <w:rPr>
        <w:rFonts w:ascii="Courier New" w:hAnsi="Courier New" w:cs="Courier New" w:hint="default"/>
      </w:rPr>
    </w:lvl>
    <w:lvl w:ilvl="5" w:tplc="1D826306" w:tentative="1">
      <w:start w:val="1"/>
      <w:numFmt w:val="bullet"/>
      <w:lvlText w:val=""/>
      <w:lvlJc w:val="left"/>
      <w:pPr>
        <w:ind w:left="5040" w:hanging="360"/>
      </w:pPr>
      <w:rPr>
        <w:rFonts w:ascii="Wingdings" w:hAnsi="Wingdings" w:hint="default"/>
      </w:rPr>
    </w:lvl>
    <w:lvl w:ilvl="6" w:tplc="4970D9E4" w:tentative="1">
      <w:start w:val="1"/>
      <w:numFmt w:val="bullet"/>
      <w:lvlText w:val=""/>
      <w:lvlJc w:val="left"/>
      <w:pPr>
        <w:ind w:left="5760" w:hanging="360"/>
      </w:pPr>
      <w:rPr>
        <w:rFonts w:ascii="Symbol" w:hAnsi="Symbol" w:hint="default"/>
      </w:rPr>
    </w:lvl>
    <w:lvl w:ilvl="7" w:tplc="A07AD4D0" w:tentative="1">
      <w:start w:val="1"/>
      <w:numFmt w:val="bullet"/>
      <w:lvlText w:val="o"/>
      <w:lvlJc w:val="left"/>
      <w:pPr>
        <w:ind w:left="6480" w:hanging="360"/>
      </w:pPr>
      <w:rPr>
        <w:rFonts w:ascii="Courier New" w:hAnsi="Courier New" w:cs="Courier New" w:hint="default"/>
      </w:rPr>
    </w:lvl>
    <w:lvl w:ilvl="8" w:tplc="F1E6A096" w:tentative="1">
      <w:start w:val="1"/>
      <w:numFmt w:val="bullet"/>
      <w:lvlText w:val=""/>
      <w:lvlJc w:val="left"/>
      <w:pPr>
        <w:ind w:left="7200" w:hanging="360"/>
      </w:pPr>
      <w:rPr>
        <w:rFonts w:ascii="Wingdings" w:hAnsi="Wingdings" w:hint="default"/>
      </w:rPr>
    </w:lvl>
  </w:abstractNum>
  <w:abstractNum w:abstractNumId="2" w15:restartNumberingAfterBreak="0">
    <w:nsid w:val="18F51660"/>
    <w:multiLevelType w:val="multilevel"/>
    <w:tmpl w:val="0CA8CA4A"/>
    <w:lvl w:ilvl="0">
      <w:start w:val="1"/>
      <w:numFmt w:val="decimal"/>
      <w:lvlText w:val="%1."/>
      <w:lvlJc w:val="left"/>
      <w:pPr>
        <w:ind w:left="360" w:hanging="360"/>
      </w:pPr>
      <w:rPr>
        <w:rFonts w:hint="default"/>
      </w:rPr>
    </w:lvl>
    <w:lvl w:ilvl="1">
      <w:start w:val="1"/>
      <w:numFmt w:val="decimal"/>
      <w:lvlText w:val="2.%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6510723"/>
    <w:multiLevelType w:val="hybridMultilevel"/>
    <w:tmpl w:val="87B80C1E"/>
    <w:lvl w:ilvl="0" w:tplc="8F505F32">
      <w:start w:val="1"/>
      <w:numFmt w:val="lowerRoman"/>
      <w:lvlText w:val="%1)"/>
      <w:lvlJc w:val="left"/>
      <w:pPr>
        <w:ind w:left="1497" w:hanging="720"/>
      </w:pPr>
      <w:rPr>
        <w:rFonts w:hint="default"/>
      </w:rPr>
    </w:lvl>
    <w:lvl w:ilvl="1" w:tplc="7B82A832" w:tentative="1">
      <w:start w:val="1"/>
      <w:numFmt w:val="lowerLetter"/>
      <w:lvlText w:val="%2."/>
      <w:lvlJc w:val="left"/>
      <w:pPr>
        <w:ind w:left="1857" w:hanging="360"/>
      </w:pPr>
    </w:lvl>
    <w:lvl w:ilvl="2" w:tplc="1690F0BC" w:tentative="1">
      <w:start w:val="1"/>
      <w:numFmt w:val="lowerRoman"/>
      <w:lvlText w:val="%3."/>
      <w:lvlJc w:val="right"/>
      <w:pPr>
        <w:ind w:left="2577" w:hanging="180"/>
      </w:pPr>
    </w:lvl>
    <w:lvl w:ilvl="3" w:tplc="EAC2DB6E" w:tentative="1">
      <w:start w:val="1"/>
      <w:numFmt w:val="decimal"/>
      <w:lvlText w:val="%4."/>
      <w:lvlJc w:val="left"/>
      <w:pPr>
        <w:ind w:left="3297" w:hanging="360"/>
      </w:pPr>
    </w:lvl>
    <w:lvl w:ilvl="4" w:tplc="BB9E199E" w:tentative="1">
      <w:start w:val="1"/>
      <w:numFmt w:val="lowerLetter"/>
      <w:lvlText w:val="%5."/>
      <w:lvlJc w:val="left"/>
      <w:pPr>
        <w:ind w:left="4017" w:hanging="360"/>
      </w:pPr>
    </w:lvl>
    <w:lvl w:ilvl="5" w:tplc="24984214" w:tentative="1">
      <w:start w:val="1"/>
      <w:numFmt w:val="lowerRoman"/>
      <w:lvlText w:val="%6."/>
      <w:lvlJc w:val="right"/>
      <w:pPr>
        <w:ind w:left="4737" w:hanging="180"/>
      </w:pPr>
    </w:lvl>
    <w:lvl w:ilvl="6" w:tplc="4C049456" w:tentative="1">
      <w:start w:val="1"/>
      <w:numFmt w:val="decimal"/>
      <w:lvlText w:val="%7."/>
      <w:lvlJc w:val="left"/>
      <w:pPr>
        <w:ind w:left="5457" w:hanging="360"/>
      </w:pPr>
    </w:lvl>
    <w:lvl w:ilvl="7" w:tplc="0B0ABF6C" w:tentative="1">
      <w:start w:val="1"/>
      <w:numFmt w:val="lowerLetter"/>
      <w:lvlText w:val="%8."/>
      <w:lvlJc w:val="left"/>
      <w:pPr>
        <w:ind w:left="6177" w:hanging="360"/>
      </w:pPr>
    </w:lvl>
    <w:lvl w:ilvl="8" w:tplc="0D70FC94" w:tentative="1">
      <w:start w:val="1"/>
      <w:numFmt w:val="lowerRoman"/>
      <w:lvlText w:val="%9."/>
      <w:lvlJc w:val="right"/>
      <w:pPr>
        <w:ind w:left="6897" w:hanging="180"/>
      </w:pPr>
    </w:lvl>
  </w:abstractNum>
  <w:abstractNum w:abstractNumId="4" w15:restartNumberingAfterBreak="0">
    <w:nsid w:val="47AB2E64"/>
    <w:multiLevelType w:val="multilevel"/>
    <w:tmpl w:val="62ACC5E8"/>
    <w:lvl w:ilvl="0">
      <w:start w:val="1"/>
      <w:numFmt w:val="decimal"/>
      <w:lvlText w:val="%1."/>
      <w:lvlJc w:val="left"/>
      <w:pPr>
        <w:ind w:left="10000" w:hanging="360"/>
      </w:pPr>
      <w:rPr>
        <w:rFonts w:hint="default"/>
      </w:rPr>
    </w:lvl>
    <w:lvl w:ilvl="1">
      <w:start w:val="1"/>
      <w:numFmt w:val="decimal"/>
      <w:isLgl/>
      <w:lvlText w:val="%1.%2"/>
      <w:lvlJc w:val="left"/>
      <w:pPr>
        <w:ind w:left="10000" w:hanging="360"/>
      </w:pPr>
      <w:rPr>
        <w:rFonts w:hint="default"/>
      </w:rPr>
    </w:lvl>
    <w:lvl w:ilvl="2">
      <w:start w:val="1"/>
      <w:numFmt w:val="decimal"/>
      <w:isLgl/>
      <w:lvlText w:val="%1.%2.%3"/>
      <w:lvlJc w:val="left"/>
      <w:pPr>
        <w:ind w:left="10360" w:hanging="720"/>
      </w:pPr>
      <w:rPr>
        <w:rFonts w:hint="default"/>
      </w:rPr>
    </w:lvl>
    <w:lvl w:ilvl="3">
      <w:start w:val="1"/>
      <w:numFmt w:val="decimal"/>
      <w:isLgl/>
      <w:lvlText w:val="%1.%2.%3.%4"/>
      <w:lvlJc w:val="left"/>
      <w:pPr>
        <w:ind w:left="10360" w:hanging="720"/>
      </w:pPr>
      <w:rPr>
        <w:rFonts w:hint="default"/>
      </w:rPr>
    </w:lvl>
    <w:lvl w:ilvl="4">
      <w:start w:val="1"/>
      <w:numFmt w:val="decimal"/>
      <w:isLgl/>
      <w:lvlText w:val="%1.%2.%3.%4.%5"/>
      <w:lvlJc w:val="left"/>
      <w:pPr>
        <w:ind w:left="10720" w:hanging="1080"/>
      </w:pPr>
      <w:rPr>
        <w:rFonts w:hint="default"/>
      </w:rPr>
    </w:lvl>
    <w:lvl w:ilvl="5">
      <w:start w:val="1"/>
      <w:numFmt w:val="decimal"/>
      <w:isLgl/>
      <w:lvlText w:val="%1.%2.%3.%4.%5.%6"/>
      <w:lvlJc w:val="left"/>
      <w:pPr>
        <w:ind w:left="10720" w:hanging="1080"/>
      </w:pPr>
      <w:rPr>
        <w:rFonts w:hint="default"/>
      </w:rPr>
    </w:lvl>
    <w:lvl w:ilvl="6">
      <w:start w:val="1"/>
      <w:numFmt w:val="decimal"/>
      <w:isLgl/>
      <w:lvlText w:val="%1.%2.%3.%4.%5.%6.%7"/>
      <w:lvlJc w:val="left"/>
      <w:pPr>
        <w:ind w:left="11080" w:hanging="1440"/>
      </w:pPr>
      <w:rPr>
        <w:rFonts w:hint="default"/>
      </w:rPr>
    </w:lvl>
    <w:lvl w:ilvl="7">
      <w:start w:val="1"/>
      <w:numFmt w:val="decimal"/>
      <w:isLgl/>
      <w:lvlText w:val="%1.%2.%3.%4.%5.%6.%7.%8"/>
      <w:lvlJc w:val="left"/>
      <w:pPr>
        <w:ind w:left="11080" w:hanging="1440"/>
      </w:pPr>
      <w:rPr>
        <w:rFonts w:hint="default"/>
      </w:rPr>
    </w:lvl>
    <w:lvl w:ilvl="8">
      <w:start w:val="1"/>
      <w:numFmt w:val="decimal"/>
      <w:isLgl/>
      <w:lvlText w:val="%1.%2.%3.%4.%5.%6.%7.%8.%9"/>
      <w:lvlJc w:val="left"/>
      <w:pPr>
        <w:ind w:left="11080" w:hanging="1440"/>
      </w:pPr>
      <w:rPr>
        <w:rFonts w:hint="default"/>
      </w:rPr>
    </w:lvl>
  </w:abstractNum>
  <w:abstractNum w:abstractNumId="5" w15:restartNumberingAfterBreak="0">
    <w:nsid w:val="4ED22651"/>
    <w:multiLevelType w:val="hybridMultilevel"/>
    <w:tmpl w:val="3168E792"/>
    <w:lvl w:ilvl="0" w:tplc="14E26942">
      <w:start w:val="1"/>
      <w:numFmt w:val="bullet"/>
      <w:lvlText w:val=""/>
      <w:lvlJc w:val="left"/>
      <w:pPr>
        <w:ind w:left="1440" w:hanging="360"/>
      </w:pPr>
      <w:rPr>
        <w:rFonts w:ascii="Symbol" w:hAnsi="Symbol" w:hint="default"/>
      </w:rPr>
    </w:lvl>
    <w:lvl w:ilvl="1" w:tplc="801C25D0" w:tentative="1">
      <w:start w:val="1"/>
      <w:numFmt w:val="bullet"/>
      <w:lvlText w:val="o"/>
      <w:lvlJc w:val="left"/>
      <w:pPr>
        <w:ind w:left="2160" w:hanging="360"/>
      </w:pPr>
      <w:rPr>
        <w:rFonts w:ascii="Courier New" w:hAnsi="Courier New" w:cs="Courier New" w:hint="default"/>
      </w:rPr>
    </w:lvl>
    <w:lvl w:ilvl="2" w:tplc="DF96F92C" w:tentative="1">
      <w:start w:val="1"/>
      <w:numFmt w:val="bullet"/>
      <w:lvlText w:val=""/>
      <w:lvlJc w:val="left"/>
      <w:pPr>
        <w:ind w:left="2880" w:hanging="360"/>
      </w:pPr>
      <w:rPr>
        <w:rFonts w:ascii="Wingdings" w:hAnsi="Wingdings" w:hint="default"/>
      </w:rPr>
    </w:lvl>
    <w:lvl w:ilvl="3" w:tplc="997EF622" w:tentative="1">
      <w:start w:val="1"/>
      <w:numFmt w:val="bullet"/>
      <w:lvlText w:val=""/>
      <w:lvlJc w:val="left"/>
      <w:pPr>
        <w:ind w:left="3600" w:hanging="360"/>
      </w:pPr>
      <w:rPr>
        <w:rFonts w:ascii="Symbol" w:hAnsi="Symbol" w:hint="default"/>
      </w:rPr>
    </w:lvl>
    <w:lvl w:ilvl="4" w:tplc="42948A2C" w:tentative="1">
      <w:start w:val="1"/>
      <w:numFmt w:val="bullet"/>
      <w:lvlText w:val="o"/>
      <w:lvlJc w:val="left"/>
      <w:pPr>
        <w:ind w:left="4320" w:hanging="360"/>
      </w:pPr>
      <w:rPr>
        <w:rFonts w:ascii="Courier New" w:hAnsi="Courier New" w:cs="Courier New" w:hint="default"/>
      </w:rPr>
    </w:lvl>
    <w:lvl w:ilvl="5" w:tplc="645CBD36" w:tentative="1">
      <w:start w:val="1"/>
      <w:numFmt w:val="bullet"/>
      <w:lvlText w:val=""/>
      <w:lvlJc w:val="left"/>
      <w:pPr>
        <w:ind w:left="5040" w:hanging="360"/>
      </w:pPr>
      <w:rPr>
        <w:rFonts w:ascii="Wingdings" w:hAnsi="Wingdings" w:hint="default"/>
      </w:rPr>
    </w:lvl>
    <w:lvl w:ilvl="6" w:tplc="5FF84198" w:tentative="1">
      <w:start w:val="1"/>
      <w:numFmt w:val="bullet"/>
      <w:lvlText w:val=""/>
      <w:lvlJc w:val="left"/>
      <w:pPr>
        <w:ind w:left="5760" w:hanging="360"/>
      </w:pPr>
      <w:rPr>
        <w:rFonts w:ascii="Symbol" w:hAnsi="Symbol" w:hint="default"/>
      </w:rPr>
    </w:lvl>
    <w:lvl w:ilvl="7" w:tplc="D444BFCA" w:tentative="1">
      <w:start w:val="1"/>
      <w:numFmt w:val="bullet"/>
      <w:lvlText w:val="o"/>
      <w:lvlJc w:val="left"/>
      <w:pPr>
        <w:ind w:left="6480" w:hanging="360"/>
      </w:pPr>
      <w:rPr>
        <w:rFonts w:ascii="Courier New" w:hAnsi="Courier New" w:cs="Courier New" w:hint="default"/>
      </w:rPr>
    </w:lvl>
    <w:lvl w:ilvl="8" w:tplc="5AAABD52"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623"/>
    <w:rsid w:val="00047B33"/>
    <w:rsid w:val="00093EEB"/>
    <w:rsid w:val="000B0D00"/>
    <w:rsid w:val="000B7C15"/>
    <w:rsid w:val="000D1D0F"/>
    <w:rsid w:val="000F5290"/>
    <w:rsid w:val="0010165C"/>
    <w:rsid w:val="00146BFB"/>
    <w:rsid w:val="001F14A2"/>
    <w:rsid w:val="002801AA"/>
    <w:rsid w:val="002C4676"/>
    <w:rsid w:val="002C70B0"/>
    <w:rsid w:val="002F3CC4"/>
    <w:rsid w:val="00330815"/>
    <w:rsid w:val="004C4623"/>
    <w:rsid w:val="00513630"/>
    <w:rsid w:val="00560125"/>
    <w:rsid w:val="00585553"/>
    <w:rsid w:val="005B06FF"/>
    <w:rsid w:val="005B34D9"/>
    <w:rsid w:val="005D0CCF"/>
    <w:rsid w:val="005F410F"/>
    <w:rsid w:val="0060149A"/>
    <w:rsid w:val="00601924"/>
    <w:rsid w:val="006447EA"/>
    <w:rsid w:val="0064731F"/>
    <w:rsid w:val="006710F6"/>
    <w:rsid w:val="006C1B56"/>
    <w:rsid w:val="006D4761"/>
    <w:rsid w:val="00726872"/>
    <w:rsid w:val="00760F1C"/>
    <w:rsid w:val="007657F0"/>
    <w:rsid w:val="0077252D"/>
    <w:rsid w:val="007E5DD3"/>
    <w:rsid w:val="007F350B"/>
    <w:rsid w:val="00820BE4"/>
    <w:rsid w:val="008451E8"/>
    <w:rsid w:val="008C6363"/>
    <w:rsid w:val="00913B9C"/>
    <w:rsid w:val="00956E77"/>
    <w:rsid w:val="00AA390C"/>
    <w:rsid w:val="00AA528F"/>
    <w:rsid w:val="00B0200A"/>
    <w:rsid w:val="00B251FD"/>
    <w:rsid w:val="00B574DB"/>
    <w:rsid w:val="00B826C2"/>
    <w:rsid w:val="00B8298E"/>
    <w:rsid w:val="00BD0723"/>
    <w:rsid w:val="00BD2518"/>
    <w:rsid w:val="00BF1D1C"/>
    <w:rsid w:val="00C049A5"/>
    <w:rsid w:val="00C20C59"/>
    <w:rsid w:val="00C55B1F"/>
    <w:rsid w:val="00CF1A67"/>
    <w:rsid w:val="00D2750E"/>
    <w:rsid w:val="00D62446"/>
    <w:rsid w:val="00DA4EA2"/>
    <w:rsid w:val="00DC3D3E"/>
    <w:rsid w:val="00DD63B4"/>
    <w:rsid w:val="00DE2C90"/>
    <w:rsid w:val="00DE3B24"/>
    <w:rsid w:val="00E06947"/>
    <w:rsid w:val="00E3592D"/>
    <w:rsid w:val="00E92DE8"/>
    <w:rsid w:val="00EB1212"/>
    <w:rsid w:val="00ED65AB"/>
    <w:rsid w:val="00F12850"/>
    <w:rsid w:val="00F33BF4"/>
    <w:rsid w:val="00F7105E"/>
    <w:rsid w:val="00F75F57"/>
    <w:rsid w:val="00F82FEE"/>
    <w:rsid w:val="00FC7957"/>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F32DDC3-0918-4251-8E54-F1746ECA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4C4623"/>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access-policy/Documents/ITU-Information-access-policy-en.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access-poli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ccess@itu.int" TargetMode="External"/><Relationship Id="rId4" Type="http://schemas.openxmlformats.org/officeDocument/2006/relationships/webSettings" Target="webSettings.xml"/><Relationship Id="rId9" Type="http://schemas.openxmlformats.org/officeDocument/2006/relationships/hyperlink" Target="http://www.itu.int/md/S15-CLCWGFHRM4-C-0019/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73</TotalTime>
  <Pages>3</Pages>
  <Words>1121</Words>
  <Characters>5944</Characters>
  <Application>Microsoft Office Word</Application>
  <DocSecurity>0</DocSecurity>
  <Lines>49</Lines>
  <Paragraphs>14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7051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Spanish</cp:lastModifiedBy>
  <cp:revision>10</cp:revision>
  <cp:lastPrinted>2006-03-24T09:51:00Z</cp:lastPrinted>
  <dcterms:created xsi:type="dcterms:W3CDTF">2017-05-02T08:06:00Z</dcterms:created>
  <dcterms:modified xsi:type="dcterms:W3CDTF">2017-05-02T10:45:00Z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