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E680E">
        <w:trPr>
          <w:cantSplit/>
        </w:trPr>
        <w:tc>
          <w:tcPr>
            <w:tcW w:w="6912" w:type="dxa"/>
          </w:tcPr>
          <w:p w:rsidR="00093EEB" w:rsidRPr="005E680E" w:rsidRDefault="00093EEB" w:rsidP="00093EEB">
            <w:pPr>
              <w:spacing w:before="360"/>
              <w:rPr>
                <w:szCs w:val="24"/>
              </w:rPr>
            </w:pPr>
            <w:bookmarkStart w:id="0" w:name="dc06"/>
            <w:bookmarkStart w:id="1" w:name="dbluepink" w:colFirst="0" w:colLast="0"/>
            <w:bookmarkEnd w:id="0"/>
            <w:r w:rsidRPr="005E680E">
              <w:rPr>
                <w:b/>
                <w:bCs/>
                <w:sz w:val="30"/>
                <w:szCs w:val="30"/>
              </w:rPr>
              <w:t>Consejo 2017</w:t>
            </w:r>
            <w:r w:rsidRPr="005E680E">
              <w:rPr>
                <w:b/>
                <w:bCs/>
                <w:sz w:val="26"/>
                <w:szCs w:val="26"/>
              </w:rPr>
              <w:br/>
            </w:r>
            <w:r w:rsidRPr="005E680E">
              <w:rPr>
                <w:b/>
                <w:bCs/>
                <w:szCs w:val="24"/>
              </w:rPr>
              <w:t>Ginebra, 15-25 de mayo de 2017</w:t>
            </w:r>
          </w:p>
        </w:tc>
        <w:tc>
          <w:tcPr>
            <w:tcW w:w="3261" w:type="dxa"/>
          </w:tcPr>
          <w:p w:rsidR="00093EEB" w:rsidRPr="005E680E" w:rsidRDefault="00093EEB" w:rsidP="00093EEB">
            <w:pPr>
              <w:spacing w:before="0"/>
              <w:jc w:val="right"/>
              <w:rPr>
                <w:szCs w:val="24"/>
              </w:rPr>
            </w:pPr>
            <w:bookmarkStart w:id="2" w:name="ditulogo"/>
            <w:bookmarkEnd w:id="2"/>
            <w:r w:rsidRPr="005E680E">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5E680E">
        <w:trPr>
          <w:cantSplit/>
          <w:trHeight w:val="20"/>
        </w:trPr>
        <w:tc>
          <w:tcPr>
            <w:tcW w:w="10173" w:type="dxa"/>
            <w:gridSpan w:val="2"/>
            <w:tcBorders>
              <w:bottom w:val="single" w:sz="12" w:space="0" w:color="auto"/>
            </w:tcBorders>
          </w:tcPr>
          <w:p w:rsidR="00093EEB" w:rsidRPr="005E680E" w:rsidRDefault="00093EEB">
            <w:pPr>
              <w:spacing w:before="0"/>
              <w:rPr>
                <w:b/>
                <w:bCs/>
                <w:szCs w:val="24"/>
              </w:rPr>
            </w:pPr>
          </w:p>
        </w:tc>
      </w:tr>
      <w:tr w:rsidR="00093EEB" w:rsidRPr="005E680E">
        <w:trPr>
          <w:cantSplit/>
          <w:trHeight w:val="20"/>
        </w:trPr>
        <w:tc>
          <w:tcPr>
            <w:tcW w:w="6912" w:type="dxa"/>
            <w:tcBorders>
              <w:top w:val="single" w:sz="12" w:space="0" w:color="auto"/>
            </w:tcBorders>
          </w:tcPr>
          <w:p w:rsidR="00093EEB" w:rsidRPr="005E680E"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5E680E" w:rsidRDefault="00093EEB">
            <w:pPr>
              <w:spacing w:before="0"/>
              <w:rPr>
                <w:b/>
                <w:bCs/>
                <w:szCs w:val="24"/>
              </w:rPr>
            </w:pPr>
          </w:p>
        </w:tc>
      </w:tr>
      <w:tr w:rsidR="00093EEB" w:rsidRPr="005E680E">
        <w:trPr>
          <w:cantSplit/>
          <w:trHeight w:val="20"/>
        </w:trPr>
        <w:tc>
          <w:tcPr>
            <w:tcW w:w="6912" w:type="dxa"/>
            <w:shd w:val="clear" w:color="auto" w:fill="auto"/>
          </w:tcPr>
          <w:p w:rsidR="00093EEB" w:rsidRPr="005E680E" w:rsidRDefault="001E4C6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E680E">
              <w:rPr>
                <w:b/>
              </w:rPr>
              <w:t>Punto del orden del día: ADM 9</w:t>
            </w:r>
          </w:p>
        </w:tc>
        <w:tc>
          <w:tcPr>
            <w:tcW w:w="3261" w:type="dxa"/>
          </w:tcPr>
          <w:p w:rsidR="00093EEB" w:rsidRPr="005E680E" w:rsidRDefault="00093EEB" w:rsidP="001E4C6B">
            <w:pPr>
              <w:spacing w:before="0"/>
              <w:rPr>
                <w:b/>
                <w:bCs/>
                <w:szCs w:val="24"/>
              </w:rPr>
            </w:pPr>
            <w:r w:rsidRPr="005E680E">
              <w:rPr>
                <w:b/>
                <w:bCs/>
                <w:szCs w:val="24"/>
              </w:rPr>
              <w:t>Documento C17/</w:t>
            </w:r>
            <w:r w:rsidR="001E4C6B" w:rsidRPr="005E680E">
              <w:rPr>
                <w:b/>
                <w:bCs/>
                <w:szCs w:val="24"/>
              </w:rPr>
              <w:t>73</w:t>
            </w:r>
            <w:r w:rsidRPr="005E680E">
              <w:rPr>
                <w:b/>
                <w:bCs/>
                <w:szCs w:val="24"/>
              </w:rPr>
              <w:t>-S</w:t>
            </w:r>
          </w:p>
        </w:tc>
      </w:tr>
      <w:tr w:rsidR="00093EEB" w:rsidRPr="005E680E">
        <w:trPr>
          <w:cantSplit/>
          <w:trHeight w:val="20"/>
        </w:trPr>
        <w:tc>
          <w:tcPr>
            <w:tcW w:w="6912" w:type="dxa"/>
            <w:shd w:val="clear" w:color="auto" w:fill="auto"/>
          </w:tcPr>
          <w:p w:rsidR="00093EEB" w:rsidRPr="005E680E"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5E680E" w:rsidRDefault="001E4C6B" w:rsidP="00093EEB">
            <w:pPr>
              <w:spacing w:before="0"/>
              <w:rPr>
                <w:b/>
                <w:bCs/>
                <w:szCs w:val="24"/>
              </w:rPr>
            </w:pPr>
            <w:r w:rsidRPr="005E680E">
              <w:rPr>
                <w:b/>
              </w:rPr>
              <w:t xml:space="preserve">31 de marzo </w:t>
            </w:r>
            <w:r w:rsidR="00093EEB" w:rsidRPr="005E680E">
              <w:rPr>
                <w:b/>
                <w:bCs/>
                <w:szCs w:val="24"/>
              </w:rPr>
              <w:t>de 2017</w:t>
            </w:r>
          </w:p>
        </w:tc>
      </w:tr>
      <w:tr w:rsidR="00093EEB" w:rsidRPr="005E680E">
        <w:trPr>
          <w:cantSplit/>
          <w:trHeight w:val="20"/>
        </w:trPr>
        <w:tc>
          <w:tcPr>
            <w:tcW w:w="6912" w:type="dxa"/>
            <w:shd w:val="clear" w:color="auto" w:fill="auto"/>
          </w:tcPr>
          <w:p w:rsidR="00093EEB" w:rsidRPr="005E680E" w:rsidRDefault="00093EEB">
            <w:pPr>
              <w:shd w:val="solid" w:color="FFFFFF" w:fill="FFFFFF"/>
              <w:spacing w:before="0"/>
              <w:rPr>
                <w:smallCaps/>
                <w:szCs w:val="24"/>
              </w:rPr>
            </w:pPr>
            <w:bookmarkStart w:id="6" w:name="dorlang" w:colFirst="1" w:colLast="1"/>
            <w:bookmarkEnd w:id="5"/>
          </w:p>
        </w:tc>
        <w:tc>
          <w:tcPr>
            <w:tcW w:w="3261" w:type="dxa"/>
          </w:tcPr>
          <w:p w:rsidR="00093EEB" w:rsidRPr="005E680E" w:rsidRDefault="00093EEB" w:rsidP="00093EEB">
            <w:pPr>
              <w:spacing w:before="0"/>
              <w:rPr>
                <w:b/>
                <w:bCs/>
                <w:szCs w:val="24"/>
              </w:rPr>
            </w:pPr>
            <w:r w:rsidRPr="005E680E">
              <w:rPr>
                <w:b/>
                <w:bCs/>
                <w:szCs w:val="24"/>
              </w:rPr>
              <w:t>Original: inglés</w:t>
            </w:r>
          </w:p>
        </w:tc>
      </w:tr>
      <w:tr w:rsidR="00093EEB" w:rsidRPr="005E680E">
        <w:trPr>
          <w:cantSplit/>
        </w:trPr>
        <w:tc>
          <w:tcPr>
            <w:tcW w:w="10173" w:type="dxa"/>
            <w:gridSpan w:val="2"/>
          </w:tcPr>
          <w:p w:rsidR="00093EEB" w:rsidRPr="005E680E" w:rsidRDefault="001E4C6B">
            <w:pPr>
              <w:pStyle w:val="Source"/>
            </w:pPr>
            <w:bookmarkStart w:id="7" w:name="dsource" w:colFirst="0" w:colLast="0"/>
            <w:bookmarkEnd w:id="1"/>
            <w:bookmarkEnd w:id="6"/>
            <w:r w:rsidRPr="005E680E">
              <w:t>Informe del Secretario General</w:t>
            </w:r>
          </w:p>
        </w:tc>
      </w:tr>
      <w:tr w:rsidR="00093EEB" w:rsidRPr="005E680E">
        <w:trPr>
          <w:cantSplit/>
        </w:trPr>
        <w:tc>
          <w:tcPr>
            <w:tcW w:w="10173" w:type="dxa"/>
            <w:gridSpan w:val="2"/>
          </w:tcPr>
          <w:p w:rsidR="00093EEB" w:rsidRPr="005E680E" w:rsidRDefault="001E4C6B">
            <w:pPr>
              <w:pStyle w:val="Title1"/>
            </w:pPr>
            <w:bookmarkStart w:id="8" w:name="dtitle1" w:colFirst="0" w:colLast="0"/>
            <w:bookmarkEnd w:id="7"/>
            <w:r w:rsidRPr="005E680E">
              <w:t>Proyecto de política de gestión de riesgos en la UIT</w:t>
            </w:r>
          </w:p>
        </w:tc>
      </w:tr>
      <w:bookmarkEnd w:id="8"/>
    </w:tbl>
    <w:p w:rsidR="00093EEB" w:rsidRPr="005E680E"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5E680E">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5E680E" w:rsidRDefault="00093EEB">
            <w:pPr>
              <w:pStyle w:val="Headingb"/>
            </w:pPr>
            <w:r w:rsidRPr="005E680E">
              <w:t>Resumen</w:t>
            </w:r>
          </w:p>
          <w:p w:rsidR="001E4C6B" w:rsidRPr="005E680E" w:rsidRDefault="001E4C6B" w:rsidP="001E4C6B">
            <w:pPr>
              <w:jc w:val="both"/>
            </w:pPr>
            <w:r w:rsidRPr="005E680E">
              <w:t>En virtud de las Resoluciones 151, 71 y 72 de la PP, así como de las recomendaciones del Comité Asesor Independiente sobre la Gestión (CAIG) y de la</w:t>
            </w:r>
            <w:r w:rsidR="005E680E">
              <w:t xml:space="preserve"> </w:t>
            </w:r>
            <w:r w:rsidRPr="005E680E">
              <w:t xml:space="preserve">Dependencia Común de Inspección de las Naciones Unidas (DCI), </w:t>
            </w:r>
            <w:r w:rsidR="00737474" w:rsidRPr="005E680E">
              <w:t xml:space="preserve">la </w:t>
            </w:r>
            <w:r w:rsidRPr="005E680E">
              <w:t>UIT está poniendo en marcha un marco de gestión sistemática de riesgos, un proceso de mejora continua de sus prácticas de gestión para mejorar la eficiencia, la transparencia y la rendición de cuentas.</w:t>
            </w:r>
          </w:p>
          <w:p w:rsidR="00093EEB" w:rsidRPr="005E680E" w:rsidRDefault="001E4C6B" w:rsidP="00737474">
            <w:r w:rsidRPr="005E680E">
              <w:t>En el presente documento se presenta el proyecto de declaración de política de gestión de riesgos en la UIT, que complementa el proyecto de política de gestión de riesgos en la UIT descrito en el Doc</w:t>
            </w:r>
            <w:r w:rsidR="00737474">
              <w:t>umento</w:t>
            </w:r>
            <w:r w:rsidRPr="005E680E">
              <w:t xml:space="preserve"> C17/74.</w:t>
            </w:r>
          </w:p>
          <w:p w:rsidR="00093EEB" w:rsidRPr="005E680E" w:rsidRDefault="00093EEB">
            <w:pPr>
              <w:pStyle w:val="Headingb"/>
            </w:pPr>
            <w:r w:rsidRPr="005E680E">
              <w:t>Acción solicitada</w:t>
            </w:r>
          </w:p>
          <w:p w:rsidR="00093EEB" w:rsidRPr="005E680E" w:rsidRDefault="001E4C6B">
            <w:r w:rsidRPr="005E680E">
              <w:rPr>
                <w:szCs w:val="24"/>
              </w:rPr>
              <w:t xml:space="preserve">Se invita al Consejo a </w:t>
            </w:r>
            <w:r w:rsidRPr="005E680E">
              <w:rPr>
                <w:b/>
                <w:szCs w:val="24"/>
              </w:rPr>
              <w:t xml:space="preserve">examinar </w:t>
            </w:r>
            <w:r w:rsidRPr="005E680E">
              <w:rPr>
                <w:bCs/>
                <w:szCs w:val="24"/>
              </w:rPr>
              <w:t xml:space="preserve">y </w:t>
            </w:r>
            <w:r w:rsidRPr="005E680E">
              <w:rPr>
                <w:b/>
                <w:szCs w:val="24"/>
              </w:rPr>
              <w:t xml:space="preserve">refrendar </w:t>
            </w:r>
            <w:r w:rsidRPr="00EF1D79">
              <w:rPr>
                <w:bCs/>
                <w:szCs w:val="24"/>
              </w:rPr>
              <w:t>el proyecto de</w:t>
            </w:r>
            <w:r w:rsidRPr="005E680E">
              <w:rPr>
                <w:b/>
                <w:szCs w:val="24"/>
              </w:rPr>
              <w:t xml:space="preserve"> </w:t>
            </w:r>
            <w:r w:rsidRPr="005E680E">
              <w:t>política de gestión de riesgos en la UIT</w:t>
            </w:r>
            <w:r w:rsidRPr="005E680E">
              <w:rPr>
                <w:szCs w:val="24"/>
              </w:rPr>
              <w:t>.</w:t>
            </w:r>
          </w:p>
          <w:p w:rsidR="00093EEB" w:rsidRPr="005E680E" w:rsidRDefault="00093EEB">
            <w:pPr>
              <w:pStyle w:val="Table"/>
              <w:keepNext w:val="0"/>
              <w:spacing w:before="0" w:after="0"/>
              <w:rPr>
                <w:caps w:val="0"/>
                <w:sz w:val="22"/>
                <w:lang w:val="es-ES_tradnl"/>
              </w:rPr>
            </w:pPr>
            <w:r w:rsidRPr="005E680E">
              <w:rPr>
                <w:caps w:val="0"/>
                <w:sz w:val="22"/>
                <w:lang w:val="es-ES_tradnl"/>
              </w:rPr>
              <w:t>____________</w:t>
            </w:r>
          </w:p>
          <w:p w:rsidR="00093EEB" w:rsidRPr="005E680E" w:rsidRDefault="00093EEB">
            <w:pPr>
              <w:pStyle w:val="Headingb"/>
            </w:pPr>
            <w:r w:rsidRPr="005E680E">
              <w:t>Referencia</w:t>
            </w:r>
          </w:p>
          <w:p w:rsidR="00093EEB" w:rsidRPr="005E680E" w:rsidRDefault="001E4C6B" w:rsidP="001E4C6B">
            <w:pPr>
              <w:spacing w:after="120"/>
              <w:rPr>
                <w:i/>
                <w:iCs/>
              </w:rPr>
            </w:pPr>
            <w:r w:rsidRPr="005E680E">
              <w:rPr>
                <w:bCs/>
                <w:i/>
                <w:iCs/>
                <w:szCs w:val="24"/>
              </w:rPr>
              <w:t xml:space="preserve">Resoluciones </w:t>
            </w:r>
            <w:r w:rsidRPr="005E680E">
              <w:fldChar w:fldCharType="begin"/>
            </w:r>
            <w:r w:rsidR="00EF1D79">
              <w:instrText>HYPERLINK "http://web.itu.int/dms_pub/itu-s/opb/conf/S-CONF-ACTF-2014-MSW-S.docx"</w:instrText>
            </w:r>
            <w:r w:rsidRPr="005E680E">
              <w:fldChar w:fldCharType="separate"/>
            </w:r>
            <w:r w:rsidRPr="005E680E">
              <w:rPr>
                <w:rStyle w:val="Hyperlink"/>
                <w:bCs/>
                <w:i/>
                <w:iCs/>
                <w:szCs w:val="24"/>
              </w:rPr>
              <w:t>7</w:t>
            </w:r>
            <w:r w:rsidRPr="005E680E">
              <w:rPr>
                <w:rStyle w:val="Hyperlink"/>
                <w:bCs/>
                <w:i/>
                <w:iCs/>
                <w:szCs w:val="24"/>
              </w:rPr>
              <w:t>1</w:t>
            </w:r>
            <w:r w:rsidRPr="005E680E">
              <w:rPr>
                <w:rStyle w:val="Hyperlink"/>
                <w:bCs/>
                <w:i/>
                <w:iCs/>
                <w:szCs w:val="24"/>
              </w:rPr>
              <w:fldChar w:fldCharType="end"/>
            </w:r>
            <w:r w:rsidRPr="00737474">
              <w:t xml:space="preserve"> </w:t>
            </w:r>
            <w:r w:rsidRPr="005E680E">
              <w:rPr>
                <w:bCs/>
                <w:i/>
                <w:iCs/>
                <w:szCs w:val="24"/>
              </w:rPr>
              <w:t xml:space="preserve">(Rev. Busán, 2014), </w:t>
            </w:r>
            <w:r w:rsidRPr="005E680E">
              <w:fldChar w:fldCharType="begin"/>
            </w:r>
            <w:r w:rsidR="00EF1D79">
              <w:instrText>HYPERLINK "http://web.itu.int/dms_pub/itu-s/opb/conf/S-CONF-ACTF-2014-MSW-S.docx"</w:instrText>
            </w:r>
            <w:r w:rsidRPr="005E680E">
              <w:fldChar w:fldCharType="separate"/>
            </w:r>
            <w:r w:rsidRPr="005E680E">
              <w:rPr>
                <w:rStyle w:val="Hyperlink"/>
                <w:bCs/>
                <w:i/>
                <w:iCs/>
                <w:szCs w:val="24"/>
              </w:rPr>
              <w:t>7</w:t>
            </w:r>
            <w:r w:rsidRPr="005E680E">
              <w:rPr>
                <w:rStyle w:val="Hyperlink"/>
                <w:bCs/>
                <w:i/>
                <w:iCs/>
                <w:szCs w:val="24"/>
              </w:rPr>
              <w:t>2</w:t>
            </w:r>
            <w:r w:rsidRPr="005E680E">
              <w:rPr>
                <w:rStyle w:val="Hyperlink"/>
                <w:bCs/>
                <w:i/>
                <w:iCs/>
                <w:szCs w:val="24"/>
              </w:rPr>
              <w:fldChar w:fldCharType="end"/>
            </w:r>
            <w:r w:rsidRPr="005E680E">
              <w:rPr>
                <w:bCs/>
                <w:i/>
                <w:iCs/>
                <w:szCs w:val="24"/>
              </w:rPr>
              <w:t xml:space="preserve"> (Rev. Busán, 2014) y </w:t>
            </w:r>
            <w:hyperlink r:id="rId8" w:history="1">
              <w:r w:rsidRPr="005E680E">
                <w:rPr>
                  <w:rStyle w:val="Hyperlink"/>
                  <w:bCs/>
                  <w:i/>
                  <w:iCs/>
                  <w:szCs w:val="24"/>
                </w:rPr>
                <w:t>151</w:t>
              </w:r>
            </w:hyperlink>
            <w:r w:rsidRPr="005E680E">
              <w:rPr>
                <w:bCs/>
                <w:i/>
                <w:iCs/>
                <w:szCs w:val="24"/>
              </w:rPr>
              <w:t xml:space="preserve"> (Rev. Busán, 2014) de la PP; </w:t>
            </w:r>
            <w:r w:rsidR="00737474" w:rsidRPr="005E680E">
              <w:rPr>
                <w:bCs/>
                <w:i/>
                <w:iCs/>
                <w:szCs w:val="24"/>
              </w:rPr>
              <w:t xml:space="preserve">examen </w:t>
            </w:r>
            <w:r w:rsidRPr="005E680E">
              <w:rPr>
                <w:bCs/>
                <w:i/>
                <w:iCs/>
                <w:szCs w:val="24"/>
              </w:rPr>
              <w:t>de la DCI de la gestión y administración en la UIT (</w:t>
            </w:r>
            <w:hyperlink r:id="rId9" w:history="1">
              <w:r w:rsidRPr="005E680E">
                <w:rPr>
                  <w:rStyle w:val="Hyperlink"/>
                  <w:bCs/>
                  <w:i/>
                  <w:iCs/>
                  <w:szCs w:val="24"/>
                </w:rPr>
                <w:t>JIU/2</w:t>
              </w:r>
              <w:bookmarkStart w:id="9" w:name="_GoBack"/>
              <w:bookmarkEnd w:id="9"/>
              <w:r w:rsidRPr="005E680E">
                <w:rPr>
                  <w:rStyle w:val="Hyperlink"/>
                  <w:bCs/>
                  <w:i/>
                  <w:iCs/>
                  <w:szCs w:val="24"/>
                </w:rPr>
                <w:t>0</w:t>
              </w:r>
              <w:r w:rsidRPr="005E680E">
                <w:rPr>
                  <w:rStyle w:val="Hyperlink"/>
                  <w:bCs/>
                  <w:i/>
                  <w:iCs/>
                  <w:szCs w:val="24"/>
                </w:rPr>
                <w:t>1</w:t>
              </w:r>
              <w:r w:rsidRPr="005E680E">
                <w:rPr>
                  <w:rStyle w:val="Hyperlink"/>
                  <w:bCs/>
                  <w:i/>
                  <w:iCs/>
                  <w:szCs w:val="24"/>
                </w:rPr>
                <w:t>6/1</w:t>
              </w:r>
            </w:hyperlink>
            <w:r w:rsidRPr="005E680E">
              <w:rPr>
                <w:bCs/>
                <w:i/>
                <w:iCs/>
                <w:szCs w:val="24"/>
              </w:rPr>
              <w:t xml:space="preserve">); </w:t>
            </w:r>
            <w:hyperlink r:id="rId10" w:history="1">
              <w:r w:rsidRPr="005E680E">
                <w:rPr>
                  <w:rStyle w:val="Hyperlink"/>
                  <w:bCs/>
                  <w:i/>
                  <w:iCs/>
                  <w:szCs w:val="24"/>
                </w:rPr>
                <w:t>C1</w:t>
              </w:r>
              <w:r w:rsidRPr="005E680E">
                <w:rPr>
                  <w:rStyle w:val="Hyperlink"/>
                  <w:bCs/>
                  <w:i/>
                  <w:iCs/>
                  <w:szCs w:val="24"/>
                </w:rPr>
                <w:t>7</w:t>
              </w:r>
              <w:r w:rsidRPr="005E680E">
                <w:rPr>
                  <w:rStyle w:val="Hyperlink"/>
                  <w:bCs/>
                  <w:i/>
                  <w:iCs/>
                  <w:szCs w:val="24"/>
                </w:rPr>
                <w:t>/</w:t>
              </w:r>
              <w:r w:rsidRPr="005E680E">
                <w:rPr>
                  <w:rStyle w:val="Hyperlink"/>
                  <w:bCs/>
                  <w:i/>
                  <w:iCs/>
                  <w:szCs w:val="24"/>
                </w:rPr>
                <w:t>74</w:t>
              </w:r>
            </w:hyperlink>
          </w:p>
        </w:tc>
      </w:tr>
    </w:tbl>
    <w:p w:rsidR="001E4C6B" w:rsidRPr="005E680E" w:rsidRDefault="001E4C6B" w:rsidP="001E4C6B">
      <w:pPr>
        <w:pStyle w:val="Heading1"/>
        <w:rPr>
          <w:lang w:eastAsia="en-AU"/>
        </w:rPr>
      </w:pPr>
      <w:r w:rsidRPr="005E680E">
        <w:rPr>
          <w:lang w:eastAsia="en-AU"/>
        </w:rPr>
        <w:t>1</w:t>
      </w:r>
      <w:r w:rsidRPr="005E680E">
        <w:rPr>
          <w:lang w:eastAsia="en-AU"/>
        </w:rPr>
        <w:tab/>
      </w:r>
      <w:r w:rsidRPr="005E680E">
        <w:rPr>
          <w:lang w:eastAsia="en-AU"/>
        </w:rPr>
        <w:t>Introducción</w:t>
      </w:r>
    </w:p>
    <w:p w:rsidR="001E4C6B" w:rsidRPr="005E680E" w:rsidRDefault="001E4C6B" w:rsidP="001E4C6B">
      <w:r w:rsidRPr="005E680E">
        <w:t>En el presente documento se describe el nivel y tipo de riesgo que la UIT está dispuesta a asumir para alcanzar sus metas y objetivos estratégicos – comprendida tanto la asunción de riesgos de la organización como su tolerancia a riesgos.</w:t>
      </w:r>
    </w:p>
    <w:p w:rsidR="001E4C6B" w:rsidRPr="005E680E" w:rsidRDefault="001E4C6B" w:rsidP="001A0767">
      <w:r w:rsidRPr="005E680E">
        <w:t>En esta declaración se reconoce que las actividades en las que la organización participa tienen distintos niveles de riesgos. Es importante subrayar que las actividades de riesgo más elevado sólo se llevarán a cabo si los beneficios compens</w:t>
      </w:r>
      <w:r w:rsidR="001A0767">
        <w:t>a</w:t>
      </w:r>
      <w:r w:rsidRPr="005E680E">
        <w:t>n los costes y no aument</w:t>
      </w:r>
      <w:r w:rsidR="001A0767">
        <w:t>a</w:t>
      </w:r>
      <w:r w:rsidRPr="005E680E">
        <w:t>n el riesgo hasta un nivel inaceptable que pueda poner en peligro el cumplimiento de las metas y los objetivos estratégicos de la organización.</w:t>
      </w:r>
    </w:p>
    <w:p w:rsidR="001E4C6B" w:rsidRPr="005E680E" w:rsidRDefault="001E4C6B" w:rsidP="001E4C6B">
      <w:r w:rsidRPr="005E680E">
        <w:lastRenderedPageBreak/>
        <w:t>La declaración de asunción de riesgos que figura a continuación</w:t>
      </w:r>
      <w:r w:rsidR="005E680E">
        <w:t xml:space="preserve"> </w:t>
      </w:r>
      <w:r w:rsidRPr="005E680E">
        <w:t>se ha preparado en consonancia con la política de gestión de riesgos de la UIT, que se basa en el marco estratégico de la UIT adoptado por los Estados Miembros en la Resolución 71 (Rev. Busán, 2014), Anexo 2.</w:t>
      </w:r>
    </w:p>
    <w:p w:rsidR="001E4C6B" w:rsidRPr="005E680E" w:rsidRDefault="001E4C6B" w:rsidP="001E4C6B">
      <w:r w:rsidRPr="005E680E">
        <w:t>En 2016-2019, la UIT procurará cumplir su misión a través de las cuatro metas siguientes:</w:t>
      </w:r>
    </w:p>
    <w:p w:rsidR="001E4C6B" w:rsidRPr="005E680E" w:rsidRDefault="001E4C6B" w:rsidP="001E4C6B">
      <w:pPr>
        <w:pStyle w:val="enumlev1"/>
      </w:pPr>
      <w:r w:rsidRPr="005E680E">
        <w:t>–</w:t>
      </w:r>
      <w:r w:rsidRPr="005E680E">
        <w:tab/>
        <w:t>Meta</w:t>
      </w:r>
      <w:r w:rsidR="005E680E">
        <w:t xml:space="preserve"> 1: </w:t>
      </w:r>
      <w:r w:rsidRPr="005E680E">
        <w:t>Crecimiento – Permitir y fomentar el acceso a las telecomunicaciones/TIC y aumentar su utilización;</w:t>
      </w:r>
    </w:p>
    <w:p w:rsidR="001E4C6B" w:rsidRPr="005E680E" w:rsidRDefault="001E4C6B" w:rsidP="001E4C6B">
      <w:pPr>
        <w:pStyle w:val="enumlev1"/>
      </w:pPr>
      <w:r w:rsidRPr="005E680E">
        <w:t>–</w:t>
      </w:r>
      <w:r w:rsidRPr="005E680E">
        <w:tab/>
        <w:t xml:space="preserve">Meta </w:t>
      </w:r>
      <w:r w:rsidR="005E680E">
        <w:t xml:space="preserve">2: </w:t>
      </w:r>
      <w:r w:rsidRPr="005E680E">
        <w:t>Integración – Reducir la brecha digital y lograr el acceso universal a la banda ancha;</w:t>
      </w:r>
    </w:p>
    <w:p w:rsidR="001E4C6B" w:rsidRPr="005E680E" w:rsidRDefault="001E4C6B" w:rsidP="001E4C6B">
      <w:pPr>
        <w:pStyle w:val="enumlev1"/>
      </w:pPr>
      <w:r w:rsidRPr="005E680E">
        <w:t>–</w:t>
      </w:r>
      <w:r w:rsidRPr="005E680E">
        <w:tab/>
        <w:t xml:space="preserve">Meta </w:t>
      </w:r>
      <w:r w:rsidR="005E680E">
        <w:t xml:space="preserve">3: </w:t>
      </w:r>
      <w:r w:rsidRPr="005E680E">
        <w:t>Sostenibilidad – Resolver las dificultades que plantee el desarrollo de las telecomunicaciones/TIC;</w:t>
      </w:r>
    </w:p>
    <w:p w:rsidR="001E4C6B" w:rsidRPr="005E680E" w:rsidRDefault="001E4C6B" w:rsidP="001E4C6B">
      <w:pPr>
        <w:pStyle w:val="enumlev1"/>
      </w:pPr>
      <w:r w:rsidRPr="005E680E">
        <w:t>–</w:t>
      </w:r>
      <w:r w:rsidRPr="005E680E">
        <w:tab/>
        <w:t xml:space="preserve">Meta </w:t>
      </w:r>
      <w:r w:rsidR="005E680E">
        <w:t xml:space="preserve">4: </w:t>
      </w:r>
      <w:r w:rsidRPr="005E680E">
        <w:t>Innovación y asociación – Dirigir, mejorar y adaptarse a los cambios del entorno de las telecomunicaciones/TIC.</w:t>
      </w:r>
    </w:p>
    <w:p w:rsidR="001E4C6B" w:rsidRPr="005E680E" w:rsidRDefault="001E4C6B" w:rsidP="001E4C6B">
      <w:r w:rsidRPr="005E680E">
        <w:t>La UIT alcanzará las metas estratégicas a través de varios objetivos que se irán logrando a lo largo de ese periodo. Cada Sector contribuirá a las metas globales de la Unión en el contexto de su mandato específico, mediante el logro de los objetivos específicos del Sector y los objetivos intersectoriales globales.</w:t>
      </w:r>
    </w:p>
    <w:p w:rsidR="001E4C6B" w:rsidRPr="005E680E" w:rsidRDefault="001E4C6B" w:rsidP="001E4C6B">
      <w:r w:rsidRPr="005E680E">
        <w:t>La identificación, el análisis y el tratamiento de riesgos consisten en procesos integrados de gestión de eventos inciertos que puedan impactar en el logro de objetivos y metas, a fin de mejorar la adopción de decisión.</w:t>
      </w:r>
    </w:p>
    <w:p w:rsidR="001E4C6B" w:rsidRPr="005E680E" w:rsidRDefault="001E4C6B" w:rsidP="001E4C6B">
      <w:pPr>
        <w:pStyle w:val="Heading1"/>
        <w:rPr>
          <w:lang w:eastAsia="en-AU"/>
        </w:rPr>
      </w:pPr>
      <w:r w:rsidRPr="005E680E">
        <w:rPr>
          <w:lang w:eastAsia="en-AU"/>
        </w:rPr>
        <w:t>2</w:t>
      </w:r>
      <w:r w:rsidRPr="005E680E">
        <w:rPr>
          <w:lang w:eastAsia="en-AU"/>
        </w:rPr>
        <w:tab/>
      </w:r>
      <w:r w:rsidRPr="005E680E">
        <w:rPr>
          <w:lang w:eastAsia="en-AU"/>
        </w:rPr>
        <w:t>Asunción de riesgos</w:t>
      </w:r>
    </w:p>
    <w:p w:rsidR="001E4C6B" w:rsidRPr="005E680E" w:rsidRDefault="001E4C6B" w:rsidP="001E4C6B">
      <w:r w:rsidRPr="005E680E">
        <w:t>A continuación se describe el planteamiento de la Unión respecto de sus principales riesgos estratégicos y operacionales. Esta lista no describe todas las esferas de trabajo de la UIT ni es exhaustiva de los posibles riesgos, si no que manifiesta una indicación de la voluntad de asumir riesgos en ámbitos fundamentales.</w:t>
      </w:r>
    </w:p>
    <w:p w:rsidR="001E4C6B" w:rsidRPr="005E680E" w:rsidRDefault="001E4C6B" w:rsidP="001E4C6B">
      <w:pPr>
        <w:pStyle w:val="enumlev1"/>
        <w:rPr>
          <w:szCs w:val="24"/>
        </w:rPr>
      </w:pPr>
      <w:r w:rsidRPr="005E680E">
        <w:t>–</w:t>
      </w:r>
      <w:r w:rsidRPr="005E680E">
        <w:tab/>
      </w:r>
      <w:r w:rsidRPr="005E680E">
        <w:rPr>
          <w:szCs w:val="24"/>
        </w:rPr>
        <w:t>En lo que respecta al cumplimiento de las metas y los objetivos estratégicos:</w:t>
      </w:r>
    </w:p>
    <w:p w:rsidR="001E4C6B" w:rsidRPr="005E680E" w:rsidRDefault="001E4C6B" w:rsidP="001E4C6B">
      <w:pPr>
        <w:pStyle w:val="enumlev2"/>
      </w:pPr>
      <w:r w:rsidRPr="005E680E">
        <w:t>•</w:t>
      </w:r>
      <w:r w:rsidRPr="005E680E">
        <w:tab/>
      </w:r>
      <w:r w:rsidR="00EF1D79" w:rsidRPr="005E680E">
        <w:t xml:space="preserve">nivel </w:t>
      </w:r>
      <w:r w:rsidRPr="005E680E">
        <w:t>bajo de riesgo respecto de amenazas al cumplimiento eficaz y eficiente de las metas y los objetivos estratégicos de la organización; y</w:t>
      </w:r>
    </w:p>
    <w:p w:rsidR="001E4C6B" w:rsidRPr="005E680E" w:rsidRDefault="001E4C6B" w:rsidP="001E4C6B">
      <w:pPr>
        <w:pStyle w:val="enumlev2"/>
        <w:rPr>
          <w:szCs w:val="24"/>
        </w:rPr>
      </w:pPr>
      <w:r w:rsidRPr="005E680E">
        <w:t>•</w:t>
      </w:r>
      <w:r w:rsidRPr="005E680E">
        <w:tab/>
      </w:r>
      <w:r w:rsidR="00EF1D79" w:rsidRPr="005E680E">
        <w:rPr>
          <w:szCs w:val="24"/>
        </w:rPr>
        <w:t xml:space="preserve">nivel </w:t>
      </w:r>
      <w:r w:rsidRPr="005E680E">
        <w:rPr>
          <w:szCs w:val="24"/>
        </w:rPr>
        <w:t>elevado de riesgo respecto de la innovación y los adelantos tecnológicos.</w:t>
      </w:r>
    </w:p>
    <w:p w:rsidR="001E4C6B" w:rsidRPr="005E680E" w:rsidRDefault="001E4C6B" w:rsidP="001E4C6B">
      <w:pPr>
        <w:pStyle w:val="enumlev1"/>
        <w:rPr>
          <w:szCs w:val="24"/>
        </w:rPr>
      </w:pPr>
      <w:r w:rsidRPr="005E680E">
        <w:t>–</w:t>
      </w:r>
      <w:r w:rsidRPr="005E680E">
        <w:tab/>
      </w:r>
      <w:r w:rsidRPr="005E680E">
        <w:rPr>
          <w:szCs w:val="24"/>
        </w:rPr>
        <w:t>En lo que respecta a la prestación de servicios:</w:t>
      </w:r>
    </w:p>
    <w:p w:rsidR="001E4C6B" w:rsidRPr="005E680E" w:rsidRDefault="001E4C6B" w:rsidP="001E4C6B">
      <w:pPr>
        <w:pStyle w:val="enumlev2"/>
        <w:rPr>
          <w:szCs w:val="24"/>
        </w:rPr>
      </w:pPr>
      <w:r w:rsidRPr="005E680E">
        <w:t>•</w:t>
      </w:r>
      <w:r w:rsidRPr="005E680E">
        <w:tab/>
      </w:r>
      <w:r w:rsidR="00EF1D79" w:rsidRPr="005E680E">
        <w:rPr>
          <w:szCs w:val="24"/>
        </w:rPr>
        <w:t xml:space="preserve">nivel </w:t>
      </w:r>
      <w:r w:rsidRPr="005E680E">
        <w:rPr>
          <w:szCs w:val="24"/>
        </w:rPr>
        <w:t>bajo de riesgo respecto de la calidad de los servicios que presta a los integrantes de la organización.</w:t>
      </w:r>
    </w:p>
    <w:p w:rsidR="001E4C6B" w:rsidRPr="005E680E" w:rsidRDefault="001E4C6B" w:rsidP="001E4C6B">
      <w:pPr>
        <w:pStyle w:val="enumlev1"/>
        <w:rPr>
          <w:szCs w:val="24"/>
        </w:rPr>
      </w:pPr>
      <w:r w:rsidRPr="005E680E">
        <w:t>–</w:t>
      </w:r>
      <w:r w:rsidRPr="005E680E">
        <w:tab/>
      </w:r>
      <w:r w:rsidRPr="005E680E">
        <w:rPr>
          <w:szCs w:val="24"/>
        </w:rPr>
        <w:t>En lo que respecta a la gestión y controles internos:</w:t>
      </w:r>
    </w:p>
    <w:p w:rsidR="001E4C6B" w:rsidRPr="005E680E" w:rsidRDefault="001E4C6B" w:rsidP="001E4C6B">
      <w:pPr>
        <w:pStyle w:val="enumlev2"/>
        <w:rPr>
          <w:szCs w:val="24"/>
        </w:rPr>
      </w:pPr>
      <w:r w:rsidRPr="005E680E">
        <w:t>•</w:t>
      </w:r>
      <w:r w:rsidRPr="005E680E">
        <w:tab/>
      </w:r>
      <w:r w:rsidR="00EF1D79" w:rsidRPr="005E680E">
        <w:rPr>
          <w:szCs w:val="24"/>
        </w:rPr>
        <w:t xml:space="preserve">ninguna </w:t>
      </w:r>
      <w:r w:rsidRPr="005E680E">
        <w:rPr>
          <w:szCs w:val="24"/>
        </w:rPr>
        <w:t>asunción (es decir, tolerancia cero) en lo relativo al fraude, corrupción, acciones ilícitas y conducta indebida;</w:t>
      </w:r>
    </w:p>
    <w:p w:rsidR="001E4C6B" w:rsidRPr="005E680E" w:rsidRDefault="001E4C6B" w:rsidP="001E4C6B">
      <w:pPr>
        <w:pStyle w:val="enumlev2"/>
        <w:rPr>
          <w:szCs w:val="24"/>
        </w:rPr>
      </w:pPr>
      <w:r w:rsidRPr="005E680E">
        <w:t>•</w:t>
      </w:r>
      <w:r w:rsidRPr="005E680E">
        <w:tab/>
      </w:r>
      <w:r w:rsidR="00EF1D79" w:rsidRPr="005E680E">
        <w:rPr>
          <w:szCs w:val="24"/>
        </w:rPr>
        <w:t xml:space="preserve">nivel </w:t>
      </w:r>
      <w:r w:rsidRPr="005E680E">
        <w:rPr>
          <w:szCs w:val="24"/>
        </w:rPr>
        <w:t xml:space="preserve">bajo de riesgos en relación con la protección y seguridad del personal, y el cumplimiento; y </w:t>
      </w:r>
    </w:p>
    <w:p w:rsidR="001E4C6B" w:rsidRPr="005E680E" w:rsidRDefault="001E4C6B" w:rsidP="001E4C6B">
      <w:pPr>
        <w:pStyle w:val="enumlev2"/>
        <w:rPr>
          <w:szCs w:val="24"/>
        </w:rPr>
      </w:pPr>
      <w:r w:rsidRPr="005E680E">
        <w:t>•</w:t>
      </w:r>
      <w:r w:rsidRPr="005E680E">
        <w:tab/>
      </w:r>
      <w:r w:rsidR="00EF1D79" w:rsidRPr="005E680E">
        <w:rPr>
          <w:szCs w:val="24"/>
        </w:rPr>
        <w:t xml:space="preserve">nivel </w:t>
      </w:r>
      <w:r w:rsidRPr="005E680E">
        <w:rPr>
          <w:szCs w:val="24"/>
        </w:rPr>
        <w:t>muy bajo de riesgos respecto de la infracción grave de seguridad, acceso no autorizado o pérdida de registros confidenciales (por ejemplo, bases de datos de registros de frecuencias).</w:t>
      </w:r>
    </w:p>
    <w:p w:rsidR="001E4C6B" w:rsidRPr="005E680E" w:rsidRDefault="001E4C6B" w:rsidP="001E4C6B">
      <w:pPr>
        <w:pStyle w:val="enumlev1"/>
        <w:rPr>
          <w:szCs w:val="24"/>
        </w:rPr>
      </w:pPr>
      <w:r w:rsidRPr="005E680E">
        <w:t>–</w:t>
      </w:r>
      <w:r w:rsidRPr="005E680E">
        <w:tab/>
      </w:r>
      <w:r w:rsidRPr="005E680E">
        <w:rPr>
          <w:szCs w:val="24"/>
        </w:rPr>
        <w:t>En lo que respecta a la reputación:</w:t>
      </w:r>
    </w:p>
    <w:p w:rsidR="001E4C6B" w:rsidRPr="005E680E" w:rsidRDefault="001E4C6B" w:rsidP="001E4C6B">
      <w:pPr>
        <w:pStyle w:val="enumlev2"/>
        <w:rPr>
          <w:szCs w:val="24"/>
        </w:rPr>
      </w:pPr>
      <w:r w:rsidRPr="005E680E">
        <w:lastRenderedPageBreak/>
        <w:t>•</w:t>
      </w:r>
      <w:r w:rsidRPr="005E680E">
        <w:tab/>
      </w:r>
      <w:r w:rsidR="00EF1D79" w:rsidRPr="005E680E">
        <w:rPr>
          <w:szCs w:val="24"/>
        </w:rPr>
        <w:t xml:space="preserve">nivel </w:t>
      </w:r>
      <w:r w:rsidRPr="005E680E">
        <w:rPr>
          <w:szCs w:val="24"/>
        </w:rPr>
        <w:t>bajo de riesgos que pudieran dañar considerablemente la reputación de la UIT.</w:t>
      </w:r>
    </w:p>
    <w:p w:rsidR="001E4C6B" w:rsidRPr="005E680E" w:rsidRDefault="001E4C6B" w:rsidP="001E4C6B">
      <w:pPr>
        <w:pStyle w:val="Heading1"/>
        <w:rPr>
          <w:lang w:eastAsia="en-AU"/>
        </w:rPr>
      </w:pPr>
      <w:r w:rsidRPr="005E680E">
        <w:rPr>
          <w:lang w:eastAsia="en-AU"/>
        </w:rPr>
        <w:t>3</w:t>
      </w:r>
      <w:r w:rsidRPr="005E680E">
        <w:rPr>
          <w:lang w:eastAsia="en-AU"/>
        </w:rPr>
        <w:tab/>
      </w:r>
      <w:r w:rsidRPr="005E680E">
        <w:rPr>
          <w:lang w:eastAsia="en-AU"/>
        </w:rPr>
        <w:t>Examen</w:t>
      </w:r>
    </w:p>
    <w:p w:rsidR="001E4C6B" w:rsidRPr="005E680E" w:rsidRDefault="001E4C6B" w:rsidP="001E4C6B">
      <w:r w:rsidRPr="005E680E">
        <w:t>La presente declaración se ha preparado teniendo presente que la asunción de riesgos evolucionará constantemente con el tiempo. Es importante que la declaración de asunción de riesgos esté estructurada para poder reaccionar rápidamente ante cualquier cambio. El proceso de supervisión y examen debe concentrarse en crear una cultura de conciencia de los riesgos.</w:t>
      </w:r>
    </w:p>
    <w:p w:rsidR="001E4C6B" w:rsidRPr="005E680E" w:rsidRDefault="001E4C6B" w:rsidP="001E4C6B">
      <w:r w:rsidRPr="005E680E">
        <w:t>La declaración de asunción de riesgos se examina anualmente o cuando se produce un cambio importante.</w:t>
      </w:r>
    </w:p>
    <w:p w:rsidR="001E4C6B" w:rsidRPr="005E680E" w:rsidRDefault="001E4C6B" w:rsidP="001E4C6B">
      <w:pPr>
        <w:tabs>
          <w:tab w:val="clear" w:pos="567"/>
          <w:tab w:val="clear" w:pos="1134"/>
          <w:tab w:val="clear" w:pos="1701"/>
          <w:tab w:val="clear" w:pos="2268"/>
          <w:tab w:val="clear" w:pos="2835"/>
        </w:tabs>
        <w:snapToGrid w:val="0"/>
        <w:spacing w:after="120"/>
        <w:jc w:val="both"/>
      </w:pPr>
    </w:p>
    <w:p w:rsidR="001E4C6B" w:rsidRPr="005E680E" w:rsidRDefault="001E4C6B" w:rsidP="001E4C6B">
      <w:pPr>
        <w:spacing w:before="0" w:line="276" w:lineRule="auto"/>
        <w:jc w:val="center"/>
      </w:pPr>
      <w:r w:rsidRPr="005E680E">
        <w:t>______________</w:t>
      </w:r>
    </w:p>
    <w:p w:rsidR="00726872" w:rsidRPr="005E680E" w:rsidRDefault="00726872" w:rsidP="001E4C6B"/>
    <w:sectPr w:rsidR="00726872" w:rsidRPr="005E680E"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EA" w:rsidRDefault="000C4BEA">
      <w:r>
        <w:separator/>
      </w:r>
    </w:p>
  </w:endnote>
  <w:endnote w:type="continuationSeparator" w:id="0">
    <w:p w:rsidR="000C4BEA" w:rsidRDefault="000C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1E4C6B" w:rsidRDefault="001E4C6B" w:rsidP="001E4C6B">
    <w:pPr>
      <w:pStyle w:val="Footer"/>
      <w:rPr>
        <w:lang w:val="fr-CH"/>
      </w:rPr>
    </w:pPr>
    <w:r>
      <w:fldChar w:fldCharType="begin"/>
    </w:r>
    <w:r w:rsidRPr="001E4C6B">
      <w:rPr>
        <w:lang w:val="fr-CH"/>
      </w:rPr>
      <w:instrText xml:space="preserve"> FILENAME \p  \* MERGEFORMAT </w:instrText>
    </w:r>
    <w:r>
      <w:fldChar w:fldCharType="separate"/>
    </w:r>
    <w:r w:rsidR="00737474">
      <w:rPr>
        <w:lang w:val="fr-CH"/>
      </w:rPr>
      <w:t>P:\ESP\SG\CONSEIL\C17\000\073S.docx</w:t>
    </w:r>
    <w:r>
      <w:fldChar w:fldCharType="end"/>
    </w:r>
    <w:r>
      <w:rPr>
        <w:lang w:val="fr-CH"/>
      </w:rPr>
      <w:t xml:space="preserve"> (415687</w:t>
    </w:r>
    <w:r w:rsidRPr="001E4C6B">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EA" w:rsidRDefault="000C4BEA">
      <w:r>
        <w:t>____________________</w:t>
      </w:r>
    </w:p>
  </w:footnote>
  <w:footnote w:type="continuationSeparator" w:id="0">
    <w:p w:rsidR="000C4BEA" w:rsidRDefault="000C4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8A7069">
      <w:rPr>
        <w:noProof/>
      </w:rPr>
      <w:t>3</w:t>
    </w:r>
    <w:r>
      <w:rPr>
        <w:noProof/>
      </w:rPr>
      <w:fldChar w:fldCharType="end"/>
    </w:r>
  </w:p>
  <w:p w:rsidR="00760F1C" w:rsidRDefault="00760F1C" w:rsidP="001E4C6B">
    <w:pPr>
      <w:pStyle w:val="Header"/>
    </w:pPr>
    <w:r>
      <w:t>C</w:t>
    </w:r>
    <w:r w:rsidR="007F350B">
      <w:t>1</w:t>
    </w:r>
    <w:r w:rsidR="00B8298E">
      <w:t>7</w:t>
    </w:r>
    <w:r>
      <w:t>/</w:t>
    </w:r>
    <w:r w:rsidR="001E4C6B">
      <w:t>73</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1244C"/>
    <w:multiLevelType w:val="hybridMultilevel"/>
    <w:tmpl w:val="4C26E0C0"/>
    <w:lvl w:ilvl="0" w:tplc="11289C50">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5A4B53"/>
    <w:multiLevelType w:val="hybridMultilevel"/>
    <w:tmpl w:val="799E47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EA"/>
    <w:rsid w:val="00093EEB"/>
    <w:rsid w:val="000B0D00"/>
    <w:rsid w:val="000B7C15"/>
    <w:rsid w:val="000C4BEA"/>
    <w:rsid w:val="000D1D0F"/>
    <w:rsid w:val="000F5290"/>
    <w:rsid w:val="0010165C"/>
    <w:rsid w:val="00146BFB"/>
    <w:rsid w:val="001A0767"/>
    <w:rsid w:val="001E4C6B"/>
    <w:rsid w:val="001F14A2"/>
    <w:rsid w:val="002801AA"/>
    <w:rsid w:val="002C4676"/>
    <w:rsid w:val="002C70B0"/>
    <w:rsid w:val="002F3CC4"/>
    <w:rsid w:val="00513630"/>
    <w:rsid w:val="00560125"/>
    <w:rsid w:val="00585553"/>
    <w:rsid w:val="005B34D9"/>
    <w:rsid w:val="005D0CCF"/>
    <w:rsid w:val="005E680E"/>
    <w:rsid w:val="005F410F"/>
    <w:rsid w:val="0060149A"/>
    <w:rsid w:val="00601924"/>
    <w:rsid w:val="006447EA"/>
    <w:rsid w:val="0064731F"/>
    <w:rsid w:val="006710F6"/>
    <w:rsid w:val="006C1B56"/>
    <w:rsid w:val="006D4761"/>
    <w:rsid w:val="0071640D"/>
    <w:rsid w:val="00726872"/>
    <w:rsid w:val="00737474"/>
    <w:rsid w:val="00760F1C"/>
    <w:rsid w:val="007657F0"/>
    <w:rsid w:val="0077252D"/>
    <w:rsid w:val="007E5DD3"/>
    <w:rsid w:val="007F350B"/>
    <w:rsid w:val="00820BE4"/>
    <w:rsid w:val="008451E8"/>
    <w:rsid w:val="008A7069"/>
    <w:rsid w:val="00913B9C"/>
    <w:rsid w:val="00956E77"/>
    <w:rsid w:val="00AA390C"/>
    <w:rsid w:val="00B0200A"/>
    <w:rsid w:val="00B05796"/>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EF1D79"/>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9CED92-135E-432E-A05E-8A211ED6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1E4C6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EastAsia" w:hAnsiTheme="minorHAnsi" w:cstheme="minorBidi"/>
      <w:sz w:val="22"/>
      <w:szCs w:val="22"/>
      <w:lang w:val="en-US" w:eastAsia="zh-CN"/>
    </w:rPr>
  </w:style>
  <w:style w:type="character" w:customStyle="1" w:styleId="Heading1Char">
    <w:name w:val="Heading 1 Char"/>
    <w:basedOn w:val="DefaultParagraphFont"/>
    <w:link w:val="Heading1"/>
    <w:rsid w:val="001E4C6B"/>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itu.int/dms_pub/itu-s/opb/conf/S-CONF-ACTF-2014-MSW-S.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S17-CL-C-0074/es" TargetMode="External"/><Relationship Id="rId4" Type="http://schemas.openxmlformats.org/officeDocument/2006/relationships/webSettings" Target="web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16</TotalTime>
  <Pages>3</Pages>
  <Words>818</Words>
  <Characters>4676</Characters>
  <Application>Microsoft Office Word</Application>
  <DocSecurity>0</DocSecurity>
  <Lines>38</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5484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8</cp:revision>
  <cp:lastPrinted>2017-05-09T12:18:00Z</cp:lastPrinted>
  <dcterms:created xsi:type="dcterms:W3CDTF">2017-05-09T12:12:00Z</dcterms:created>
  <dcterms:modified xsi:type="dcterms:W3CDTF">2017-05-09T12:47:00Z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