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BA0CC5" w:rsidTr="00464B6C">
        <w:trPr>
          <w:cantSplit/>
        </w:trPr>
        <w:tc>
          <w:tcPr>
            <w:tcW w:w="6911" w:type="dxa"/>
          </w:tcPr>
          <w:p w:rsidR="002A2188" w:rsidRPr="00BA0CC5" w:rsidRDefault="002A2188" w:rsidP="00464B6C">
            <w:pPr>
              <w:spacing w:before="360" w:after="48" w:line="240" w:lineRule="atLeast"/>
              <w:rPr>
                <w:position w:val="6"/>
                <w:lang w:val="en-US"/>
              </w:rPr>
            </w:pPr>
            <w:bookmarkStart w:id="0" w:name="dc06"/>
            <w:bookmarkEnd w:id="0"/>
            <w:r w:rsidRPr="00BA0CC5">
              <w:rPr>
                <w:b/>
                <w:bCs/>
                <w:position w:val="6"/>
                <w:sz w:val="30"/>
                <w:szCs w:val="30"/>
                <w:lang w:val="en-US"/>
              </w:rPr>
              <w:t>Council 2017</w:t>
            </w:r>
            <w:r w:rsidRPr="00BA0CC5">
              <w:rPr>
                <w:rFonts w:cs="Times"/>
                <w:b/>
                <w:position w:val="6"/>
                <w:sz w:val="26"/>
                <w:szCs w:val="26"/>
                <w:lang w:val="en-US"/>
              </w:rPr>
              <w:br/>
            </w:r>
            <w:r w:rsidRPr="00BA0CC5">
              <w:rPr>
                <w:b/>
                <w:bCs/>
                <w:position w:val="6"/>
                <w:szCs w:val="24"/>
                <w:lang w:val="en-US"/>
              </w:rPr>
              <w:t>Geneva, 15-25 May 2017</w:t>
            </w:r>
          </w:p>
        </w:tc>
        <w:tc>
          <w:tcPr>
            <w:tcW w:w="3120" w:type="dxa"/>
          </w:tcPr>
          <w:p w:rsidR="002A2188" w:rsidRPr="00BA0CC5" w:rsidRDefault="002A2188" w:rsidP="00464B6C">
            <w:pPr>
              <w:spacing w:before="0" w:line="240" w:lineRule="atLeast"/>
              <w:jc w:val="right"/>
              <w:rPr>
                <w:lang w:val="en-US"/>
              </w:rPr>
            </w:pPr>
            <w:bookmarkStart w:id="1" w:name="ditulogo"/>
            <w:bookmarkEnd w:id="1"/>
            <w:r w:rsidRPr="00BA0CC5">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BA0CC5" w:rsidTr="00464B6C">
        <w:trPr>
          <w:cantSplit/>
        </w:trPr>
        <w:tc>
          <w:tcPr>
            <w:tcW w:w="6911" w:type="dxa"/>
            <w:tcBorders>
              <w:bottom w:val="single" w:sz="12" w:space="0" w:color="auto"/>
            </w:tcBorders>
          </w:tcPr>
          <w:p w:rsidR="002A2188" w:rsidRPr="00BA0CC5"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BA0CC5" w:rsidRDefault="002A2188" w:rsidP="00464B6C">
            <w:pPr>
              <w:spacing w:before="0" w:line="240" w:lineRule="atLeast"/>
              <w:rPr>
                <w:szCs w:val="24"/>
                <w:lang w:val="en-US"/>
              </w:rPr>
            </w:pPr>
          </w:p>
        </w:tc>
      </w:tr>
      <w:tr w:rsidR="002A2188" w:rsidRPr="00BA0CC5" w:rsidTr="00464B6C">
        <w:trPr>
          <w:cantSplit/>
        </w:trPr>
        <w:tc>
          <w:tcPr>
            <w:tcW w:w="6911" w:type="dxa"/>
            <w:tcBorders>
              <w:top w:val="single" w:sz="12" w:space="0" w:color="auto"/>
            </w:tcBorders>
          </w:tcPr>
          <w:p w:rsidR="002A2188" w:rsidRPr="00BA0CC5"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BA0CC5" w:rsidRDefault="002A2188" w:rsidP="00464B6C">
            <w:pPr>
              <w:spacing w:before="0" w:line="240" w:lineRule="atLeast"/>
              <w:rPr>
                <w:szCs w:val="24"/>
                <w:lang w:val="en-US"/>
              </w:rPr>
            </w:pPr>
          </w:p>
        </w:tc>
      </w:tr>
      <w:tr w:rsidR="002A2188" w:rsidRPr="00BA0CC5" w:rsidTr="00464B6C">
        <w:trPr>
          <w:cantSplit/>
          <w:trHeight w:val="23"/>
        </w:trPr>
        <w:tc>
          <w:tcPr>
            <w:tcW w:w="6911" w:type="dxa"/>
            <w:vMerge w:val="restart"/>
          </w:tcPr>
          <w:p w:rsidR="002A2188" w:rsidRPr="00BA0CC5" w:rsidRDefault="006C1D82" w:rsidP="00464B6C">
            <w:pPr>
              <w:tabs>
                <w:tab w:val="left" w:pos="851"/>
              </w:tabs>
              <w:spacing w:line="240" w:lineRule="atLeast"/>
              <w:rPr>
                <w:b/>
                <w:lang w:val="en-US"/>
              </w:rPr>
            </w:pPr>
            <w:bookmarkStart w:id="2" w:name="dmeeting" w:colFirst="0" w:colLast="0"/>
            <w:bookmarkStart w:id="3" w:name="dnum" w:colFirst="1" w:colLast="1"/>
            <w:r w:rsidRPr="00BA0CC5">
              <w:rPr>
                <w:b/>
                <w:lang w:val="en-US"/>
              </w:rPr>
              <w:t>Agenda item: ADM 1.1</w:t>
            </w:r>
          </w:p>
        </w:tc>
        <w:tc>
          <w:tcPr>
            <w:tcW w:w="3120" w:type="dxa"/>
          </w:tcPr>
          <w:p w:rsidR="002A2188" w:rsidRPr="00BA0CC5" w:rsidRDefault="00FB4BED" w:rsidP="006C1D82">
            <w:pPr>
              <w:tabs>
                <w:tab w:val="left" w:pos="851"/>
              </w:tabs>
              <w:spacing w:before="0" w:line="240" w:lineRule="atLeast"/>
              <w:rPr>
                <w:b/>
                <w:lang w:val="en-US"/>
              </w:rPr>
            </w:pPr>
            <w:r>
              <w:rPr>
                <w:b/>
                <w:lang w:val="en-US"/>
              </w:rPr>
              <w:t>Revision 1 to</w:t>
            </w:r>
            <w:r>
              <w:rPr>
                <w:b/>
                <w:lang w:val="en-US"/>
              </w:rPr>
              <w:br/>
            </w:r>
            <w:r w:rsidR="002A2188" w:rsidRPr="00BA0CC5">
              <w:rPr>
                <w:b/>
                <w:lang w:val="en-US"/>
              </w:rPr>
              <w:t>Document C17/</w:t>
            </w:r>
            <w:r w:rsidR="006C1D82" w:rsidRPr="00BA0CC5">
              <w:rPr>
                <w:b/>
                <w:lang w:val="en-US"/>
              </w:rPr>
              <w:t>80</w:t>
            </w:r>
            <w:r w:rsidR="002A2188" w:rsidRPr="00BA0CC5">
              <w:rPr>
                <w:b/>
                <w:lang w:val="en-US"/>
              </w:rPr>
              <w:t>-E</w:t>
            </w:r>
          </w:p>
        </w:tc>
      </w:tr>
      <w:tr w:rsidR="002A2188" w:rsidRPr="00BA0CC5" w:rsidTr="00464B6C">
        <w:trPr>
          <w:cantSplit/>
          <w:trHeight w:val="23"/>
        </w:trPr>
        <w:tc>
          <w:tcPr>
            <w:tcW w:w="6911" w:type="dxa"/>
            <w:vMerge/>
          </w:tcPr>
          <w:p w:rsidR="002A2188" w:rsidRPr="00BA0CC5"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BA0CC5" w:rsidRDefault="006C1D82" w:rsidP="00924B55">
            <w:pPr>
              <w:tabs>
                <w:tab w:val="left" w:pos="993"/>
              </w:tabs>
              <w:spacing w:before="0"/>
              <w:rPr>
                <w:b/>
                <w:lang w:val="en-US"/>
              </w:rPr>
            </w:pPr>
            <w:r w:rsidRPr="00BA0CC5">
              <w:rPr>
                <w:b/>
                <w:lang w:val="en-US"/>
              </w:rPr>
              <w:t>2</w:t>
            </w:r>
            <w:r w:rsidR="00FB4BED">
              <w:rPr>
                <w:b/>
                <w:lang w:val="en-US"/>
              </w:rPr>
              <w:t xml:space="preserve"> May</w:t>
            </w:r>
            <w:r w:rsidR="002A2188" w:rsidRPr="00BA0CC5">
              <w:rPr>
                <w:b/>
                <w:lang w:val="en-US"/>
              </w:rPr>
              <w:t xml:space="preserve"> 2017</w:t>
            </w:r>
          </w:p>
        </w:tc>
      </w:tr>
      <w:tr w:rsidR="002A2188" w:rsidRPr="00BA0CC5" w:rsidTr="00464B6C">
        <w:trPr>
          <w:cantSplit/>
          <w:trHeight w:val="23"/>
        </w:trPr>
        <w:tc>
          <w:tcPr>
            <w:tcW w:w="6911" w:type="dxa"/>
            <w:vMerge/>
          </w:tcPr>
          <w:p w:rsidR="002A2188" w:rsidRPr="00BA0CC5"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BA0CC5" w:rsidRDefault="002A2188" w:rsidP="006C1D82">
            <w:pPr>
              <w:tabs>
                <w:tab w:val="left" w:pos="993"/>
              </w:tabs>
              <w:spacing w:before="0"/>
              <w:rPr>
                <w:b/>
                <w:lang w:val="en-US"/>
              </w:rPr>
            </w:pPr>
            <w:r w:rsidRPr="00BA0CC5">
              <w:rPr>
                <w:b/>
                <w:lang w:val="en-US"/>
              </w:rPr>
              <w:t xml:space="preserve">Original: </w:t>
            </w:r>
            <w:r w:rsidR="006C1D82" w:rsidRPr="00BA0CC5">
              <w:rPr>
                <w:b/>
                <w:lang w:val="en-US"/>
              </w:rPr>
              <w:t>Russian</w:t>
            </w:r>
          </w:p>
        </w:tc>
      </w:tr>
      <w:tr w:rsidR="002A2188" w:rsidRPr="00BA0CC5" w:rsidTr="00464B6C">
        <w:trPr>
          <w:cantSplit/>
        </w:trPr>
        <w:tc>
          <w:tcPr>
            <w:tcW w:w="10031" w:type="dxa"/>
            <w:gridSpan w:val="2"/>
          </w:tcPr>
          <w:p w:rsidR="002A2188" w:rsidRPr="00BA0CC5" w:rsidRDefault="006C1D82" w:rsidP="00464B6C">
            <w:pPr>
              <w:pStyle w:val="Source"/>
              <w:rPr>
                <w:lang w:val="en-US"/>
              </w:rPr>
            </w:pPr>
            <w:bookmarkStart w:id="6" w:name="dsource" w:colFirst="0" w:colLast="0"/>
            <w:bookmarkEnd w:id="5"/>
            <w:r w:rsidRPr="00BA0CC5">
              <w:rPr>
                <w:lang w:val="en-US"/>
              </w:rPr>
              <w:t>Note by the Secretary-General</w:t>
            </w:r>
          </w:p>
        </w:tc>
      </w:tr>
      <w:tr w:rsidR="002A2188" w:rsidRPr="00BA0CC5" w:rsidTr="00464B6C">
        <w:trPr>
          <w:cantSplit/>
        </w:trPr>
        <w:tc>
          <w:tcPr>
            <w:tcW w:w="10031" w:type="dxa"/>
            <w:gridSpan w:val="2"/>
          </w:tcPr>
          <w:p w:rsidR="002A2188" w:rsidRPr="00BA0CC5" w:rsidRDefault="006C1D82" w:rsidP="00464B6C">
            <w:pPr>
              <w:pStyle w:val="Title1"/>
              <w:rPr>
                <w:lang w:val="en-US"/>
              </w:rPr>
            </w:pPr>
            <w:bookmarkStart w:id="7" w:name="dtitle1" w:colFirst="0" w:colLast="0"/>
            <w:bookmarkEnd w:id="6"/>
            <w:r w:rsidRPr="00BA0CC5">
              <w:rPr>
                <w:bCs/>
                <w:lang w:val="en-US"/>
              </w:rPr>
              <w:t>CONTRIBUTION FROM THE RUSSIAN FEDERATION</w:t>
            </w:r>
            <w:r w:rsidR="00FB4BED">
              <w:rPr>
                <w:bCs/>
                <w:lang w:val="en-US"/>
              </w:rPr>
              <w:t>, the republic of armenia and the republic of belarus</w:t>
            </w:r>
          </w:p>
        </w:tc>
      </w:tr>
      <w:tr w:rsidR="006C1D82" w:rsidRPr="00BA0CC5" w:rsidTr="00464B6C">
        <w:trPr>
          <w:cantSplit/>
        </w:trPr>
        <w:tc>
          <w:tcPr>
            <w:tcW w:w="10031" w:type="dxa"/>
            <w:gridSpan w:val="2"/>
          </w:tcPr>
          <w:p w:rsidR="006C1D82" w:rsidRPr="00BA0CC5" w:rsidRDefault="006C1D82" w:rsidP="006C1D82">
            <w:pPr>
              <w:pStyle w:val="Title2"/>
              <w:rPr>
                <w:lang w:val="en-US"/>
              </w:rPr>
            </w:pPr>
            <w:r w:rsidRPr="00BA0CC5">
              <w:rPr>
                <w:bCs/>
                <w:lang w:val="en-US" w:eastAsia="zh-CN"/>
              </w:rPr>
              <w:t>PROPOSALS FOR THE DRAFT BUDGET OF THE RADIOCOMMUNICATION SECTOR FOR 2018-2019, PREPARED ON THE BASIS OF AN ANALYSIS OF FINANCIAL AND HUMAN RESOURCES IN ITU-R DURING THE PERIOD 1996-2017</w:t>
            </w:r>
          </w:p>
        </w:tc>
      </w:tr>
      <w:bookmarkEnd w:id="7"/>
    </w:tbl>
    <w:p w:rsidR="002A2188" w:rsidRPr="00BA0CC5" w:rsidRDefault="002A2188" w:rsidP="006C1D82">
      <w:pPr>
        <w:rPr>
          <w:lang w:val="en-US"/>
        </w:rPr>
      </w:pPr>
    </w:p>
    <w:p w:rsidR="002A2188" w:rsidRPr="00BA0CC5" w:rsidRDefault="002A2188" w:rsidP="006C1D82">
      <w:pPr>
        <w:rPr>
          <w:lang w:val="en-US"/>
        </w:rPr>
      </w:pPr>
    </w:p>
    <w:p w:rsidR="006C1D82" w:rsidRPr="00BA0CC5" w:rsidRDefault="006C1D82" w:rsidP="006C1D82">
      <w:pPr>
        <w:rPr>
          <w:lang w:val="en-US"/>
        </w:rPr>
      </w:pPr>
      <w:r w:rsidRPr="00BA0CC5">
        <w:rPr>
          <w:lang w:val="en-US"/>
        </w:rPr>
        <w:t xml:space="preserve">I have the honour to transmit to the Member States of the Council the attached contribution submitted by the </w:t>
      </w:r>
      <w:r w:rsidRPr="00BA0CC5">
        <w:rPr>
          <w:b/>
          <w:bCs/>
          <w:lang w:val="en-US"/>
        </w:rPr>
        <w:t>Russian Federation</w:t>
      </w:r>
      <w:r w:rsidR="00FB4BED">
        <w:rPr>
          <w:b/>
          <w:bCs/>
          <w:lang w:val="en-US"/>
        </w:rPr>
        <w:t>, the Republic of Armenia and the Republic of Belarus</w:t>
      </w:r>
      <w:r w:rsidRPr="00BA0CC5">
        <w:rPr>
          <w:lang w:val="en-US"/>
        </w:rPr>
        <w:t>.</w:t>
      </w:r>
    </w:p>
    <w:p w:rsidR="006C1D82" w:rsidRPr="00BA0CC5" w:rsidRDefault="006C1D82" w:rsidP="006C1D82">
      <w:pPr>
        <w:rPr>
          <w:lang w:val="en-US"/>
        </w:rPr>
      </w:pPr>
    </w:p>
    <w:p w:rsidR="006C1D82" w:rsidRPr="00BA0CC5" w:rsidRDefault="006C1D82" w:rsidP="006C1D82">
      <w:pPr>
        <w:rPr>
          <w:lang w:val="en-US"/>
        </w:rPr>
      </w:pPr>
    </w:p>
    <w:p w:rsidR="006C1D82" w:rsidRPr="00BA0CC5" w:rsidRDefault="006C1D82" w:rsidP="006C1D82">
      <w:pPr>
        <w:tabs>
          <w:tab w:val="clear" w:pos="567"/>
          <w:tab w:val="clear" w:pos="1134"/>
          <w:tab w:val="clear" w:pos="1701"/>
          <w:tab w:val="clear" w:pos="2268"/>
          <w:tab w:val="clear" w:pos="2835"/>
          <w:tab w:val="center" w:pos="7088"/>
        </w:tabs>
        <w:rPr>
          <w:lang w:val="en-US"/>
        </w:rPr>
      </w:pPr>
      <w:r w:rsidRPr="00BA0CC5">
        <w:rPr>
          <w:lang w:val="en-US"/>
        </w:rPr>
        <w:tab/>
        <w:t>Houlin ZHAO</w:t>
      </w:r>
      <w:r w:rsidRPr="00BA0CC5">
        <w:rPr>
          <w:lang w:val="en-US"/>
        </w:rPr>
        <w:br/>
      </w:r>
      <w:r w:rsidRPr="00BA0CC5">
        <w:rPr>
          <w:lang w:val="en-US"/>
        </w:rPr>
        <w:tab/>
        <w:t>Secretary-General</w:t>
      </w:r>
    </w:p>
    <w:p w:rsidR="006C1D82" w:rsidRPr="00BA0CC5" w:rsidRDefault="006C1D82" w:rsidP="00DE7CE7">
      <w:pPr>
        <w:rPr>
          <w:b/>
          <w:bCs/>
          <w:lang w:val="en-US" w:eastAsia="zh-CN"/>
        </w:rPr>
      </w:pPr>
    </w:p>
    <w:p w:rsidR="006C1D82" w:rsidRPr="00BA0CC5" w:rsidRDefault="006C1D82">
      <w:pPr>
        <w:tabs>
          <w:tab w:val="clear" w:pos="567"/>
          <w:tab w:val="clear" w:pos="1134"/>
          <w:tab w:val="clear" w:pos="1701"/>
          <w:tab w:val="clear" w:pos="2268"/>
          <w:tab w:val="clear" w:pos="2835"/>
        </w:tabs>
        <w:overflowPunct/>
        <w:autoSpaceDE/>
        <w:autoSpaceDN/>
        <w:adjustRightInd/>
        <w:spacing w:before="0"/>
        <w:textAlignment w:val="auto"/>
        <w:rPr>
          <w:b/>
          <w:bCs/>
          <w:lang w:val="en-US" w:eastAsia="zh-CN"/>
        </w:rPr>
      </w:pPr>
      <w:r w:rsidRPr="00BA0CC5">
        <w:rPr>
          <w:b/>
          <w:bCs/>
          <w:lang w:val="en-US" w:eastAsia="zh-CN"/>
        </w:rPr>
        <w:br w:type="page"/>
      </w:r>
    </w:p>
    <w:p w:rsidR="006C1D82" w:rsidRDefault="00316EDA" w:rsidP="00316EDA">
      <w:pPr>
        <w:pStyle w:val="Source"/>
        <w:rPr>
          <w:lang w:val="en-US"/>
        </w:rPr>
      </w:pPr>
      <w:r w:rsidRPr="00BA0CC5">
        <w:rPr>
          <w:lang w:val="en-US"/>
        </w:rPr>
        <w:lastRenderedPageBreak/>
        <w:t>Russian Federation</w:t>
      </w:r>
      <w:r w:rsidR="00FB4BED">
        <w:rPr>
          <w:lang w:val="en-US"/>
        </w:rPr>
        <w:t>, Republic of Armenia and Republic of Belarus</w:t>
      </w:r>
    </w:p>
    <w:p w:rsidR="00316EDA" w:rsidRDefault="00316EDA" w:rsidP="00316EDA">
      <w:pPr>
        <w:pStyle w:val="Title1"/>
        <w:rPr>
          <w:lang w:val="en-US"/>
        </w:rPr>
      </w:pPr>
      <w:r w:rsidRPr="00BA0CC5">
        <w:rPr>
          <w:lang w:val="en-US" w:eastAsia="zh-CN"/>
        </w:rPr>
        <w:t>PROPOSALS FOR THE DRAFT BUDGET OF THE RADIOCOMMUNICATION SECTOR FOR 2018-2019, PREPARED ON THE BASIS OF AN ANALYSIS OF FINANCIAL AND HUMAN RESOURCES IN ITU-R DURING THE PERIOD 1996-2017</w:t>
      </w:r>
    </w:p>
    <w:p w:rsidR="00316EDA" w:rsidRPr="00BA0CC5" w:rsidRDefault="00316EDA" w:rsidP="006C1D82">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C1D82" w:rsidRPr="00BA0CC5" w:rsidTr="002B7E62">
        <w:trPr>
          <w:trHeight w:val="3372"/>
        </w:trPr>
        <w:tc>
          <w:tcPr>
            <w:tcW w:w="8080" w:type="dxa"/>
            <w:tcBorders>
              <w:top w:val="single" w:sz="12" w:space="0" w:color="auto"/>
              <w:left w:val="single" w:sz="12" w:space="0" w:color="auto"/>
              <w:bottom w:val="single" w:sz="12" w:space="0" w:color="auto"/>
              <w:right w:val="single" w:sz="12" w:space="0" w:color="auto"/>
            </w:tcBorders>
          </w:tcPr>
          <w:p w:rsidR="006C1D82" w:rsidRPr="00BA0CC5" w:rsidRDefault="006C1D82" w:rsidP="002B7E62">
            <w:pPr>
              <w:pStyle w:val="Headingb"/>
              <w:rPr>
                <w:lang w:val="en-US"/>
              </w:rPr>
            </w:pPr>
            <w:r w:rsidRPr="00BA0CC5">
              <w:rPr>
                <w:lang w:val="en-US"/>
              </w:rPr>
              <w:t>Summary</w:t>
            </w:r>
            <w:bookmarkStart w:id="8" w:name="_GoBack"/>
            <w:bookmarkEnd w:id="8"/>
          </w:p>
          <w:p w:rsidR="006C1D82" w:rsidRPr="00BA0CC5" w:rsidRDefault="006C1D82" w:rsidP="006C1D82">
            <w:pPr>
              <w:rPr>
                <w:lang w:val="en-US"/>
              </w:rPr>
            </w:pPr>
            <w:r w:rsidRPr="00BA0CC5">
              <w:rPr>
                <w:lang w:val="en-US" w:eastAsia="zh-CN"/>
              </w:rPr>
              <w:t>The document sets out proposals to clarify the budget of the Radiocommunication Sector for 2018</w:t>
            </w:r>
            <w:r w:rsidRPr="00BA0CC5">
              <w:rPr>
                <w:lang w:val="en-US" w:eastAsia="zh-CN"/>
              </w:rPr>
              <w:noBreakHyphen/>
              <w:t>2019, prepared on the basis of an analysis of financial and human resources in ITU-R for the period 1996</w:t>
            </w:r>
            <w:r w:rsidRPr="00BA0CC5">
              <w:rPr>
                <w:lang w:val="en-US" w:eastAsia="zh-CN"/>
              </w:rPr>
              <w:noBreakHyphen/>
              <w:t>2017.</w:t>
            </w:r>
          </w:p>
          <w:p w:rsidR="006C1D82" w:rsidRPr="00BA0CC5" w:rsidRDefault="006C1D82" w:rsidP="002B7E62">
            <w:pPr>
              <w:pStyle w:val="Headingb"/>
              <w:rPr>
                <w:lang w:val="en-US"/>
              </w:rPr>
            </w:pPr>
            <w:r w:rsidRPr="00BA0CC5">
              <w:rPr>
                <w:lang w:val="en-US"/>
              </w:rPr>
              <w:t>Action required</w:t>
            </w:r>
          </w:p>
          <w:p w:rsidR="006C1D82" w:rsidRPr="00BA0CC5" w:rsidRDefault="006C1D82" w:rsidP="002B7E62">
            <w:pPr>
              <w:rPr>
                <w:lang w:val="en-US"/>
              </w:rPr>
            </w:pPr>
            <w:r w:rsidRPr="00BA0CC5">
              <w:rPr>
                <w:lang w:val="en-US" w:eastAsia="zh-CN"/>
              </w:rPr>
              <w:t xml:space="preserve">The Council is requested to </w:t>
            </w:r>
            <w:r w:rsidRPr="00BA0CC5">
              <w:rPr>
                <w:b/>
                <w:bCs/>
                <w:lang w:val="en-US" w:eastAsia="zh-CN"/>
              </w:rPr>
              <w:t>take account of the proposals made here when considering the budget for 2018</w:t>
            </w:r>
            <w:r w:rsidRPr="00BA0CC5">
              <w:rPr>
                <w:b/>
                <w:bCs/>
                <w:lang w:val="en-US" w:eastAsia="zh-CN"/>
              </w:rPr>
              <w:noBreakHyphen/>
              <w:t>2019</w:t>
            </w:r>
            <w:r w:rsidRPr="00BA0CC5">
              <w:rPr>
                <w:lang w:val="en-US" w:eastAsia="zh-CN"/>
              </w:rPr>
              <w:t>.</w:t>
            </w:r>
          </w:p>
          <w:p w:rsidR="006C1D82" w:rsidRPr="00BA0CC5" w:rsidRDefault="006C1D82" w:rsidP="002B7E62">
            <w:pPr>
              <w:pStyle w:val="Table"/>
              <w:keepNext w:val="0"/>
              <w:spacing w:before="0" w:after="0"/>
              <w:rPr>
                <w:rFonts w:ascii="Calibri" w:hAnsi="Calibri"/>
                <w:caps w:val="0"/>
                <w:sz w:val="22"/>
                <w:lang w:val="en-US"/>
              </w:rPr>
            </w:pPr>
            <w:r w:rsidRPr="00BA0CC5">
              <w:rPr>
                <w:rFonts w:ascii="Calibri" w:hAnsi="Calibri"/>
                <w:caps w:val="0"/>
                <w:sz w:val="22"/>
                <w:lang w:val="en-US"/>
              </w:rPr>
              <w:t>____________</w:t>
            </w:r>
          </w:p>
          <w:p w:rsidR="006C1D82" w:rsidRPr="00BA0CC5" w:rsidRDefault="006C1D82" w:rsidP="002B7E62">
            <w:pPr>
              <w:pStyle w:val="Headingb"/>
              <w:rPr>
                <w:lang w:val="en-US"/>
              </w:rPr>
            </w:pPr>
            <w:r w:rsidRPr="00BA0CC5">
              <w:rPr>
                <w:lang w:val="en-US"/>
              </w:rPr>
              <w:t>References</w:t>
            </w:r>
          </w:p>
          <w:p w:rsidR="006C1D82" w:rsidRPr="00BA0CC5" w:rsidRDefault="006C1D82" w:rsidP="002B7E62">
            <w:pPr>
              <w:rPr>
                <w:i/>
                <w:iCs/>
                <w:lang w:val="en-US"/>
              </w:rPr>
            </w:pPr>
            <w:r w:rsidRPr="00BA0CC5">
              <w:rPr>
                <w:i/>
                <w:iCs/>
                <w:lang w:val="en-US"/>
              </w:rPr>
              <w:t xml:space="preserve">Documents </w:t>
            </w:r>
            <w:hyperlink r:id="rId9" w:history="1">
              <w:r w:rsidRPr="00BA0CC5">
                <w:rPr>
                  <w:rStyle w:val="Hyperlink"/>
                  <w:i/>
                  <w:iCs/>
                  <w:lang w:val="en-US"/>
                </w:rPr>
                <w:t>C15/105 (Rev.1)</w:t>
              </w:r>
            </w:hyperlink>
            <w:r w:rsidRPr="00BA0CC5">
              <w:rPr>
                <w:i/>
                <w:iCs/>
                <w:lang w:val="en-US"/>
              </w:rPr>
              <w:t xml:space="preserve">, </w:t>
            </w:r>
            <w:hyperlink r:id="rId10" w:history="1">
              <w:r w:rsidRPr="00BA0CC5">
                <w:rPr>
                  <w:rStyle w:val="Hyperlink"/>
                  <w:i/>
                  <w:iCs/>
                  <w:lang w:val="en-US"/>
                </w:rPr>
                <w:t>CWG-FHR-INF 7/3</w:t>
              </w:r>
            </w:hyperlink>
            <w:r w:rsidRPr="00BA0CC5">
              <w:rPr>
                <w:i/>
                <w:iCs/>
                <w:lang w:val="en-US"/>
              </w:rPr>
              <w:t xml:space="preserve">, </w:t>
            </w:r>
            <w:hyperlink r:id="rId11" w:history="1">
              <w:r w:rsidRPr="00BA0CC5">
                <w:rPr>
                  <w:rStyle w:val="Hyperlink"/>
                  <w:i/>
                  <w:iCs/>
                  <w:lang w:val="en-US"/>
                </w:rPr>
                <w:t>C17/10</w:t>
              </w:r>
            </w:hyperlink>
            <w:r w:rsidRPr="00BA0CC5">
              <w:rPr>
                <w:i/>
                <w:iCs/>
                <w:lang w:val="en-US"/>
              </w:rPr>
              <w:t xml:space="preserve">, </w:t>
            </w:r>
            <w:hyperlink r:id="rId12" w:history="1">
              <w:r w:rsidRPr="00BA0CC5">
                <w:rPr>
                  <w:rStyle w:val="Hyperlink"/>
                  <w:rFonts w:asciiTheme="minorHAnsi" w:hAnsiTheme="minorHAnsi" w:cstheme="minorHAnsi"/>
                  <w:i/>
                  <w:iCs/>
                  <w:szCs w:val="22"/>
                  <w:lang w:val="en-US"/>
                </w:rPr>
                <w:t>RRB07-3/2</w:t>
              </w:r>
            </w:hyperlink>
            <w:r w:rsidRPr="00BA0CC5">
              <w:rPr>
                <w:rFonts w:asciiTheme="minorHAnsi" w:hAnsiTheme="minorHAnsi" w:cstheme="minorHAnsi"/>
                <w:i/>
                <w:iCs/>
                <w:szCs w:val="22"/>
                <w:lang w:val="en-US"/>
              </w:rPr>
              <w:t xml:space="preserve">, </w:t>
            </w:r>
            <w:hyperlink r:id="rId13" w:history="1">
              <w:r w:rsidRPr="00BA0CC5">
                <w:rPr>
                  <w:rStyle w:val="Hyperlink"/>
                  <w:rFonts w:asciiTheme="minorHAnsi" w:hAnsiTheme="minorHAnsi" w:cstheme="minorHAnsi"/>
                  <w:i/>
                  <w:iCs/>
                  <w:szCs w:val="22"/>
                  <w:lang w:val="en-US"/>
                </w:rPr>
                <w:t>RRB08-1/1</w:t>
              </w:r>
            </w:hyperlink>
            <w:r w:rsidRPr="00BA0CC5">
              <w:rPr>
                <w:rFonts w:asciiTheme="minorHAnsi" w:hAnsiTheme="minorHAnsi" w:cstheme="minorHAnsi"/>
                <w:i/>
                <w:iCs/>
                <w:szCs w:val="22"/>
                <w:lang w:val="en-US"/>
              </w:rPr>
              <w:t xml:space="preserve">, </w:t>
            </w:r>
            <w:hyperlink r:id="rId14" w:history="1">
              <w:r w:rsidRPr="00BA0CC5">
                <w:rPr>
                  <w:rStyle w:val="Hyperlink"/>
                  <w:rFonts w:asciiTheme="minorHAnsi" w:hAnsiTheme="minorHAnsi" w:cstheme="minorHAnsi"/>
                  <w:i/>
                  <w:iCs/>
                  <w:szCs w:val="22"/>
                  <w:lang w:val="en-US"/>
                </w:rPr>
                <w:t>RRB09-1/1</w:t>
              </w:r>
            </w:hyperlink>
            <w:r w:rsidRPr="00BA0CC5">
              <w:rPr>
                <w:i/>
                <w:iCs/>
                <w:lang w:val="en-US"/>
              </w:rPr>
              <w:t xml:space="preserve">, </w:t>
            </w:r>
            <w:hyperlink r:id="rId15" w:history="1">
              <w:r w:rsidRPr="00BA0CC5">
                <w:rPr>
                  <w:rStyle w:val="Hyperlink"/>
                  <w:i/>
                  <w:iCs/>
                  <w:lang w:val="en-US"/>
                </w:rPr>
                <w:t>RRB15-3/4</w:t>
              </w:r>
            </w:hyperlink>
            <w:r w:rsidRPr="00BA0CC5">
              <w:rPr>
                <w:i/>
                <w:iCs/>
                <w:lang w:val="en-US"/>
              </w:rPr>
              <w:t xml:space="preserve">, </w:t>
            </w:r>
            <w:hyperlink r:id="rId16" w:history="1">
              <w:r w:rsidRPr="00BA0CC5">
                <w:rPr>
                  <w:rStyle w:val="Hyperlink"/>
                  <w:i/>
                  <w:iCs/>
                  <w:lang w:val="en-US"/>
                </w:rPr>
                <w:t>RRB16-1/5</w:t>
              </w:r>
            </w:hyperlink>
            <w:r w:rsidRPr="00BA0CC5">
              <w:rPr>
                <w:i/>
                <w:iCs/>
                <w:lang w:val="en-US"/>
              </w:rPr>
              <w:t xml:space="preserve">, </w:t>
            </w:r>
            <w:hyperlink r:id="rId17" w:history="1">
              <w:r w:rsidRPr="00BA0CC5">
                <w:rPr>
                  <w:rStyle w:val="Hyperlink"/>
                  <w:i/>
                  <w:iCs/>
                  <w:lang w:val="en-US"/>
                </w:rPr>
                <w:t>RRB17-1/3</w:t>
              </w:r>
            </w:hyperlink>
            <w:r w:rsidRPr="00BA0CC5">
              <w:rPr>
                <w:i/>
                <w:iCs/>
                <w:lang w:val="en-US"/>
              </w:rPr>
              <w:t xml:space="preserve">, </w:t>
            </w:r>
            <w:hyperlink r:id="rId18" w:history="1">
              <w:r w:rsidRPr="00BA0CC5">
                <w:rPr>
                  <w:rStyle w:val="Hyperlink"/>
                  <w:rFonts w:asciiTheme="minorHAnsi" w:hAnsiTheme="minorHAnsi" w:cstheme="minorHAnsi"/>
                  <w:i/>
                  <w:iCs/>
                  <w:szCs w:val="22"/>
                  <w:lang w:val="en-US" w:eastAsia="zh-CN"/>
                </w:rPr>
                <w:t>RRB17-1/8</w:t>
              </w:r>
            </w:hyperlink>
            <w:r w:rsidRPr="00BA0CC5">
              <w:rPr>
                <w:i/>
                <w:iCs/>
                <w:lang w:val="en-US"/>
              </w:rPr>
              <w:t>, and the documents listed in Tables 1-3.</w:t>
            </w:r>
          </w:p>
          <w:p w:rsidR="006C1D82" w:rsidRPr="00BA0CC5" w:rsidRDefault="006C1D82" w:rsidP="002B7E62">
            <w:pPr>
              <w:rPr>
                <w:i/>
                <w:iCs/>
                <w:lang w:val="en-US"/>
              </w:rPr>
            </w:pPr>
          </w:p>
        </w:tc>
      </w:tr>
    </w:tbl>
    <w:p w:rsidR="006C1D82" w:rsidRPr="00BA0CC5" w:rsidRDefault="006C1D82" w:rsidP="00DE7CE7">
      <w:pPr>
        <w:pStyle w:val="Heading1"/>
        <w:rPr>
          <w:lang w:val="en-US" w:eastAsia="zh-CN"/>
        </w:rPr>
      </w:pPr>
      <w:bookmarkStart w:id="9" w:name="dstart"/>
      <w:bookmarkStart w:id="10" w:name="dbreak"/>
      <w:bookmarkEnd w:id="9"/>
      <w:bookmarkEnd w:id="10"/>
      <w:r w:rsidRPr="00BA0CC5">
        <w:rPr>
          <w:lang w:val="en-US" w:eastAsia="zh-CN"/>
        </w:rPr>
        <w:t>1</w:t>
      </w:r>
      <w:r w:rsidRPr="00BA0CC5">
        <w:rPr>
          <w:lang w:val="en-US" w:eastAsia="zh-CN"/>
        </w:rPr>
        <w:tab/>
        <w:t>Introduction</w:t>
      </w:r>
    </w:p>
    <w:p w:rsidR="006C1D82" w:rsidRPr="00BA0CC5" w:rsidRDefault="006C1D82" w:rsidP="00DE7CE7">
      <w:pPr>
        <w:rPr>
          <w:lang w:val="en-US" w:eastAsia="zh-CN"/>
        </w:rPr>
      </w:pPr>
      <w:r w:rsidRPr="00BA0CC5">
        <w:rPr>
          <w:lang w:val="en-US" w:eastAsia="zh-CN"/>
        </w:rPr>
        <w:t>Among the purposes of the Union as set out in Article 1 of the Constitution, ITU shall in particular:</w:t>
      </w:r>
    </w:p>
    <w:tbl>
      <w:tblPr>
        <w:tblW w:w="5000" w:type="pct"/>
        <w:tblCellMar>
          <w:left w:w="0" w:type="dxa"/>
          <w:right w:w="0" w:type="dxa"/>
        </w:tblCellMar>
        <w:tblLook w:val="0000" w:firstRow="0" w:lastRow="0" w:firstColumn="0" w:lastColumn="0" w:noHBand="0" w:noVBand="0"/>
      </w:tblPr>
      <w:tblGrid>
        <w:gridCol w:w="898"/>
        <w:gridCol w:w="8741"/>
      </w:tblGrid>
      <w:tr w:rsidR="006C1D82" w:rsidRPr="00BA0CC5" w:rsidTr="00446C75">
        <w:tc>
          <w:tcPr>
            <w:tcW w:w="466" w:type="pct"/>
            <w:tcMar>
              <w:left w:w="108" w:type="dxa"/>
              <w:right w:w="108" w:type="dxa"/>
            </w:tcMar>
          </w:tcPr>
          <w:p w:rsidR="006C1D82" w:rsidRPr="00BA0CC5" w:rsidRDefault="006C1D82" w:rsidP="00446C75">
            <w:pPr>
              <w:rPr>
                <w:b/>
                <w:i/>
                <w:lang w:val="en-US" w:eastAsia="zh-CN"/>
              </w:rPr>
            </w:pPr>
            <w:r w:rsidRPr="00BA0CC5">
              <w:rPr>
                <w:b/>
                <w:i/>
                <w:lang w:val="en-US" w:eastAsia="zh-CN"/>
              </w:rPr>
              <w:t>11</w:t>
            </w:r>
            <w:r w:rsidRPr="00BA0CC5">
              <w:rPr>
                <w:b/>
                <w:i/>
                <w:lang w:val="en-US" w:eastAsia="zh-CN"/>
              </w:rPr>
              <w:br/>
              <w:t>PP-98</w:t>
            </w:r>
          </w:p>
        </w:tc>
        <w:tc>
          <w:tcPr>
            <w:tcW w:w="4534" w:type="pct"/>
            <w:tcMar>
              <w:left w:w="108" w:type="dxa"/>
              <w:right w:w="108" w:type="dxa"/>
            </w:tcMar>
          </w:tcPr>
          <w:p w:rsidR="006C1D82" w:rsidRPr="00BA0CC5" w:rsidRDefault="006C1D82" w:rsidP="001211F2">
            <w:pPr>
              <w:ind w:left="567" w:hanging="567"/>
              <w:rPr>
                <w:i/>
                <w:lang w:val="en-US" w:eastAsia="zh-CN"/>
              </w:rPr>
            </w:pPr>
            <w:r w:rsidRPr="00BA0CC5">
              <w:rPr>
                <w:i/>
                <w:iCs/>
                <w:lang w:val="en-US" w:eastAsia="zh-CN"/>
              </w:rPr>
              <w:t>a)</w:t>
            </w:r>
            <w:r w:rsidRPr="00BA0CC5">
              <w:rPr>
                <w:i/>
                <w:lang w:val="en-US" w:eastAsia="zh-CN"/>
              </w:rPr>
              <w:tab/>
              <w:t>effect allocation of bands of the radio-frequency spectrum, the allotment of radio frequencies and the registration of radio-frequency assignments and, for space services, of any associated orbital position in the geostationary-satellite orbit or of any associated characteristics of satellites in other orbits, in order to avoid harmful interference between radio stations of different countries;</w:t>
            </w:r>
          </w:p>
        </w:tc>
      </w:tr>
      <w:tr w:rsidR="006C1D82" w:rsidRPr="00BA0CC5" w:rsidTr="00446C75">
        <w:tc>
          <w:tcPr>
            <w:tcW w:w="466" w:type="pct"/>
            <w:tcMar>
              <w:left w:w="108" w:type="dxa"/>
              <w:right w:w="108" w:type="dxa"/>
            </w:tcMar>
          </w:tcPr>
          <w:p w:rsidR="006C1D82" w:rsidRPr="00BA0CC5" w:rsidRDefault="006C1D82" w:rsidP="00446C75">
            <w:pPr>
              <w:rPr>
                <w:b/>
                <w:i/>
                <w:lang w:val="en-US" w:eastAsia="zh-CN"/>
              </w:rPr>
            </w:pPr>
            <w:r w:rsidRPr="00BA0CC5">
              <w:rPr>
                <w:b/>
                <w:i/>
                <w:lang w:val="en-US" w:eastAsia="zh-CN"/>
              </w:rPr>
              <w:t>12</w:t>
            </w:r>
            <w:r w:rsidRPr="00BA0CC5">
              <w:rPr>
                <w:b/>
                <w:i/>
                <w:lang w:val="en-US" w:eastAsia="zh-CN"/>
              </w:rPr>
              <w:br/>
              <w:t>PP-98</w:t>
            </w:r>
          </w:p>
        </w:tc>
        <w:tc>
          <w:tcPr>
            <w:tcW w:w="4534" w:type="pct"/>
            <w:tcMar>
              <w:left w:w="108" w:type="dxa"/>
              <w:right w:w="108" w:type="dxa"/>
            </w:tcMar>
          </w:tcPr>
          <w:p w:rsidR="006C1D82" w:rsidRPr="00BA0CC5" w:rsidRDefault="006C1D82" w:rsidP="001211F2">
            <w:pPr>
              <w:ind w:left="567" w:hanging="567"/>
              <w:rPr>
                <w:i/>
                <w:lang w:val="en-US" w:eastAsia="zh-CN"/>
              </w:rPr>
            </w:pPr>
            <w:r w:rsidRPr="00BA0CC5">
              <w:rPr>
                <w:i/>
                <w:iCs/>
                <w:lang w:val="en-US" w:eastAsia="zh-CN"/>
              </w:rPr>
              <w:t>b)</w:t>
            </w:r>
            <w:r w:rsidRPr="00BA0CC5">
              <w:rPr>
                <w:i/>
                <w:lang w:val="en-US" w:eastAsia="zh-CN"/>
              </w:rPr>
              <w:tab/>
              <w:t>coordinate efforts to eliminate harmful interference between radio stations of different countries and to improve the use made of the radio-frequency spectrum for radiocommunication services and of the geostationary-satellite and other satellite orbits;</w:t>
            </w:r>
          </w:p>
        </w:tc>
      </w:tr>
      <w:tr w:rsidR="006C1D82" w:rsidRPr="00BA0CC5" w:rsidTr="00446C75">
        <w:tc>
          <w:tcPr>
            <w:tcW w:w="466" w:type="pct"/>
            <w:tcMar>
              <w:left w:w="108" w:type="dxa"/>
              <w:right w:w="108" w:type="dxa"/>
            </w:tcMar>
          </w:tcPr>
          <w:p w:rsidR="006C1D82" w:rsidRPr="00BA0CC5" w:rsidRDefault="006C1D82" w:rsidP="00446C75">
            <w:pPr>
              <w:rPr>
                <w:b/>
                <w:i/>
                <w:lang w:val="en-US" w:eastAsia="zh-CN"/>
              </w:rPr>
            </w:pPr>
            <w:r w:rsidRPr="00BA0CC5">
              <w:rPr>
                <w:b/>
                <w:i/>
                <w:lang w:val="en-US" w:eastAsia="zh-CN"/>
              </w:rPr>
              <w:t>15</w:t>
            </w:r>
          </w:p>
        </w:tc>
        <w:tc>
          <w:tcPr>
            <w:tcW w:w="4534" w:type="pct"/>
            <w:tcMar>
              <w:left w:w="108" w:type="dxa"/>
              <w:right w:w="108" w:type="dxa"/>
            </w:tcMar>
          </w:tcPr>
          <w:p w:rsidR="006C1D82" w:rsidRPr="00BA0CC5" w:rsidRDefault="006C1D82" w:rsidP="001211F2">
            <w:pPr>
              <w:ind w:left="567" w:hanging="567"/>
              <w:rPr>
                <w:i/>
                <w:lang w:val="en-US" w:eastAsia="zh-CN"/>
              </w:rPr>
            </w:pPr>
            <w:r w:rsidRPr="00BA0CC5">
              <w:rPr>
                <w:i/>
                <w:iCs/>
                <w:lang w:val="en-US" w:eastAsia="zh-CN"/>
              </w:rPr>
              <w:t>e)</w:t>
            </w:r>
            <w:r w:rsidRPr="00BA0CC5">
              <w:rPr>
                <w:i/>
                <w:lang w:val="en-US" w:eastAsia="zh-CN"/>
              </w:rPr>
              <w:tab/>
              <w:t>coordinate efforts to harmonize the development of telecommunication facilities, notably those using space techniques, with a view to full advantage being taken of their possibilities;</w:t>
            </w:r>
          </w:p>
        </w:tc>
      </w:tr>
    </w:tbl>
    <w:p w:rsidR="006C1D82" w:rsidRPr="00BA0CC5" w:rsidRDefault="006C1D82" w:rsidP="00DE7CE7">
      <w:pPr>
        <w:rPr>
          <w:lang w:val="en-US" w:eastAsia="zh-CN"/>
        </w:rPr>
      </w:pPr>
      <w:r w:rsidRPr="00BA0CC5">
        <w:rPr>
          <w:lang w:val="en-US" w:eastAsia="zh-CN"/>
        </w:rPr>
        <w:t>…</w:t>
      </w:r>
    </w:p>
    <w:p w:rsidR="006C1D82" w:rsidRPr="00BA0CC5" w:rsidRDefault="006C1D82" w:rsidP="00DE7CE7">
      <w:pPr>
        <w:rPr>
          <w:lang w:val="en-US" w:eastAsia="zh-CN"/>
        </w:rPr>
      </w:pPr>
      <w:r w:rsidRPr="00BA0CC5">
        <w:rPr>
          <w:lang w:val="en-US" w:eastAsia="zh-CN"/>
        </w:rPr>
        <w:t>These and numerous other goals, particularly the development of radiocommunication standards (ITU-R Recommendations in ITU terminology) are pursued within the framework of the Radiocommunication Sector (ITU-R) and its secretariat, the Radiocommunication Bureau (BR).</w:t>
      </w:r>
    </w:p>
    <w:p w:rsidR="006C1D82" w:rsidRPr="00BA0CC5" w:rsidRDefault="006C1D82" w:rsidP="008C5D7D">
      <w:pPr>
        <w:rPr>
          <w:lang w:val="en-US" w:eastAsia="zh-CN"/>
        </w:rPr>
      </w:pPr>
      <w:r w:rsidRPr="00BA0CC5">
        <w:rPr>
          <w:lang w:val="en-US" w:eastAsia="zh-CN"/>
        </w:rPr>
        <w:lastRenderedPageBreak/>
        <w:t>In recent decades, more and more attention has been focused on efforts to increase the efficiency of radio-spectrum and satellite-orbit use. Ample evidence of this is to be seen in the ever-increasing numbers of participants at world radiocommunication conferences (WRCs); some 2 000 participants were registered at WRC-97 (held in 1997) and over 3 300 at WRC-15 (held in 2015).</w:t>
      </w:r>
    </w:p>
    <w:p w:rsidR="006C1D82" w:rsidRPr="00BA0CC5" w:rsidRDefault="006C1D82" w:rsidP="00DE7CE7">
      <w:pPr>
        <w:rPr>
          <w:lang w:val="en-US" w:eastAsia="zh-CN"/>
        </w:rPr>
      </w:pPr>
      <w:r w:rsidRPr="00BA0CC5">
        <w:rPr>
          <w:lang w:val="en-US" w:eastAsia="zh-CN"/>
        </w:rPr>
        <w:t>At the same time, we are seeing an increase in the types, complexity and volume of the tasks being accomplished by the staff of BR, which essentially constitutes the executive machinery of the international spectrum and satellite orbit management system.</w:t>
      </w:r>
    </w:p>
    <w:p w:rsidR="006C1D82" w:rsidRPr="00BA0CC5" w:rsidRDefault="006C1D82" w:rsidP="008C5D7D">
      <w:pPr>
        <w:rPr>
          <w:lang w:val="en-US" w:eastAsia="zh-CN"/>
        </w:rPr>
      </w:pPr>
      <w:r w:rsidRPr="00BA0CC5">
        <w:rPr>
          <w:lang w:val="en-US" w:eastAsia="zh-CN"/>
        </w:rPr>
        <w:t>In the course of their work, the highly qualified staff of BR, in addition to ensuring compliance with the requirements of the Radio Regulations, provide considerable and varied assistance to administrations and telecommunication operators. In recent years, this has included a complex array of activities aimed at overhauling the way in which the spectrum is used by television systems and harmonizing the frequency bands used by fourth-generation terrestrial mobile communication systems, as well as the provision of expert assistance in numerous other areas.</w:t>
      </w:r>
    </w:p>
    <w:p w:rsidR="006C1D82" w:rsidRPr="00BA0CC5" w:rsidRDefault="006C1D82" w:rsidP="00DE7CE7">
      <w:pPr>
        <w:rPr>
          <w:lang w:val="en-US" w:eastAsia="zh-CN"/>
        </w:rPr>
      </w:pPr>
      <w:r w:rsidRPr="00BA0CC5">
        <w:rPr>
          <w:lang w:val="en-US" w:eastAsia="zh-CN"/>
        </w:rPr>
        <w:t xml:space="preserve">Given that ITU-R as a whole and BR in particular operate within the confines of limited financial and human resources, it would be appropriate to evaluate those resources and elaborate proposals for their rational use in the future. </w:t>
      </w:r>
    </w:p>
    <w:p w:rsidR="006C1D82" w:rsidRPr="00BA0CC5" w:rsidRDefault="006C1D82" w:rsidP="00DE7CE7">
      <w:pPr>
        <w:pStyle w:val="Heading1"/>
        <w:rPr>
          <w:lang w:val="en-US" w:eastAsia="zh-CN"/>
        </w:rPr>
      </w:pPr>
      <w:r w:rsidRPr="00BA0CC5">
        <w:rPr>
          <w:lang w:val="en-US" w:eastAsia="zh-CN"/>
        </w:rPr>
        <w:t>2</w:t>
      </w:r>
      <w:r w:rsidRPr="00BA0CC5">
        <w:rPr>
          <w:lang w:val="en-US" w:eastAsia="zh-CN"/>
        </w:rPr>
        <w:tab/>
        <w:t>Analysis of ITU-R</w:t>
      </w:r>
      <w:r w:rsidR="001211F2" w:rsidRPr="00BA0CC5">
        <w:rPr>
          <w:lang w:val="en-US" w:eastAsia="zh-CN"/>
        </w:rPr>
        <w:t>'</w:t>
      </w:r>
      <w:r w:rsidRPr="00BA0CC5">
        <w:rPr>
          <w:lang w:val="en-US" w:eastAsia="zh-CN"/>
        </w:rPr>
        <w:t>s financial and human resources during the period 1996-2017</w:t>
      </w:r>
    </w:p>
    <w:p w:rsidR="006C1D82" w:rsidRPr="00BA0CC5" w:rsidRDefault="006C1D82" w:rsidP="00DE7CE7">
      <w:pPr>
        <w:pStyle w:val="Heading2"/>
        <w:rPr>
          <w:b w:val="0"/>
          <w:bCs/>
          <w:lang w:val="en-US" w:eastAsia="zh-CN"/>
        </w:rPr>
      </w:pPr>
      <w:r w:rsidRPr="00BA0CC5">
        <w:rPr>
          <w:bCs/>
          <w:lang w:val="en-US" w:eastAsia="zh-CN"/>
        </w:rPr>
        <w:t>2.1</w:t>
      </w:r>
      <w:r w:rsidRPr="00BA0CC5">
        <w:rPr>
          <w:bCs/>
          <w:lang w:val="en-US" w:eastAsia="zh-CN"/>
        </w:rPr>
        <w:tab/>
        <w:t>Analysis of ITU-R</w:t>
      </w:r>
      <w:r w:rsidR="001211F2" w:rsidRPr="00BA0CC5">
        <w:rPr>
          <w:bCs/>
          <w:lang w:val="en-US" w:eastAsia="zh-CN"/>
        </w:rPr>
        <w:t>'</w:t>
      </w:r>
      <w:r w:rsidRPr="00BA0CC5">
        <w:rPr>
          <w:bCs/>
          <w:lang w:val="en-US" w:eastAsia="zh-CN"/>
        </w:rPr>
        <w:t>s financial resources during the period 1996-2017 and comparison with the draft budget for 2018-2019</w:t>
      </w:r>
    </w:p>
    <w:p w:rsidR="006C1D82" w:rsidRPr="00BA0CC5" w:rsidRDefault="006C1D82" w:rsidP="001211F2">
      <w:pPr>
        <w:rPr>
          <w:lang w:val="en-US" w:eastAsia="zh-CN"/>
        </w:rPr>
      </w:pPr>
      <w:r w:rsidRPr="00BA0CC5">
        <w:rPr>
          <w:lang w:val="en-US" w:eastAsia="zh-CN"/>
        </w:rPr>
        <w:t>Table 1 and Figure 1 contain statistical data showing the evolution of ITU-R</w:t>
      </w:r>
      <w:r w:rsidR="001211F2" w:rsidRPr="00BA0CC5">
        <w:rPr>
          <w:lang w:val="en-US" w:eastAsia="zh-CN"/>
        </w:rPr>
        <w:t>'</w:t>
      </w:r>
      <w:r w:rsidRPr="00BA0CC5">
        <w:rPr>
          <w:lang w:val="en-US" w:eastAsia="zh-CN"/>
        </w:rPr>
        <w:t>s budget over the period 1996-2017 (the data for 2010-2019 are drawn from Document </w:t>
      </w:r>
      <w:hyperlink r:id="rId19" w:history="1">
        <w:r w:rsidRPr="00BA0CC5">
          <w:rPr>
            <w:rStyle w:val="Hyperlink"/>
            <w:lang w:val="en-US" w:eastAsia="zh-CN"/>
          </w:rPr>
          <w:t>C17/10</w:t>
        </w:r>
      </w:hyperlink>
      <w:r w:rsidRPr="00BA0CC5">
        <w:rPr>
          <w:lang w:val="en-US" w:eastAsia="zh-CN"/>
        </w:rPr>
        <w:t>).</w:t>
      </w:r>
    </w:p>
    <w:p w:rsidR="006C1D82" w:rsidRPr="00BA0CC5" w:rsidRDefault="006C1D82" w:rsidP="001211F2">
      <w:pPr>
        <w:pStyle w:val="TableNo"/>
        <w:rPr>
          <w:lang w:val="en-US" w:eastAsia="zh-CN"/>
        </w:rPr>
      </w:pPr>
      <w:r w:rsidRPr="00BA0CC5">
        <w:rPr>
          <w:lang w:val="en-US" w:eastAsia="zh-CN"/>
        </w:rPr>
        <w:t>Table 1</w:t>
      </w:r>
    </w:p>
    <w:p w:rsidR="006C1D82" w:rsidRPr="00BA0CC5" w:rsidRDefault="006C1D82" w:rsidP="001211F2">
      <w:pPr>
        <w:pStyle w:val="Tabletitle"/>
        <w:rPr>
          <w:lang w:val="en-US" w:eastAsia="zh-CN"/>
        </w:rPr>
      </w:pPr>
      <w:r w:rsidRPr="00BA0CC5">
        <w:rPr>
          <w:lang w:val="en-US" w:eastAsia="zh-CN"/>
        </w:rPr>
        <w:t>ITU-R budget during the period 1996-2017</w:t>
      </w:r>
      <w:r w:rsidRPr="00BA0CC5">
        <w:rPr>
          <w:lang w:val="en-US" w:eastAsia="zh-CN"/>
        </w:rPr>
        <w:br/>
        <w:t>and draft budget for 2018-2019</w:t>
      </w:r>
    </w:p>
    <w:tbl>
      <w:tblPr>
        <w:tblStyle w:val="TableGrid"/>
        <w:tblW w:w="9896" w:type="dxa"/>
        <w:tblInd w:w="-147" w:type="dxa"/>
        <w:tblLayout w:type="fixed"/>
        <w:tblLook w:val="04A0" w:firstRow="1" w:lastRow="0" w:firstColumn="1" w:lastColumn="0" w:noHBand="0" w:noVBand="1"/>
      </w:tblPr>
      <w:tblGrid>
        <w:gridCol w:w="1076"/>
        <w:gridCol w:w="1476"/>
        <w:gridCol w:w="992"/>
        <w:gridCol w:w="1132"/>
        <w:gridCol w:w="1566"/>
        <w:gridCol w:w="1404"/>
        <w:gridCol w:w="1080"/>
        <w:gridCol w:w="1170"/>
      </w:tblGrid>
      <w:tr w:rsidR="006C1D82" w:rsidRPr="00BA0CC5" w:rsidTr="00316EDA">
        <w:tc>
          <w:tcPr>
            <w:tcW w:w="1076"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Period</w:t>
            </w:r>
          </w:p>
        </w:tc>
        <w:tc>
          <w:tcPr>
            <w:tcW w:w="1476"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Document</w:t>
            </w:r>
          </w:p>
        </w:tc>
        <w:tc>
          <w:tcPr>
            <w:tcW w:w="992"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Pages</w:t>
            </w:r>
          </w:p>
        </w:tc>
        <w:tc>
          <w:tcPr>
            <w:tcW w:w="1132"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Budget</w:t>
            </w:r>
            <w:r w:rsidRPr="00BA0CC5">
              <w:rPr>
                <w:lang w:val="en-US" w:eastAsia="zh-CN"/>
              </w:rPr>
              <w:br/>
              <w:t>(CHF thousands)</w:t>
            </w:r>
          </w:p>
        </w:tc>
        <w:tc>
          <w:tcPr>
            <w:tcW w:w="1566"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Period</w:t>
            </w:r>
            <w:r w:rsidRPr="00BA0CC5">
              <w:rPr>
                <w:lang w:val="en-US" w:eastAsia="zh-CN"/>
              </w:rPr>
              <w:br/>
            </w:r>
            <w:r w:rsidRPr="00BA0CC5">
              <w:rPr>
                <w:bCs/>
                <w:lang w:val="en-US" w:eastAsia="zh-CN"/>
              </w:rPr>
              <w:t>(continued)</w:t>
            </w:r>
          </w:p>
        </w:tc>
        <w:tc>
          <w:tcPr>
            <w:tcW w:w="1404"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Document</w:t>
            </w:r>
          </w:p>
        </w:tc>
        <w:tc>
          <w:tcPr>
            <w:tcW w:w="1080"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Pages</w:t>
            </w:r>
          </w:p>
        </w:tc>
        <w:tc>
          <w:tcPr>
            <w:tcW w:w="1170"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Budget</w:t>
            </w:r>
            <w:r w:rsidRPr="00BA0CC5">
              <w:rPr>
                <w:lang w:val="en-US" w:eastAsia="zh-CN"/>
              </w:rPr>
              <w:br/>
              <w:t>(CHF thousands)</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1996-1997</w:t>
            </w:r>
          </w:p>
        </w:tc>
        <w:tc>
          <w:tcPr>
            <w:tcW w:w="1476" w:type="dxa"/>
            <w:tcMar>
              <w:left w:w="29" w:type="dxa"/>
              <w:right w:w="29" w:type="dxa"/>
            </w:tcMar>
            <w:vAlign w:val="center"/>
          </w:tcPr>
          <w:p w:rsidR="006C1D82" w:rsidRPr="00BA0CC5" w:rsidRDefault="00924B55" w:rsidP="00446C75">
            <w:pPr>
              <w:pStyle w:val="Tabletext"/>
              <w:jc w:val="center"/>
              <w:rPr>
                <w:lang w:val="en-US" w:eastAsia="zh-CN"/>
              </w:rPr>
            </w:pPr>
            <w:hyperlink r:id="rId20" w:history="1">
              <w:r w:rsidR="006C1D82" w:rsidRPr="00BA0CC5">
                <w:rPr>
                  <w:rStyle w:val="Hyperlink"/>
                  <w:lang w:val="en-US" w:eastAsia="zh-CN"/>
                </w:rPr>
                <w:t>C2000/11</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20-23</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62 196</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2008-2009</w:t>
            </w:r>
          </w:p>
        </w:tc>
        <w:tc>
          <w:tcPr>
            <w:tcW w:w="1404" w:type="dxa"/>
            <w:tcMar>
              <w:left w:w="29" w:type="dxa"/>
              <w:right w:w="29" w:type="dxa"/>
            </w:tcMar>
            <w:vAlign w:val="center"/>
          </w:tcPr>
          <w:p w:rsidR="006C1D82" w:rsidRPr="00BA0CC5" w:rsidRDefault="00924B55" w:rsidP="00446C75">
            <w:pPr>
              <w:pStyle w:val="Tabletext"/>
              <w:jc w:val="center"/>
              <w:rPr>
                <w:lang w:val="en-US" w:eastAsia="zh-CN"/>
              </w:rPr>
            </w:pPr>
            <w:hyperlink r:id="rId21" w:history="1">
              <w:r w:rsidR="006C1D82" w:rsidRPr="00BA0CC5">
                <w:rPr>
                  <w:rStyle w:val="Hyperlink"/>
                  <w:lang w:val="en-US" w:eastAsia="zh-CN"/>
                </w:rPr>
                <w:t>C10/31(Rev.1)</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10, 18-25</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66 728</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1998-1999</w:t>
            </w:r>
          </w:p>
        </w:tc>
        <w:tc>
          <w:tcPr>
            <w:tcW w:w="1476" w:type="dxa"/>
            <w:tcMar>
              <w:left w:w="29" w:type="dxa"/>
              <w:right w:w="29" w:type="dxa"/>
            </w:tcMar>
            <w:vAlign w:val="center"/>
          </w:tcPr>
          <w:p w:rsidR="006C1D82" w:rsidRPr="00BA0CC5" w:rsidRDefault="00924B55" w:rsidP="00446C75">
            <w:pPr>
              <w:pStyle w:val="Tabletext"/>
              <w:jc w:val="center"/>
              <w:rPr>
                <w:lang w:val="en-US" w:eastAsia="zh-CN"/>
              </w:rPr>
            </w:pPr>
            <w:hyperlink r:id="rId22" w:history="1">
              <w:r w:rsidR="006C1D82" w:rsidRPr="00BA0CC5">
                <w:rPr>
                  <w:rStyle w:val="Hyperlink"/>
                  <w:lang w:val="en-US" w:eastAsia="zh-CN"/>
                </w:rPr>
                <w:t>C2000/11</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20-23</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65 206</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2010-2011</w:t>
            </w:r>
          </w:p>
        </w:tc>
        <w:tc>
          <w:tcPr>
            <w:tcW w:w="1404" w:type="dxa"/>
            <w:tcMar>
              <w:left w:w="29" w:type="dxa"/>
              <w:right w:w="29" w:type="dxa"/>
            </w:tcMar>
            <w:vAlign w:val="center"/>
          </w:tcPr>
          <w:p w:rsidR="006C1D82" w:rsidRPr="00BA0CC5" w:rsidRDefault="00924B55" w:rsidP="00446C75">
            <w:pPr>
              <w:pStyle w:val="Tabletext"/>
              <w:jc w:val="center"/>
              <w:rPr>
                <w:lang w:val="en-US" w:eastAsia="zh-CN"/>
              </w:rPr>
            </w:pPr>
            <w:hyperlink r:id="rId23" w:history="1">
              <w:r w:rsidR="006C1D82" w:rsidRPr="00BA0CC5">
                <w:rPr>
                  <w:rStyle w:val="Hyperlink"/>
                  <w:lang w:val="en-US" w:eastAsia="zh-CN"/>
                </w:rPr>
                <w:t>C13/10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4</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65 772</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2000-2001</w:t>
            </w:r>
          </w:p>
        </w:tc>
        <w:tc>
          <w:tcPr>
            <w:tcW w:w="1476" w:type="dxa"/>
            <w:tcMar>
              <w:left w:w="29" w:type="dxa"/>
              <w:right w:w="29" w:type="dxa"/>
            </w:tcMar>
            <w:vAlign w:val="center"/>
          </w:tcPr>
          <w:p w:rsidR="006C1D82" w:rsidRPr="00BA0CC5" w:rsidRDefault="00924B55" w:rsidP="00446C75">
            <w:pPr>
              <w:pStyle w:val="Tabletext"/>
              <w:jc w:val="center"/>
              <w:rPr>
                <w:lang w:val="en-US" w:eastAsia="zh-CN"/>
              </w:rPr>
            </w:pPr>
            <w:hyperlink r:id="rId24" w:history="1">
              <w:r w:rsidR="006C1D82" w:rsidRPr="00BA0CC5">
                <w:rPr>
                  <w:rStyle w:val="Hyperlink"/>
                  <w:lang w:val="en-US" w:eastAsia="zh-CN"/>
                </w:rPr>
                <w:t>C02/13(Rev.1)</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21-24</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67 276</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2012-2013</w:t>
            </w:r>
          </w:p>
        </w:tc>
        <w:tc>
          <w:tcPr>
            <w:tcW w:w="1404" w:type="dxa"/>
            <w:tcMar>
              <w:left w:w="29" w:type="dxa"/>
              <w:right w:w="29" w:type="dxa"/>
            </w:tcMar>
            <w:vAlign w:val="center"/>
          </w:tcPr>
          <w:p w:rsidR="006C1D82" w:rsidRPr="00BA0CC5" w:rsidRDefault="00924B55" w:rsidP="00446C75">
            <w:pPr>
              <w:pStyle w:val="Tabletext"/>
              <w:jc w:val="center"/>
              <w:rPr>
                <w:lang w:val="en-US" w:eastAsia="zh-CN"/>
              </w:rPr>
            </w:pPr>
            <w:hyperlink r:id="rId25" w:history="1">
              <w:r w:rsidR="006C1D82" w:rsidRPr="00BA0CC5">
                <w:rPr>
                  <w:rStyle w:val="Hyperlink"/>
                  <w:lang w:val="en-US" w:eastAsia="zh-CN"/>
                </w:rPr>
                <w:t>C15/10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61 853</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2002-2003</w:t>
            </w:r>
          </w:p>
        </w:tc>
        <w:tc>
          <w:tcPr>
            <w:tcW w:w="1476" w:type="dxa"/>
            <w:tcMar>
              <w:left w:w="29" w:type="dxa"/>
              <w:right w:w="29" w:type="dxa"/>
            </w:tcMar>
            <w:vAlign w:val="center"/>
          </w:tcPr>
          <w:p w:rsidR="006C1D82" w:rsidRPr="00BA0CC5" w:rsidRDefault="00924B55" w:rsidP="00446C75">
            <w:pPr>
              <w:pStyle w:val="Tabletext"/>
              <w:jc w:val="center"/>
              <w:rPr>
                <w:lang w:val="en-US" w:eastAsia="zh-CN"/>
              </w:rPr>
            </w:pPr>
            <w:hyperlink r:id="rId26" w:history="1">
              <w:r w:rsidR="006C1D82" w:rsidRPr="00BA0CC5">
                <w:rPr>
                  <w:rStyle w:val="Hyperlink"/>
                  <w:lang w:val="en-US" w:eastAsia="zh-CN"/>
                </w:rPr>
                <w:t>C04/22</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10</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68 708</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2014-2015</w:t>
            </w:r>
          </w:p>
        </w:tc>
        <w:tc>
          <w:tcPr>
            <w:tcW w:w="1404" w:type="dxa"/>
            <w:tcMar>
              <w:left w:w="29" w:type="dxa"/>
              <w:right w:w="29" w:type="dxa"/>
            </w:tcMar>
            <w:vAlign w:val="center"/>
          </w:tcPr>
          <w:p w:rsidR="006C1D82" w:rsidRPr="00BA0CC5" w:rsidRDefault="00924B55" w:rsidP="00446C75">
            <w:pPr>
              <w:pStyle w:val="Tabletext"/>
              <w:jc w:val="center"/>
              <w:rPr>
                <w:lang w:val="en-US" w:eastAsia="zh-CN"/>
              </w:rPr>
            </w:pPr>
            <w:hyperlink r:id="rId27" w:history="1">
              <w:r w:rsidR="006C1D82" w:rsidRPr="00BA0CC5">
                <w:rPr>
                  <w:rStyle w:val="Hyperlink"/>
                  <w:lang w:val="en-US" w:eastAsia="zh-CN"/>
                </w:rPr>
                <w:t>C17/10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62 202</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2004-2005</w:t>
            </w:r>
          </w:p>
        </w:tc>
        <w:tc>
          <w:tcPr>
            <w:tcW w:w="1476" w:type="dxa"/>
            <w:tcMar>
              <w:left w:w="29" w:type="dxa"/>
              <w:right w:w="29" w:type="dxa"/>
            </w:tcMar>
            <w:vAlign w:val="center"/>
          </w:tcPr>
          <w:p w:rsidR="006C1D82" w:rsidRPr="00BA0CC5" w:rsidRDefault="00924B55" w:rsidP="00446C75">
            <w:pPr>
              <w:pStyle w:val="Tabletext"/>
              <w:jc w:val="center"/>
              <w:rPr>
                <w:lang w:val="en-US" w:eastAsia="zh-CN"/>
              </w:rPr>
            </w:pPr>
            <w:hyperlink r:id="rId28" w:history="1">
              <w:r w:rsidR="006C1D82" w:rsidRPr="00BA0CC5">
                <w:rPr>
                  <w:rStyle w:val="Hyperlink"/>
                  <w:lang w:val="en-US" w:eastAsia="zh-CN"/>
                </w:rPr>
                <w:t>C06/26(Rev.1)</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18-26</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71 139</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2016-2017</w:t>
            </w:r>
          </w:p>
        </w:tc>
        <w:tc>
          <w:tcPr>
            <w:tcW w:w="1404" w:type="dxa"/>
            <w:tcMar>
              <w:left w:w="29" w:type="dxa"/>
              <w:right w:w="29" w:type="dxa"/>
            </w:tcMar>
            <w:vAlign w:val="center"/>
          </w:tcPr>
          <w:p w:rsidR="006C1D82" w:rsidRPr="00BA0CC5" w:rsidRDefault="00924B55" w:rsidP="00446C75">
            <w:pPr>
              <w:pStyle w:val="Tabletext"/>
              <w:jc w:val="center"/>
              <w:rPr>
                <w:lang w:val="en-US" w:eastAsia="zh-CN"/>
              </w:rPr>
            </w:pPr>
            <w:hyperlink r:id="rId29" w:history="1">
              <w:r w:rsidR="006C1D82" w:rsidRPr="00BA0CC5">
                <w:rPr>
                  <w:rStyle w:val="Hyperlink"/>
                  <w:lang w:val="en-US" w:eastAsia="zh-CN"/>
                </w:rPr>
                <w:t>C17/10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w:t>
            </w:r>
          </w:p>
        </w:tc>
        <w:tc>
          <w:tcPr>
            <w:tcW w:w="117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57 501</w:t>
            </w:r>
          </w:p>
        </w:tc>
      </w:tr>
      <w:tr w:rsidR="006C1D82" w:rsidRPr="00BA0CC5" w:rsidTr="00316EDA">
        <w:tc>
          <w:tcPr>
            <w:tcW w:w="107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2006-2007</w:t>
            </w:r>
          </w:p>
        </w:tc>
        <w:tc>
          <w:tcPr>
            <w:tcW w:w="1476" w:type="dxa"/>
            <w:tcMar>
              <w:left w:w="29" w:type="dxa"/>
              <w:right w:w="29" w:type="dxa"/>
            </w:tcMar>
            <w:vAlign w:val="center"/>
          </w:tcPr>
          <w:p w:rsidR="006C1D82" w:rsidRPr="00BA0CC5" w:rsidRDefault="00924B55" w:rsidP="00446C75">
            <w:pPr>
              <w:pStyle w:val="Tabletext"/>
              <w:jc w:val="center"/>
              <w:rPr>
                <w:lang w:val="en-US" w:eastAsia="zh-CN"/>
              </w:rPr>
            </w:pPr>
            <w:hyperlink r:id="rId30" w:history="1">
              <w:r w:rsidR="006C1D82" w:rsidRPr="00BA0CC5">
                <w:rPr>
                  <w:rStyle w:val="Hyperlink"/>
                  <w:lang w:val="en-US" w:eastAsia="zh-CN"/>
                </w:rPr>
                <w:t>C08/7</w:t>
              </w:r>
            </w:hyperlink>
          </w:p>
        </w:tc>
        <w:tc>
          <w:tcPr>
            <w:tcW w:w="99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12, 18-26</w:t>
            </w:r>
          </w:p>
        </w:tc>
        <w:tc>
          <w:tcPr>
            <w:tcW w:w="1132"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74 698</w:t>
            </w:r>
          </w:p>
        </w:tc>
        <w:tc>
          <w:tcPr>
            <w:tcW w:w="1566"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2018-2019 (projected)</w:t>
            </w:r>
          </w:p>
        </w:tc>
        <w:tc>
          <w:tcPr>
            <w:tcW w:w="1404" w:type="dxa"/>
            <w:tcMar>
              <w:left w:w="29" w:type="dxa"/>
              <w:right w:w="29" w:type="dxa"/>
            </w:tcMar>
            <w:vAlign w:val="center"/>
          </w:tcPr>
          <w:p w:rsidR="006C1D82" w:rsidRPr="00BA0CC5" w:rsidRDefault="00924B55" w:rsidP="00446C75">
            <w:pPr>
              <w:pStyle w:val="Tabletext"/>
              <w:jc w:val="center"/>
              <w:rPr>
                <w:lang w:val="en-US" w:eastAsia="zh-CN"/>
              </w:rPr>
            </w:pPr>
            <w:hyperlink r:id="rId31" w:history="1">
              <w:r w:rsidR="006C1D82" w:rsidRPr="00BA0CC5">
                <w:rPr>
                  <w:rStyle w:val="Hyperlink"/>
                  <w:lang w:val="en-US" w:eastAsia="zh-CN"/>
                </w:rPr>
                <w:t>C17/10</w:t>
              </w:r>
            </w:hyperlink>
          </w:p>
        </w:tc>
        <w:tc>
          <w:tcPr>
            <w:tcW w:w="1080" w:type="dxa"/>
            <w:tcMar>
              <w:left w:w="29" w:type="dxa"/>
              <w:right w:w="29" w:type="dxa"/>
            </w:tcMar>
            <w:vAlign w:val="center"/>
          </w:tcPr>
          <w:p w:rsidR="006C1D82" w:rsidRPr="00BA0CC5" w:rsidRDefault="006C1D82" w:rsidP="00446C75">
            <w:pPr>
              <w:pStyle w:val="Tabletext"/>
              <w:jc w:val="center"/>
              <w:rPr>
                <w:lang w:val="en-US" w:eastAsia="zh-CN"/>
              </w:rPr>
            </w:pPr>
            <w:r w:rsidRPr="00BA0CC5">
              <w:rPr>
                <w:lang w:val="en-US" w:eastAsia="zh-CN"/>
              </w:rPr>
              <w:t>5</w:t>
            </w:r>
          </w:p>
        </w:tc>
        <w:tc>
          <w:tcPr>
            <w:tcW w:w="1170" w:type="dxa"/>
            <w:tcMar>
              <w:left w:w="29" w:type="dxa"/>
              <w:right w:w="29" w:type="dxa"/>
            </w:tcMar>
            <w:vAlign w:val="center"/>
          </w:tcPr>
          <w:p w:rsidR="006C1D82" w:rsidRPr="00BA0CC5" w:rsidRDefault="006C1D82" w:rsidP="00446C75">
            <w:pPr>
              <w:pStyle w:val="Tabletext"/>
              <w:jc w:val="center"/>
              <w:rPr>
                <w:color w:val="FF0000"/>
                <w:lang w:val="en-US" w:eastAsia="zh-CN"/>
              </w:rPr>
            </w:pPr>
            <w:r w:rsidRPr="00BA0CC5">
              <w:rPr>
                <w:color w:val="FF0000"/>
                <w:lang w:val="en-US" w:eastAsia="zh-CN"/>
              </w:rPr>
              <w:t>58 586</w:t>
            </w:r>
          </w:p>
        </w:tc>
      </w:tr>
    </w:tbl>
    <w:p w:rsidR="006C1D82" w:rsidRPr="00BA0CC5" w:rsidRDefault="006C1D82" w:rsidP="00DE7CE7">
      <w:pPr>
        <w:rPr>
          <w:lang w:val="en-US" w:eastAsia="zh-CN"/>
        </w:rPr>
      </w:pPr>
    </w:p>
    <w:p w:rsidR="006C1D82" w:rsidRPr="00BA0CC5" w:rsidRDefault="006C1D82" w:rsidP="001211F2">
      <w:pPr>
        <w:rPr>
          <w:lang w:val="en-US" w:eastAsia="zh-CN"/>
        </w:rPr>
      </w:pPr>
      <w:r w:rsidRPr="00BA0CC5">
        <w:rPr>
          <w:lang w:val="en-US" w:eastAsia="zh-CN"/>
        </w:rPr>
        <w:lastRenderedPageBreak/>
        <w:t xml:space="preserve">It is to be noted that the increase in the budget for 2018-2019 by comparison with the 2016-2017 figure is due to the expenditure necessitated by the holding of the WRC and Radiocommunication Assembly in 2019, in the amount of CHF 2 973 000. If that item is subtracted, the budget for regular activities amounts to CHF 55 613 000, </w:t>
      </w:r>
      <w:r w:rsidR="001211F2" w:rsidRPr="00BA0CC5">
        <w:rPr>
          <w:b/>
          <w:lang w:val="en-US" w:eastAsia="zh-CN"/>
        </w:rPr>
        <w:t>i.e. </w:t>
      </w:r>
      <w:r w:rsidRPr="00BA0CC5">
        <w:rPr>
          <w:b/>
          <w:lang w:val="en-US" w:eastAsia="zh-CN"/>
        </w:rPr>
        <w:t>a further reduction in funding for ITU-R</w:t>
      </w:r>
      <w:r w:rsidR="001211F2" w:rsidRPr="00BA0CC5">
        <w:rPr>
          <w:b/>
          <w:lang w:val="en-US" w:eastAsia="zh-CN"/>
        </w:rPr>
        <w:t>'</w:t>
      </w:r>
      <w:r w:rsidRPr="00BA0CC5">
        <w:rPr>
          <w:b/>
          <w:lang w:val="en-US" w:eastAsia="zh-CN"/>
        </w:rPr>
        <w:t>s regular activities is planned</w:t>
      </w:r>
      <w:r w:rsidRPr="00BA0CC5">
        <w:rPr>
          <w:lang w:val="en-US" w:eastAsia="zh-CN"/>
        </w:rPr>
        <w:t>.</w:t>
      </w:r>
    </w:p>
    <w:p w:rsidR="006C1D82" w:rsidRPr="00BA0CC5" w:rsidRDefault="006C1D82" w:rsidP="001211F2">
      <w:pPr>
        <w:pStyle w:val="FigureNo"/>
        <w:rPr>
          <w:lang w:val="en-US" w:eastAsia="zh-CN"/>
        </w:rPr>
      </w:pPr>
      <w:r w:rsidRPr="00BA0CC5">
        <w:rPr>
          <w:lang w:val="en-US" w:eastAsia="zh-CN"/>
        </w:rPr>
        <w:t>Figure 1</w:t>
      </w:r>
    </w:p>
    <w:p w:rsidR="006C1D82" w:rsidRPr="00BA0CC5" w:rsidRDefault="006C1D82" w:rsidP="001211F2">
      <w:pPr>
        <w:pStyle w:val="Figuretitle"/>
        <w:rPr>
          <w:lang w:val="en-US" w:eastAsia="zh-CN"/>
        </w:rPr>
      </w:pPr>
      <w:r w:rsidRPr="00BA0CC5">
        <w:rPr>
          <w:lang w:val="en-US" w:eastAsia="zh-CN"/>
        </w:rPr>
        <w:t>ITU-R budget during the period 1996-2017 and draft budget for 2018-2019</w:t>
      </w:r>
      <w:r w:rsidRPr="00BA0CC5">
        <w:rPr>
          <w:lang w:val="en-US" w:eastAsia="zh-CN"/>
        </w:rPr>
        <w:br/>
        <w:t>(in graph form)</w:t>
      </w:r>
    </w:p>
    <w:p w:rsidR="006C1D82" w:rsidRPr="00BA0CC5" w:rsidRDefault="006C1D82" w:rsidP="00DE7CE7">
      <w:pPr>
        <w:pStyle w:val="Figurelegend"/>
        <w:jc w:val="right"/>
        <w:rPr>
          <w:b/>
          <w:bCs/>
          <w:lang w:val="en-US" w:eastAsia="zh-CN"/>
        </w:rPr>
      </w:pPr>
      <w:r w:rsidRPr="00BA0CC5">
        <w:rPr>
          <w:b/>
          <w:bCs/>
          <w:lang w:val="en-US" w:eastAsia="zh-CN"/>
        </w:rPr>
        <w:t>In CHF thousands</w:t>
      </w:r>
    </w:p>
    <w:p w:rsidR="006C1D82" w:rsidRPr="00BA0CC5" w:rsidRDefault="006C1D82" w:rsidP="00DE7CE7">
      <w:pPr>
        <w:jc w:val="center"/>
        <w:rPr>
          <w:lang w:val="en-US" w:eastAsia="zh-CN"/>
        </w:rPr>
      </w:pPr>
      <w:r w:rsidRPr="00BA0CC5">
        <w:rPr>
          <w:noProof/>
          <w:lang w:val="en-US" w:eastAsia="zh-CN"/>
        </w:rPr>
        <w:drawing>
          <wp:inline distT="0" distB="0" distL="0" distR="0" wp14:anchorId="175789DB" wp14:editId="14505068">
            <wp:extent cx="6120765" cy="3263481"/>
            <wp:effectExtent l="0" t="0" r="1333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C1D82" w:rsidRPr="00BA0CC5" w:rsidRDefault="006C1D82" w:rsidP="00DE7CE7">
      <w:pPr>
        <w:rPr>
          <w:lang w:val="en-US" w:eastAsia="zh-CN"/>
        </w:rPr>
      </w:pPr>
    </w:p>
    <w:p w:rsidR="006C1D82" w:rsidRPr="00BA0CC5" w:rsidRDefault="006C1D82" w:rsidP="008C5D7D">
      <w:pPr>
        <w:rPr>
          <w:b/>
          <w:lang w:val="en-US" w:eastAsia="zh-CN"/>
        </w:rPr>
      </w:pPr>
      <w:r w:rsidRPr="00BA0CC5">
        <w:rPr>
          <w:lang w:val="en-US" w:eastAsia="zh-CN"/>
        </w:rPr>
        <w:t>In this connection, it is important to note that over the period in question BR generated significant income through its processing of satellite network filings. The corresponding data are shown in Figure 2. Furthermore, a significant proportion of the revenue side of ITU</w:t>
      </w:r>
      <w:r w:rsidR="001211F2" w:rsidRPr="00BA0CC5">
        <w:rPr>
          <w:lang w:val="en-US" w:eastAsia="zh-CN"/>
        </w:rPr>
        <w:t>'</w:t>
      </w:r>
      <w:r w:rsidRPr="00BA0CC5">
        <w:rPr>
          <w:lang w:val="en-US" w:eastAsia="zh-CN"/>
        </w:rPr>
        <w:t>s budget is derived from the sale of ITU-R/BR publications, amounting (at a very conservative estimate) to more than 20 million over a biennial period. Thus, through their activities, ITU-R and especially BR provide ITU with revenue amounting to over half of the Sector</w:t>
      </w:r>
      <w:r w:rsidR="001211F2" w:rsidRPr="00BA0CC5">
        <w:rPr>
          <w:lang w:val="en-US" w:eastAsia="zh-CN"/>
        </w:rPr>
        <w:t>'</w:t>
      </w:r>
      <w:r w:rsidRPr="00BA0CC5">
        <w:rPr>
          <w:lang w:val="en-US" w:eastAsia="zh-CN"/>
        </w:rPr>
        <w:t xml:space="preserve">s biennial budget </w:t>
      </w:r>
      <w:r w:rsidRPr="00BA0CC5">
        <w:rPr>
          <w:lang w:val="en-US" w:eastAsia="zh-CN"/>
        </w:rPr>
        <w:sym w:font="Symbol" w:char="F02D"/>
      </w:r>
      <w:r w:rsidRPr="00BA0CC5">
        <w:rPr>
          <w:lang w:val="en-US" w:eastAsia="zh-CN"/>
        </w:rPr>
        <w:t xml:space="preserve"> a unique situation within the Union as a whole.</w:t>
      </w:r>
    </w:p>
    <w:p w:rsidR="006C1D82" w:rsidRPr="00BA0CC5" w:rsidRDefault="006C1D82" w:rsidP="001211F2">
      <w:pPr>
        <w:pStyle w:val="FigureNo"/>
        <w:rPr>
          <w:lang w:val="en-US" w:eastAsia="zh-CN"/>
        </w:rPr>
      </w:pPr>
      <w:r w:rsidRPr="00BA0CC5">
        <w:rPr>
          <w:lang w:val="en-US" w:eastAsia="zh-CN"/>
        </w:rPr>
        <w:lastRenderedPageBreak/>
        <w:t>Figure 2</w:t>
      </w:r>
    </w:p>
    <w:p w:rsidR="006C1D82" w:rsidRPr="00BA0CC5" w:rsidRDefault="006C1D82" w:rsidP="001211F2">
      <w:pPr>
        <w:pStyle w:val="Figuretitle"/>
        <w:rPr>
          <w:lang w:val="en-US" w:eastAsia="zh-CN"/>
        </w:rPr>
      </w:pPr>
      <w:r w:rsidRPr="00BA0CC5">
        <w:rPr>
          <w:lang w:val="en-US" w:eastAsia="zh-CN"/>
        </w:rPr>
        <w:t>Revenue from the processing of satellite network filings during</w:t>
      </w:r>
      <w:r w:rsidRPr="00BA0CC5">
        <w:rPr>
          <w:lang w:val="en-US" w:eastAsia="zh-CN"/>
        </w:rPr>
        <w:br/>
        <w:t>the period 2002-2015, and forecast for 2016-2019</w:t>
      </w:r>
    </w:p>
    <w:p w:rsidR="006C1D82" w:rsidRPr="00BA0CC5" w:rsidRDefault="006C1D82" w:rsidP="00DE7CE7">
      <w:pPr>
        <w:pStyle w:val="Figurelegend"/>
        <w:jc w:val="right"/>
        <w:rPr>
          <w:b/>
          <w:lang w:val="en-US" w:eastAsia="zh-CN"/>
        </w:rPr>
      </w:pPr>
      <w:r w:rsidRPr="00BA0CC5">
        <w:rPr>
          <w:b/>
          <w:lang w:val="en-US" w:eastAsia="zh-CN"/>
        </w:rPr>
        <w:t>In CHF thousands</w:t>
      </w:r>
    </w:p>
    <w:p w:rsidR="006C1D82" w:rsidRPr="00BA0CC5" w:rsidRDefault="006C1D82" w:rsidP="00DE7CE7">
      <w:pPr>
        <w:jc w:val="center"/>
        <w:rPr>
          <w:lang w:val="en-US" w:eastAsia="zh-CN"/>
        </w:rPr>
      </w:pPr>
      <w:r w:rsidRPr="00BA0CC5">
        <w:rPr>
          <w:noProof/>
          <w:lang w:val="en-US" w:eastAsia="zh-CN"/>
        </w:rPr>
        <w:drawing>
          <wp:inline distT="0" distB="0" distL="0" distR="0" wp14:anchorId="682961F2" wp14:editId="169F7BA6">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C1D82" w:rsidRPr="00BA0CC5" w:rsidRDefault="006C1D82" w:rsidP="00DE7CE7">
      <w:pPr>
        <w:spacing w:before="0"/>
        <w:rPr>
          <w:lang w:val="en-US" w:eastAsia="zh-CN"/>
        </w:rPr>
      </w:pPr>
    </w:p>
    <w:p w:rsidR="006C1D82" w:rsidRPr="00BA0CC5" w:rsidRDefault="006C1D82" w:rsidP="00DE7CE7">
      <w:pPr>
        <w:rPr>
          <w:lang w:val="en-US" w:eastAsia="zh-CN"/>
        </w:rPr>
      </w:pPr>
      <w:r w:rsidRPr="00BA0CC5">
        <w:rPr>
          <w:lang w:val="en-US" w:eastAsia="zh-CN"/>
        </w:rPr>
        <w:t>The decline in revenue from the processing of satellite network filings in 2008-2009 was due to the revision of the methodology for determining the costs involved in such processing (Decision 482, adopted by the Council at its 2008 session) and corresponding revision of invoices in accordance with Decision 10 (Antalya, 2006) and Decision 545 (Council</w:t>
      </w:r>
      <w:r w:rsidRPr="00BA0CC5">
        <w:rPr>
          <w:lang w:val="en-US" w:eastAsia="zh-CN"/>
        </w:rPr>
        <w:noBreakHyphen/>
        <w:t>07).</w:t>
      </w:r>
    </w:p>
    <w:p w:rsidR="006C1D82" w:rsidRPr="00BA0CC5" w:rsidRDefault="006C1D82" w:rsidP="00DE7CE7">
      <w:pPr>
        <w:rPr>
          <w:lang w:val="en-US" w:eastAsia="zh-CN"/>
        </w:rPr>
      </w:pPr>
      <w:r w:rsidRPr="00BA0CC5">
        <w:rPr>
          <w:lang w:val="en-US" w:eastAsia="zh-CN"/>
        </w:rPr>
        <w:t>When conducting an analysis of ITU-R</w:t>
      </w:r>
      <w:r w:rsidR="001211F2" w:rsidRPr="00BA0CC5">
        <w:rPr>
          <w:lang w:val="en-US" w:eastAsia="zh-CN"/>
        </w:rPr>
        <w:t>'</w:t>
      </w:r>
      <w:r w:rsidRPr="00BA0CC5">
        <w:rPr>
          <w:lang w:val="en-US" w:eastAsia="zh-CN"/>
        </w:rPr>
        <w:t xml:space="preserve">s financial resources during the period in question, it is important to note that those same years were marked by a decline in the financial resources of the Union as a whole. It is therefore more meaningful to provide a figure for the funding of the ITU Sectors and General Secretariat relative to the </w:t>
      </w:r>
      <w:r w:rsidR="001211F2" w:rsidRPr="00BA0CC5">
        <w:rPr>
          <w:lang w:val="en-US" w:eastAsia="zh-CN"/>
        </w:rPr>
        <w:t>"</w:t>
      </w:r>
      <w:r w:rsidRPr="00BA0CC5">
        <w:rPr>
          <w:lang w:val="en-US" w:eastAsia="zh-CN"/>
        </w:rPr>
        <w:t>average budget of each Sector and of the General Secretariat over the period 1996-2017</w:t>
      </w:r>
      <w:r w:rsidR="001211F2" w:rsidRPr="00BA0CC5">
        <w:rPr>
          <w:lang w:val="en-US" w:eastAsia="zh-CN"/>
        </w:rPr>
        <w:t>"</w:t>
      </w:r>
      <w:r w:rsidRPr="00BA0CC5">
        <w:rPr>
          <w:lang w:val="en-US" w:eastAsia="zh-CN"/>
        </w:rPr>
        <w:t>, as shown in Table 2.</w:t>
      </w:r>
    </w:p>
    <w:p w:rsidR="006C1D82" w:rsidRPr="00BA0CC5" w:rsidRDefault="006C1D82" w:rsidP="001211F2">
      <w:pPr>
        <w:pStyle w:val="TableNo"/>
        <w:rPr>
          <w:lang w:val="en-US" w:eastAsia="zh-CN"/>
        </w:rPr>
      </w:pPr>
      <w:r w:rsidRPr="00BA0CC5">
        <w:rPr>
          <w:lang w:val="en-US" w:eastAsia="zh-CN"/>
        </w:rPr>
        <w:lastRenderedPageBreak/>
        <w:t>Table 2</w:t>
      </w:r>
    </w:p>
    <w:p w:rsidR="006C1D82" w:rsidRPr="00BA0CC5" w:rsidRDefault="006C1D82" w:rsidP="001211F2">
      <w:pPr>
        <w:pStyle w:val="Tabletitle"/>
        <w:rPr>
          <w:lang w:val="en-US" w:eastAsia="zh-CN"/>
        </w:rPr>
      </w:pPr>
      <w:r w:rsidRPr="00BA0CC5">
        <w:rPr>
          <w:lang w:val="en-US" w:eastAsia="zh-CN"/>
        </w:rPr>
        <w:t>Average value of the budgets of the ITU Sectors and General Secretariat during the period</w:t>
      </w:r>
      <w:r w:rsidRPr="00BA0CC5">
        <w:rPr>
          <w:lang w:val="en-US" w:eastAsia="zh-CN"/>
        </w:rPr>
        <w:br/>
        <w:t>1996-2017 and percentage relationship to the draft budget for 2018-2019</w:t>
      </w:r>
    </w:p>
    <w:p w:rsidR="006C1D82" w:rsidRPr="00BA0CC5" w:rsidRDefault="006C1D82" w:rsidP="00DE7CE7">
      <w:pPr>
        <w:pStyle w:val="Tablelegend"/>
        <w:keepNext/>
        <w:keepLines/>
        <w:jc w:val="right"/>
        <w:rPr>
          <w:b/>
          <w:bCs/>
          <w:lang w:val="en-US" w:eastAsia="zh-CN"/>
        </w:rPr>
      </w:pPr>
      <w:r w:rsidRPr="00BA0CC5">
        <w:rPr>
          <w:b/>
          <w:bCs/>
          <w:lang w:val="en-US" w:eastAsia="zh-CN"/>
        </w:rPr>
        <w:t>CHF thousands</w:t>
      </w:r>
    </w:p>
    <w:tbl>
      <w:tblPr>
        <w:tblStyle w:val="TableGrid"/>
        <w:tblW w:w="0" w:type="auto"/>
        <w:jc w:val="center"/>
        <w:tblLook w:val="04A0" w:firstRow="1" w:lastRow="0" w:firstColumn="1" w:lastColumn="0" w:noHBand="0" w:noVBand="1"/>
      </w:tblPr>
      <w:tblGrid>
        <w:gridCol w:w="3206"/>
        <w:gridCol w:w="1612"/>
        <w:gridCol w:w="1612"/>
        <w:gridCol w:w="1612"/>
        <w:gridCol w:w="1587"/>
      </w:tblGrid>
      <w:tr w:rsidR="006C1D82" w:rsidRPr="00BA0CC5" w:rsidTr="00446C75">
        <w:trPr>
          <w:jc w:val="center"/>
        </w:trPr>
        <w:tc>
          <w:tcPr>
            <w:tcW w:w="3300" w:type="dxa"/>
            <w:vAlign w:val="center"/>
          </w:tcPr>
          <w:p w:rsidR="006C1D82" w:rsidRPr="00BA0CC5" w:rsidRDefault="006C1D82" w:rsidP="001211F2">
            <w:pPr>
              <w:pStyle w:val="Tablehead"/>
              <w:keepNext/>
              <w:rPr>
                <w:lang w:val="en-US" w:eastAsia="zh-CN"/>
              </w:rPr>
            </w:pPr>
            <w:r w:rsidRPr="00BA0CC5">
              <w:rPr>
                <w:lang w:val="en-US" w:eastAsia="zh-CN"/>
              </w:rPr>
              <w:t>Sector</w:t>
            </w:r>
          </w:p>
        </w:tc>
        <w:tc>
          <w:tcPr>
            <w:tcW w:w="1650" w:type="dxa"/>
            <w:vAlign w:val="center"/>
          </w:tcPr>
          <w:p w:rsidR="006C1D82" w:rsidRPr="00BA0CC5" w:rsidRDefault="006C1D82" w:rsidP="001211F2">
            <w:pPr>
              <w:pStyle w:val="Tablehead"/>
              <w:keepNext/>
              <w:rPr>
                <w:lang w:val="en-US" w:eastAsia="zh-CN"/>
              </w:rPr>
            </w:pPr>
            <w:r w:rsidRPr="00BA0CC5">
              <w:rPr>
                <w:lang w:val="en-US" w:eastAsia="zh-CN"/>
              </w:rPr>
              <w:t>ITU-R</w:t>
            </w:r>
          </w:p>
        </w:tc>
        <w:tc>
          <w:tcPr>
            <w:tcW w:w="1650" w:type="dxa"/>
            <w:vAlign w:val="center"/>
          </w:tcPr>
          <w:p w:rsidR="006C1D82" w:rsidRPr="00BA0CC5" w:rsidRDefault="006C1D82" w:rsidP="001211F2">
            <w:pPr>
              <w:pStyle w:val="Tablehead"/>
              <w:keepNext/>
              <w:rPr>
                <w:lang w:val="en-US" w:eastAsia="zh-CN"/>
              </w:rPr>
            </w:pPr>
            <w:r w:rsidRPr="00BA0CC5">
              <w:rPr>
                <w:lang w:val="en-US" w:eastAsia="zh-CN"/>
              </w:rPr>
              <w:t>ITU-D</w:t>
            </w:r>
          </w:p>
        </w:tc>
        <w:tc>
          <w:tcPr>
            <w:tcW w:w="1650" w:type="dxa"/>
            <w:vAlign w:val="center"/>
          </w:tcPr>
          <w:p w:rsidR="006C1D82" w:rsidRPr="00BA0CC5" w:rsidRDefault="006C1D82" w:rsidP="001211F2">
            <w:pPr>
              <w:pStyle w:val="Tablehead"/>
              <w:keepNext/>
              <w:rPr>
                <w:lang w:val="en-US" w:eastAsia="zh-CN"/>
              </w:rPr>
            </w:pPr>
            <w:r w:rsidRPr="00BA0CC5">
              <w:rPr>
                <w:lang w:val="en-US" w:eastAsia="zh-CN"/>
              </w:rPr>
              <w:t>ITU-T</w:t>
            </w:r>
          </w:p>
        </w:tc>
        <w:tc>
          <w:tcPr>
            <w:tcW w:w="1605" w:type="dxa"/>
          </w:tcPr>
          <w:p w:rsidR="006C1D82" w:rsidRPr="00BA0CC5" w:rsidRDefault="006C1D82" w:rsidP="001211F2">
            <w:pPr>
              <w:pStyle w:val="Tablehead"/>
              <w:keepNext/>
              <w:rPr>
                <w:lang w:val="en-US" w:eastAsia="zh-CN"/>
              </w:rPr>
            </w:pPr>
            <w:r w:rsidRPr="00BA0CC5">
              <w:rPr>
                <w:lang w:val="en-US" w:eastAsia="zh-CN"/>
              </w:rPr>
              <w:t>General Secretariat</w:t>
            </w:r>
          </w:p>
        </w:tc>
      </w:tr>
      <w:tr w:rsidR="006C1D82" w:rsidRPr="00BA0CC5" w:rsidTr="00446C75">
        <w:trPr>
          <w:jc w:val="center"/>
        </w:trPr>
        <w:tc>
          <w:tcPr>
            <w:tcW w:w="3300" w:type="dxa"/>
          </w:tcPr>
          <w:p w:rsidR="006C1D82" w:rsidRPr="00BA0CC5" w:rsidRDefault="006C1D82" w:rsidP="00446C75">
            <w:pPr>
              <w:pStyle w:val="Tabletext"/>
              <w:keepNext/>
              <w:rPr>
                <w:lang w:val="en-US" w:eastAsia="zh-CN"/>
              </w:rPr>
            </w:pPr>
            <w:r w:rsidRPr="00BA0CC5">
              <w:rPr>
                <w:lang w:val="en-US" w:eastAsia="zh-CN"/>
              </w:rPr>
              <w:t>Average biennial budget</w:t>
            </w:r>
            <w:r w:rsidRPr="00BA0CC5">
              <w:rPr>
                <w:lang w:val="en-US" w:eastAsia="zh-CN"/>
              </w:rPr>
              <w:br/>
              <w:t>(1996-2017) – А1</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65 753</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59 813</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25 739</w:t>
            </w:r>
          </w:p>
        </w:tc>
        <w:tc>
          <w:tcPr>
            <w:tcW w:w="1605" w:type="dxa"/>
            <w:vAlign w:val="center"/>
          </w:tcPr>
          <w:p w:rsidR="006C1D82" w:rsidRPr="00BA0CC5" w:rsidRDefault="006C1D82" w:rsidP="00446C75">
            <w:pPr>
              <w:pStyle w:val="Tabletext"/>
              <w:keepNext/>
              <w:jc w:val="center"/>
              <w:rPr>
                <w:lang w:val="en-US" w:eastAsia="zh-CN"/>
              </w:rPr>
            </w:pPr>
            <w:r w:rsidRPr="00BA0CC5">
              <w:rPr>
                <w:lang w:val="en-US" w:eastAsia="zh-CN"/>
              </w:rPr>
              <w:t>179 530</w:t>
            </w:r>
          </w:p>
        </w:tc>
      </w:tr>
      <w:tr w:rsidR="006C1D82" w:rsidRPr="00BA0CC5" w:rsidTr="00446C75">
        <w:trPr>
          <w:jc w:val="center"/>
        </w:trPr>
        <w:tc>
          <w:tcPr>
            <w:tcW w:w="3300" w:type="dxa"/>
          </w:tcPr>
          <w:p w:rsidR="006C1D82" w:rsidRPr="00BA0CC5" w:rsidRDefault="006C1D82" w:rsidP="00446C75">
            <w:pPr>
              <w:pStyle w:val="Tabletext"/>
              <w:keepNext/>
              <w:rPr>
                <w:lang w:val="en-US" w:eastAsia="zh-CN"/>
              </w:rPr>
            </w:pPr>
            <w:r w:rsidRPr="00BA0CC5">
              <w:rPr>
                <w:lang w:val="en-US" w:eastAsia="zh-CN"/>
              </w:rPr>
              <w:t>Draft budget for 2018-2019 – А2</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58 586</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55 888</w:t>
            </w:r>
          </w:p>
        </w:tc>
        <w:tc>
          <w:tcPr>
            <w:tcW w:w="1650" w:type="dxa"/>
            <w:vAlign w:val="center"/>
          </w:tcPr>
          <w:p w:rsidR="006C1D82" w:rsidRPr="00BA0CC5" w:rsidRDefault="006C1D82" w:rsidP="00446C75">
            <w:pPr>
              <w:pStyle w:val="Tabletext"/>
              <w:keepNext/>
              <w:jc w:val="center"/>
              <w:rPr>
                <w:lang w:val="en-US" w:eastAsia="zh-CN"/>
              </w:rPr>
            </w:pPr>
            <w:r w:rsidRPr="00BA0CC5">
              <w:rPr>
                <w:lang w:val="en-US" w:eastAsia="zh-CN"/>
              </w:rPr>
              <w:t>25 494</w:t>
            </w:r>
          </w:p>
        </w:tc>
        <w:tc>
          <w:tcPr>
            <w:tcW w:w="1605" w:type="dxa"/>
            <w:vAlign w:val="center"/>
          </w:tcPr>
          <w:p w:rsidR="006C1D82" w:rsidRPr="00BA0CC5" w:rsidRDefault="006C1D82" w:rsidP="00446C75">
            <w:pPr>
              <w:pStyle w:val="Tabletext"/>
              <w:keepNext/>
              <w:jc w:val="center"/>
              <w:rPr>
                <w:lang w:val="en-US" w:eastAsia="zh-CN"/>
              </w:rPr>
            </w:pPr>
            <w:r w:rsidRPr="00BA0CC5">
              <w:rPr>
                <w:lang w:val="en-US" w:eastAsia="zh-CN"/>
              </w:rPr>
              <w:t>180 134</w:t>
            </w:r>
          </w:p>
        </w:tc>
      </w:tr>
      <w:tr w:rsidR="006C1D82" w:rsidRPr="00BA0CC5" w:rsidTr="00446C75">
        <w:trPr>
          <w:jc w:val="center"/>
        </w:trPr>
        <w:tc>
          <w:tcPr>
            <w:tcW w:w="3300" w:type="dxa"/>
          </w:tcPr>
          <w:p w:rsidR="006C1D82" w:rsidRPr="00BA0CC5" w:rsidRDefault="006C1D82" w:rsidP="00446C75">
            <w:pPr>
              <w:pStyle w:val="Tabletext"/>
              <w:rPr>
                <w:lang w:val="en-US" w:eastAsia="zh-CN"/>
              </w:rPr>
            </w:pPr>
            <w:r w:rsidRPr="00BA0CC5">
              <w:rPr>
                <w:lang w:val="en-US" w:eastAsia="zh-CN"/>
              </w:rPr>
              <w:t>А2/А1×100 (%)</w:t>
            </w:r>
          </w:p>
        </w:tc>
        <w:tc>
          <w:tcPr>
            <w:tcW w:w="1650" w:type="dxa"/>
            <w:vAlign w:val="center"/>
          </w:tcPr>
          <w:p w:rsidR="006C1D82" w:rsidRPr="00BA0CC5" w:rsidRDefault="006C1D82" w:rsidP="00446C75">
            <w:pPr>
              <w:pStyle w:val="Tabletext"/>
              <w:jc w:val="center"/>
              <w:rPr>
                <w:b/>
                <w:bCs/>
                <w:lang w:val="en-US" w:eastAsia="zh-CN"/>
              </w:rPr>
            </w:pPr>
            <w:r w:rsidRPr="00BA0CC5">
              <w:rPr>
                <w:b/>
                <w:bCs/>
                <w:color w:val="FF0000"/>
                <w:lang w:val="en-US" w:eastAsia="zh-CN"/>
              </w:rPr>
              <w:t>89.1%</w:t>
            </w:r>
          </w:p>
        </w:tc>
        <w:tc>
          <w:tcPr>
            <w:tcW w:w="1650" w:type="dxa"/>
            <w:vAlign w:val="center"/>
          </w:tcPr>
          <w:p w:rsidR="006C1D82" w:rsidRPr="00BA0CC5" w:rsidRDefault="006C1D82" w:rsidP="00446C75">
            <w:pPr>
              <w:pStyle w:val="Tabletext"/>
              <w:jc w:val="center"/>
              <w:rPr>
                <w:b/>
                <w:bCs/>
                <w:lang w:val="en-US" w:eastAsia="zh-CN"/>
              </w:rPr>
            </w:pPr>
            <w:r w:rsidRPr="00BA0CC5">
              <w:rPr>
                <w:b/>
                <w:bCs/>
                <w:lang w:val="en-US" w:eastAsia="zh-CN"/>
              </w:rPr>
              <w:t>95.2%</w:t>
            </w:r>
          </w:p>
        </w:tc>
        <w:tc>
          <w:tcPr>
            <w:tcW w:w="1650" w:type="dxa"/>
            <w:vAlign w:val="center"/>
          </w:tcPr>
          <w:p w:rsidR="006C1D82" w:rsidRPr="00BA0CC5" w:rsidRDefault="006C1D82" w:rsidP="00446C75">
            <w:pPr>
              <w:pStyle w:val="Tabletext"/>
              <w:jc w:val="center"/>
              <w:rPr>
                <w:b/>
                <w:bCs/>
                <w:lang w:val="en-US" w:eastAsia="zh-CN"/>
              </w:rPr>
            </w:pPr>
            <w:r w:rsidRPr="00BA0CC5">
              <w:rPr>
                <w:b/>
                <w:bCs/>
                <w:lang w:val="en-US" w:eastAsia="zh-CN"/>
              </w:rPr>
              <w:t>99.0%</w:t>
            </w:r>
          </w:p>
        </w:tc>
        <w:tc>
          <w:tcPr>
            <w:tcW w:w="1605" w:type="dxa"/>
            <w:vAlign w:val="center"/>
          </w:tcPr>
          <w:p w:rsidR="006C1D82" w:rsidRPr="00BA0CC5" w:rsidRDefault="006C1D82" w:rsidP="00446C75">
            <w:pPr>
              <w:pStyle w:val="Tabletext"/>
              <w:jc w:val="center"/>
              <w:rPr>
                <w:b/>
                <w:bCs/>
                <w:lang w:val="en-US" w:eastAsia="zh-CN"/>
              </w:rPr>
            </w:pPr>
            <w:r w:rsidRPr="00BA0CC5">
              <w:rPr>
                <w:b/>
                <w:bCs/>
                <w:lang w:val="en-US" w:eastAsia="zh-CN"/>
              </w:rPr>
              <w:t>100.3</w:t>
            </w:r>
          </w:p>
        </w:tc>
      </w:tr>
    </w:tbl>
    <w:p w:rsidR="006C1D82" w:rsidRPr="00BA0CC5" w:rsidRDefault="006C1D82" w:rsidP="00DE7CE7">
      <w:pPr>
        <w:spacing w:before="0"/>
        <w:rPr>
          <w:lang w:val="en-US" w:eastAsia="zh-CN"/>
        </w:rPr>
      </w:pPr>
    </w:p>
    <w:p w:rsidR="006C1D82" w:rsidRPr="00BA0CC5" w:rsidRDefault="006C1D82" w:rsidP="00DE7CE7">
      <w:pPr>
        <w:pStyle w:val="Heading2"/>
        <w:rPr>
          <w:lang w:val="en-US" w:eastAsia="zh-CN"/>
        </w:rPr>
      </w:pPr>
      <w:r w:rsidRPr="00BA0CC5">
        <w:rPr>
          <w:lang w:val="en-US" w:eastAsia="zh-CN"/>
        </w:rPr>
        <w:t>2.2</w:t>
      </w:r>
      <w:r w:rsidRPr="00BA0CC5">
        <w:rPr>
          <w:lang w:val="en-US" w:eastAsia="zh-CN"/>
        </w:rPr>
        <w:tab/>
        <w:t>Analysis of BR</w:t>
      </w:r>
      <w:r w:rsidR="001211F2" w:rsidRPr="00BA0CC5">
        <w:rPr>
          <w:lang w:val="en-US" w:eastAsia="zh-CN"/>
        </w:rPr>
        <w:t>'</w:t>
      </w:r>
      <w:r w:rsidRPr="00BA0CC5">
        <w:rPr>
          <w:lang w:val="en-US" w:eastAsia="zh-CN"/>
        </w:rPr>
        <w:t>s human resources during the period 2004-2017</w:t>
      </w:r>
    </w:p>
    <w:p w:rsidR="006C1D82" w:rsidRPr="00BA0CC5" w:rsidRDefault="006C1D82" w:rsidP="00DE7CE7">
      <w:pPr>
        <w:rPr>
          <w:lang w:val="en-US" w:eastAsia="zh-CN"/>
        </w:rPr>
      </w:pPr>
      <w:r w:rsidRPr="00BA0CC5">
        <w:rPr>
          <w:lang w:val="en-US" w:eastAsia="zh-CN"/>
        </w:rPr>
        <w:t>Table 3 contains statistical data showing the evolution of BR</w:t>
      </w:r>
      <w:r w:rsidR="001211F2" w:rsidRPr="00BA0CC5">
        <w:rPr>
          <w:lang w:val="en-US" w:eastAsia="zh-CN"/>
        </w:rPr>
        <w:t>'</w:t>
      </w:r>
      <w:r w:rsidRPr="00BA0CC5">
        <w:rPr>
          <w:lang w:val="en-US" w:eastAsia="zh-CN"/>
        </w:rPr>
        <w:t>s workforce (budgeted posts) over the period 2004-2017, with projected figures for 2018-2019.</w:t>
      </w:r>
    </w:p>
    <w:p w:rsidR="006C1D82" w:rsidRPr="00BA0CC5" w:rsidRDefault="006C1D82" w:rsidP="001211F2">
      <w:pPr>
        <w:pStyle w:val="TableNo"/>
        <w:rPr>
          <w:lang w:val="en-US" w:eastAsia="zh-CN"/>
        </w:rPr>
      </w:pPr>
      <w:r w:rsidRPr="00BA0CC5">
        <w:rPr>
          <w:lang w:val="en-US" w:eastAsia="zh-CN"/>
        </w:rPr>
        <w:t>Table 3</w:t>
      </w:r>
    </w:p>
    <w:p w:rsidR="006C1D82" w:rsidRPr="00BA0CC5" w:rsidRDefault="006C1D82" w:rsidP="001211F2">
      <w:pPr>
        <w:pStyle w:val="Tabletitle"/>
        <w:rPr>
          <w:lang w:val="en-US" w:eastAsia="zh-CN"/>
        </w:rPr>
      </w:pPr>
      <w:r w:rsidRPr="00BA0CC5">
        <w:rPr>
          <w:lang w:val="en-US" w:eastAsia="zh-CN"/>
        </w:rPr>
        <w:t>ITU Radiocommunication Bureau workforce 2004-2017</w:t>
      </w:r>
      <w:r w:rsidRPr="00BA0CC5">
        <w:rPr>
          <w:lang w:val="en-US" w:eastAsia="zh-CN"/>
        </w:rPr>
        <w:br/>
        <w:t xml:space="preserve">(budgeted posts – see Table 1) </w:t>
      </w: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6C1D82" w:rsidRPr="00BA0CC5" w:rsidTr="00446C75">
        <w:trPr>
          <w:trHeight w:val="315"/>
          <w:jc w:val="center"/>
        </w:trPr>
        <w:tc>
          <w:tcPr>
            <w:tcW w:w="1339" w:type="dxa"/>
            <w:noWrap/>
            <w:hideMark/>
          </w:tcPr>
          <w:p w:rsidR="006C1D82" w:rsidRPr="00BA0CC5" w:rsidRDefault="006C1D82" w:rsidP="00446C75">
            <w:pPr>
              <w:pStyle w:val="Tablehead"/>
              <w:rPr>
                <w:lang w:val="en-US" w:eastAsia="zh-CN"/>
              </w:rPr>
            </w:pPr>
            <w:r w:rsidRPr="00BA0CC5">
              <w:rPr>
                <w:lang w:val="en-US" w:eastAsia="zh-CN"/>
              </w:rPr>
              <w:t>Year</w:t>
            </w:r>
          </w:p>
        </w:tc>
        <w:tc>
          <w:tcPr>
            <w:tcW w:w="1050" w:type="dxa"/>
            <w:noWrap/>
            <w:tcMar>
              <w:left w:w="29" w:type="dxa"/>
              <w:right w:w="29" w:type="dxa"/>
            </w:tcMar>
            <w:hideMark/>
          </w:tcPr>
          <w:p w:rsidR="006C1D82" w:rsidRPr="00BA0CC5" w:rsidRDefault="006C1D82" w:rsidP="00446C75">
            <w:pPr>
              <w:pStyle w:val="Tablehead"/>
              <w:rPr>
                <w:lang w:val="en-US" w:eastAsia="zh-CN"/>
              </w:rPr>
            </w:pPr>
            <w:r w:rsidRPr="00BA0CC5">
              <w:rPr>
                <w:lang w:val="en-US" w:eastAsia="zh-CN"/>
              </w:rPr>
              <w:t>2004</w:t>
            </w:r>
          </w:p>
        </w:tc>
        <w:tc>
          <w:tcPr>
            <w:tcW w:w="1051" w:type="dxa"/>
            <w:noWrap/>
            <w:tcMar>
              <w:left w:w="29" w:type="dxa"/>
              <w:right w:w="29" w:type="dxa"/>
            </w:tcMar>
            <w:hideMark/>
          </w:tcPr>
          <w:p w:rsidR="006C1D82" w:rsidRPr="00BA0CC5" w:rsidRDefault="006C1D82" w:rsidP="00446C75">
            <w:pPr>
              <w:pStyle w:val="Tablehead"/>
              <w:rPr>
                <w:lang w:val="en-US" w:eastAsia="zh-CN"/>
              </w:rPr>
            </w:pPr>
            <w:r w:rsidRPr="00BA0CC5">
              <w:rPr>
                <w:lang w:val="en-US" w:eastAsia="zh-CN"/>
              </w:rPr>
              <w:t>2005</w:t>
            </w:r>
          </w:p>
        </w:tc>
        <w:tc>
          <w:tcPr>
            <w:tcW w:w="1050" w:type="dxa"/>
            <w:tcMar>
              <w:left w:w="29" w:type="dxa"/>
              <w:right w:w="29" w:type="dxa"/>
            </w:tcMar>
          </w:tcPr>
          <w:p w:rsidR="006C1D82" w:rsidRPr="00BA0CC5" w:rsidRDefault="006C1D82" w:rsidP="00446C75">
            <w:pPr>
              <w:pStyle w:val="Tablehead"/>
              <w:rPr>
                <w:lang w:val="en-US" w:eastAsia="zh-CN"/>
              </w:rPr>
            </w:pPr>
            <w:r w:rsidRPr="00BA0CC5">
              <w:rPr>
                <w:lang w:val="en-US" w:eastAsia="zh-CN"/>
              </w:rPr>
              <w:t>2006</w:t>
            </w:r>
          </w:p>
        </w:tc>
        <w:tc>
          <w:tcPr>
            <w:tcW w:w="1051" w:type="dxa"/>
          </w:tcPr>
          <w:p w:rsidR="006C1D82" w:rsidRPr="00BA0CC5" w:rsidRDefault="006C1D82" w:rsidP="00446C75">
            <w:pPr>
              <w:pStyle w:val="Tablehead"/>
              <w:rPr>
                <w:lang w:val="en-US" w:eastAsia="zh-CN"/>
              </w:rPr>
            </w:pPr>
            <w:r w:rsidRPr="00BA0CC5">
              <w:rPr>
                <w:lang w:val="en-US" w:eastAsia="zh-CN"/>
              </w:rPr>
              <w:t>2007</w:t>
            </w:r>
          </w:p>
        </w:tc>
        <w:tc>
          <w:tcPr>
            <w:tcW w:w="1050" w:type="dxa"/>
          </w:tcPr>
          <w:p w:rsidR="006C1D82" w:rsidRPr="00BA0CC5" w:rsidRDefault="006C1D82" w:rsidP="00446C75">
            <w:pPr>
              <w:pStyle w:val="Tablehead"/>
              <w:rPr>
                <w:lang w:val="en-US" w:eastAsia="zh-CN"/>
              </w:rPr>
            </w:pPr>
            <w:r w:rsidRPr="00BA0CC5">
              <w:rPr>
                <w:lang w:val="en-US" w:eastAsia="zh-CN"/>
              </w:rPr>
              <w:t>2008</w:t>
            </w:r>
          </w:p>
        </w:tc>
        <w:tc>
          <w:tcPr>
            <w:tcW w:w="1051" w:type="dxa"/>
          </w:tcPr>
          <w:p w:rsidR="006C1D82" w:rsidRPr="00BA0CC5" w:rsidRDefault="006C1D82" w:rsidP="00446C75">
            <w:pPr>
              <w:pStyle w:val="Tablehead"/>
              <w:rPr>
                <w:lang w:val="en-US" w:eastAsia="zh-CN"/>
              </w:rPr>
            </w:pPr>
            <w:r w:rsidRPr="00BA0CC5">
              <w:rPr>
                <w:lang w:val="en-US" w:eastAsia="zh-CN"/>
              </w:rPr>
              <w:t>2009</w:t>
            </w:r>
          </w:p>
        </w:tc>
        <w:tc>
          <w:tcPr>
            <w:tcW w:w="1050" w:type="dxa"/>
          </w:tcPr>
          <w:p w:rsidR="006C1D82" w:rsidRPr="00BA0CC5" w:rsidRDefault="006C1D82" w:rsidP="00446C75">
            <w:pPr>
              <w:pStyle w:val="Tablehead"/>
              <w:rPr>
                <w:lang w:val="en-US" w:eastAsia="zh-CN"/>
              </w:rPr>
            </w:pPr>
            <w:r w:rsidRPr="00BA0CC5">
              <w:rPr>
                <w:lang w:val="en-US" w:eastAsia="zh-CN"/>
              </w:rPr>
              <w:t>2010</w:t>
            </w:r>
          </w:p>
        </w:tc>
        <w:tc>
          <w:tcPr>
            <w:tcW w:w="1051" w:type="dxa"/>
          </w:tcPr>
          <w:p w:rsidR="006C1D82" w:rsidRPr="00BA0CC5" w:rsidRDefault="006C1D82" w:rsidP="00446C75">
            <w:pPr>
              <w:pStyle w:val="Tablehead"/>
              <w:rPr>
                <w:lang w:val="en-US" w:eastAsia="zh-CN"/>
              </w:rPr>
            </w:pPr>
            <w:r w:rsidRPr="00BA0CC5">
              <w:rPr>
                <w:lang w:val="en-US" w:eastAsia="zh-CN"/>
              </w:rPr>
              <w:t>2011</w:t>
            </w:r>
          </w:p>
        </w:tc>
      </w:tr>
      <w:tr w:rsidR="006C1D82" w:rsidRPr="00BA0CC5" w:rsidTr="00446C75">
        <w:trPr>
          <w:trHeight w:val="327"/>
          <w:jc w:val="center"/>
        </w:trPr>
        <w:tc>
          <w:tcPr>
            <w:tcW w:w="1339" w:type="dxa"/>
            <w:noWrap/>
            <w:hideMark/>
          </w:tcPr>
          <w:p w:rsidR="006C1D82" w:rsidRPr="00BA0CC5" w:rsidRDefault="006C1D82" w:rsidP="00446C75">
            <w:pPr>
              <w:pStyle w:val="Tabletext"/>
              <w:rPr>
                <w:lang w:val="en-US" w:eastAsia="zh-CN"/>
              </w:rPr>
            </w:pPr>
            <w:r w:rsidRPr="00BA0CC5">
              <w:rPr>
                <w:lang w:val="en-US" w:eastAsia="zh-CN"/>
              </w:rPr>
              <w:t>Document</w:t>
            </w:r>
          </w:p>
        </w:tc>
        <w:tc>
          <w:tcPr>
            <w:tcW w:w="1050" w:type="dxa"/>
            <w:tcMar>
              <w:left w:w="29" w:type="dxa"/>
              <w:right w:w="29" w:type="dxa"/>
            </w:tcMar>
            <w:vAlign w:val="center"/>
            <w:hideMark/>
          </w:tcPr>
          <w:p w:rsidR="006C1D82" w:rsidRPr="00BA0CC5" w:rsidRDefault="00924B55" w:rsidP="00446C75">
            <w:pPr>
              <w:pStyle w:val="Tabletext"/>
              <w:jc w:val="center"/>
              <w:rPr>
                <w:u w:val="single"/>
                <w:lang w:val="en-US" w:eastAsia="zh-CN"/>
              </w:rPr>
            </w:pPr>
            <w:hyperlink r:id="rId34" w:history="1">
              <w:r w:rsidR="006C1D82" w:rsidRPr="00BA0CC5">
                <w:rPr>
                  <w:rStyle w:val="Hyperlink"/>
                  <w:lang w:val="en-US" w:eastAsia="zh-CN"/>
                </w:rPr>
                <w:t>C05/10</w:t>
              </w:r>
            </w:hyperlink>
          </w:p>
        </w:tc>
        <w:tc>
          <w:tcPr>
            <w:tcW w:w="1051" w:type="dxa"/>
            <w:tcMar>
              <w:left w:w="29" w:type="dxa"/>
              <w:right w:w="29" w:type="dxa"/>
            </w:tcMar>
            <w:vAlign w:val="center"/>
            <w:hideMark/>
          </w:tcPr>
          <w:p w:rsidR="006C1D82" w:rsidRPr="00BA0CC5" w:rsidRDefault="00924B55" w:rsidP="00446C75">
            <w:pPr>
              <w:pStyle w:val="Tabletext"/>
              <w:jc w:val="center"/>
              <w:rPr>
                <w:u w:val="single"/>
                <w:lang w:val="en-US" w:eastAsia="zh-CN"/>
              </w:rPr>
            </w:pPr>
            <w:hyperlink r:id="rId35" w:history="1">
              <w:r w:rsidR="006C1D82" w:rsidRPr="00BA0CC5">
                <w:rPr>
                  <w:rStyle w:val="Hyperlink"/>
                  <w:lang w:val="en-US" w:eastAsia="zh-CN"/>
                </w:rPr>
                <w:t>C05/10</w:t>
              </w:r>
            </w:hyperlink>
          </w:p>
        </w:tc>
        <w:tc>
          <w:tcPr>
            <w:tcW w:w="1050" w:type="dxa"/>
            <w:tcMar>
              <w:left w:w="29" w:type="dxa"/>
              <w:right w:w="29" w:type="dxa"/>
            </w:tcMar>
            <w:vAlign w:val="center"/>
          </w:tcPr>
          <w:p w:rsidR="006C1D82" w:rsidRPr="00BA0CC5" w:rsidRDefault="00924B55" w:rsidP="00446C75">
            <w:pPr>
              <w:pStyle w:val="Tabletext"/>
              <w:jc w:val="center"/>
              <w:rPr>
                <w:u w:val="single"/>
                <w:lang w:val="en-US" w:eastAsia="zh-CN"/>
              </w:rPr>
            </w:pPr>
            <w:hyperlink r:id="rId36" w:history="1">
              <w:r w:rsidR="006C1D82" w:rsidRPr="00BA0CC5">
                <w:rPr>
                  <w:rStyle w:val="Hyperlink"/>
                  <w:lang w:val="en-US" w:eastAsia="zh-CN"/>
                </w:rPr>
                <w:t>C07/10</w:t>
              </w:r>
            </w:hyperlink>
          </w:p>
        </w:tc>
        <w:tc>
          <w:tcPr>
            <w:tcW w:w="1051" w:type="dxa"/>
            <w:vAlign w:val="center"/>
          </w:tcPr>
          <w:p w:rsidR="006C1D82" w:rsidRPr="00BA0CC5" w:rsidRDefault="00924B55" w:rsidP="00446C75">
            <w:pPr>
              <w:pStyle w:val="Tabletext"/>
              <w:jc w:val="center"/>
              <w:rPr>
                <w:u w:val="single"/>
                <w:lang w:val="en-US" w:eastAsia="zh-CN"/>
              </w:rPr>
            </w:pPr>
            <w:hyperlink r:id="rId37" w:history="1">
              <w:r w:rsidR="006C1D82" w:rsidRPr="00BA0CC5">
                <w:rPr>
                  <w:rStyle w:val="Hyperlink"/>
                  <w:lang w:val="en-US" w:eastAsia="zh-CN"/>
                </w:rPr>
                <w:t>C07/10</w:t>
              </w:r>
            </w:hyperlink>
          </w:p>
        </w:tc>
        <w:tc>
          <w:tcPr>
            <w:tcW w:w="1050" w:type="dxa"/>
            <w:vAlign w:val="center"/>
          </w:tcPr>
          <w:p w:rsidR="006C1D82" w:rsidRPr="00BA0CC5" w:rsidRDefault="00924B55" w:rsidP="00446C75">
            <w:pPr>
              <w:pStyle w:val="Tabletext"/>
              <w:jc w:val="center"/>
              <w:rPr>
                <w:u w:val="single"/>
                <w:lang w:val="en-US" w:eastAsia="zh-CN"/>
              </w:rPr>
            </w:pPr>
            <w:hyperlink r:id="rId38" w:history="1">
              <w:r w:rsidR="006C1D82" w:rsidRPr="00BA0CC5">
                <w:rPr>
                  <w:rStyle w:val="Hyperlink"/>
                  <w:lang w:val="en-US" w:eastAsia="zh-CN"/>
                </w:rPr>
                <w:t>C09/10</w:t>
              </w:r>
            </w:hyperlink>
          </w:p>
        </w:tc>
        <w:tc>
          <w:tcPr>
            <w:tcW w:w="1051" w:type="dxa"/>
            <w:vAlign w:val="center"/>
          </w:tcPr>
          <w:p w:rsidR="006C1D82" w:rsidRPr="00BA0CC5" w:rsidRDefault="00924B55" w:rsidP="00446C75">
            <w:pPr>
              <w:pStyle w:val="Tabletext"/>
              <w:jc w:val="center"/>
              <w:rPr>
                <w:u w:val="single"/>
                <w:lang w:val="en-US" w:eastAsia="zh-CN"/>
              </w:rPr>
            </w:pPr>
            <w:hyperlink r:id="rId39" w:history="1">
              <w:r w:rsidR="006C1D82" w:rsidRPr="00BA0CC5">
                <w:rPr>
                  <w:rStyle w:val="Hyperlink"/>
                  <w:lang w:val="en-US" w:eastAsia="zh-CN"/>
                </w:rPr>
                <w:t>C09/10</w:t>
              </w:r>
            </w:hyperlink>
          </w:p>
        </w:tc>
        <w:tc>
          <w:tcPr>
            <w:tcW w:w="1050" w:type="dxa"/>
            <w:vAlign w:val="center"/>
          </w:tcPr>
          <w:p w:rsidR="006C1D82" w:rsidRPr="00BA0CC5" w:rsidRDefault="00924B55" w:rsidP="00446C75">
            <w:pPr>
              <w:pStyle w:val="Tabletext"/>
              <w:jc w:val="center"/>
              <w:rPr>
                <w:u w:val="single"/>
                <w:lang w:val="en-US" w:eastAsia="zh-CN"/>
              </w:rPr>
            </w:pPr>
            <w:hyperlink r:id="rId40" w:history="1">
              <w:r w:rsidR="006C1D82" w:rsidRPr="00BA0CC5">
                <w:rPr>
                  <w:rStyle w:val="Hyperlink"/>
                  <w:lang w:val="en-US" w:eastAsia="zh-CN"/>
                </w:rPr>
                <w:t>C17/10</w:t>
              </w:r>
            </w:hyperlink>
          </w:p>
        </w:tc>
        <w:tc>
          <w:tcPr>
            <w:tcW w:w="1051" w:type="dxa"/>
            <w:vAlign w:val="center"/>
          </w:tcPr>
          <w:p w:rsidR="006C1D82" w:rsidRPr="00BA0CC5" w:rsidRDefault="00924B55" w:rsidP="00446C75">
            <w:pPr>
              <w:pStyle w:val="Tabletext"/>
              <w:jc w:val="center"/>
              <w:rPr>
                <w:u w:val="single"/>
                <w:lang w:val="en-US" w:eastAsia="zh-CN"/>
              </w:rPr>
            </w:pPr>
            <w:hyperlink r:id="rId41" w:history="1">
              <w:r w:rsidR="006C1D82" w:rsidRPr="00BA0CC5">
                <w:rPr>
                  <w:rStyle w:val="Hyperlink"/>
                  <w:lang w:val="en-US" w:eastAsia="zh-CN"/>
                </w:rPr>
                <w:t>C17/10</w:t>
              </w:r>
            </w:hyperlink>
          </w:p>
        </w:tc>
      </w:tr>
      <w:tr w:rsidR="006C1D82" w:rsidRPr="00BA0CC5" w:rsidTr="00446C75">
        <w:trPr>
          <w:trHeight w:val="300"/>
          <w:jc w:val="center"/>
        </w:trPr>
        <w:tc>
          <w:tcPr>
            <w:tcW w:w="1339" w:type="dxa"/>
            <w:noWrap/>
            <w:hideMark/>
          </w:tcPr>
          <w:p w:rsidR="006C1D82" w:rsidRPr="00BA0CC5" w:rsidRDefault="006C1D82" w:rsidP="00446C75">
            <w:pPr>
              <w:pStyle w:val="Tabletext"/>
              <w:rPr>
                <w:lang w:val="en-US" w:eastAsia="zh-CN"/>
              </w:rPr>
            </w:pPr>
            <w:r w:rsidRPr="00BA0CC5">
              <w:rPr>
                <w:lang w:val="en-US" w:eastAsia="zh-CN"/>
              </w:rPr>
              <w:t>Page</w:t>
            </w:r>
          </w:p>
        </w:tc>
        <w:tc>
          <w:tcPr>
            <w:tcW w:w="1050" w:type="dxa"/>
            <w:noWrap/>
            <w:vAlign w:val="center"/>
            <w:hideMark/>
          </w:tcPr>
          <w:p w:rsidR="006C1D82" w:rsidRPr="00BA0CC5" w:rsidRDefault="006C1D82" w:rsidP="00446C75">
            <w:pPr>
              <w:pStyle w:val="Tabletext"/>
              <w:jc w:val="center"/>
              <w:rPr>
                <w:lang w:val="en-US" w:eastAsia="zh-CN"/>
              </w:rPr>
            </w:pPr>
            <w:r w:rsidRPr="00BA0CC5">
              <w:rPr>
                <w:lang w:val="en-US" w:eastAsia="zh-CN"/>
              </w:rPr>
              <w:t>205</w:t>
            </w:r>
          </w:p>
        </w:tc>
        <w:tc>
          <w:tcPr>
            <w:tcW w:w="1051" w:type="dxa"/>
            <w:noWrap/>
            <w:vAlign w:val="center"/>
            <w:hideMark/>
          </w:tcPr>
          <w:p w:rsidR="006C1D82" w:rsidRPr="00BA0CC5" w:rsidRDefault="006C1D82" w:rsidP="00446C75">
            <w:pPr>
              <w:pStyle w:val="Tabletext"/>
              <w:jc w:val="center"/>
              <w:rPr>
                <w:lang w:val="en-US" w:eastAsia="zh-CN"/>
              </w:rPr>
            </w:pPr>
            <w:r w:rsidRPr="00BA0CC5">
              <w:rPr>
                <w:lang w:val="en-US" w:eastAsia="zh-CN"/>
              </w:rPr>
              <w:t>205</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226</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226</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137</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137</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w:t>
            </w:r>
          </w:p>
        </w:tc>
      </w:tr>
      <w:tr w:rsidR="006C1D82" w:rsidRPr="00BA0CC5" w:rsidTr="00446C75">
        <w:trPr>
          <w:trHeight w:val="300"/>
          <w:jc w:val="center"/>
        </w:trPr>
        <w:tc>
          <w:tcPr>
            <w:tcW w:w="1339" w:type="dxa"/>
            <w:noWrap/>
            <w:vAlign w:val="center"/>
            <w:hideMark/>
          </w:tcPr>
          <w:p w:rsidR="006C1D82" w:rsidRPr="00BA0CC5" w:rsidRDefault="006C1D82" w:rsidP="00446C75">
            <w:pPr>
              <w:pStyle w:val="Tabletext"/>
              <w:rPr>
                <w:lang w:val="en-US" w:eastAsia="zh-CN"/>
              </w:rPr>
            </w:pPr>
            <w:r w:rsidRPr="00BA0CC5">
              <w:rPr>
                <w:lang w:val="en-US" w:eastAsia="zh-CN"/>
              </w:rPr>
              <w:t>Number of posts</w:t>
            </w:r>
          </w:p>
        </w:tc>
        <w:tc>
          <w:tcPr>
            <w:tcW w:w="1050" w:type="dxa"/>
            <w:noWrap/>
            <w:vAlign w:val="center"/>
            <w:hideMark/>
          </w:tcPr>
          <w:p w:rsidR="006C1D82" w:rsidRPr="00BA0CC5" w:rsidRDefault="006C1D82" w:rsidP="00446C75">
            <w:pPr>
              <w:pStyle w:val="Tabletext"/>
              <w:jc w:val="center"/>
              <w:rPr>
                <w:lang w:val="en-US" w:eastAsia="zh-CN"/>
              </w:rPr>
            </w:pPr>
            <w:r w:rsidRPr="00BA0CC5">
              <w:rPr>
                <w:lang w:val="en-US" w:eastAsia="zh-CN"/>
              </w:rPr>
              <w:t>176</w:t>
            </w:r>
          </w:p>
        </w:tc>
        <w:tc>
          <w:tcPr>
            <w:tcW w:w="1051" w:type="dxa"/>
            <w:noWrap/>
            <w:vAlign w:val="center"/>
            <w:hideMark/>
          </w:tcPr>
          <w:p w:rsidR="006C1D82" w:rsidRPr="00BA0CC5" w:rsidRDefault="006C1D82" w:rsidP="00446C75">
            <w:pPr>
              <w:pStyle w:val="Tabletext"/>
              <w:jc w:val="center"/>
              <w:rPr>
                <w:lang w:val="en-US" w:eastAsia="zh-CN"/>
              </w:rPr>
            </w:pPr>
            <w:r w:rsidRPr="00BA0CC5">
              <w:rPr>
                <w:lang w:val="en-US" w:eastAsia="zh-CN"/>
              </w:rPr>
              <w:t>176</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181</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181</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175</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175</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173</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173</w:t>
            </w:r>
          </w:p>
        </w:tc>
      </w:tr>
    </w:tbl>
    <w:p w:rsidR="006C1D82" w:rsidRPr="00BA0CC5" w:rsidRDefault="006C1D82" w:rsidP="00DE7CE7">
      <w:pPr>
        <w:rPr>
          <w:b/>
          <w:lang w:val="en-US" w:eastAsia="zh-CN"/>
        </w:rPr>
      </w:pP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6C1D82" w:rsidRPr="00BA0CC5" w:rsidTr="00446C75">
        <w:trPr>
          <w:trHeight w:val="315"/>
          <w:jc w:val="center"/>
        </w:trPr>
        <w:tc>
          <w:tcPr>
            <w:tcW w:w="1339" w:type="dxa"/>
            <w:noWrap/>
            <w:hideMark/>
          </w:tcPr>
          <w:p w:rsidR="006C1D82" w:rsidRPr="00BA0CC5" w:rsidRDefault="006C1D82" w:rsidP="00446C75">
            <w:pPr>
              <w:pStyle w:val="Tablehead"/>
              <w:rPr>
                <w:lang w:val="en-US" w:eastAsia="zh-CN"/>
              </w:rPr>
            </w:pPr>
            <w:r w:rsidRPr="00BA0CC5">
              <w:rPr>
                <w:lang w:val="en-US" w:eastAsia="zh-CN"/>
              </w:rPr>
              <w:t>Year</w:t>
            </w:r>
          </w:p>
        </w:tc>
        <w:tc>
          <w:tcPr>
            <w:tcW w:w="1050" w:type="dxa"/>
            <w:noWrap/>
            <w:tcMar>
              <w:left w:w="29" w:type="dxa"/>
              <w:right w:w="29" w:type="dxa"/>
            </w:tcMar>
            <w:vAlign w:val="center"/>
            <w:hideMark/>
          </w:tcPr>
          <w:p w:rsidR="006C1D82" w:rsidRPr="00BA0CC5" w:rsidRDefault="006C1D82" w:rsidP="00446C75">
            <w:pPr>
              <w:pStyle w:val="Tablehead"/>
              <w:rPr>
                <w:lang w:val="en-US" w:eastAsia="zh-CN"/>
              </w:rPr>
            </w:pPr>
            <w:r w:rsidRPr="00BA0CC5">
              <w:rPr>
                <w:lang w:val="en-US" w:eastAsia="zh-CN"/>
              </w:rPr>
              <w:t>2012</w:t>
            </w:r>
          </w:p>
        </w:tc>
        <w:tc>
          <w:tcPr>
            <w:tcW w:w="1051" w:type="dxa"/>
            <w:noWrap/>
            <w:tcMar>
              <w:left w:w="29" w:type="dxa"/>
              <w:right w:w="29" w:type="dxa"/>
            </w:tcMar>
            <w:vAlign w:val="center"/>
            <w:hideMark/>
          </w:tcPr>
          <w:p w:rsidR="006C1D82" w:rsidRPr="00BA0CC5" w:rsidRDefault="006C1D82" w:rsidP="00446C75">
            <w:pPr>
              <w:pStyle w:val="Tablehead"/>
              <w:rPr>
                <w:lang w:val="en-US" w:eastAsia="zh-CN"/>
              </w:rPr>
            </w:pPr>
            <w:r w:rsidRPr="00BA0CC5">
              <w:rPr>
                <w:lang w:val="en-US" w:eastAsia="zh-CN"/>
              </w:rPr>
              <w:t>2013</w:t>
            </w:r>
          </w:p>
        </w:tc>
        <w:tc>
          <w:tcPr>
            <w:tcW w:w="1050" w:type="dxa"/>
            <w:tcMar>
              <w:left w:w="29" w:type="dxa"/>
              <w:right w:w="29" w:type="dxa"/>
            </w:tcMar>
            <w:vAlign w:val="center"/>
          </w:tcPr>
          <w:p w:rsidR="006C1D82" w:rsidRPr="00BA0CC5" w:rsidRDefault="006C1D82" w:rsidP="00446C75">
            <w:pPr>
              <w:pStyle w:val="Tablehead"/>
              <w:rPr>
                <w:lang w:val="en-US" w:eastAsia="zh-CN"/>
              </w:rPr>
            </w:pPr>
            <w:r w:rsidRPr="00BA0CC5">
              <w:rPr>
                <w:lang w:val="en-US" w:eastAsia="zh-CN"/>
              </w:rPr>
              <w:t>2014</w:t>
            </w:r>
          </w:p>
        </w:tc>
        <w:tc>
          <w:tcPr>
            <w:tcW w:w="1051" w:type="dxa"/>
            <w:vAlign w:val="center"/>
          </w:tcPr>
          <w:p w:rsidR="006C1D82" w:rsidRPr="00BA0CC5" w:rsidRDefault="006C1D82" w:rsidP="00446C75">
            <w:pPr>
              <w:pStyle w:val="Tablehead"/>
              <w:rPr>
                <w:lang w:val="en-US" w:eastAsia="zh-CN"/>
              </w:rPr>
            </w:pPr>
            <w:r w:rsidRPr="00BA0CC5">
              <w:rPr>
                <w:lang w:val="en-US" w:eastAsia="zh-CN"/>
              </w:rPr>
              <w:t>2015</w:t>
            </w:r>
          </w:p>
        </w:tc>
        <w:tc>
          <w:tcPr>
            <w:tcW w:w="1050" w:type="dxa"/>
            <w:vAlign w:val="center"/>
          </w:tcPr>
          <w:p w:rsidR="006C1D82" w:rsidRPr="00BA0CC5" w:rsidRDefault="006C1D82" w:rsidP="00446C75">
            <w:pPr>
              <w:pStyle w:val="Tablehead"/>
              <w:rPr>
                <w:lang w:val="en-US" w:eastAsia="zh-CN"/>
              </w:rPr>
            </w:pPr>
            <w:r w:rsidRPr="00BA0CC5">
              <w:rPr>
                <w:lang w:val="en-US" w:eastAsia="zh-CN"/>
              </w:rPr>
              <w:t>2016</w:t>
            </w:r>
          </w:p>
        </w:tc>
        <w:tc>
          <w:tcPr>
            <w:tcW w:w="1051" w:type="dxa"/>
            <w:vAlign w:val="center"/>
          </w:tcPr>
          <w:p w:rsidR="006C1D82" w:rsidRPr="00BA0CC5" w:rsidRDefault="006C1D82" w:rsidP="00446C75">
            <w:pPr>
              <w:pStyle w:val="Tablehead"/>
              <w:rPr>
                <w:lang w:val="en-US" w:eastAsia="zh-CN"/>
              </w:rPr>
            </w:pPr>
            <w:r w:rsidRPr="00BA0CC5">
              <w:rPr>
                <w:lang w:val="en-US" w:eastAsia="zh-CN"/>
              </w:rPr>
              <w:t>2017</w:t>
            </w:r>
          </w:p>
        </w:tc>
        <w:tc>
          <w:tcPr>
            <w:tcW w:w="1050" w:type="dxa"/>
            <w:vAlign w:val="center"/>
          </w:tcPr>
          <w:p w:rsidR="006C1D82" w:rsidRPr="00BA0CC5" w:rsidRDefault="006C1D82" w:rsidP="00446C75">
            <w:pPr>
              <w:pStyle w:val="Tablehead"/>
              <w:rPr>
                <w:color w:val="FF0000"/>
                <w:lang w:val="en-US" w:eastAsia="zh-CN"/>
              </w:rPr>
            </w:pPr>
            <w:r w:rsidRPr="00BA0CC5">
              <w:rPr>
                <w:color w:val="FF0000"/>
                <w:lang w:val="en-US" w:eastAsia="zh-CN"/>
              </w:rPr>
              <w:t>2018</w:t>
            </w:r>
          </w:p>
        </w:tc>
        <w:tc>
          <w:tcPr>
            <w:tcW w:w="1051" w:type="dxa"/>
            <w:vAlign w:val="center"/>
          </w:tcPr>
          <w:p w:rsidR="006C1D82" w:rsidRPr="00BA0CC5" w:rsidRDefault="006C1D82" w:rsidP="00446C75">
            <w:pPr>
              <w:pStyle w:val="Tablehead"/>
              <w:rPr>
                <w:color w:val="FF0000"/>
                <w:lang w:val="en-US" w:eastAsia="zh-CN"/>
              </w:rPr>
            </w:pPr>
            <w:r w:rsidRPr="00BA0CC5">
              <w:rPr>
                <w:color w:val="FF0000"/>
                <w:lang w:val="en-US" w:eastAsia="zh-CN"/>
              </w:rPr>
              <w:t>2019</w:t>
            </w:r>
          </w:p>
        </w:tc>
      </w:tr>
      <w:tr w:rsidR="006C1D82" w:rsidRPr="00BA0CC5" w:rsidTr="00446C75">
        <w:trPr>
          <w:trHeight w:val="327"/>
          <w:jc w:val="center"/>
        </w:trPr>
        <w:tc>
          <w:tcPr>
            <w:tcW w:w="1339" w:type="dxa"/>
            <w:noWrap/>
            <w:hideMark/>
          </w:tcPr>
          <w:p w:rsidR="006C1D82" w:rsidRPr="00BA0CC5" w:rsidRDefault="006C1D82" w:rsidP="00446C75">
            <w:pPr>
              <w:pStyle w:val="Tabletext"/>
              <w:rPr>
                <w:lang w:val="en-US" w:eastAsia="zh-CN"/>
              </w:rPr>
            </w:pPr>
            <w:r w:rsidRPr="00BA0CC5">
              <w:rPr>
                <w:lang w:val="en-US" w:eastAsia="zh-CN"/>
              </w:rPr>
              <w:t>Document</w:t>
            </w:r>
          </w:p>
        </w:tc>
        <w:tc>
          <w:tcPr>
            <w:tcW w:w="1050" w:type="dxa"/>
            <w:tcMar>
              <w:left w:w="29" w:type="dxa"/>
              <w:right w:w="29" w:type="dxa"/>
            </w:tcMar>
            <w:vAlign w:val="center"/>
            <w:hideMark/>
          </w:tcPr>
          <w:p w:rsidR="006C1D82" w:rsidRPr="00BA0CC5" w:rsidRDefault="00924B55" w:rsidP="00446C75">
            <w:pPr>
              <w:pStyle w:val="Tabletext"/>
              <w:jc w:val="center"/>
              <w:rPr>
                <w:u w:val="single"/>
                <w:lang w:val="en-US" w:eastAsia="zh-CN"/>
              </w:rPr>
            </w:pPr>
            <w:hyperlink r:id="rId42" w:history="1">
              <w:r w:rsidR="006C1D82" w:rsidRPr="00BA0CC5">
                <w:rPr>
                  <w:rStyle w:val="Hyperlink"/>
                  <w:lang w:val="en-US" w:eastAsia="zh-CN"/>
                </w:rPr>
                <w:t>C17/10</w:t>
              </w:r>
            </w:hyperlink>
          </w:p>
        </w:tc>
        <w:tc>
          <w:tcPr>
            <w:tcW w:w="1051" w:type="dxa"/>
            <w:tcMar>
              <w:left w:w="29" w:type="dxa"/>
              <w:right w:w="29" w:type="dxa"/>
            </w:tcMar>
            <w:vAlign w:val="center"/>
            <w:hideMark/>
          </w:tcPr>
          <w:p w:rsidR="006C1D82" w:rsidRPr="00BA0CC5" w:rsidRDefault="00924B55" w:rsidP="00446C75">
            <w:pPr>
              <w:pStyle w:val="Tabletext"/>
              <w:jc w:val="center"/>
              <w:rPr>
                <w:u w:val="single"/>
                <w:lang w:val="en-US" w:eastAsia="zh-CN"/>
              </w:rPr>
            </w:pPr>
            <w:hyperlink r:id="rId43" w:history="1">
              <w:r w:rsidR="006C1D82" w:rsidRPr="00BA0CC5">
                <w:rPr>
                  <w:rStyle w:val="Hyperlink"/>
                  <w:lang w:val="en-US" w:eastAsia="zh-CN"/>
                </w:rPr>
                <w:t>C17/10</w:t>
              </w:r>
            </w:hyperlink>
          </w:p>
        </w:tc>
        <w:tc>
          <w:tcPr>
            <w:tcW w:w="1050" w:type="dxa"/>
            <w:tcMar>
              <w:left w:w="29" w:type="dxa"/>
              <w:right w:w="29" w:type="dxa"/>
            </w:tcMar>
            <w:vAlign w:val="center"/>
          </w:tcPr>
          <w:p w:rsidR="006C1D82" w:rsidRPr="00BA0CC5" w:rsidRDefault="00924B55" w:rsidP="00446C75">
            <w:pPr>
              <w:pStyle w:val="Tabletext"/>
              <w:jc w:val="center"/>
              <w:rPr>
                <w:u w:val="single"/>
                <w:lang w:val="en-US" w:eastAsia="zh-CN"/>
              </w:rPr>
            </w:pPr>
            <w:hyperlink r:id="rId44" w:history="1">
              <w:r w:rsidR="006C1D82" w:rsidRPr="00BA0CC5">
                <w:rPr>
                  <w:rStyle w:val="Hyperlink"/>
                  <w:lang w:val="en-US" w:eastAsia="zh-CN"/>
                </w:rPr>
                <w:t>C17/10</w:t>
              </w:r>
            </w:hyperlink>
          </w:p>
        </w:tc>
        <w:tc>
          <w:tcPr>
            <w:tcW w:w="1051" w:type="dxa"/>
            <w:vAlign w:val="center"/>
          </w:tcPr>
          <w:p w:rsidR="006C1D82" w:rsidRPr="00BA0CC5" w:rsidRDefault="00924B55" w:rsidP="00446C75">
            <w:pPr>
              <w:pStyle w:val="Tabletext"/>
              <w:jc w:val="center"/>
              <w:rPr>
                <w:u w:val="single"/>
                <w:lang w:val="en-US" w:eastAsia="zh-CN"/>
              </w:rPr>
            </w:pPr>
            <w:hyperlink r:id="rId45" w:history="1">
              <w:r w:rsidR="006C1D82" w:rsidRPr="00BA0CC5">
                <w:rPr>
                  <w:rStyle w:val="Hyperlink"/>
                  <w:lang w:val="en-US" w:eastAsia="zh-CN"/>
                </w:rPr>
                <w:t>C17/10</w:t>
              </w:r>
            </w:hyperlink>
          </w:p>
        </w:tc>
        <w:tc>
          <w:tcPr>
            <w:tcW w:w="1050" w:type="dxa"/>
            <w:vAlign w:val="center"/>
          </w:tcPr>
          <w:p w:rsidR="006C1D82" w:rsidRPr="00BA0CC5" w:rsidRDefault="00924B55" w:rsidP="00446C75">
            <w:pPr>
              <w:pStyle w:val="Tabletext"/>
              <w:jc w:val="center"/>
              <w:rPr>
                <w:u w:val="single"/>
                <w:lang w:val="en-US" w:eastAsia="zh-CN"/>
              </w:rPr>
            </w:pPr>
            <w:hyperlink r:id="rId46" w:history="1">
              <w:r w:rsidR="006C1D82" w:rsidRPr="00BA0CC5">
                <w:rPr>
                  <w:rStyle w:val="Hyperlink"/>
                  <w:lang w:val="en-US" w:eastAsia="zh-CN"/>
                </w:rPr>
                <w:t>C17/10</w:t>
              </w:r>
            </w:hyperlink>
          </w:p>
        </w:tc>
        <w:tc>
          <w:tcPr>
            <w:tcW w:w="1051" w:type="dxa"/>
            <w:vAlign w:val="center"/>
          </w:tcPr>
          <w:p w:rsidR="006C1D82" w:rsidRPr="00BA0CC5" w:rsidRDefault="00924B55" w:rsidP="00446C75">
            <w:pPr>
              <w:pStyle w:val="Tabletext"/>
              <w:jc w:val="center"/>
              <w:rPr>
                <w:u w:val="single"/>
                <w:lang w:val="en-US" w:eastAsia="zh-CN"/>
              </w:rPr>
            </w:pPr>
            <w:hyperlink r:id="rId47" w:history="1">
              <w:r w:rsidR="006C1D82" w:rsidRPr="00BA0CC5">
                <w:rPr>
                  <w:rStyle w:val="Hyperlink"/>
                  <w:lang w:val="en-US" w:eastAsia="zh-CN"/>
                </w:rPr>
                <w:t>C17/10</w:t>
              </w:r>
            </w:hyperlink>
          </w:p>
        </w:tc>
        <w:tc>
          <w:tcPr>
            <w:tcW w:w="1050" w:type="dxa"/>
            <w:vAlign w:val="center"/>
          </w:tcPr>
          <w:p w:rsidR="006C1D82" w:rsidRPr="00BA0CC5" w:rsidRDefault="00924B55" w:rsidP="00446C75">
            <w:pPr>
              <w:pStyle w:val="Tabletext"/>
              <w:jc w:val="center"/>
              <w:rPr>
                <w:u w:val="single"/>
                <w:lang w:val="en-US" w:eastAsia="zh-CN"/>
              </w:rPr>
            </w:pPr>
            <w:hyperlink r:id="rId48" w:history="1">
              <w:r w:rsidR="006C1D82" w:rsidRPr="00BA0CC5">
                <w:rPr>
                  <w:rStyle w:val="Hyperlink"/>
                  <w:lang w:val="en-US" w:eastAsia="zh-CN"/>
                </w:rPr>
                <w:t>C17/10</w:t>
              </w:r>
            </w:hyperlink>
          </w:p>
        </w:tc>
        <w:tc>
          <w:tcPr>
            <w:tcW w:w="1051" w:type="dxa"/>
            <w:vAlign w:val="center"/>
          </w:tcPr>
          <w:p w:rsidR="006C1D82" w:rsidRPr="00BA0CC5" w:rsidRDefault="00924B55" w:rsidP="00446C75">
            <w:pPr>
              <w:pStyle w:val="Tabletext"/>
              <w:jc w:val="center"/>
              <w:rPr>
                <w:u w:val="single"/>
                <w:lang w:val="en-US" w:eastAsia="zh-CN"/>
              </w:rPr>
            </w:pPr>
            <w:hyperlink r:id="rId49" w:history="1">
              <w:r w:rsidR="006C1D82" w:rsidRPr="00BA0CC5">
                <w:rPr>
                  <w:rStyle w:val="Hyperlink"/>
                  <w:lang w:val="en-US" w:eastAsia="zh-CN"/>
                </w:rPr>
                <w:t>C17/10</w:t>
              </w:r>
            </w:hyperlink>
          </w:p>
        </w:tc>
      </w:tr>
      <w:tr w:rsidR="006C1D82" w:rsidRPr="00BA0CC5" w:rsidTr="00446C75">
        <w:trPr>
          <w:trHeight w:val="300"/>
          <w:jc w:val="center"/>
        </w:trPr>
        <w:tc>
          <w:tcPr>
            <w:tcW w:w="1339" w:type="dxa"/>
            <w:noWrap/>
            <w:hideMark/>
          </w:tcPr>
          <w:p w:rsidR="006C1D82" w:rsidRPr="00BA0CC5" w:rsidRDefault="006C1D82" w:rsidP="00446C75">
            <w:pPr>
              <w:pStyle w:val="Tabletext"/>
              <w:rPr>
                <w:lang w:val="en-US" w:eastAsia="zh-CN"/>
              </w:rPr>
            </w:pPr>
            <w:r w:rsidRPr="00BA0CC5">
              <w:rPr>
                <w:lang w:val="en-US" w:eastAsia="zh-CN"/>
              </w:rPr>
              <w:t>Page</w:t>
            </w:r>
          </w:p>
        </w:tc>
        <w:tc>
          <w:tcPr>
            <w:tcW w:w="1050" w:type="dxa"/>
            <w:noWrap/>
            <w:vAlign w:val="center"/>
            <w:hideMark/>
          </w:tcPr>
          <w:p w:rsidR="006C1D82" w:rsidRPr="00BA0CC5" w:rsidRDefault="006C1D82" w:rsidP="00446C75">
            <w:pPr>
              <w:pStyle w:val="Tabletext"/>
              <w:jc w:val="center"/>
              <w:rPr>
                <w:lang w:val="en-US" w:eastAsia="zh-CN"/>
              </w:rPr>
            </w:pPr>
            <w:r w:rsidRPr="00BA0CC5">
              <w:rPr>
                <w:lang w:val="en-US" w:eastAsia="zh-CN"/>
              </w:rPr>
              <w:t>14</w:t>
            </w:r>
          </w:p>
        </w:tc>
        <w:tc>
          <w:tcPr>
            <w:tcW w:w="1051" w:type="dxa"/>
            <w:noWrap/>
            <w:vAlign w:val="center"/>
            <w:hideMark/>
          </w:tcPr>
          <w:p w:rsidR="006C1D82" w:rsidRPr="00BA0CC5" w:rsidRDefault="006C1D82" w:rsidP="00446C75">
            <w:pPr>
              <w:pStyle w:val="Tabletext"/>
              <w:jc w:val="center"/>
              <w:rPr>
                <w:lang w:val="en-US" w:eastAsia="zh-CN"/>
              </w:rPr>
            </w:pPr>
            <w:r w:rsidRPr="00BA0CC5">
              <w:rPr>
                <w:lang w:val="en-US" w:eastAsia="zh-CN"/>
              </w:rPr>
              <w:t>14</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w:t>
            </w:r>
          </w:p>
        </w:tc>
      </w:tr>
      <w:tr w:rsidR="006C1D82" w:rsidRPr="00BA0CC5" w:rsidTr="00446C75">
        <w:trPr>
          <w:trHeight w:val="300"/>
          <w:jc w:val="center"/>
        </w:trPr>
        <w:tc>
          <w:tcPr>
            <w:tcW w:w="1339" w:type="dxa"/>
            <w:noWrap/>
            <w:vAlign w:val="center"/>
            <w:hideMark/>
          </w:tcPr>
          <w:p w:rsidR="006C1D82" w:rsidRPr="00BA0CC5" w:rsidRDefault="006C1D82" w:rsidP="00446C75">
            <w:pPr>
              <w:pStyle w:val="Tabletext"/>
              <w:rPr>
                <w:lang w:val="en-US" w:eastAsia="zh-CN"/>
              </w:rPr>
            </w:pPr>
            <w:r w:rsidRPr="00BA0CC5">
              <w:rPr>
                <w:lang w:val="en-US" w:eastAsia="zh-CN"/>
              </w:rPr>
              <w:t>Number of posts</w:t>
            </w:r>
          </w:p>
        </w:tc>
        <w:tc>
          <w:tcPr>
            <w:tcW w:w="1050" w:type="dxa"/>
            <w:noWrap/>
            <w:vAlign w:val="center"/>
            <w:hideMark/>
          </w:tcPr>
          <w:p w:rsidR="006C1D82" w:rsidRPr="00BA0CC5" w:rsidRDefault="006C1D82" w:rsidP="00446C75">
            <w:pPr>
              <w:pStyle w:val="Tabletext"/>
              <w:jc w:val="center"/>
              <w:rPr>
                <w:lang w:val="en-US" w:eastAsia="zh-CN"/>
              </w:rPr>
            </w:pPr>
            <w:r w:rsidRPr="00BA0CC5">
              <w:rPr>
                <w:lang w:val="en-US" w:eastAsia="zh-CN"/>
              </w:rPr>
              <w:t>158</w:t>
            </w:r>
          </w:p>
        </w:tc>
        <w:tc>
          <w:tcPr>
            <w:tcW w:w="1051" w:type="dxa"/>
            <w:noWrap/>
            <w:vAlign w:val="center"/>
            <w:hideMark/>
          </w:tcPr>
          <w:p w:rsidR="006C1D82" w:rsidRPr="00BA0CC5" w:rsidRDefault="006C1D82" w:rsidP="00446C75">
            <w:pPr>
              <w:pStyle w:val="Tabletext"/>
              <w:jc w:val="center"/>
              <w:rPr>
                <w:lang w:val="en-US" w:eastAsia="zh-CN"/>
              </w:rPr>
            </w:pPr>
            <w:r w:rsidRPr="00BA0CC5">
              <w:rPr>
                <w:lang w:val="en-US" w:eastAsia="zh-CN"/>
              </w:rPr>
              <w:t>157</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158</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157</w:t>
            </w:r>
          </w:p>
        </w:tc>
        <w:tc>
          <w:tcPr>
            <w:tcW w:w="1050" w:type="dxa"/>
            <w:vAlign w:val="center"/>
          </w:tcPr>
          <w:p w:rsidR="006C1D82" w:rsidRPr="00BA0CC5" w:rsidRDefault="006C1D82" w:rsidP="00446C75">
            <w:pPr>
              <w:pStyle w:val="Tabletext"/>
              <w:jc w:val="center"/>
              <w:rPr>
                <w:lang w:val="en-US" w:eastAsia="zh-CN"/>
              </w:rPr>
            </w:pPr>
            <w:r w:rsidRPr="00BA0CC5">
              <w:rPr>
                <w:lang w:val="en-US" w:eastAsia="zh-CN"/>
              </w:rPr>
              <w:t>141</w:t>
            </w:r>
          </w:p>
        </w:tc>
        <w:tc>
          <w:tcPr>
            <w:tcW w:w="1051" w:type="dxa"/>
            <w:vAlign w:val="center"/>
          </w:tcPr>
          <w:p w:rsidR="006C1D82" w:rsidRPr="00BA0CC5" w:rsidRDefault="006C1D82" w:rsidP="00446C75">
            <w:pPr>
              <w:pStyle w:val="Tabletext"/>
              <w:jc w:val="center"/>
              <w:rPr>
                <w:lang w:val="en-US" w:eastAsia="zh-CN"/>
              </w:rPr>
            </w:pPr>
            <w:r w:rsidRPr="00BA0CC5">
              <w:rPr>
                <w:lang w:val="en-US" w:eastAsia="zh-CN"/>
              </w:rPr>
              <w:t>141</w:t>
            </w:r>
          </w:p>
        </w:tc>
        <w:tc>
          <w:tcPr>
            <w:tcW w:w="1050" w:type="dxa"/>
            <w:vAlign w:val="center"/>
          </w:tcPr>
          <w:p w:rsidR="006C1D82" w:rsidRPr="00BA0CC5" w:rsidRDefault="006C1D82" w:rsidP="00446C75">
            <w:pPr>
              <w:pStyle w:val="Tabletext"/>
              <w:jc w:val="center"/>
              <w:rPr>
                <w:color w:val="FF0000"/>
                <w:lang w:val="en-US" w:eastAsia="zh-CN"/>
              </w:rPr>
            </w:pPr>
            <w:r w:rsidRPr="00BA0CC5">
              <w:rPr>
                <w:color w:val="FF0000"/>
                <w:lang w:val="en-US" w:eastAsia="zh-CN"/>
              </w:rPr>
              <w:t>139</w:t>
            </w:r>
          </w:p>
        </w:tc>
        <w:tc>
          <w:tcPr>
            <w:tcW w:w="1051" w:type="dxa"/>
            <w:vAlign w:val="center"/>
          </w:tcPr>
          <w:p w:rsidR="006C1D82" w:rsidRPr="00BA0CC5" w:rsidRDefault="006C1D82" w:rsidP="00446C75">
            <w:pPr>
              <w:pStyle w:val="Tabletext"/>
              <w:jc w:val="center"/>
              <w:rPr>
                <w:color w:val="FF0000"/>
                <w:lang w:val="en-US" w:eastAsia="zh-CN"/>
              </w:rPr>
            </w:pPr>
            <w:r w:rsidRPr="00BA0CC5">
              <w:rPr>
                <w:color w:val="FF0000"/>
                <w:lang w:val="en-US" w:eastAsia="zh-CN"/>
              </w:rPr>
              <w:t>139</w:t>
            </w:r>
          </w:p>
        </w:tc>
      </w:tr>
    </w:tbl>
    <w:p w:rsidR="006C1D82" w:rsidRPr="00BA0CC5" w:rsidRDefault="006C1D82" w:rsidP="00DE7CE7">
      <w:pPr>
        <w:rPr>
          <w:bCs/>
          <w:lang w:val="en-US" w:eastAsia="zh-CN"/>
        </w:rPr>
      </w:pPr>
    </w:p>
    <w:p w:rsidR="006C1D82" w:rsidRPr="00BA0CC5" w:rsidRDefault="006C1D82" w:rsidP="00DE7CE7">
      <w:pPr>
        <w:rPr>
          <w:lang w:val="en-US" w:eastAsia="zh-CN"/>
        </w:rPr>
      </w:pPr>
      <w:r w:rsidRPr="00BA0CC5">
        <w:rPr>
          <w:lang w:val="en-US" w:eastAsia="zh-CN"/>
        </w:rPr>
        <w:t>Figure 3 illustrates the changes in the workforce in BR, the Telecommunication Development Bureau (BDT) and the Telecommunication Standardization Bureau (TSB) over the period 2004-2017, with a projection for 2018-2019.</w:t>
      </w:r>
    </w:p>
    <w:p w:rsidR="006C1D82" w:rsidRPr="00BA0CC5" w:rsidRDefault="006C1D82" w:rsidP="009A21CA">
      <w:pPr>
        <w:pStyle w:val="FigureNo"/>
        <w:rPr>
          <w:lang w:val="en-US" w:eastAsia="zh-CN"/>
        </w:rPr>
      </w:pPr>
      <w:r w:rsidRPr="00BA0CC5">
        <w:rPr>
          <w:lang w:val="en-US" w:eastAsia="zh-CN"/>
        </w:rPr>
        <w:lastRenderedPageBreak/>
        <w:t>Figure 3</w:t>
      </w:r>
    </w:p>
    <w:p w:rsidR="006C1D82" w:rsidRPr="00BA0CC5" w:rsidRDefault="006C1D82" w:rsidP="009A21CA">
      <w:pPr>
        <w:pStyle w:val="Figuretitle"/>
        <w:rPr>
          <w:lang w:val="en-US" w:eastAsia="zh-CN"/>
        </w:rPr>
      </w:pPr>
      <w:r w:rsidRPr="00BA0CC5">
        <w:rPr>
          <w:lang w:val="en-US" w:eastAsia="zh-CN"/>
        </w:rPr>
        <w:t>Workforce variations (number of budgeted posts)</w:t>
      </w:r>
      <w:r w:rsidRPr="00BA0CC5">
        <w:rPr>
          <w:lang w:val="en-US" w:eastAsia="zh-CN"/>
        </w:rPr>
        <w:br/>
        <w:t>during the period 2004-2017 in BR, BDT and TSB</w:t>
      </w:r>
    </w:p>
    <w:p w:rsidR="006C1D82" w:rsidRPr="00BA0CC5" w:rsidRDefault="006C1D82" w:rsidP="00DE7CE7">
      <w:pPr>
        <w:jc w:val="center"/>
        <w:rPr>
          <w:lang w:val="en-US" w:eastAsia="zh-CN"/>
        </w:rPr>
      </w:pPr>
      <w:r w:rsidRPr="00BA0CC5">
        <w:rPr>
          <w:noProof/>
          <w:lang w:val="en-US" w:eastAsia="zh-CN"/>
        </w:rPr>
        <w:drawing>
          <wp:inline distT="0" distB="0" distL="0" distR="0" wp14:anchorId="7F575702" wp14:editId="54B1E169">
            <wp:extent cx="6120765" cy="3918578"/>
            <wp:effectExtent l="0" t="0" r="1333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C1D82" w:rsidRPr="00BA0CC5" w:rsidRDefault="006C1D82" w:rsidP="00DE7CE7">
      <w:pPr>
        <w:spacing w:before="0"/>
        <w:rPr>
          <w:lang w:val="en-US" w:eastAsia="zh-CN"/>
        </w:rPr>
      </w:pPr>
    </w:p>
    <w:p w:rsidR="006C1D82" w:rsidRPr="00BA0CC5" w:rsidRDefault="006C1D82" w:rsidP="00DE7CE7">
      <w:pPr>
        <w:rPr>
          <w:lang w:val="en-US" w:eastAsia="zh-CN"/>
        </w:rPr>
      </w:pPr>
      <w:r w:rsidRPr="00BA0CC5">
        <w:rPr>
          <w:lang w:val="en-US" w:eastAsia="zh-CN"/>
        </w:rPr>
        <w:t>Over the past 20 years, BR</w:t>
      </w:r>
      <w:r w:rsidR="001211F2" w:rsidRPr="00BA0CC5">
        <w:rPr>
          <w:lang w:val="en-US" w:eastAsia="zh-CN"/>
        </w:rPr>
        <w:t>'</w:t>
      </w:r>
      <w:r w:rsidRPr="00BA0CC5">
        <w:rPr>
          <w:lang w:val="en-US" w:eastAsia="zh-CN"/>
        </w:rPr>
        <w:t>s working methods have undergone profound change. This period has seen:</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t>the progression from manual methods of transferring the data received from users in paper form to direct receipt of user data in electronic format;</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t>the considerable expansion of information and communication technology (ICT) usage for examining the frequency assignment filings for terrestrial and space service systems and stations;</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t>the transition to electronic means of data exchange between BR and ITU Member States and Sector Members;</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t>the transition to electronic means for the publication of ITU-R documents, including the publication of findings from the regulatory and technical examination of filings;</w:t>
      </w:r>
    </w:p>
    <w:p w:rsidR="006C1D82" w:rsidRPr="00BA0CC5" w:rsidRDefault="006C1D82" w:rsidP="00DE7CE7">
      <w:pPr>
        <w:pStyle w:val="enumlev1"/>
        <w:rPr>
          <w:lang w:val="en-US" w:eastAsia="zh-CN"/>
        </w:rPr>
      </w:pPr>
      <w:r w:rsidRPr="00BA0CC5">
        <w:rPr>
          <w:lang w:val="en-US" w:eastAsia="zh-CN"/>
        </w:rPr>
        <w:sym w:font="Symbol" w:char="F02D"/>
      </w:r>
      <w:r w:rsidRPr="00BA0CC5">
        <w:rPr>
          <w:lang w:val="en-US" w:eastAsia="zh-CN"/>
        </w:rPr>
        <w:tab/>
        <w:t>the development of a wide range of software packages and systems for performing the above tasks.</w:t>
      </w:r>
    </w:p>
    <w:p w:rsidR="006C1D82" w:rsidRPr="00BA0CC5" w:rsidRDefault="006C1D82" w:rsidP="00DE7CE7">
      <w:pPr>
        <w:rPr>
          <w:lang w:val="en-US" w:eastAsia="zh-CN"/>
        </w:rPr>
      </w:pPr>
      <w:r w:rsidRPr="00BA0CC5">
        <w:rPr>
          <w:lang w:val="en-US" w:eastAsia="zh-CN"/>
        </w:rPr>
        <w:t>These and other measures have resulted in significant performance gains on the part not only of BR</w:t>
      </w:r>
      <w:r w:rsidR="001211F2" w:rsidRPr="00BA0CC5">
        <w:rPr>
          <w:lang w:val="en-US" w:eastAsia="zh-CN"/>
        </w:rPr>
        <w:t>'</w:t>
      </w:r>
      <w:r w:rsidRPr="00BA0CC5">
        <w:rPr>
          <w:lang w:val="en-US" w:eastAsia="zh-CN"/>
        </w:rPr>
        <w:t xml:space="preserve">s staff, but also the staff of ITU Member States and Sector Members, thanks to their use of BR software products for the preparation of frequency assignment notices and their subsequent verification, thereby eliminating the need for numerous exchanges with BR experts. Publication of </w:t>
      </w:r>
      <w:r w:rsidRPr="00BA0CC5">
        <w:rPr>
          <w:lang w:val="en-US" w:eastAsia="zh-CN"/>
        </w:rPr>
        <w:lastRenderedPageBreak/>
        <w:t>the data in electronic form means that they can be used at the coordination stage, which in turn results in a more efficient coordination process.</w:t>
      </w:r>
    </w:p>
    <w:p w:rsidR="006C1D82" w:rsidRPr="00BA0CC5" w:rsidRDefault="006C1D82" w:rsidP="00DE7CE7">
      <w:pPr>
        <w:rPr>
          <w:lang w:val="en-US" w:eastAsia="zh-CN"/>
        </w:rPr>
      </w:pPr>
      <w:r w:rsidRPr="00BA0CC5">
        <w:rPr>
          <w:lang w:val="en-US" w:eastAsia="zh-CN"/>
        </w:rPr>
        <w:t>The above advances have enabled a significant and justifiable reduction in BR</w:t>
      </w:r>
      <w:r w:rsidR="001211F2" w:rsidRPr="00BA0CC5">
        <w:rPr>
          <w:lang w:val="en-US" w:eastAsia="zh-CN"/>
        </w:rPr>
        <w:t>'</w:t>
      </w:r>
      <w:r w:rsidRPr="00BA0CC5">
        <w:rPr>
          <w:lang w:val="en-US" w:eastAsia="zh-CN"/>
        </w:rPr>
        <w:t>s staffing numbers (see Figure 3). However, any kind of process automation, particularly where a process as complex as spectrum and satellite orbit management at the international level is concerned, has its limits, and staff reductions cannot go on forever.</w:t>
      </w:r>
    </w:p>
    <w:p w:rsidR="006C1D82" w:rsidRPr="00BA0CC5" w:rsidRDefault="006C1D82" w:rsidP="008C5D7D">
      <w:pPr>
        <w:rPr>
          <w:lang w:val="en-US" w:eastAsia="zh-CN"/>
        </w:rPr>
      </w:pPr>
      <w:r w:rsidRPr="00BA0CC5">
        <w:rPr>
          <w:lang w:val="en-US" w:eastAsia="zh-CN"/>
        </w:rPr>
        <w:t>It is interesting to observe that in the 1980s the CCIR</w:t>
      </w:r>
      <w:r w:rsidRPr="00BA0CC5">
        <w:rPr>
          <w:rStyle w:val="FootnoteReference"/>
          <w:lang w:val="en-US"/>
        </w:rPr>
        <w:footnoteReference w:id="1"/>
      </w:r>
      <w:r w:rsidRPr="00BA0CC5">
        <w:rPr>
          <w:lang w:val="en-US" w:eastAsia="zh-CN"/>
        </w:rPr>
        <w:t xml:space="preserve"> had a staff of some 30± (the CCITT</w:t>
      </w:r>
      <w:r w:rsidRPr="00BA0CC5">
        <w:rPr>
          <w:rStyle w:val="FootnoteReference"/>
          <w:lang w:val="en-US"/>
        </w:rPr>
        <w:footnoteReference w:id="2"/>
      </w:r>
      <w:r w:rsidRPr="00BA0CC5">
        <w:rPr>
          <w:lang w:val="en-US" w:eastAsia="zh-CN"/>
        </w:rPr>
        <w:t xml:space="preserve"> had some 40+), whereas now the staff of BR</w:t>
      </w:r>
      <w:r w:rsidR="001211F2" w:rsidRPr="00BA0CC5">
        <w:rPr>
          <w:lang w:val="en-US" w:eastAsia="zh-CN"/>
        </w:rPr>
        <w:t>'</w:t>
      </w:r>
      <w:r w:rsidRPr="00BA0CC5">
        <w:rPr>
          <w:lang w:val="en-US" w:eastAsia="zh-CN"/>
        </w:rPr>
        <w:t>s Study Groups Department, which carries out comparable functions, consists of 16 individuals.</w:t>
      </w:r>
    </w:p>
    <w:p w:rsidR="006C1D82" w:rsidRPr="00BA0CC5" w:rsidRDefault="006C1D82" w:rsidP="00DE7CE7">
      <w:pPr>
        <w:rPr>
          <w:lang w:val="en-US" w:eastAsia="zh-CN"/>
        </w:rPr>
      </w:pPr>
      <w:r w:rsidRPr="00BA0CC5">
        <w:rPr>
          <w:lang w:val="en-US" w:eastAsia="zh-CN"/>
        </w:rPr>
        <w:t>The downward trend in the Sector</w:t>
      </w:r>
      <w:r w:rsidR="001211F2" w:rsidRPr="00BA0CC5">
        <w:rPr>
          <w:lang w:val="en-US" w:eastAsia="zh-CN"/>
        </w:rPr>
        <w:t>'</w:t>
      </w:r>
      <w:r w:rsidRPr="00BA0CC5">
        <w:rPr>
          <w:lang w:val="en-US" w:eastAsia="zh-CN"/>
        </w:rPr>
        <w:t xml:space="preserve">s staffing gave rise to expressions of concern among delegates attending the 2015 session of the Council. The Report by the Chairman of the Standing Committee on Administration and Management (Document </w:t>
      </w:r>
      <w:hyperlink r:id="rId51" w:history="1">
        <w:r w:rsidRPr="00BA0CC5">
          <w:rPr>
            <w:rStyle w:val="Hyperlink"/>
            <w:lang w:val="en-US" w:eastAsia="zh-CN"/>
          </w:rPr>
          <w:t>C15/105 (Rev.1)</w:t>
        </w:r>
      </w:hyperlink>
      <w:r w:rsidRPr="00BA0CC5">
        <w:rPr>
          <w:lang w:val="en-US" w:eastAsia="zh-CN"/>
        </w:rPr>
        <w:t>) included the following message from the Council to the management of the ITU secretariat:</w:t>
      </w:r>
    </w:p>
    <w:p w:rsidR="006C1D82" w:rsidRPr="00BA0CC5" w:rsidRDefault="001211F2" w:rsidP="00DE7CE7">
      <w:pPr>
        <w:rPr>
          <w:lang w:val="en-US" w:eastAsia="zh-CN"/>
        </w:rPr>
      </w:pPr>
      <w:r w:rsidRPr="00BA0CC5">
        <w:rPr>
          <w:lang w:val="en-US" w:eastAsia="zh-CN"/>
        </w:rPr>
        <w:t>"</w:t>
      </w:r>
      <w:r w:rsidR="006C1D82" w:rsidRPr="00BA0CC5">
        <w:rPr>
          <w:lang w:val="en-US" w:eastAsia="zh-CN"/>
        </w:rPr>
        <w:t>1.12</w:t>
      </w:r>
      <w:r w:rsidR="006C1D82" w:rsidRPr="00BA0CC5">
        <w:rPr>
          <w:lang w:val="en-US" w:eastAsia="zh-CN"/>
        </w:rPr>
        <w:tab/>
      </w:r>
      <w:r w:rsidR="006C1D82" w:rsidRPr="00BA0CC5">
        <w:rPr>
          <w:lang w:val="en-US" w:eastAsia="zh-CN"/>
        </w:rPr>
        <w:tab/>
        <w:t>Some delegates noted the significant reduction of the budgeted posts in the Radiocommunication Bureau that took place in 2011-2015 and the importance of its program of work as per the strategic plan and operational plans. In this light, the delegates requested the ITU Management when preparing draft budgets for future biennia to abstain from the further reduction of the budgeted posts in the Radiocommunication Bureau as this will negatively impact the full implementation of their programme of work</w:t>
      </w:r>
      <w:r w:rsidRPr="00BA0CC5">
        <w:rPr>
          <w:lang w:val="en-US" w:eastAsia="zh-CN"/>
        </w:rPr>
        <w:t>"</w:t>
      </w:r>
      <w:r w:rsidR="006C1D82" w:rsidRPr="00BA0CC5">
        <w:rPr>
          <w:lang w:val="en-US" w:eastAsia="zh-CN"/>
        </w:rPr>
        <w:t>.</w:t>
      </w:r>
    </w:p>
    <w:p w:rsidR="006C1D82" w:rsidRPr="00BA0CC5" w:rsidRDefault="006C1D82" w:rsidP="00446C75">
      <w:pPr>
        <w:rPr>
          <w:lang w:val="en-US" w:eastAsia="zh-CN"/>
        </w:rPr>
      </w:pPr>
      <w:r w:rsidRPr="00BA0CC5">
        <w:rPr>
          <w:lang w:val="en-US" w:eastAsia="zh-CN"/>
        </w:rPr>
        <w:t>However, it emerges from Document </w:t>
      </w:r>
      <w:hyperlink r:id="rId52" w:history="1">
        <w:r w:rsidRPr="00BA0CC5">
          <w:rPr>
            <w:rStyle w:val="Hyperlink"/>
            <w:lang w:val="en-US" w:eastAsia="zh-CN"/>
          </w:rPr>
          <w:t>C17/10</w:t>
        </w:r>
      </w:hyperlink>
      <w:r w:rsidRPr="00BA0CC5">
        <w:rPr>
          <w:lang w:val="en-US" w:eastAsia="zh-CN"/>
        </w:rPr>
        <w:t xml:space="preserve"> that in the draft budget for 2018-2019, it is planned to reduce further the number of posts in BR.</w:t>
      </w:r>
    </w:p>
    <w:p w:rsidR="006C1D82" w:rsidRPr="00BA0CC5" w:rsidRDefault="006C1D82" w:rsidP="00DE7CE7">
      <w:pPr>
        <w:pStyle w:val="Heading2"/>
        <w:rPr>
          <w:b w:val="0"/>
          <w:bCs/>
          <w:lang w:val="en-US" w:eastAsia="zh-CN"/>
        </w:rPr>
      </w:pPr>
      <w:r w:rsidRPr="00BA0CC5">
        <w:rPr>
          <w:bCs/>
          <w:lang w:val="en-US" w:eastAsia="zh-CN"/>
        </w:rPr>
        <w:t>2.3</w:t>
      </w:r>
      <w:r w:rsidRPr="00BA0CC5">
        <w:rPr>
          <w:bCs/>
          <w:lang w:val="en-US" w:eastAsia="zh-CN"/>
        </w:rPr>
        <w:tab/>
        <w:t>Evaluation of the adequacy of BR</w:t>
      </w:r>
      <w:r w:rsidR="001211F2" w:rsidRPr="00BA0CC5">
        <w:rPr>
          <w:bCs/>
          <w:lang w:val="en-US" w:eastAsia="zh-CN"/>
        </w:rPr>
        <w:t>'</w:t>
      </w:r>
      <w:r w:rsidRPr="00BA0CC5">
        <w:rPr>
          <w:bCs/>
          <w:lang w:val="en-US" w:eastAsia="zh-CN"/>
        </w:rPr>
        <w:t>s financial and human resources for fulfilling the Bureau</w:t>
      </w:r>
      <w:r w:rsidR="001211F2" w:rsidRPr="00BA0CC5">
        <w:rPr>
          <w:bCs/>
          <w:lang w:val="en-US" w:eastAsia="zh-CN"/>
        </w:rPr>
        <w:t>'</w:t>
      </w:r>
      <w:r w:rsidRPr="00BA0CC5">
        <w:rPr>
          <w:bCs/>
          <w:lang w:val="en-US" w:eastAsia="zh-CN"/>
        </w:rPr>
        <w:t>s objectives</w:t>
      </w:r>
    </w:p>
    <w:p w:rsidR="006C1D82" w:rsidRPr="00BA0CC5" w:rsidRDefault="006C1D82" w:rsidP="008C5D7D">
      <w:pPr>
        <w:rPr>
          <w:lang w:val="en-US" w:eastAsia="zh-CN"/>
        </w:rPr>
      </w:pPr>
      <w:r w:rsidRPr="00BA0CC5">
        <w:rPr>
          <w:lang w:val="en-US" w:eastAsia="zh-CN"/>
        </w:rPr>
        <w:t xml:space="preserve">One of the most objective indicators of successful performance on the part of the Bureau is provided by the data relating to the time taken to process satellite network filings. Under No. </w:t>
      </w:r>
      <w:r w:rsidRPr="00BA0CC5">
        <w:rPr>
          <w:b/>
          <w:bCs/>
          <w:lang w:val="en-US" w:eastAsia="zh-CN"/>
        </w:rPr>
        <w:t>9.38</w:t>
      </w:r>
      <w:r w:rsidRPr="00BA0CC5">
        <w:rPr>
          <w:lang w:val="en-US" w:eastAsia="zh-CN"/>
        </w:rPr>
        <w:t xml:space="preserve"> of the Radio Regulations, on receipt of a request for coordination of a frequency assignment, the Bureau shall publish </w:t>
      </w:r>
      <w:r w:rsidR="001211F2" w:rsidRPr="00BA0CC5">
        <w:rPr>
          <w:lang w:val="en-US" w:eastAsia="zh-CN"/>
        </w:rPr>
        <w:t>"</w:t>
      </w:r>
      <w:r w:rsidRPr="00BA0CC5">
        <w:rPr>
          <w:lang w:val="en-US" w:eastAsia="zh-CN"/>
        </w:rPr>
        <w:t>the complete information in the International Frequency Information Circular (BR IFIC) within four months</w:t>
      </w:r>
      <w:r w:rsidR="001211F2" w:rsidRPr="00BA0CC5">
        <w:rPr>
          <w:lang w:val="en-US" w:eastAsia="zh-CN"/>
        </w:rPr>
        <w:t>"</w:t>
      </w:r>
      <w:r w:rsidRPr="00BA0CC5">
        <w:rPr>
          <w:lang w:val="en-US" w:eastAsia="zh-CN"/>
        </w:rPr>
        <w:t>.</w:t>
      </w:r>
    </w:p>
    <w:p w:rsidR="006C1D82" w:rsidRPr="00BA0CC5" w:rsidRDefault="006C1D82" w:rsidP="00DE7CE7">
      <w:pPr>
        <w:rPr>
          <w:lang w:val="en-US" w:eastAsia="zh-CN"/>
        </w:rPr>
      </w:pPr>
      <w:r w:rsidRPr="00BA0CC5">
        <w:rPr>
          <w:lang w:val="en-US" w:eastAsia="zh-CN"/>
        </w:rPr>
        <w:t>From the data for 2015-2016 and the early part of 2017 contained in the reports by the Director of BR to meetings of the Radio Regulations Board (RRB) (Documents </w:t>
      </w:r>
      <w:hyperlink r:id="rId53" w:history="1">
        <w:r w:rsidRPr="00BA0CC5">
          <w:rPr>
            <w:rStyle w:val="Hyperlink"/>
            <w:lang w:val="en-US" w:eastAsia="zh-CN"/>
          </w:rPr>
          <w:t>RRB15-3/4</w:t>
        </w:r>
      </w:hyperlink>
      <w:r w:rsidRPr="00BA0CC5">
        <w:rPr>
          <w:lang w:val="en-US" w:eastAsia="zh-CN"/>
        </w:rPr>
        <w:t xml:space="preserve">, </w:t>
      </w:r>
      <w:hyperlink r:id="rId54" w:history="1">
        <w:r w:rsidRPr="00BA0CC5">
          <w:rPr>
            <w:rStyle w:val="Hyperlink"/>
            <w:lang w:val="en-US" w:eastAsia="zh-CN"/>
          </w:rPr>
          <w:t>RRB16-1/5</w:t>
        </w:r>
      </w:hyperlink>
      <w:r w:rsidRPr="00BA0CC5">
        <w:rPr>
          <w:lang w:val="en-US" w:eastAsia="zh-CN"/>
        </w:rPr>
        <w:t xml:space="preserve"> and </w:t>
      </w:r>
      <w:hyperlink r:id="rId55" w:history="1">
        <w:r w:rsidRPr="00BA0CC5">
          <w:rPr>
            <w:rStyle w:val="Hyperlink"/>
            <w:lang w:val="en-US" w:eastAsia="zh-CN"/>
          </w:rPr>
          <w:t>RRB17-1/3</w:t>
        </w:r>
      </w:hyperlink>
      <w:r w:rsidRPr="00BA0CC5">
        <w:rPr>
          <w:lang w:val="en-US" w:eastAsia="zh-CN"/>
        </w:rPr>
        <w:t>), and from the statistical data posted by BR</w:t>
      </w:r>
      <w:r w:rsidR="001211F2" w:rsidRPr="00BA0CC5">
        <w:rPr>
          <w:lang w:val="en-US" w:eastAsia="zh-CN"/>
        </w:rPr>
        <w:t>'</w:t>
      </w:r>
      <w:r w:rsidRPr="00BA0CC5">
        <w:rPr>
          <w:lang w:val="en-US" w:eastAsia="zh-CN"/>
        </w:rPr>
        <w:t xml:space="preserve">s Space Services Department at </w:t>
      </w:r>
      <w:hyperlink r:id="rId56" w:history="1">
        <w:r w:rsidRPr="00BA0CC5">
          <w:rPr>
            <w:rStyle w:val="Hyperlink"/>
            <w:lang w:val="en-US" w:eastAsia="zh-CN"/>
          </w:rPr>
          <w:t>https://www.itu.int/ITU-R/go/space-statistics/en</w:t>
        </w:r>
      </w:hyperlink>
      <w:r w:rsidRPr="00BA0CC5">
        <w:rPr>
          <w:lang w:val="en-US" w:eastAsia="zh-CN"/>
        </w:rPr>
        <w:t xml:space="preserve">, it will be observed that for the greater part of that period BR was unable to meet the requirements of RR No. </w:t>
      </w:r>
      <w:r w:rsidRPr="00BA0CC5">
        <w:rPr>
          <w:b/>
          <w:bCs/>
          <w:lang w:val="en-US" w:eastAsia="zh-CN"/>
        </w:rPr>
        <w:t>9.38</w:t>
      </w:r>
      <w:r w:rsidRPr="00BA0CC5">
        <w:rPr>
          <w:lang w:val="en-US" w:eastAsia="zh-CN"/>
        </w:rPr>
        <w:t xml:space="preserve">. Furthermore, the delay in the processing of satellite network filings is tending to increase. By way of an example, Figure 4 contains data relating to the processing of requests for coordination under RR Article 9, as well as requests under Article 4 of RR Appendices </w:t>
      </w:r>
      <w:r w:rsidRPr="00BA0CC5">
        <w:rPr>
          <w:b/>
          <w:bCs/>
          <w:lang w:val="en-US" w:eastAsia="zh-CN"/>
        </w:rPr>
        <w:t>30/30A</w:t>
      </w:r>
      <w:r w:rsidRPr="00BA0CC5">
        <w:rPr>
          <w:lang w:val="en-US" w:eastAsia="zh-CN"/>
        </w:rPr>
        <w:t xml:space="preserve"> and Articles 6 and 7 of RR Appendix </w:t>
      </w:r>
      <w:r w:rsidRPr="00BA0CC5">
        <w:rPr>
          <w:b/>
          <w:bCs/>
          <w:lang w:val="en-US" w:eastAsia="zh-CN"/>
        </w:rPr>
        <w:t>30B</w:t>
      </w:r>
      <w:r w:rsidRPr="00BA0CC5">
        <w:rPr>
          <w:lang w:val="en-US" w:eastAsia="zh-CN"/>
        </w:rPr>
        <w:t>.</w:t>
      </w:r>
    </w:p>
    <w:p w:rsidR="006C1D82" w:rsidRPr="00BA0CC5" w:rsidRDefault="006C1D82" w:rsidP="00DE7CE7">
      <w:pPr>
        <w:rPr>
          <w:lang w:val="en-US" w:eastAsia="zh-CN"/>
        </w:rPr>
      </w:pPr>
      <w:r w:rsidRPr="00BA0CC5">
        <w:rPr>
          <w:lang w:val="en-US" w:eastAsia="zh-CN"/>
        </w:rPr>
        <w:lastRenderedPageBreak/>
        <w:t xml:space="preserve">For purposes of comparison, Figure 5 contains equivalent data for the period 2007-2008, with the exception of data under Appendix </w:t>
      </w:r>
      <w:r w:rsidRPr="00BA0CC5">
        <w:rPr>
          <w:b/>
          <w:bCs/>
          <w:lang w:val="en-US" w:eastAsia="zh-CN"/>
        </w:rPr>
        <w:t>30B</w:t>
      </w:r>
      <w:r w:rsidRPr="00BA0CC5">
        <w:rPr>
          <w:lang w:val="en-US" w:eastAsia="zh-CN"/>
        </w:rPr>
        <w:t>, since at that time the processing of notices under Appendix </w:t>
      </w:r>
      <w:r w:rsidRPr="00BA0CC5">
        <w:rPr>
          <w:b/>
          <w:bCs/>
          <w:lang w:val="en-US" w:eastAsia="zh-CN"/>
        </w:rPr>
        <w:t>30B</w:t>
      </w:r>
      <w:r w:rsidRPr="00BA0CC5">
        <w:rPr>
          <w:lang w:val="en-US" w:eastAsia="zh-CN"/>
        </w:rPr>
        <w:t xml:space="preserve"> was carried out under highly specific regulatory provisions whereby BR could process a maximum of six to ten notices per year, and those data do not now correspond to data received as a result of application of the current Radio Regulations. The period 2007-2008 was selected because, like the period 2015-2016, it included the holding of a WRC. The source data are drawn from RRB documents (Documents </w:t>
      </w:r>
      <w:hyperlink r:id="rId57" w:history="1">
        <w:r w:rsidRPr="00BA0CC5">
          <w:rPr>
            <w:rStyle w:val="Hyperlink"/>
            <w:lang w:val="en-US" w:eastAsia="zh-CN"/>
          </w:rPr>
          <w:t>RRB07-3/2</w:t>
        </w:r>
      </w:hyperlink>
      <w:r w:rsidRPr="00BA0CC5">
        <w:rPr>
          <w:lang w:val="en-US" w:eastAsia="zh-CN"/>
        </w:rPr>
        <w:t xml:space="preserve">, </w:t>
      </w:r>
      <w:hyperlink r:id="rId58" w:history="1">
        <w:r w:rsidRPr="00BA0CC5">
          <w:rPr>
            <w:rStyle w:val="Hyperlink"/>
            <w:lang w:val="en-US" w:eastAsia="zh-CN"/>
          </w:rPr>
          <w:t>RRB08-1/1</w:t>
        </w:r>
      </w:hyperlink>
      <w:r w:rsidRPr="00BA0CC5">
        <w:rPr>
          <w:lang w:val="en-US" w:eastAsia="zh-CN"/>
        </w:rPr>
        <w:t xml:space="preserve"> and </w:t>
      </w:r>
      <w:hyperlink r:id="rId59" w:history="1">
        <w:r w:rsidRPr="00BA0CC5">
          <w:rPr>
            <w:rStyle w:val="Hyperlink"/>
            <w:lang w:val="en-US" w:eastAsia="zh-CN"/>
          </w:rPr>
          <w:t>RRB09-1/1</w:t>
        </w:r>
      </w:hyperlink>
      <w:r w:rsidRPr="00BA0CC5">
        <w:rPr>
          <w:lang w:val="en-US" w:eastAsia="zh-CN"/>
        </w:rPr>
        <w:t>).</w:t>
      </w:r>
    </w:p>
    <w:p w:rsidR="006C1D82" w:rsidRPr="00BA0CC5" w:rsidRDefault="006C1D82" w:rsidP="001211F2">
      <w:pPr>
        <w:rPr>
          <w:lang w:val="en-US" w:eastAsia="zh-CN"/>
        </w:rPr>
      </w:pPr>
      <w:r w:rsidRPr="00BA0CC5">
        <w:rPr>
          <w:lang w:val="en-US" w:eastAsia="zh-CN"/>
        </w:rPr>
        <w:t xml:space="preserve">The </w:t>
      </w:r>
      <w:r w:rsidR="001211F2" w:rsidRPr="00BA0CC5">
        <w:rPr>
          <w:lang w:val="en-US" w:eastAsia="zh-CN"/>
        </w:rPr>
        <w:t xml:space="preserve">problem of </w:t>
      </w:r>
      <w:r w:rsidRPr="00BA0CC5">
        <w:rPr>
          <w:lang w:val="en-US" w:eastAsia="zh-CN"/>
        </w:rPr>
        <w:t>time-limit infringement</w:t>
      </w:r>
      <w:r w:rsidR="001211F2" w:rsidRPr="00BA0CC5">
        <w:rPr>
          <w:lang w:val="en-US" w:eastAsia="zh-CN"/>
        </w:rPr>
        <w:t>s</w:t>
      </w:r>
      <w:r w:rsidRPr="00BA0CC5">
        <w:rPr>
          <w:lang w:val="en-US" w:eastAsia="zh-CN"/>
        </w:rPr>
        <w:t xml:space="preserve"> was also raised in February of this year by RRB, which included the following note in the summary of decisions of its 74th meeting (Document </w:t>
      </w:r>
      <w:hyperlink r:id="rId60" w:history="1">
        <w:r w:rsidRPr="00BA0CC5">
          <w:rPr>
            <w:rStyle w:val="Hyperlink"/>
            <w:lang w:val="en-US" w:eastAsia="zh-CN"/>
          </w:rPr>
          <w:t>RRB17</w:t>
        </w:r>
        <w:r w:rsidRPr="00BA0CC5">
          <w:rPr>
            <w:rStyle w:val="Hyperlink"/>
            <w:lang w:val="en-US" w:eastAsia="zh-CN"/>
          </w:rPr>
          <w:noBreakHyphen/>
          <w:t>1/8</w:t>
        </w:r>
      </w:hyperlink>
      <w:r w:rsidRPr="00BA0CC5">
        <w:rPr>
          <w:lang w:val="en-US" w:eastAsia="zh-CN"/>
        </w:rPr>
        <w:t>):</w:t>
      </w:r>
    </w:p>
    <w:p w:rsidR="006C1D82" w:rsidRPr="00BA0CC5" w:rsidRDefault="001211F2" w:rsidP="00DE7CE7">
      <w:pPr>
        <w:rPr>
          <w:lang w:val="en-US" w:eastAsia="zh-CN"/>
        </w:rPr>
      </w:pPr>
      <w:r w:rsidRPr="00BA0CC5">
        <w:rPr>
          <w:lang w:val="en-US" w:eastAsia="zh-CN"/>
        </w:rPr>
        <w:t>"</w:t>
      </w:r>
      <w:r w:rsidR="006C1D82" w:rsidRPr="00BA0CC5">
        <w:rPr>
          <w:lang w:val="en-US" w:eastAsia="zh-CN"/>
        </w:rPr>
        <w:t>The Board noted the expansion of the workload of BR resulting from the increased number and complexity of satellite filings received during the last fifteen months. The Board expressed concern that this has caused an infringement of the regulatory time limit of four months for the processing of coordination requests. The Board requested the Director to make all efforts to get back to the regulatory limit as soon as possible. The Board also noted that the resolution of this problem may have financial implications that are under the responsibility of Council</w:t>
      </w:r>
      <w:r w:rsidRPr="00BA0CC5">
        <w:rPr>
          <w:lang w:val="en-US" w:eastAsia="zh-CN"/>
        </w:rPr>
        <w:t>"</w:t>
      </w:r>
      <w:r w:rsidR="006C1D82" w:rsidRPr="00BA0CC5">
        <w:rPr>
          <w:lang w:val="en-US" w:eastAsia="zh-CN"/>
        </w:rPr>
        <w:t>.</w:t>
      </w:r>
    </w:p>
    <w:p w:rsidR="006C1D82" w:rsidRPr="00BA0CC5" w:rsidRDefault="006C1D82" w:rsidP="00DE7CE7">
      <w:pPr>
        <w:rPr>
          <w:lang w:val="en-US" w:eastAsia="zh-CN"/>
        </w:rPr>
      </w:pPr>
      <w:r w:rsidRPr="00BA0CC5">
        <w:rPr>
          <w:lang w:val="en-US" w:eastAsia="zh-CN"/>
        </w:rPr>
        <w:t xml:space="preserve">While supporting the statement by RRB, it should also be noted that although where notices processed in accordance with Appendices </w:t>
      </w:r>
      <w:r w:rsidRPr="00BA0CC5">
        <w:rPr>
          <w:b/>
          <w:bCs/>
          <w:lang w:val="en-US" w:eastAsia="zh-CN"/>
        </w:rPr>
        <w:t>30, 30A</w:t>
      </w:r>
      <w:r w:rsidRPr="00BA0CC5">
        <w:rPr>
          <w:lang w:val="en-US" w:eastAsia="zh-CN"/>
        </w:rPr>
        <w:t xml:space="preserve"> and </w:t>
      </w:r>
      <w:r w:rsidRPr="00BA0CC5">
        <w:rPr>
          <w:b/>
          <w:bCs/>
          <w:lang w:val="en-US" w:eastAsia="zh-CN"/>
        </w:rPr>
        <w:t>30B</w:t>
      </w:r>
      <w:r w:rsidRPr="00BA0CC5">
        <w:rPr>
          <w:lang w:val="en-US" w:eastAsia="zh-CN"/>
        </w:rPr>
        <w:t xml:space="preserve"> (satellite plans) are concerned there are no established regulatory deadlines for processing, a further increase in the processing time is not encouraging.</w:t>
      </w:r>
    </w:p>
    <w:p w:rsidR="006C1D82" w:rsidRPr="00BA0CC5" w:rsidRDefault="006C1D82" w:rsidP="008C5D7D">
      <w:pPr>
        <w:rPr>
          <w:lang w:val="en-US"/>
        </w:rPr>
      </w:pPr>
      <w:r w:rsidRPr="00BA0CC5">
        <w:rPr>
          <w:lang w:val="en-US" w:eastAsia="zh-CN"/>
        </w:rPr>
        <w:t>It appears that in the interests of economy there have for many years now been no meetings of study group chairmen and vice-chairmen, which is not consistent with the requirements of § A1.6.1.1 of Resolution ITU-R 1-7, and the duration of meetings of the Radiocommunication Advisory Group has been reduced to three days, while at the same time meetings of the equivalent groups in the other Sectors, as well as the face-to-face meetings of the correspondence and leadership groups of TSAG and TDAG</w:t>
      </w:r>
      <w:r w:rsidRPr="00BA0CC5">
        <w:rPr>
          <w:lang w:val="en-US"/>
        </w:rPr>
        <w:t>, are being accorded considerably longer periods of time (with such meetings in some cases being held twice within the course of one year), and so on.</w:t>
      </w:r>
    </w:p>
    <w:p w:rsidR="006C1D82" w:rsidRPr="00BA0CC5" w:rsidRDefault="006C1D82" w:rsidP="001211F2">
      <w:pPr>
        <w:rPr>
          <w:lang w:val="en-US"/>
        </w:rPr>
      </w:pPr>
      <w:r w:rsidRPr="00BA0CC5">
        <w:rPr>
          <w:lang w:val="en-US"/>
        </w:rPr>
        <w:t xml:space="preserve">From the preceding analysis, </w:t>
      </w:r>
      <w:r w:rsidR="001211F2" w:rsidRPr="00BA0CC5">
        <w:rPr>
          <w:lang w:val="en-US"/>
        </w:rPr>
        <w:t>we must conclude</w:t>
      </w:r>
      <w:r w:rsidRPr="00BA0CC5">
        <w:rPr>
          <w:lang w:val="en-US"/>
        </w:rPr>
        <w:t xml:space="preserve"> that BR has insufficient human resources for fulfilling its objectives.</w:t>
      </w:r>
    </w:p>
    <w:p w:rsidR="006C1D82" w:rsidRPr="00BA0CC5" w:rsidRDefault="006C1D82" w:rsidP="001211F2">
      <w:pPr>
        <w:pStyle w:val="FigureNo"/>
        <w:rPr>
          <w:lang w:val="en-US" w:eastAsia="zh-CN"/>
        </w:rPr>
      </w:pPr>
      <w:r w:rsidRPr="00BA0CC5">
        <w:rPr>
          <w:lang w:val="en-US" w:eastAsia="zh-CN"/>
        </w:rPr>
        <w:lastRenderedPageBreak/>
        <w:t>Figure 4</w:t>
      </w:r>
    </w:p>
    <w:p w:rsidR="006C1D82" w:rsidRPr="00BA0CC5" w:rsidRDefault="006C1D82" w:rsidP="001211F2">
      <w:pPr>
        <w:pStyle w:val="Figuretitle"/>
        <w:rPr>
          <w:lang w:val="en-US" w:eastAsia="zh-CN"/>
        </w:rPr>
      </w:pPr>
      <w:r w:rsidRPr="00BA0CC5">
        <w:rPr>
          <w:lang w:val="en-US" w:eastAsia="zh-CN"/>
        </w:rPr>
        <w:t>Statistical data on the processing of frequency assignment notices for space services</w:t>
      </w:r>
      <w:r w:rsidRPr="00BA0CC5">
        <w:rPr>
          <w:lang w:val="en-US" w:eastAsia="zh-CN"/>
        </w:rPr>
        <w:br/>
        <w:t>during the period 2015-2016</w:t>
      </w:r>
    </w:p>
    <w:p w:rsidR="006C1D82" w:rsidRPr="00BA0CC5" w:rsidRDefault="006C1D82" w:rsidP="00DE7CE7">
      <w:pPr>
        <w:pStyle w:val="Figurelegend"/>
        <w:jc w:val="right"/>
        <w:rPr>
          <w:b/>
          <w:bCs/>
          <w:lang w:val="en-US" w:eastAsia="zh-CN"/>
        </w:rPr>
      </w:pPr>
      <w:r w:rsidRPr="00BA0CC5">
        <w:rPr>
          <w:b/>
          <w:bCs/>
          <w:lang w:val="en-US" w:eastAsia="zh-CN"/>
        </w:rPr>
        <w:t>Months</w:t>
      </w:r>
    </w:p>
    <w:p w:rsidR="006C1D82" w:rsidRPr="00BA0CC5" w:rsidRDefault="006C1D82" w:rsidP="00DE7CE7">
      <w:pPr>
        <w:jc w:val="center"/>
        <w:rPr>
          <w:lang w:val="en-US" w:eastAsia="zh-CN"/>
        </w:rPr>
      </w:pPr>
      <w:r w:rsidRPr="00BA0CC5">
        <w:rPr>
          <w:noProof/>
          <w:lang w:val="en-US" w:eastAsia="zh-CN"/>
        </w:rPr>
        <w:drawing>
          <wp:inline distT="0" distB="0" distL="0" distR="0" wp14:anchorId="47215262" wp14:editId="64626040">
            <wp:extent cx="6096000" cy="32194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6C1D82" w:rsidRPr="00BA0CC5" w:rsidRDefault="006C1D82" w:rsidP="00DE7CE7">
      <w:pPr>
        <w:pStyle w:val="Figurelegend"/>
        <w:keepNext w:val="0"/>
        <w:jc w:val="center"/>
        <w:rPr>
          <w:b/>
          <w:lang w:val="en-US" w:eastAsia="zh-CN"/>
        </w:rPr>
      </w:pPr>
      <w:r w:rsidRPr="00BA0CC5">
        <w:rPr>
          <w:lang w:val="en-US" w:eastAsia="zh-CN"/>
        </w:rPr>
        <w:t xml:space="preserve">Regulatory time limit under No. </w:t>
      </w:r>
      <w:r w:rsidRPr="00BA0CC5">
        <w:rPr>
          <w:b/>
          <w:bCs/>
          <w:lang w:val="en-US" w:eastAsia="zh-CN"/>
        </w:rPr>
        <w:t xml:space="preserve">9.38 </w:t>
      </w:r>
      <w:r w:rsidRPr="00BA0CC5">
        <w:rPr>
          <w:lang w:val="en-US" w:eastAsia="zh-CN"/>
        </w:rPr>
        <w:t>of the Radio Regulations: four months</w:t>
      </w:r>
    </w:p>
    <w:p w:rsidR="006C1D82" w:rsidRPr="00BA0CC5" w:rsidRDefault="006C1D82" w:rsidP="001211F2">
      <w:pPr>
        <w:pStyle w:val="FigureNo"/>
        <w:rPr>
          <w:lang w:val="en-US" w:eastAsia="zh-CN"/>
        </w:rPr>
      </w:pPr>
      <w:r w:rsidRPr="00BA0CC5">
        <w:rPr>
          <w:lang w:val="en-US" w:eastAsia="zh-CN"/>
        </w:rPr>
        <w:lastRenderedPageBreak/>
        <w:t>Figure 5</w:t>
      </w:r>
    </w:p>
    <w:p w:rsidR="006C1D82" w:rsidRPr="00BA0CC5" w:rsidRDefault="006C1D82" w:rsidP="001211F2">
      <w:pPr>
        <w:pStyle w:val="Figuretitle"/>
        <w:rPr>
          <w:lang w:val="en-US" w:eastAsia="zh-CN"/>
        </w:rPr>
      </w:pPr>
      <w:r w:rsidRPr="00BA0CC5">
        <w:rPr>
          <w:lang w:val="en-US" w:eastAsia="zh-CN"/>
        </w:rPr>
        <w:t>Statistical data on the processing of frequency assignment notices for space services</w:t>
      </w:r>
      <w:r w:rsidRPr="00BA0CC5">
        <w:rPr>
          <w:lang w:val="en-US" w:eastAsia="zh-CN"/>
        </w:rPr>
        <w:br/>
        <w:t>during the period 2007-2008</w:t>
      </w:r>
    </w:p>
    <w:p w:rsidR="006C1D82" w:rsidRPr="00BA0CC5" w:rsidRDefault="006C1D82" w:rsidP="00DE7CE7">
      <w:pPr>
        <w:pStyle w:val="Figurelegend"/>
        <w:jc w:val="right"/>
        <w:rPr>
          <w:b/>
          <w:lang w:val="en-US" w:eastAsia="zh-CN"/>
        </w:rPr>
      </w:pPr>
      <w:r w:rsidRPr="00BA0CC5">
        <w:rPr>
          <w:b/>
          <w:bCs/>
          <w:lang w:val="en-US" w:eastAsia="zh-CN"/>
        </w:rPr>
        <w:t>Months</w:t>
      </w:r>
    </w:p>
    <w:p w:rsidR="006C1D82" w:rsidRPr="00BA0CC5" w:rsidRDefault="006C1D82" w:rsidP="00DE7CE7">
      <w:pPr>
        <w:jc w:val="center"/>
        <w:rPr>
          <w:lang w:val="en-US" w:eastAsia="zh-CN"/>
        </w:rPr>
      </w:pPr>
      <w:r w:rsidRPr="00BA0CC5">
        <w:rPr>
          <w:noProof/>
          <w:lang w:val="en-US" w:eastAsia="zh-CN"/>
        </w:rPr>
        <w:drawing>
          <wp:inline distT="0" distB="0" distL="0" distR="0" wp14:anchorId="2D13719C" wp14:editId="5DFA38E6">
            <wp:extent cx="5734050" cy="31146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6C1D82" w:rsidRPr="00BA0CC5" w:rsidRDefault="006C1D82" w:rsidP="00DE7CE7">
      <w:pPr>
        <w:pStyle w:val="Figurelegend"/>
        <w:keepNext w:val="0"/>
        <w:jc w:val="center"/>
        <w:rPr>
          <w:lang w:val="en-US" w:eastAsia="zh-CN"/>
        </w:rPr>
      </w:pPr>
      <w:r w:rsidRPr="00BA0CC5">
        <w:rPr>
          <w:lang w:val="en-US" w:eastAsia="zh-CN"/>
        </w:rPr>
        <w:t xml:space="preserve">Regulatory time limit under No. </w:t>
      </w:r>
      <w:r w:rsidRPr="00BA0CC5">
        <w:rPr>
          <w:b/>
          <w:bCs/>
          <w:lang w:val="en-US" w:eastAsia="zh-CN"/>
        </w:rPr>
        <w:t xml:space="preserve">9.38 </w:t>
      </w:r>
      <w:r w:rsidRPr="00BA0CC5">
        <w:rPr>
          <w:lang w:val="en-US" w:eastAsia="zh-CN"/>
        </w:rPr>
        <w:t>of the Radio Regulations: four months</w:t>
      </w:r>
    </w:p>
    <w:p w:rsidR="006C1D82" w:rsidRPr="00BA0CC5" w:rsidRDefault="006C1D82" w:rsidP="001211F2">
      <w:pPr>
        <w:pStyle w:val="Heading1"/>
        <w:rPr>
          <w:lang w:val="en-US" w:eastAsia="zh-CN"/>
        </w:rPr>
      </w:pPr>
      <w:r w:rsidRPr="00BA0CC5">
        <w:rPr>
          <w:lang w:val="en-US" w:eastAsia="zh-CN"/>
        </w:rPr>
        <w:t>3</w:t>
      </w:r>
      <w:r w:rsidRPr="00BA0CC5">
        <w:rPr>
          <w:lang w:val="en-US" w:eastAsia="zh-CN"/>
        </w:rPr>
        <w:tab/>
        <w:t>Conclusions</w:t>
      </w:r>
    </w:p>
    <w:p w:rsidR="006C1D82" w:rsidRPr="00BA0CC5" w:rsidRDefault="006C1D82" w:rsidP="008C5D7D">
      <w:pPr>
        <w:rPr>
          <w:lang w:val="en-US"/>
        </w:rPr>
      </w:pPr>
      <w:r w:rsidRPr="00BA0CC5">
        <w:rPr>
          <w:lang w:val="en-US"/>
        </w:rPr>
        <w:t>The analysis carried out shows that the problems identified above are due in large measure to a reduction in the financial and human resources made available to the Radiocommunication Sector in recent years (including a steep reduction in BR</w:t>
      </w:r>
      <w:r w:rsidR="001211F2" w:rsidRPr="00BA0CC5">
        <w:rPr>
          <w:lang w:val="en-US"/>
        </w:rPr>
        <w:t>'</w:t>
      </w:r>
      <w:r w:rsidRPr="00BA0CC5">
        <w:rPr>
          <w:lang w:val="en-US"/>
        </w:rPr>
        <w:t>s workforce), such that urgent measures are needed in order to cope with the increasingly complex tasks.</w:t>
      </w:r>
    </w:p>
    <w:p w:rsidR="006C1D82" w:rsidRPr="00BA0CC5" w:rsidRDefault="006C1D82" w:rsidP="0059739D">
      <w:pPr>
        <w:rPr>
          <w:lang w:val="en-US"/>
        </w:rPr>
      </w:pPr>
      <w:r w:rsidRPr="00BA0CC5">
        <w:rPr>
          <w:lang w:val="en-US"/>
        </w:rPr>
        <w:t>In our opinion, in order to ensure the stability of the work of the Radiocommunication Sector, when drawing up the 2018</w:t>
      </w:r>
      <w:r w:rsidRPr="00BA0CC5">
        <w:rPr>
          <w:lang w:val="en-US"/>
        </w:rPr>
        <w:noBreakHyphen/>
        <w:t>2019 budget for ITU-R, we should be guided by the 2014</w:t>
      </w:r>
      <w:r w:rsidRPr="00BA0CC5">
        <w:rPr>
          <w:lang w:val="en-US"/>
        </w:rPr>
        <w:noBreakHyphen/>
        <w:t>2015 budget; the Radiocommunication Sector</w:t>
      </w:r>
      <w:r w:rsidR="001211F2" w:rsidRPr="00BA0CC5">
        <w:rPr>
          <w:lang w:val="en-US"/>
        </w:rPr>
        <w:t>'</w:t>
      </w:r>
      <w:r w:rsidRPr="00BA0CC5">
        <w:rPr>
          <w:lang w:val="en-US"/>
        </w:rPr>
        <w:t>s budget for 2014</w:t>
      </w:r>
      <w:r w:rsidRPr="00BA0CC5">
        <w:rPr>
          <w:lang w:val="en-US"/>
        </w:rPr>
        <w:noBreakHyphen/>
        <w:t>2015 was CHF 62 202 000.</w:t>
      </w:r>
    </w:p>
    <w:p w:rsidR="006C1D82" w:rsidRPr="00BA0CC5" w:rsidRDefault="006C1D82" w:rsidP="001211F2">
      <w:pPr>
        <w:pStyle w:val="Heading1"/>
        <w:rPr>
          <w:lang w:val="en-US"/>
        </w:rPr>
      </w:pPr>
      <w:r w:rsidRPr="00BA0CC5">
        <w:rPr>
          <w:lang w:val="en-US"/>
        </w:rPr>
        <w:t>4</w:t>
      </w:r>
      <w:r w:rsidRPr="00BA0CC5">
        <w:rPr>
          <w:lang w:val="en-US"/>
        </w:rPr>
        <w:tab/>
        <w:t>Proposals for the Council</w:t>
      </w:r>
    </w:p>
    <w:p w:rsidR="006C1D82" w:rsidRPr="00BA0CC5" w:rsidRDefault="006C1D82" w:rsidP="001211F2">
      <w:pPr>
        <w:keepNext/>
        <w:rPr>
          <w:color w:val="000000"/>
          <w:lang w:val="en-US"/>
        </w:rPr>
      </w:pPr>
      <w:r w:rsidRPr="00BA0CC5">
        <w:rPr>
          <w:lang w:val="en-US"/>
        </w:rPr>
        <w:t xml:space="preserve">Bearing in mind the great importance of the activities of the Radiocommunication Sector for all ITU Member States (both developing and developed), Sector Members, communication operators and manufacturers of radiocommunication equipment, its crucial role in promoting more efficient use of spectrum and satellite orbits, its role in implementing the </w:t>
      </w:r>
      <w:r w:rsidR="001211F2" w:rsidRPr="00BA0CC5">
        <w:rPr>
          <w:lang w:val="en-US"/>
        </w:rPr>
        <w:t>"</w:t>
      </w:r>
      <w:r w:rsidRPr="00BA0CC5">
        <w:rPr>
          <w:color w:val="000000"/>
          <w:lang w:val="en-US"/>
        </w:rPr>
        <w:t>Connect 2020</w:t>
      </w:r>
      <w:r w:rsidR="001211F2" w:rsidRPr="00BA0CC5">
        <w:rPr>
          <w:color w:val="000000"/>
          <w:lang w:val="en-US"/>
        </w:rPr>
        <w:t>"</w:t>
      </w:r>
      <w:r w:rsidRPr="00BA0CC5">
        <w:rPr>
          <w:color w:val="000000"/>
          <w:lang w:val="en-US"/>
        </w:rPr>
        <w:t xml:space="preserve"> Agenda for Global Telecommunication/ICT Development and in developing fifth</w:t>
      </w:r>
      <w:r w:rsidR="001211F2" w:rsidRPr="00BA0CC5">
        <w:rPr>
          <w:color w:val="000000"/>
          <w:lang w:val="en-US"/>
        </w:rPr>
        <w:t>-</w:t>
      </w:r>
      <w:r w:rsidRPr="00BA0CC5">
        <w:rPr>
          <w:color w:val="000000"/>
          <w:lang w:val="en-US"/>
        </w:rPr>
        <w:t xml:space="preserve">generation mobile </w:t>
      </w:r>
      <w:r w:rsidRPr="00BA0CC5">
        <w:rPr>
          <w:color w:val="000000"/>
          <w:lang w:val="en-US"/>
        </w:rPr>
        <w:lastRenderedPageBreak/>
        <w:t>communication standards for the enhanced future development and use of mobile radiocommunciation systems, and so on, the Council is requested to:</w:t>
      </w:r>
    </w:p>
    <w:p w:rsidR="006C1D82" w:rsidRPr="00BA0CC5" w:rsidRDefault="001211F2" w:rsidP="001211F2">
      <w:pPr>
        <w:pStyle w:val="enumlev1"/>
        <w:rPr>
          <w:lang w:val="en-US"/>
        </w:rPr>
      </w:pPr>
      <w:r w:rsidRPr="00BA0CC5">
        <w:rPr>
          <w:lang w:val="en-US"/>
        </w:rPr>
        <w:t>1)</w:t>
      </w:r>
      <w:r w:rsidRPr="00BA0CC5">
        <w:rPr>
          <w:lang w:val="en-US"/>
        </w:rPr>
        <w:tab/>
      </w:r>
      <w:r w:rsidR="006C1D82" w:rsidRPr="00BA0CC5">
        <w:rPr>
          <w:lang w:val="en-US"/>
        </w:rPr>
        <w:t>Amend the draft budget 2018</w:t>
      </w:r>
      <w:r w:rsidR="006C1D82" w:rsidRPr="00BA0CC5">
        <w:rPr>
          <w:lang w:val="en-US"/>
        </w:rPr>
        <w:noBreakHyphen/>
        <w:t>2019 with a view to increasing ITU-R</w:t>
      </w:r>
      <w:r w:rsidRPr="00BA0CC5">
        <w:rPr>
          <w:lang w:val="en-US"/>
        </w:rPr>
        <w:t>'</w:t>
      </w:r>
      <w:r w:rsidR="006C1D82" w:rsidRPr="00BA0CC5">
        <w:rPr>
          <w:lang w:val="en-US"/>
        </w:rPr>
        <w:t>s budget, which will eliminate the existing imbalance between the volume of tasks dealt with by the Radiocommunication Sector and the resources made available for dealing with those tasks.</w:t>
      </w:r>
    </w:p>
    <w:p w:rsidR="006C1D82" w:rsidRPr="00BA0CC5" w:rsidRDefault="001211F2" w:rsidP="001211F2">
      <w:pPr>
        <w:pStyle w:val="enumlev1"/>
        <w:rPr>
          <w:lang w:val="en-US"/>
        </w:rPr>
      </w:pPr>
      <w:r w:rsidRPr="00BA0CC5">
        <w:rPr>
          <w:lang w:val="en-US"/>
        </w:rPr>
        <w:t>2)</w:t>
      </w:r>
      <w:r w:rsidRPr="00BA0CC5">
        <w:rPr>
          <w:lang w:val="en-US"/>
        </w:rPr>
        <w:tab/>
      </w:r>
      <w:r w:rsidR="006C1D82" w:rsidRPr="00BA0CC5">
        <w:rPr>
          <w:lang w:val="en-US"/>
        </w:rPr>
        <w:t xml:space="preserve">Instruct the Director of the Radiocommunication Bureau to adopt urgent measures to restore staffing levels </w:t>
      </w:r>
      <w:r w:rsidRPr="00BA0CC5">
        <w:rPr>
          <w:lang w:val="en-US"/>
        </w:rPr>
        <w:t>in</w:t>
      </w:r>
      <w:r w:rsidR="006C1D82" w:rsidRPr="00BA0CC5">
        <w:rPr>
          <w:lang w:val="en-US"/>
        </w:rPr>
        <w:t xml:space="preserve"> the Radiocommunication Bureau </w:t>
      </w:r>
      <w:r w:rsidRPr="00BA0CC5">
        <w:rPr>
          <w:lang w:val="en-US"/>
        </w:rPr>
        <w:t xml:space="preserve">to </w:t>
      </w:r>
      <w:r w:rsidR="006C1D82" w:rsidRPr="00BA0CC5">
        <w:rPr>
          <w:lang w:val="en-US"/>
        </w:rPr>
        <w:t xml:space="preserve">the level needed for BR to carry out its </w:t>
      </w:r>
      <w:r w:rsidRPr="00BA0CC5">
        <w:rPr>
          <w:lang w:val="en-US"/>
        </w:rPr>
        <w:t xml:space="preserve">mandate </w:t>
      </w:r>
      <w:r w:rsidR="006C1D82" w:rsidRPr="00BA0CC5">
        <w:rPr>
          <w:lang w:val="en-US"/>
        </w:rPr>
        <w:t>in full.</w:t>
      </w:r>
    </w:p>
    <w:p w:rsidR="006C1D82" w:rsidRPr="00BA0CC5" w:rsidRDefault="001211F2" w:rsidP="001211F2">
      <w:pPr>
        <w:pStyle w:val="enumlev1"/>
        <w:rPr>
          <w:lang w:val="en-US"/>
        </w:rPr>
      </w:pPr>
      <w:r w:rsidRPr="00BA0CC5">
        <w:rPr>
          <w:lang w:val="en-US"/>
        </w:rPr>
        <w:t>3)</w:t>
      </w:r>
      <w:r w:rsidRPr="00BA0CC5">
        <w:rPr>
          <w:lang w:val="en-US"/>
        </w:rPr>
        <w:tab/>
      </w:r>
      <w:r w:rsidR="006C1D82" w:rsidRPr="00BA0CC5">
        <w:rPr>
          <w:lang w:val="en-US"/>
        </w:rPr>
        <w:t>Instruct the Director of the Radiocommunication Bureau to adopt measures to eliminate delays in the processing of frequency assignment filings.</w:t>
      </w:r>
    </w:p>
    <w:p w:rsidR="006C1D82" w:rsidRPr="00BA0CC5" w:rsidRDefault="001211F2" w:rsidP="001211F2">
      <w:pPr>
        <w:pStyle w:val="enumlev1"/>
        <w:rPr>
          <w:lang w:val="en-US"/>
        </w:rPr>
      </w:pPr>
      <w:r w:rsidRPr="00BA0CC5">
        <w:rPr>
          <w:lang w:val="en-US"/>
        </w:rPr>
        <w:t>4)</w:t>
      </w:r>
      <w:r w:rsidRPr="00BA0CC5">
        <w:rPr>
          <w:lang w:val="en-US"/>
        </w:rPr>
        <w:tab/>
      </w:r>
      <w:r w:rsidR="006C1D82" w:rsidRPr="00BA0CC5">
        <w:rPr>
          <w:lang w:val="en-US"/>
        </w:rPr>
        <w:t xml:space="preserve">Instruct the Director of the Radiocommunication Bureau to report on the measures adopted and the results at the 2018 session of the Council with a view to subsequent submission </w:t>
      </w:r>
      <w:r w:rsidRPr="00BA0CC5">
        <w:rPr>
          <w:lang w:val="en-US"/>
        </w:rPr>
        <w:t xml:space="preserve">to </w:t>
      </w:r>
      <w:r w:rsidR="006C1D82" w:rsidRPr="00BA0CC5">
        <w:rPr>
          <w:lang w:val="en-US"/>
        </w:rPr>
        <w:t>the Plenipotentiary Conference in 2018.</w:t>
      </w:r>
    </w:p>
    <w:p w:rsidR="001211F2" w:rsidRPr="00BA0CC5" w:rsidRDefault="001211F2" w:rsidP="001211F2">
      <w:pPr>
        <w:pStyle w:val="enumlev1"/>
        <w:rPr>
          <w:lang w:val="en-US"/>
        </w:rPr>
      </w:pPr>
    </w:p>
    <w:p w:rsidR="001211F2" w:rsidRPr="00BA0CC5" w:rsidRDefault="001211F2" w:rsidP="0032202E">
      <w:pPr>
        <w:pStyle w:val="Reasons"/>
        <w:rPr>
          <w:lang w:val="en-US"/>
        </w:rPr>
      </w:pPr>
    </w:p>
    <w:p w:rsidR="001211F2" w:rsidRPr="00BA0CC5" w:rsidRDefault="001211F2">
      <w:pPr>
        <w:jc w:val="center"/>
        <w:rPr>
          <w:lang w:val="en-US"/>
        </w:rPr>
      </w:pPr>
      <w:r w:rsidRPr="00BA0CC5">
        <w:rPr>
          <w:lang w:val="en-US"/>
        </w:rPr>
        <w:t>______________</w:t>
      </w:r>
    </w:p>
    <w:p w:rsidR="00264425" w:rsidRPr="00BA0CC5" w:rsidRDefault="00264425" w:rsidP="00DB384B">
      <w:pPr>
        <w:rPr>
          <w:lang w:val="en-US"/>
        </w:rPr>
      </w:pPr>
    </w:p>
    <w:sectPr w:rsidR="00264425" w:rsidRPr="00BA0CC5" w:rsidSect="004D1851">
      <w:headerReference w:type="default" r:id="rId63"/>
      <w:footerReference w:type="default" r:id="rId64"/>
      <w:footerReference w:type="first" r:id="rId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7C5" w:rsidRDefault="00E627C5">
      <w:r>
        <w:separator/>
      </w:r>
    </w:p>
  </w:endnote>
  <w:endnote w:type="continuationSeparator" w:id="0">
    <w:p w:rsidR="00E627C5" w:rsidRDefault="00E6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6C1D82" w:rsidRDefault="00BA0CC5">
    <w:pPr>
      <w:pStyle w:val="Footer"/>
      <w:rPr>
        <w:lang w:val="fr-CH"/>
      </w:rPr>
    </w:pPr>
    <w:r>
      <w:fldChar w:fldCharType="begin"/>
    </w:r>
    <w:r w:rsidRPr="006C1D82">
      <w:rPr>
        <w:lang w:val="fr-CH"/>
      </w:rPr>
      <w:instrText xml:space="preserve"> FILENAME \p  \* MERGEFORMAT </w:instrText>
    </w:r>
    <w:r>
      <w:fldChar w:fldCharType="separate"/>
    </w:r>
    <w:r w:rsidR="006C1D82" w:rsidRPr="006C1D82">
      <w:rPr>
        <w:lang w:val="fr-CH"/>
      </w:rPr>
      <w:t>P:\ENG\SG\CONSEIL\C17\000\080E.docx</w:t>
    </w:r>
    <w:r>
      <w:fldChar w:fldCharType="end"/>
    </w:r>
    <w:r w:rsidR="006C1D82" w:rsidRPr="006C1D82">
      <w:rPr>
        <w:lang w:val="fr-CH"/>
      </w:rPr>
      <w:t xml:space="preserve"> (417444)</w:t>
    </w:r>
    <w:r w:rsidR="00CB18FF" w:rsidRPr="006C1D82">
      <w:rPr>
        <w:lang w:val="fr-CH"/>
      </w:rPr>
      <w:tab/>
    </w:r>
    <w:r w:rsidR="00864AFF">
      <w:fldChar w:fldCharType="begin"/>
    </w:r>
    <w:r w:rsidR="00CB18FF">
      <w:instrText xml:space="preserve"> SAVEDATE \@ DD.MM.YY </w:instrText>
    </w:r>
    <w:r w:rsidR="00864AFF">
      <w:fldChar w:fldCharType="separate"/>
    </w:r>
    <w:r w:rsidR="000A5A92">
      <w:t>02.05.17</w:t>
    </w:r>
    <w:r w:rsidR="00864AFF">
      <w:fldChar w:fldCharType="end"/>
    </w:r>
    <w:r w:rsidR="00CB18FF" w:rsidRPr="006C1D82">
      <w:rPr>
        <w:lang w:val="fr-CH"/>
      </w:rPr>
      <w:tab/>
    </w:r>
    <w:r w:rsidR="00864AFF">
      <w:fldChar w:fldCharType="begin"/>
    </w:r>
    <w:r w:rsidR="00CB18FF">
      <w:instrText xml:space="preserve"> PRINTDATE \@ DD.MM.YY </w:instrText>
    </w:r>
    <w:r w:rsidR="00864AFF">
      <w:fldChar w:fldCharType="separate"/>
    </w:r>
    <w:r w:rsidR="006C1D82">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6C1D82" w:rsidRDefault="00BA0CC5">
    <w:pPr>
      <w:pStyle w:val="Footer"/>
      <w:rPr>
        <w:lang w:val="fr-CH"/>
      </w:rPr>
    </w:pPr>
    <w:r>
      <w:fldChar w:fldCharType="begin"/>
    </w:r>
    <w:r w:rsidRPr="006C1D82">
      <w:rPr>
        <w:lang w:val="fr-CH"/>
      </w:rPr>
      <w:instrText xml:space="preserve"> FILENAME \p  \* MERGEFORMAT </w:instrText>
    </w:r>
    <w:r>
      <w:fldChar w:fldCharType="separate"/>
    </w:r>
    <w:r w:rsidR="006C1D82" w:rsidRPr="006C1D82">
      <w:rPr>
        <w:lang w:val="fr-CH"/>
      </w:rPr>
      <w:t>P:\ENG\SG\CONSEIL\C17\000\080E.docx</w:t>
    </w:r>
    <w:r>
      <w:fldChar w:fldCharType="end"/>
    </w:r>
    <w:r w:rsidR="006C1D82" w:rsidRPr="006C1D82">
      <w:rPr>
        <w:lang w:val="fr-CH"/>
      </w:rPr>
      <w:t xml:space="preserve"> (417444)</w:t>
    </w:r>
    <w:r w:rsidR="00322D0D" w:rsidRPr="006C1D82">
      <w:rPr>
        <w:lang w:val="fr-CH"/>
      </w:rPr>
      <w:tab/>
    </w:r>
    <w:r w:rsidR="00864AFF">
      <w:fldChar w:fldCharType="begin"/>
    </w:r>
    <w:r w:rsidR="00322D0D">
      <w:instrText xml:space="preserve"> SAVEDATE \@ DD.MM.YY </w:instrText>
    </w:r>
    <w:r w:rsidR="00864AFF">
      <w:fldChar w:fldCharType="separate"/>
    </w:r>
    <w:r w:rsidR="000A5A92">
      <w:t>02.05.17</w:t>
    </w:r>
    <w:r w:rsidR="00864AFF">
      <w:fldChar w:fldCharType="end"/>
    </w:r>
    <w:r w:rsidR="00322D0D" w:rsidRPr="006C1D82">
      <w:rPr>
        <w:lang w:val="fr-CH"/>
      </w:rPr>
      <w:tab/>
    </w:r>
    <w:r w:rsidR="00864AFF">
      <w:fldChar w:fldCharType="begin"/>
    </w:r>
    <w:r w:rsidR="00322D0D">
      <w:instrText xml:space="preserve"> PRINTDATE \@ DD.MM.YY </w:instrText>
    </w:r>
    <w:r w:rsidR="00864AFF">
      <w:fldChar w:fldCharType="separate"/>
    </w:r>
    <w:r w:rsidR="006C1D82">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7C5" w:rsidRDefault="00E627C5">
      <w:r>
        <w:t>____________________</w:t>
      </w:r>
    </w:p>
  </w:footnote>
  <w:footnote w:type="continuationSeparator" w:id="0">
    <w:p w:rsidR="00E627C5" w:rsidRDefault="00E627C5">
      <w:r>
        <w:continuationSeparator/>
      </w:r>
    </w:p>
  </w:footnote>
  <w:footnote w:id="1">
    <w:p w:rsidR="006C1D82" w:rsidRPr="009366DE" w:rsidRDefault="006C1D82" w:rsidP="00DE7CE7">
      <w:pPr>
        <w:pStyle w:val="FootnoteText"/>
        <w:rPr>
          <w:lang w:val="en-US"/>
        </w:rPr>
      </w:pPr>
      <w:r w:rsidRPr="00D12278">
        <w:rPr>
          <w:rStyle w:val="FootnoteReference"/>
          <w:rFonts w:asciiTheme="majorBidi" w:hAnsiTheme="majorBidi" w:cstheme="majorBidi"/>
          <w:sz w:val="20"/>
          <w:lang w:val="en-US"/>
        </w:rPr>
        <w:footnoteRef/>
      </w:r>
      <w:r w:rsidRPr="009366DE">
        <w:rPr>
          <w:lang w:val="en-US"/>
        </w:rPr>
        <w:t xml:space="preserve"> </w:t>
      </w:r>
      <w:r>
        <w:rPr>
          <w:lang w:val="en-US"/>
        </w:rPr>
        <w:tab/>
      </w:r>
      <w:r w:rsidRPr="009366DE">
        <w:rPr>
          <w:lang w:val="en-US"/>
        </w:rPr>
        <w:t>CCIR – International Radio Consultative Committee. In 1992, it was integrated into the Radiocommunication Sector, while its secretariat became the Radiocommunication Bureau.</w:t>
      </w:r>
    </w:p>
  </w:footnote>
  <w:footnote w:id="2">
    <w:p w:rsidR="006C1D82" w:rsidRPr="009366DE" w:rsidRDefault="006C1D82" w:rsidP="00DE7CE7">
      <w:pPr>
        <w:pStyle w:val="FootnoteText"/>
        <w:rPr>
          <w:lang w:val="en-US"/>
        </w:rPr>
      </w:pPr>
      <w:r w:rsidRPr="00D12278">
        <w:rPr>
          <w:rStyle w:val="FootnoteReference"/>
          <w:rFonts w:asciiTheme="majorBidi" w:hAnsiTheme="majorBidi" w:cstheme="majorBidi"/>
          <w:sz w:val="20"/>
          <w:lang w:val="en-US"/>
        </w:rPr>
        <w:footnoteRef/>
      </w:r>
      <w:r w:rsidRPr="009366DE">
        <w:rPr>
          <w:lang w:val="en-US"/>
        </w:rPr>
        <w:t xml:space="preserve"> </w:t>
      </w:r>
      <w:r>
        <w:rPr>
          <w:lang w:val="en-US"/>
        </w:rPr>
        <w:tab/>
      </w:r>
      <w:r w:rsidRPr="009366DE">
        <w:rPr>
          <w:lang w:val="en-US"/>
        </w:rPr>
        <w:t>CCITT – International Telegraph and Telephone Consultative Committee. In 1992, it became the Telecommunication Standardization Sector, including the Telecommunication Standardization Bureau, formed on the basis of the CCITT secretariat.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924B55">
      <w:rPr>
        <w:noProof/>
      </w:rPr>
      <w:t>2</w:t>
    </w:r>
    <w:r>
      <w:rPr>
        <w:noProof/>
      </w:rPr>
      <w:fldChar w:fldCharType="end"/>
    </w:r>
  </w:p>
  <w:p w:rsidR="00322D0D" w:rsidRDefault="001211F2" w:rsidP="005243FF">
    <w:pPr>
      <w:pStyle w:val="Header"/>
    </w:pPr>
    <w:r>
      <w:t>C17/80</w:t>
    </w:r>
    <w:r w:rsidR="00FB4BED">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AE5CDC"/>
    <w:multiLevelType w:val="hybridMultilevel"/>
    <w:tmpl w:val="DE248BA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C5"/>
    <w:rsid w:val="000210D4"/>
    <w:rsid w:val="00063016"/>
    <w:rsid w:val="00066795"/>
    <w:rsid w:val="00076AF6"/>
    <w:rsid w:val="00085CF2"/>
    <w:rsid w:val="000A5A92"/>
    <w:rsid w:val="000B1705"/>
    <w:rsid w:val="000D75B2"/>
    <w:rsid w:val="001121F5"/>
    <w:rsid w:val="001211F2"/>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16EDA"/>
    <w:rsid w:val="00322D0D"/>
    <w:rsid w:val="003942D4"/>
    <w:rsid w:val="003958A8"/>
    <w:rsid w:val="00397E59"/>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6C1D82"/>
    <w:rsid w:val="00702DEF"/>
    <w:rsid w:val="00706861"/>
    <w:rsid w:val="0075051B"/>
    <w:rsid w:val="00781D2C"/>
    <w:rsid w:val="00794D34"/>
    <w:rsid w:val="00813E5E"/>
    <w:rsid w:val="0083581B"/>
    <w:rsid w:val="00864AFF"/>
    <w:rsid w:val="008B4A6A"/>
    <w:rsid w:val="008C7E27"/>
    <w:rsid w:val="009173EF"/>
    <w:rsid w:val="00924B55"/>
    <w:rsid w:val="00932906"/>
    <w:rsid w:val="00961B0B"/>
    <w:rsid w:val="009A21CA"/>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A0CC5"/>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627C5"/>
    <w:rsid w:val="00E854E4"/>
    <w:rsid w:val="00EB0D6F"/>
    <w:rsid w:val="00EB2232"/>
    <w:rsid w:val="00EC5337"/>
    <w:rsid w:val="00F2150A"/>
    <w:rsid w:val="00F231D8"/>
    <w:rsid w:val="00F46C5F"/>
    <w:rsid w:val="00F94A63"/>
    <w:rsid w:val="00FA1C28"/>
    <w:rsid w:val="00FB4BED"/>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7731FDF-6D8D-46BD-8B96-245A6181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6C1D82"/>
    <w:rPr>
      <w:rFonts w:ascii="Calibri" w:hAnsi="Calibri"/>
      <w:b/>
      <w:sz w:val="28"/>
      <w:lang w:val="en-GB" w:eastAsia="en-US"/>
    </w:rPr>
  </w:style>
  <w:style w:type="paragraph" w:customStyle="1" w:styleId="FigureNoBR">
    <w:name w:val="Figure_No_BR"/>
    <w:basedOn w:val="Normal"/>
    <w:next w:val="Normal"/>
    <w:rsid w:val="006C1D82"/>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iguretitleBR">
    <w:name w:val="Figure_title_BR"/>
    <w:basedOn w:val="Normal"/>
    <w:next w:val="Normal"/>
    <w:rsid w:val="006C1D82"/>
    <w:pPr>
      <w:keepLines/>
      <w:tabs>
        <w:tab w:val="clear" w:pos="567"/>
        <w:tab w:val="clear" w:pos="1134"/>
        <w:tab w:val="clear" w:pos="1701"/>
        <w:tab w:val="clear" w:pos="2268"/>
        <w:tab w:val="clear" w:pos="2835"/>
        <w:tab w:val="left" w:pos="794"/>
        <w:tab w:val="left" w:pos="1191"/>
        <w:tab w:val="left" w:pos="1588"/>
        <w:tab w:val="left" w:pos="1985"/>
      </w:tabs>
      <w:spacing w:before="0" w:after="480"/>
      <w:jc w:val="center"/>
    </w:pPr>
    <w:rPr>
      <w:rFonts w:ascii="Times New Roman" w:hAnsi="Times New Roman"/>
      <w:b/>
    </w:rPr>
  </w:style>
  <w:style w:type="paragraph" w:customStyle="1" w:styleId="TabletitleBR">
    <w:name w:val="Table_title_BR"/>
    <w:basedOn w:val="Normal"/>
    <w:next w:val="Normal"/>
    <w:rsid w:val="006C1D82"/>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TableNoBR">
    <w:name w:val="Table_No_BR"/>
    <w:basedOn w:val="Normal"/>
    <w:next w:val="TabletitleBR"/>
    <w:rsid w:val="006C1D82"/>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character" w:customStyle="1" w:styleId="Heading2Char">
    <w:name w:val="Heading 2 Char"/>
    <w:basedOn w:val="DefaultParagraphFont"/>
    <w:link w:val="Heading2"/>
    <w:uiPriority w:val="9"/>
    <w:rsid w:val="006C1D82"/>
    <w:rPr>
      <w:rFonts w:ascii="Calibri" w:hAnsi="Calibri"/>
      <w:b/>
      <w:sz w:val="24"/>
      <w:lang w:val="en-GB" w:eastAsia="en-US"/>
    </w:rPr>
  </w:style>
  <w:style w:type="character" w:customStyle="1" w:styleId="FootnoteTextChar">
    <w:name w:val="Footnote Text Char"/>
    <w:basedOn w:val="DefaultParagraphFont"/>
    <w:link w:val="FootnoteText"/>
    <w:rsid w:val="006C1D82"/>
    <w:rPr>
      <w:rFonts w:ascii="Calibri" w:hAnsi="Calibri"/>
      <w:sz w:val="24"/>
      <w:lang w:val="en-GB" w:eastAsia="en-US"/>
    </w:rPr>
  </w:style>
  <w:style w:type="table" w:styleId="TableGrid">
    <w:name w:val="Table Grid"/>
    <w:basedOn w:val="TableNormal"/>
    <w:rsid w:val="006C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D82"/>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R06-RRB.06.01-C-0003" TargetMode="External"/><Relationship Id="rId18" Type="http://schemas.openxmlformats.org/officeDocument/2006/relationships/hyperlink" Target="https://www.itu.int/md/meetingdoc.asp?lang=en&amp;parent=R17-RRB17.1-C-0008" TargetMode="External"/><Relationship Id="rId26" Type="http://schemas.openxmlformats.org/officeDocument/2006/relationships/hyperlink" Target="https://www.itu.int/md/meetingdoc.asp?lang=en&amp;parent=S04-CL-C-0022" TargetMode="External"/><Relationship Id="rId39" Type="http://schemas.openxmlformats.org/officeDocument/2006/relationships/hyperlink" Target="https://www.itu.int/md/meetingdoc.asp?lang=en&amp;parent=S09-CL-C-0010" TargetMode="External"/><Relationship Id="rId21" Type="http://schemas.openxmlformats.org/officeDocument/2006/relationships/hyperlink" Target="https://www.itu.int/md/meetingdoc.asp?lang=en&amp;parent=S10-CL-C-0031" TargetMode="External"/><Relationship Id="rId34" Type="http://schemas.openxmlformats.org/officeDocument/2006/relationships/hyperlink" Target="https://www.itu.int/md/meetingdoc.asp?lang=en&amp;parent=S05-CL-C-0010" TargetMode="External"/><Relationship Id="rId42" Type="http://schemas.openxmlformats.org/officeDocument/2006/relationships/hyperlink" Target="https://www.itu.int/md/meetingdoc.asp?lang=en&amp;parent=S17-CL-C-0010" TargetMode="External"/><Relationship Id="rId47" Type="http://schemas.openxmlformats.org/officeDocument/2006/relationships/hyperlink" Target="https://www.itu.int/md/meetingdoc.asp?lang=en&amp;parent=S17-CL-C-0010" TargetMode="External"/><Relationship Id="rId50" Type="http://schemas.openxmlformats.org/officeDocument/2006/relationships/chart" Target="charts/chart3.xml"/><Relationship Id="rId55" Type="http://schemas.openxmlformats.org/officeDocument/2006/relationships/hyperlink" Target="https://www.itu.int/md/meetingdoc.asp?lang=en&amp;parent=R17-RRB17.1-C-0003"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R16-RRB16.1-C-0005" TargetMode="External"/><Relationship Id="rId29" Type="http://schemas.openxmlformats.org/officeDocument/2006/relationships/hyperlink" Target="https://www.itu.int/md/meetingdoc.asp?lang=en&amp;parent=S17-CL-C-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7-CL-C-0010" TargetMode="External"/><Relationship Id="rId24" Type="http://schemas.openxmlformats.org/officeDocument/2006/relationships/hyperlink" Target="https://www.itu.int/md/meetingdoc.asp?lang=en&amp;parent=S02-CL-C-0013" TargetMode="External"/><Relationship Id="rId32" Type="http://schemas.openxmlformats.org/officeDocument/2006/relationships/chart" Target="charts/chart1.xml"/><Relationship Id="rId37" Type="http://schemas.openxmlformats.org/officeDocument/2006/relationships/hyperlink" Target="https://www.itu.int/md/meetingdoc.asp?lang=en&amp;parent=S07-CL-C-0010" TargetMode="External"/><Relationship Id="rId40" Type="http://schemas.openxmlformats.org/officeDocument/2006/relationships/hyperlink" Target="https://www.itu.int/md/meetingdoc.asp?lang=en&amp;parent=S17-CL-C-0010" TargetMode="External"/><Relationship Id="rId45" Type="http://schemas.openxmlformats.org/officeDocument/2006/relationships/hyperlink" Target="https://www.itu.int/md/meetingdoc.asp?lang=en&amp;parent=S17-CL-C-0010" TargetMode="External"/><Relationship Id="rId53" Type="http://schemas.openxmlformats.org/officeDocument/2006/relationships/hyperlink" Target="https://www.itu.int/md/meetingdoc.asp?lang=en&amp;parent=R15-RRB15.3-C-0004" TargetMode="External"/><Relationship Id="rId58" Type="http://schemas.openxmlformats.org/officeDocument/2006/relationships/hyperlink" Target="https://www.itu.int/md/meetingdoc.asp?lang=en&amp;parent=R06-RRB.06.01-C-000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meetingdoc.asp?lang=en&amp;parent=R15-RRB15.3-C-0004" TargetMode="External"/><Relationship Id="rId23" Type="http://schemas.openxmlformats.org/officeDocument/2006/relationships/hyperlink" Target="https://www.itu.int/md/meetingdoc.asp?lang=en&amp;parent=S13-CL-C-0010" TargetMode="External"/><Relationship Id="rId28" Type="http://schemas.openxmlformats.org/officeDocument/2006/relationships/hyperlink" Target="https://www.itu.int/md/meetingdoc.asp?lang=en&amp;parent=S06-CL-C-0026" TargetMode="External"/><Relationship Id="rId36" Type="http://schemas.openxmlformats.org/officeDocument/2006/relationships/hyperlink" Target="https://www.itu.int/md/meetingdoc.asp?lang=en&amp;parent=S07-CL-C-0010" TargetMode="External"/><Relationship Id="rId49" Type="http://schemas.openxmlformats.org/officeDocument/2006/relationships/hyperlink" Target="https://www.itu.int/md/meetingdoc.asp?lang=en&amp;parent=S17-CL-C-0010" TargetMode="External"/><Relationship Id="rId57" Type="http://schemas.openxmlformats.org/officeDocument/2006/relationships/hyperlink" Target="https://www.itu.int/md/meetingdoc.asp?lang=en&amp;parent=R07-RRB.07.3-C-0002" TargetMode="External"/><Relationship Id="rId61" Type="http://schemas.openxmlformats.org/officeDocument/2006/relationships/chart" Target="charts/chart4.xml"/><Relationship Id="rId10" Type="http://schemas.openxmlformats.org/officeDocument/2006/relationships/hyperlink" Target="https://www.itu.int/dms_pub/itu-s/md/17/clcwgfhrm7/inf/S17-CLCWGFHRM7-INF-0003!!PDF-E.pdf" TargetMode="External"/><Relationship Id="rId19" Type="http://schemas.openxmlformats.org/officeDocument/2006/relationships/hyperlink" Target="https://www.itu.int/md/meetingdoc.asp?lang=en&amp;parent=S17-CL-C-0010"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md/meetingdoc.asp?lang=en&amp;parent=S17-CL-C-0010" TargetMode="External"/><Relationship Id="rId52" Type="http://schemas.openxmlformats.org/officeDocument/2006/relationships/hyperlink" Target="https://www.itu.int/dms_pub/itu-s/md/17/clcwgfhrm7/inf/S17-CLCWGFHRM7-INF-0003!!PDF-E.pdf" TargetMode="External"/><Relationship Id="rId60" Type="http://schemas.openxmlformats.org/officeDocument/2006/relationships/hyperlink" Target="https://www.itu.int/md/meetingdoc.asp?lang=en&amp;parent=R17-RRB17.1-C-0008"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meetingdoc.asp?lang=en&amp;parent=S15-CL-C-0105" TargetMode="External"/><Relationship Id="rId14" Type="http://schemas.openxmlformats.org/officeDocument/2006/relationships/hyperlink" Target="https://www.itu.int/md/meetingdoc.asp?lang=en&amp;parent=R09-RRB.09-C-0001" TargetMode="External"/><Relationship Id="rId22" Type="http://schemas.openxmlformats.org/officeDocument/2006/relationships/hyperlink" Target="https://www.itu.int/itudoc/gs/council/c00/docs/11.html" TargetMode="External"/><Relationship Id="rId27" Type="http://schemas.openxmlformats.org/officeDocument/2006/relationships/hyperlink" Target="https://www.itu.int/md/meetingdoc.asp?lang=en&amp;parent=S17-CL-C-0010" TargetMode="External"/><Relationship Id="rId30" Type="http://schemas.openxmlformats.org/officeDocument/2006/relationships/hyperlink" Target="https://www.itu.int/md/meetingdoc.asp?lang=en&amp;parent=S08-CL-C-0007" TargetMode="External"/><Relationship Id="rId35" Type="http://schemas.openxmlformats.org/officeDocument/2006/relationships/hyperlink" Target="https://www.itu.int/md/meetingdoc.asp?lang=en&amp;parent=S05-CL-C-0010" TargetMode="External"/><Relationship Id="rId43" Type="http://schemas.openxmlformats.org/officeDocument/2006/relationships/hyperlink" Target="https://www.itu.int/md/meetingdoc.asp?lang=en&amp;parent=S17-CL-C-0010" TargetMode="External"/><Relationship Id="rId48" Type="http://schemas.openxmlformats.org/officeDocument/2006/relationships/hyperlink" Target="https://www.itu.int/md/meetingdoc.asp?lang=en&amp;parent=S17-CL-C-0010" TargetMode="External"/><Relationship Id="rId56" Type="http://schemas.openxmlformats.org/officeDocument/2006/relationships/hyperlink" Target="https://www.itu.int/ITU-R/go/space-statistics/en"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tu.int/md/meetingdoc.asp?lang=en&amp;parent=S15-CL-C-0105" TargetMode="External"/><Relationship Id="rId3" Type="http://schemas.openxmlformats.org/officeDocument/2006/relationships/styles" Target="styles.xml"/><Relationship Id="rId12" Type="http://schemas.openxmlformats.org/officeDocument/2006/relationships/hyperlink" Target="https://www.itu.int/md/meetingdoc.asp?lang=en&amp;parent=R07-RRB.07.3-C-0002" TargetMode="External"/><Relationship Id="rId17" Type="http://schemas.openxmlformats.org/officeDocument/2006/relationships/hyperlink" Target="https://www.itu.int/md/meetingdoc.asp?lang=en&amp;parent=R17-RRB17.1-C-0003" TargetMode="External"/><Relationship Id="rId25" Type="http://schemas.openxmlformats.org/officeDocument/2006/relationships/hyperlink" Target="https://www.itu.int/md/meetingdoc.asp?lang=en&amp;parent=S15-CL-C-0010" TargetMode="External"/><Relationship Id="rId33" Type="http://schemas.openxmlformats.org/officeDocument/2006/relationships/chart" Target="charts/chart2.xml"/><Relationship Id="rId38" Type="http://schemas.openxmlformats.org/officeDocument/2006/relationships/hyperlink" Target="https://www.itu.int/md/meetingdoc.asp?lang=en&amp;parent=S09-CL-C-0010" TargetMode="External"/><Relationship Id="rId46" Type="http://schemas.openxmlformats.org/officeDocument/2006/relationships/hyperlink" Target="https://www.itu.int/md/meetingdoc.asp?lang=en&amp;parent=S17-CL-C-0010" TargetMode="External"/><Relationship Id="rId59" Type="http://schemas.openxmlformats.org/officeDocument/2006/relationships/hyperlink" Target="https://www.itu.int/md/meetingdoc.asp?lang=en&amp;parent=R09-RRB.09-C-0001" TargetMode="External"/><Relationship Id="rId67" Type="http://schemas.openxmlformats.org/officeDocument/2006/relationships/theme" Target="theme/theme1.xml"/><Relationship Id="rId20" Type="http://schemas.openxmlformats.org/officeDocument/2006/relationships/hyperlink" Target="https://www.itu.int/itudoc/gs/council/c00/docs/11.html" TargetMode="External"/><Relationship Id="rId41" Type="http://schemas.openxmlformats.org/officeDocument/2006/relationships/hyperlink" Target="https://www.itu.int/md/meetingdoc.asp?lang=en&amp;parent=S17-CL-C-0010" TargetMode="External"/><Relationship Id="rId54" Type="http://schemas.openxmlformats.org/officeDocument/2006/relationships/hyperlink" Target="https://www.itu.int/md/meetingdoc.asp?lang=en&amp;parent=R16-RRB16.1-C-0005" TargetMode="External"/><Relationship Id="rId62" Type="http://schemas.openxmlformats.org/officeDocument/2006/relationships/chart" Target="charts/chart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597139528"/>
        <c:axId val="597137960"/>
      </c:barChart>
      <c:catAx>
        <c:axId val="597139528"/>
        <c:scaling>
          <c:orientation val="minMax"/>
        </c:scaling>
        <c:delete val="0"/>
        <c:axPos val="b"/>
        <c:numFmt formatCode="General" sourceLinked="0"/>
        <c:majorTickMark val="out"/>
        <c:minorTickMark val="none"/>
        <c:tickLblPos val="nextTo"/>
        <c:crossAx val="597137960"/>
        <c:crosses val="autoZero"/>
        <c:auto val="1"/>
        <c:lblAlgn val="ctr"/>
        <c:lblOffset val="100"/>
        <c:noMultiLvlLbl val="0"/>
      </c:catAx>
      <c:valAx>
        <c:axId val="597137960"/>
        <c:scaling>
          <c:orientation val="minMax"/>
          <c:min val="50000"/>
        </c:scaling>
        <c:delete val="0"/>
        <c:axPos val="l"/>
        <c:majorGridlines/>
        <c:numFmt formatCode="General" sourceLinked="1"/>
        <c:majorTickMark val="out"/>
        <c:minorTickMark val="none"/>
        <c:tickLblPos val="nextTo"/>
        <c:crossAx val="59713952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00"/>
              <a:t>Cost recovery for satellite filing</a:t>
            </a: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365482704"/>
        <c:axId val="365483488"/>
      </c:lineChart>
      <c:dateAx>
        <c:axId val="365482704"/>
        <c:scaling>
          <c:orientation val="minMax"/>
        </c:scaling>
        <c:delete val="0"/>
        <c:axPos val="b"/>
        <c:numFmt formatCode="General" sourceLinked="1"/>
        <c:majorTickMark val="out"/>
        <c:minorTickMark val="none"/>
        <c:tickLblPos val="nextTo"/>
        <c:crossAx val="365483488"/>
        <c:crosses val="autoZero"/>
        <c:auto val="0"/>
        <c:lblOffset val="100"/>
        <c:baseTimeUnit val="days"/>
      </c:dateAx>
      <c:valAx>
        <c:axId val="365483488"/>
        <c:scaling>
          <c:orientation val="minMax"/>
          <c:max val="29000"/>
          <c:min val="10000"/>
        </c:scaling>
        <c:delete val="0"/>
        <c:axPos val="l"/>
        <c:majorGridlines/>
        <c:numFmt formatCode="General" sourceLinked="1"/>
        <c:majorTickMark val="out"/>
        <c:minorTickMark val="none"/>
        <c:tickLblPos val="nextTo"/>
        <c:crossAx val="365482704"/>
        <c:crosses val="autoZero"/>
        <c:crossBetween val="midCat"/>
        <c:majorUnit val="2000"/>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363585784"/>
        <c:axId val="363585392"/>
      </c:lineChart>
      <c:catAx>
        <c:axId val="363585784"/>
        <c:scaling>
          <c:orientation val="minMax"/>
        </c:scaling>
        <c:delete val="0"/>
        <c:axPos val="b"/>
        <c:numFmt formatCode="General" sourceLinked="1"/>
        <c:majorTickMark val="out"/>
        <c:minorTickMark val="none"/>
        <c:tickLblPos val="nextTo"/>
        <c:crossAx val="363585392"/>
        <c:crosses val="autoZero"/>
        <c:auto val="1"/>
        <c:lblAlgn val="ctr"/>
        <c:lblOffset val="100"/>
        <c:noMultiLvlLbl val="0"/>
      </c:catAx>
      <c:valAx>
        <c:axId val="363585392"/>
        <c:scaling>
          <c:orientation val="minMax"/>
          <c:max val="190"/>
          <c:min val="40"/>
        </c:scaling>
        <c:delete val="0"/>
        <c:axPos val="l"/>
        <c:majorGridlines/>
        <c:numFmt formatCode="General" sourceLinked="1"/>
        <c:majorTickMark val="out"/>
        <c:minorTickMark val="none"/>
        <c:tickLblPos val="nextTo"/>
        <c:crossAx val="363585784"/>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141959304"/>
        <c:axId val="141960480"/>
      </c:lineChart>
      <c:catAx>
        <c:axId val="141959304"/>
        <c:scaling>
          <c:orientation val="minMax"/>
        </c:scaling>
        <c:delete val="0"/>
        <c:axPos val="b"/>
        <c:numFmt formatCode="General" sourceLinked="0"/>
        <c:majorTickMark val="out"/>
        <c:minorTickMark val="none"/>
        <c:tickLblPos val="nextTo"/>
        <c:crossAx val="141960480"/>
        <c:crosses val="autoZero"/>
        <c:auto val="1"/>
        <c:lblAlgn val="ctr"/>
        <c:lblOffset val="100"/>
        <c:noMultiLvlLbl val="0"/>
      </c:catAx>
      <c:valAx>
        <c:axId val="141960480"/>
        <c:scaling>
          <c:orientation val="minMax"/>
          <c:max val="10"/>
          <c:min val="2"/>
        </c:scaling>
        <c:delete val="0"/>
        <c:axPos val="l"/>
        <c:majorGridlines/>
        <c:numFmt formatCode="General" sourceLinked="1"/>
        <c:majorTickMark val="out"/>
        <c:minorTickMark val="none"/>
        <c:tickLblPos val="nextTo"/>
        <c:crossAx val="141959304"/>
        <c:crosses val="autoZero"/>
        <c:crossBetween val="between"/>
        <c:majorUnit val="1"/>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593824096"/>
        <c:axId val="596792672"/>
      </c:lineChart>
      <c:catAx>
        <c:axId val="593824096"/>
        <c:scaling>
          <c:orientation val="minMax"/>
        </c:scaling>
        <c:delete val="0"/>
        <c:axPos val="b"/>
        <c:numFmt formatCode="General" sourceLinked="0"/>
        <c:majorTickMark val="out"/>
        <c:minorTickMark val="none"/>
        <c:tickLblPos val="nextTo"/>
        <c:crossAx val="596792672"/>
        <c:crosses val="autoZero"/>
        <c:auto val="1"/>
        <c:lblAlgn val="ctr"/>
        <c:lblOffset val="100"/>
        <c:noMultiLvlLbl val="0"/>
      </c:catAx>
      <c:valAx>
        <c:axId val="596792672"/>
        <c:scaling>
          <c:orientation val="minMax"/>
          <c:max val="10"/>
          <c:min val="2"/>
        </c:scaling>
        <c:delete val="0"/>
        <c:axPos val="l"/>
        <c:majorGridlines/>
        <c:numFmt formatCode="General" sourceLinked="1"/>
        <c:majorTickMark val="out"/>
        <c:minorTickMark val="none"/>
        <c:tickLblPos val="nextTo"/>
        <c:crossAx val="593824096"/>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A3C1-E4EB-49F3-B903-F2668C93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12</Pages>
  <Words>2774</Words>
  <Characters>19149</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21880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2000-07-18T13:30:00Z</cp:lastPrinted>
  <dcterms:created xsi:type="dcterms:W3CDTF">2017-05-12T08:18:00Z</dcterms:created>
  <dcterms:modified xsi:type="dcterms:W3CDTF">2017-05-12T08:18:00Z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