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07C8F">
        <w:trPr>
          <w:cantSplit/>
        </w:trPr>
        <w:tc>
          <w:tcPr>
            <w:tcW w:w="6911" w:type="dxa"/>
          </w:tcPr>
          <w:p w:rsidR="00BC7BC0" w:rsidRPr="00807C8F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07C8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07C8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07C8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807C8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07C8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07C8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807C8F">
              <w:rPr>
                <w:b/>
                <w:bCs/>
                <w:lang w:val="ru-RU"/>
              </w:rPr>
              <w:t>1</w:t>
            </w:r>
            <w:r w:rsidR="008B62B4" w:rsidRPr="00807C8F">
              <w:rPr>
                <w:b/>
                <w:bCs/>
                <w:lang w:val="ru-RU"/>
              </w:rPr>
              <w:t>5-25</w:t>
            </w:r>
            <w:r w:rsidR="00CD2009" w:rsidRPr="00807C8F">
              <w:rPr>
                <w:b/>
                <w:bCs/>
                <w:lang w:val="ru-RU"/>
              </w:rPr>
              <w:t xml:space="preserve"> мая </w:t>
            </w:r>
            <w:r w:rsidR="00225368" w:rsidRPr="00807C8F">
              <w:rPr>
                <w:b/>
                <w:bCs/>
                <w:lang w:val="ru-RU"/>
              </w:rPr>
              <w:t>201</w:t>
            </w:r>
            <w:r w:rsidR="008B62B4" w:rsidRPr="00807C8F">
              <w:rPr>
                <w:b/>
                <w:bCs/>
                <w:lang w:val="ru-RU"/>
              </w:rPr>
              <w:t>7</w:t>
            </w:r>
            <w:r w:rsidR="00225368" w:rsidRPr="00807C8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07C8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07C8F">
              <w:rPr>
                <w:noProof/>
                <w:lang w:eastAsia="zh-CN"/>
              </w:rPr>
              <w:drawing>
                <wp:inline distT="0" distB="0" distL="0" distR="0" wp14:anchorId="57A1DB82" wp14:editId="776EF3C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07C8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07C8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07C8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7C8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07C8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07C8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07C8F" w:rsidRDefault="00BC7BC0" w:rsidP="003C782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07C8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A1DF0" w:rsidRPr="00807C8F">
              <w:rPr>
                <w:b/>
                <w:szCs w:val="22"/>
                <w:lang w:val="ru-RU"/>
              </w:rPr>
              <w:t>ADM 1.1</w:t>
            </w:r>
          </w:p>
        </w:tc>
        <w:tc>
          <w:tcPr>
            <w:tcW w:w="3120" w:type="dxa"/>
          </w:tcPr>
          <w:p w:rsidR="00BC7BC0" w:rsidRPr="00807C8F" w:rsidRDefault="003C7821" w:rsidP="000B01B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0B01B8">
              <w:rPr>
                <w:b/>
                <w:bCs/>
                <w:szCs w:val="22"/>
                <w:lang w:val="ru-RU"/>
              </w:rPr>
              <w:t>2</w:t>
            </w:r>
            <w:r w:rsidRPr="00807C8F">
              <w:rPr>
                <w:b/>
                <w:bCs/>
                <w:szCs w:val="22"/>
                <w:lang w:val="ru-RU"/>
              </w:rPr>
              <w:br/>
            </w:r>
            <w:r w:rsidR="00BC7BC0" w:rsidRPr="00807C8F">
              <w:rPr>
                <w:b/>
                <w:bCs/>
                <w:szCs w:val="22"/>
                <w:lang w:val="ru-RU"/>
              </w:rPr>
              <w:t>Документ</w:t>
            </w:r>
            <w:r w:rsidRPr="00807C8F">
              <w:rPr>
                <w:b/>
                <w:bCs/>
                <w:szCs w:val="22"/>
                <w:lang w:val="ru-RU"/>
              </w:rPr>
              <w:t>а</w:t>
            </w:r>
            <w:r w:rsidR="00BC7BC0" w:rsidRPr="00807C8F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807C8F">
              <w:rPr>
                <w:b/>
                <w:bCs/>
                <w:szCs w:val="22"/>
                <w:lang w:val="ru-RU"/>
              </w:rPr>
              <w:t>1</w:t>
            </w:r>
            <w:r w:rsidR="008B62B4" w:rsidRPr="00807C8F">
              <w:rPr>
                <w:b/>
                <w:bCs/>
                <w:szCs w:val="22"/>
                <w:lang w:val="ru-RU"/>
              </w:rPr>
              <w:t>7</w:t>
            </w:r>
            <w:r w:rsidR="00BC7BC0" w:rsidRPr="00807C8F">
              <w:rPr>
                <w:b/>
                <w:bCs/>
                <w:szCs w:val="22"/>
                <w:lang w:val="ru-RU"/>
              </w:rPr>
              <w:t>/</w:t>
            </w:r>
            <w:r w:rsidR="007A1DF0" w:rsidRPr="00807C8F">
              <w:rPr>
                <w:b/>
                <w:bCs/>
                <w:szCs w:val="22"/>
                <w:lang w:val="ru-RU"/>
              </w:rPr>
              <w:t>80</w:t>
            </w:r>
            <w:r w:rsidR="00BC7BC0" w:rsidRPr="00807C8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/>
          </w:tcPr>
          <w:p w:rsidR="00BC7BC0" w:rsidRPr="00807C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07C8F" w:rsidRDefault="003C7821" w:rsidP="003C782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lang w:val="ru-RU"/>
              </w:rPr>
              <w:t>2</w:t>
            </w:r>
            <w:r w:rsidR="000B01B8">
              <w:rPr>
                <w:b/>
                <w:bCs/>
                <w:lang w:val="ru-RU"/>
              </w:rPr>
              <w:t>5</w:t>
            </w:r>
            <w:r w:rsidR="007A1DF0" w:rsidRPr="00807C8F">
              <w:rPr>
                <w:b/>
                <w:bCs/>
                <w:lang w:val="ru-RU"/>
              </w:rPr>
              <w:t xml:space="preserve"> </w:t>
            </w:r>
            <w:r w:rsidRPr="00807C8F">
              <w:rPr>
                <w:b/>
                <w:bCs/>
                <w:lang w:val="ru-RU"/>
              </w:rPr>
              <w:t>мая</w:t>
            </w:r>
            <w:r w:rsidR="007A1DF0" w:rsidRPr="00807C8F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BC7BC0" w:rsidRPr="00807C8F">
        <w:trPr>
          <w:cantSplit/>
          <w:trHeight w:val="23"/>
        </w:trPr>
        <w:tc>
          <w:tcPr>
            <w:tcW w:w="6911" w:type="dxa"/>
            <w:vMerge/>
          </w:tcPr>
          <w:p w:rsidR="00BC7BC0" w:rsidRPr="00807C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07C8F" w:rsidRDefault="009032B1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07C8F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807C8F">
        <w:trPr>
          <w:cantSplit/>
        </w:trPr>
        <w:tc>
          <w:tcPr>
            <w:tcW w:w="10031" w:type="dxa"/>
            <w:gridSpan w:val="2"/>
          </w:tcPr>
          <w:p w:rsidR="00BC7BC0" w:rsidRPr="00807C8F" w:rsidRDefault="007A1DF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07C8F">
              <w:rPr>
                <w:lang w:val="ru-RU"/>
              </w:rPr>
              <w:t>Записка Генерального секретаря</w:t>
            </w:r>
          </w:p>
        </w:tc>
      </w:tr>
      <w:tr w:rsidR="000B01B8" w:rsidRPr="00BD4461">
        <w:trPr>
          <w:cantSplit/>
        </w:trPr>
        <w:tc>
          <w:tcPr>
            <w:tcW w:w="10031" w:type="dxa"/>
            <w:gridSpan w:val="2"/>
          </w:tcPr>
          <w:p w:rsidR="000B01B8" w:rsidRPr="00C83172" w:rsidRDefault="000B01B8" w:rsidP="00C15E7D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47711E">
              <w:rPr>
                <w:lang w:val="ru-RU"/>
              </w:rPr>
              <w:t xml:space="preserve">ВКЛАД </w:t>
            </w:r>
            <w:r w:rsidR="00C15E7D">
              <w:rPr>
                <w:lang w:val="ru-RU"/>
              </w:rPr>
              <w:t xml:space="preserve">ОТ </w:t>
            </w:r>
            <w:r w:rsidRPr="0047711E">
              <w:rPr>
                <w:lang w:val="ru-RU"/>
              </w:rPr>
              <w:t xml:space="preserve">РОССИЙСКОЙ </w:t>
            </w:r>
            <w:r>
              <w:rPr>
                <w:lang w:val="ru-RU"/>
              </w:rPr>
              <w:t xml:space="preserve">ФЕДЕРАЦИИ, АРМЕНИИ (РЕСПУБЛИКИ), </w:t>
            </w:r>
            <w:r w:rsidRPr="0047711E">
              <w:rPr>
                <w:lang w:val="ru-RU"/>
              </w:rPr>
              <w:t>БЕЛАРУСи (РЕСПУБЛИКИ)</w:t>
            </w:r>
            <w:r w:rsidR="00C15E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КЫРГЫЗСКОЙ РЕСПУБЛИКИ</w:t>
            </w:r>
          </w:p>
        </w:tc>
      </w:tr>
      <w:tr w:rsidR="007A1DF0" w:rsidRPr="00BD4461">
        <w:trPr>
          <w:cantSplit/>
        </w:trPr>
        <w:tc>
          <w:tcPr>
            <w:tcW w:w="10031" w:type="dxa"/>
            <w:gridSpan w:val="2"/>
          </w:tcPr>
          <w:p w:rsidR="007A1DF0" w:rsidRPr="00807C8F" w:rsidRDefault="007A1DF0" w:rsidP="007A1DF0">
            <w:pPr>
              <w:pStyle w:val="Title2"/>
              <w:rPr>
                <w:lang w:val="ru-RU"/>
              </w:rPr>
            </w:pPr>
            <w:r w:rsidRPr="00807C8F">
              <w:rPr>
                <w:lang w:val="ru-RU"/>
              </w:rPr>
              <w:t>Предложения по проекту бюджета сектора радиосвязи на 2018</w:t>
            </w:r>
            <w:r w:rsidR="009032B1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2019 годы, подготовленные на основе анализа финансовых и людских ресурсов </w:t>
            </w:r>
            <w:r w:rsidRPr="00807C8F">
              <w:rPr>
                <w:lang w:val="ru-RU"/>
              </w:rPr>
              <w:br/>
              <w:t>МСЭ-R в ПЕРИОД 1996</w:t>
            </w:r>
            <w:r w:rsidR="009032B1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2017 годОВ</w:t>
            </w:r>
          </w:p>
        </w:tc>
      </w:tr>
    </w:tbl>
    <w:p w:rsidR="007A1DF0" w:rsidRPr="00807C8F" w:rsidRDefault="007A1DF0" w:rsidP="003C7821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807C8F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3C7821" w:rsidRPr="00807C8F">
        <w:rPr>
          <w:b/>
          <w:bCs/>
          <w:lang w:val="ru-RU"/>
        </w:rPr>
        <w:t>Российской Федерацией</w:t>
      </w:r>
      <w:r w:rsidR="003C7821" w:rsidRPr="00807C8F">
        <w:rPr>
          <w:lang w:val="ru-RU"/>
        </w:rPr>
        <w:t>,</w:t>
      </w:r>
      <w:r w:rsidR="003C7821" w:rsidRPr="00807C8F">
        <w:rPr>
          <w:b/>
          <w:bCs/>
          <w:lang w:val="ru-RU"/>
        </w:rPr>
        <w:t xml:space="preserve"> Арменией (Республикой)</w:t>
      </w:r>
      <w:r w:rsidR="000B01B8">
        <w:rPr>
          <w:lang w:val="ru-RU"/>
        </w:rPr>
        <w:t>,</w:t>
      </w:r>
      <w:r w:rsidR="003C7821" w:rsidRPr="00807C8F">
        <w:rPr>
          <w:b/>
          <w:bCs/>
          <w:lang w:val="ru-RU"/>
        </w:rPr>
        <w:t xml:space="preserve"> Беларусью (Республикой)</w:t>
      </w:r>
      <w:r w:rsidR="000B01B8">
        <w:rPr>
          <w:b/>
          <w:bCs/>
          <w:lang w:val="ru-RU"/>
        </w:rPr>
        <w:t xml:space="preserve"> </w:t>
      </w:r>
      <w:r w:rsidR="000B01B8" w:rsidRPr="00FE1A5F">
        <w:rPr>
          <w:lang w:val="ru-RU"/>
        </w:rPr>
        <w:t>и</w:t>
      </w:r>
      <w:r w:rsidR="000B01B8">
        <w:rPr>
          <w:b/>
          <w:bCs/>
          <w:lang w:val="ru-RU"/>
        </w:rPr>
        <w:t xml:space="preserve"> Кыргызской Республикой</w:t>
      </w:r>
      <w:r w:rsidRPr="00807C8F">
        <w:rPr>
          <w:lang w:val="ru-RU"/>
        </w:rPr>
        <w:t>.</w:t>
      </w:r>
    </w:p>
    <w:p w:rsidR="007A1DF0" w:rsidRPr="00807C8F" w:rsidRDefault="007A1DF0" w:rsidP="007A1DF0">
      <w:pPr>
        <w:spacing w:before="1080"/>
        <w:ind w:left="4819"/>
        <w:jc w:val="center"/>
        <w:rPr>
          <w:lang w:val="ru-RU"/>
        </w:rPr>
      </w:pPr>
      <w:proofErr w:type="spellStart"/>
      <w:r w:rsidRPr="00807C8F">
        <w:rPr>
          <w:lang w:val="ru-RU"/>
        </w:rPr>
        <w:t>Хоулинь</w:t>
      </w:r>
      <w:proofErr w:type="spellEnd"/>
      <w:r w:rsidRPr="00807C8F">
        <w:rPr>
          <w:lang w:val="ru-RU"/>
        </w:rPr>
        <w:t xml:space="preserve"> ЧЖАО</w:t>
      </w:r>
      <w:bookmarkEnd w:id="3"/>
      <w:r w:rsidRPr="00807C8F">
        <w:rPr>
          <w:lang w:val="ru-RU"/>
        </w:rPr>
        <w:br/>
        <w:t>Генеральный секретарь</w:t>
      </w:r>
    </w:p>
    <w:p w:rsidR="007A1DF0" w:rsidRPr="00807C8F" w:rsidRDefault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7C8F">
        <w:rPr>
          <w:lang w:val="ru-RU"/>
        </w:rPr>
        <w:br w:type="page"/>
      </w:r>
    </w:p>
    <w:p w:rsidR="000B01B8" w:rsidRPr="00C83172" w:rsidRDefault="000B01B8" w:rsidP="000B01B8">
      <w:pPr>
        <w:pStyle w:val="Source"/>
        <w:rPr>
          <w:lang w:val="ru-RU"/>
        </w:rPr>
      </w:pPr>
      <w:r w:rsidRPr="00C83172">
        <w:rPr>
          <w:lang w:val="ru-RU"/>
        </w:rPr>
        <w:lastRenderedPageBreak/>
        <w:t>Российская Федерация, Армения (Республика)</w:t>
      </w:r>
      <w:r>
        <w:rPr>
          <w:lang w:val="ru-RU"/>
        </w:rPr>
        <w:t>,</w:t>
      </w:r>
      <w:r w:rsidRPr="00C83172">
        <w:rPr>
          <w:lang w:val="ru-RU"/>
        </w:rPr>
        <w:t xml:space="preserve"> Беларусь (Республика)</w:t>
      </w:r>
      <w:r>
        <w:rPr>
          <w:lang w:val="ru-RU"/>
        </w:rPr>
        <w:br/>
        <w:t>и Кыргызская Республика</w:t>
      </w:r>
    </w:p>
    <w:p w:rsidR="007A1DF0" w:rsidRPr="00807C8F" w:rsidRDefault="007A1DF0" w:rsidP="00794AF1">
      <w:pPr>
        <w:pStyle w:val="Title1"/>
        <w:spacing w:after="240"/>
        <w:rPr>
          <w:lang w:val="ru-RU"/>
        </w:rPr>
      </w:pPr>
      <w:r w:rsidRPr="00807C8F">
        <w:rPr>
          <w:lang w:val="ru-RU"/>
        </w:rPr>
        <w:t>Предложения по проекту бюджета сектора радиосвязи на 2018</w:t>
      </w:r>
      <w:r w:rsidR="00794AF1">
        <w:rPr>
          <w:lang w:val="ru-RU"/>
        </w:rPr>
        <w:t>−</w:t>
      </w:r>
      <w:r w:rsidRPr="00807C8F">
        <w:rPr>
          <w:lang w:val="ru-RU"/>
        </w:rPr>
        <w:t xml:space="preserve">2019 годы, подготовленные на основе анализа финансовых и людских ресурсов </w:t>
      </w:r>
      <w:r w:rsidRPr="00807C8F">
        <w:rPr>
          <w:lang w:val="ru-RU"/>
        </w:rPr>
        <w:br/>
        <w:t>МСЭ-R в ПЕРИОД 1996</w:t>
      </w:r>
      <w:r w:rsidR="00794AF1">
        <w:rPr>
          <w:lang w:val="ru-RU"/>
        </w:rPr>
        <w:t>−</w:t>
      </w:r>
      <w:r w:rsidRPr="00807C8F">
        <w:rPr>
          <w:lang w:val="ru-RU"/>
        </w:rPr>
        <w:t>2017 годОВ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D446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07C8F" w:rsidRDefault="002D2F57">
            <w:pPr>
              <w:pStyle w:val="Headingb"/>
              <w:rPr>
                <w:szCs w:val="22"/>
                <w:lang w:val="ru-RU"/>
              </w:rPr>
            </w:pPr>
            <w:r w:rsidRPr="00807C8F">
              <w:rPr>
                <w:szCs w:val="22"/>
                <w:lang w:val="ru-RU"/>
              </w:rPr>
              <w:t>Резюме</w:t>
            </w:r>
          </w:p>
          <w:p w:rsidR="007A1DF0" w:rsidRPr="00807C8F" w:rsidRDefault="007A1DF0" w:rsidP="009032B1">
            <w:pPr>
              <w:rPr>
                <w:lang w:val="ru-RU"/>
              </w:rPr>
            </w:pPr>
            <w:r w:rsidRPr="00807C8F">
              <w:rPr>
                <w:lang w:val="ru-RU"/>
              </w:rPr>
              <w:t>В документе представлены предложения по уточнению бюджета Сектора радиосвязи на 2018–2019 годы, подготовленные на основе анализа финансовых и людских ресурсов МСЭ-R в период 199</w:t>
            </w:r>
            <w:r w:rsidR="009032B1" w:rsidRPr="00807C8F">
              <w:rPr>
                <w:lang w:val="ru-RU"/>
              </w:rPr>
              <w:t>6</w:t>
            </w:r>
            <w:r w:rsidRPr="00807C8F">
              <w:rPr>
                <w:lang w:val="ru-RU"/>
              </w:rPr>
              <w:t>–2017 годы.</w:t>
            </w:r>
          </w:p>
          <w:p w:rsidR="002D2F57" w:rsidRPr="00807C8F" w:rsidRDefault="002D2F57" w:rsidP="00E55121">
            <w:pPr>
              <w:pStyle w:val="Headingb"/>
              <w:rPr>
                <w:lang w:val="ru-RU"/>
              </w:rPr>
            </w:pPr>
            <w:r w:rsidRPr="00807C8F">
              <w:rPr>
                <w:lang w:val="ru-RU"/>
              </w:rPr>
              <w:t xml:space="preserve">Необходимые </w:t>
            </w:r>
            <w:r w:rsidR="00F5225B" w:rsidRPr="00807C8F">
              <w:rPr>
                <w:lang w:val="ru-RU"/>
              </w:rPr>
              <w:t>действия</w:t>
            </w:r>
          </w:p>
          <w:p w:rsidR="002D2F57" w:rsidRPr="00807C8F" w:rsidRDefault="007A1DF0">
            <w:pPr>
              <w:rPr>
                <w:szCs w:val="22"/>
                <w:lang w:val="ru-RU"/>
              </w:rPr>
            </w:pPr>
            <w:r w:rsidRPr="00807C8F">
              <w:rPr>
                <w:lang w:val="ru-RU"/>
              </w:rPr>
              <w:t xml:space="preserve">Совету предлагается </w:t>
            </w:r>
            <w:r w:rsidRPr="00807C8F">
              <w:rPr>
                <w:b/>
                <w:bCs/>
                <w:lang w:val="ru-RU"/>
              </w:rPr>
              <w:t>учесть высказанные предложения при рассмотрении бюджета на 2018</w:t>
            </w:r>
            <w:r w:rsidR="009032B1" w:rsidRPr="00807C8F">
              <w:rPr>
                <w:b/>
                <w:bCs/>
                <w:lang w:val="ru-RU"/>
              </w:rPr>
              <w:t>–</w:t>
            </w:r>
            <w:r w:rsidRPr="00807C8F">
              <w:rPr>
                <w:b/>
                <w:bCs/>
                <w:lang w:val="ru-RU"/>
              </w:rPr>
              <w:t>2019 годы</w:t>
            </w:r>
            <w:r w:rsidRPr="00807C8F">
              <w:rPr>
                <w:lang w:val="ru-RU"/>
              </w:rPr>
              <w:t>.</w:t>
            </w:r>
          </w:p>
          <w:p w:rsidR="002D2F57" w:rsidRPr="00807C8F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07C8F">
              <w:rPr>
                <w:caps/>
                <w:szCs w:val="22"/>
                <w:lang w:val="ru-RU"/>
              </w:rPr>
              <w:t>____________</w:t>
            </w:r>
          </w:p>
          <w:p w:rsidR="002D2F57" w:rsidRPr="00807C8F" w:rsidRDefault="002D2F57">
            <w:pPr>
              <w:pStyle w:val="Headingb"/>
              <w:rPr>
                <w:szCs w:val="22"/>
                <w:lang w:val="ru-RU"/>
              </w:rPr>
            </w:pPr>
            <w:r w:rsidRPr="00807C8F">
              <w:rPr>
                <w:szCs w:val="22"/>
                <w:lang w:val="ru-RU"/>
              </w:rPr>
              <w:t>Справочные материалы</w:t>
            </w:r>
          </w:p>
          <w:p w:rsidR="002D2F57" w:rsidRPr="00807C8F" w:rsidRDefault="007A1DF0" w:rsidP="00AC1860">
            <w:pPr>
              <w:spacing w:after="120"/>
              <w:rPr>
                <w:i/>
                <w:iCs/>
                <w:lang w:val="ru-RU"/>
              </w:rPr>
            </w:pPr>
            <w:r w:rsidRPr="00807C8F">
              <w:rPr>
                <w:i/>
                <w:iCs/>
                <w:lang w:val="ru-RU"/>
              </w:rPr>
              <w:t>Документы </w:t>
            </w:r>
            <w:hyperlink r:id="rId8" w:history="1">
              <w:r w:rsidRPr="00807C8F">
                <w:rPr>
                  <w:rStyle w:val="Hyperlink"/>
                  <w:i/>
                  <w:iCs/>
                  <w:lang w:val="ru-RU"/>
                </w:rPr>
                <w:t>C15/105 (Rev.1)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807C8F">
                <w:rPr>
                  <w:rStyle w:val="Hyperlink"/>
                  <w:i/>
                  <w:iCs/>
                  <w:lang w:val="ru-RU"/>
                </w:rPr>
                <w:t>CWG-FHR-INF 7/3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Pr="00807C8F">
                <w:rPr>
                  <w:rStyle w:val="Hyperlink"/>
                  <w:i/>
                  <w:iCs/>
                  <w:lang w:val="ru-RU"/>
                </w:rPr>
                <w:t>C17/10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RRB07-3/2</w:t>
              </w:r>
            </w:hyperlink>
            <w:r w:rsidRPr="00807C8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RRB08-1/1</w:t>
              </w:r>
            </w:hyperlink>
            <w:r w:rsidRPr="00807C8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RRB09-1/1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4" w:history="1">
              <w:r w:rsidRPr="00807C8F">
                <w:rPr>
                  <w:rStyle w:val="Hyperlink"/>
                  <w:i/>
                  <w:iCs/>
                  <w:lang w:val="ru-RU"/>
                </w:rPr>
                <w:t>RRB15-3/4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5" w:history="1">
              <w:r w:rsidRPr="00807C8F">
                <w:rPr>
                  <w:rStyle w:val="Hyperlink"/>
                  <w:i/>
                  <w:iCs/>
                  <w:lang w:val="ru-RU"/>
                </w:rPr>
                <w:t>RRB16-1/5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Pr="00807C8F">
                <w:rPr>
                  <w:rStyle w:val="Hyperlink"/>
                  <w:i/>
                  <w:iCs/>
                  <w:lang w:val="ru-RU"/>
                </w:rPr>
                <w:t>RRB17-1/3</w:t>
              </w:r>
            </w:hyperlink>
            <w:r w:rsidRPr="00807C8F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Pr="00807C8F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 w:eastAsia="zh-CN"/>
                </w:rPr>
                <w:t>RRB17-1/8</w:t>
              </w:r>
            </w:hyperlink>
            <w:r w:rsidRPr="00807C8F">
              <w:rPr>
                <w:i/>
                <w:iCs/>
                <w:lang w:val="ru-RU"/>
              </w:rPr>
              <w:t>, а также документы, перечисленные в Таблицах 1–3</w:t>
            </w:r>
          </w:p>
        </w:tc>
      </w:tr>
    </w:tbl>
    <w:p w:rsidR="007A1DF0" w:rsidRPr="00807C8F" w:rsidRDefault="007A1DF0" w:rsidP="007A1DF0">
      <w:pPr>
        <w:pStyle w:val="Heading1"/>
        <w:rPr>
          <w:lang w:val="ru-RU"/>
        </w:rPr>
      </w:pPr>
      <w:r w:rsidRPr="00807C8F">
        <w:rPr>
          <w:lang w:val="ru-RU"/>
        </w:rPr>
        <w:t>1</w:t>
      </w:r>
      <w:r w:rsidRPr="00807C8F">
        <w:rPr>
          <w:lang w:val="ru-RU"/>
        </w:rPr>
        <w:tab/>
        <w:t>Введение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ab/>
        <w:t>В рамках достижения целей, определенных в Статье 1 Устава, МСЭ, в частности: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8741"/>
      </w:tblGrid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11</w:t>
            </w:r>
            <w:r w:rsidRPr="00807C8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lang w:val="ru-RU"/>
              </w:rPr>
            </w:pPr>
            <w:r w:rsidRPr="00807C8F">
              <w:rPr>
                <w:i/>
                <w:lang w:val="ru-RU"/>
              </w:rPr>
              <w:t>a)</w:t>
            </w:r>
            <w:r w:rsidRPr="00807C8F">
              <w:rPr>
                <w:i/>
                <w:lang w:val="ru-RU"/>
              </w:rPr>
              <w:tab/>
              <w:t>осуществляет распределение радиочастотного спектра, выделение радиочастот и регистрацию радиочастотных присвоений и, для космических служб, соответствующих позиций на орбите геостационарных спутников или соответствующих характеристик спутников на других орбитах, чтобы избежать вредных помех между радиостанциями различных стран</w:t>
            </w:r>
            <w:r w:rsidRPr="00807C8F">
              <w:rPr>
                <w:i/>
                <w:iCs/>
                <w:lang w:val="ru-RU"/>
              </w:rPr>
              <w:t>;</w:t>
            </w:r>
          </w:p>
        </w:tc>
      </w:tr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12</w:t>
            </w:r>
            <w:r w:rsidRPr="00807C8F">
              <w:rPr>
                <w:i/>
                <w:sz w:val="22"/>
                <w:szCs w:val="22"/>
                <w:lang w:val="ru-RU"/>
              </w:rPr>
              <w:br/>
              <w:t>ПК-98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807C8F">
              <w:rPr>
                <w:i/>
                <w:iCs/>
                <w:szCs w:val="22"/>
                <w:lang w:val="ru-RU"/>
              </w:rPr>
              <w:t>b)</w:t>
            </w:r>
            <w:r w:rsidRPr="00807C8F">
              <w:rPr>
                <w:i/>
                <w:szCs w:val="22"/>
                <w:lang w:val="ru-RU"/>
              </w:rPr>
              <w:tab/>
              <w:t xml:space="preserve">координирует усилия, направленные на устранение вредных помех между </w:t>
            </w:r>
            <w:r w:rsidRPr="00807C8F">
              <w:rPr>
                <w:i/>
                <w:lang w:val="ru-RU"/>
              </w:rPr>
              <w:t>радиостанциями</w:t>
            </w:r>
            <w:r w:rsidRPr="00807C8F">
              <w:rPr>
                <w:i/>
                <w:szCs w:val="22"/>
                <w:lang w:val="ru-RU"/>
              </w:rPr>
              <w:t xml:space="preserve">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радиосвязи;</w:t>
            </w:r>
          </w:p>
        </w:tc>
      </w:tr>
      <w:tr w:rsidR="007A1DF0" w:rsidRPr="00BD4461" w:rsidTr="007A1DF0">
        <w:tc>
          <w:tcPr>
            <w:tcW w:w="466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S2"/>
              <w:spacing w:before="0"/>
              <w:rPr>
                <w:i/>
                <w:sz w:val="22"/>
                <w:szCs w:val="22"/>
                <w:lang w:val="ru-RU"/>
              </w:rPr>
            </w:pPr>
            <w:r w:rsidRPr="00807C8F">
              <w:rPr>
                <w:i/>
                <w:sz w:val="22"/>
                <w:szCs w:val="22"/>
                <w:lang w:val="ru-RU"/>
              </w:rPr>
              <w:t>15</w:t>
            </w:r>
          </w:p>
        </w:tc>
        <w:tc>
          <w:tcPr>
            <w:tcW w:w="4534" w:type="pct"/>
            <w:tcMar>
              <w:left w:w="108" w:type="dxa"/>
              <w:right w:w="108" w:type="dxa"/>
            </w:tcMar>
          </w:tcPr>
          <w:p w:rsidR="007A1DF0" w:rsidRPr="00807C8F" w:rsidRDefault="007A1DF0" w:rsidP="007A1DF0">
            <w:pPr>
              <w:pStyle w:val="enumlev1"/>
              <w:rPr>
                <w:i/>
                <w:szCs w:val="22"/>
                <w:lang w:val="ru-RU"/>
              </w:rPr>
            </w:pPr>
            <w:r w:rsidRPr="00807C8F">
              <w:rPr>
                <w:i/>
                <w:iCs/>
                <w:szCs w:val="22"/>
                <w:lang w:val="ru-RU"/>
              </w:rPr>
              <w:t>e)</w:t>
            </w:r>
            <w:r w:rsidRPr="00807C8F">
              <w:rPr>
                <w:i/>
                <w:szCs w:val="22"/>
                <w:lang w:val="ru-RU"/>
              </w:rPr>
              <w:tab/>
              <w:t>координирует усилия, направленные на обеспечение гармоничного развития средств электросвязи, особенно тех, которые связаны с использованием космической техники, с целью полного использования их возможностей;</w:t>
            </w:r>
          </w:p>
        </w:tc>
      </w:tr>
    </w:tbl>
    <w:p w:rsidR="007A1DF0" w:rsidRPr="00807C8F" w:rsidRDefault="007A1DF0" w:rsidP="003C7821">
      <w:pPr>
        <w:spacing w:before="80"/>
        <w:jc w:val="both"/>
        <w:rPr>
          <w:lang w:val="ru-RU"/>
        </w:rPr>
      </w:pPr>
      <w:r w:rsidRPr="00807C8F">
        <w:rPr>
          <w:lang w:val="ru-RU"/>
        </w:rPr>
        <w:t>…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Решение этих и ряда других задач, в частности в области разработки стандартов радиосвязи (Рекомендаций МСЭ-R в терминологии МСЭ) осуществляется в рамках деятельности Сектора радиосвязи (МСЭ-R) и его Секретариата – Бюро радиосвязи (БР).</w:t>
      </w:r>
    </w:p>
    <w:p w:rsidR="007A1DF0" w:rsidRPr="00807C8F" w:rsidRDefault="007A1DF0" w:rsidP="00AC1860">
      <w:pPr>
        <w:rPr>
          <w:lang w:val="ru-RU"/>
        </w:rPr>
      </w:pPr>
      <w:r w:rsidRPr="00807C8F">
        <w:rPr>
          <w:lang w:val="ru-RU"/>
        </w:rPr>
        <w:t>Вопросы повышения эффективности использования радиочастотного спектра и спутниковых орбит (РЧС и СО) в последние десятилетия вызывают все больший и больший интерес. Достаточно отметить все возрастающее количество участников Всемирных конференций радиосвязи (ВКР). На ВКР-97 (в 1997 г</w:t>
      </w:r>
      <w:r w:rsidR="00AC1860">
        <w:rPr>
          <w:lang w:val="ru-RU"/>
        </w:rPr>
        <w:t>.</w:t>
      </w:r>
      <w:r w:rsidRPr="00807C8F">
        <w:rPr>
          <w:lang w:val="ru-RU"/>
        </w:rPr>
        <w:t>) было зарегистрировано около 2 тысяч участников, а на ВКР-15 (в 2015 г</w:t>
      </w:r>
      <w:r w:rsidR="00AC1860">
        <w:rPr>
          <w:lang w:val="ru-RU"/>
        </w:rPr>
        <w:t>.</w:t>
      </w:r>
      <w:r w:rsidRPr="00807C8F">
        <w:rPr>
          <w:lang w:val="ru-RU"/>
        </w:rPr>
        <w:t>) уже свыше 3,3 тысяч участников.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lastRenderedPageBreak/>
        <w:t>При этом также возрастают номенклатура, сложность и объем задач, решаемых персоналом Бюро радиосвязи, по сути являющимся исполнительным механизмом международной системы управления РЧС и СО.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Высококвалифицированные сотрудники БР в рамках своей деятельности, наряду с обеспечением выполнения требований Регламента радиосвязи (РР), оказывают большую помощь администрациям и операторам связи в различных направлениях. В частности, в последние годы проведен сложный комплекс работ, направленных на фактический пересмотр использования радиочастотного спектра телевизионными системами и гармонизации полос частот, используемых системами наземной подвижной связи четвертого поколения, а также оказания консультационной помощи по другим вопросам.</w:t>
      </w:r>
    </w:p>
    <w:p w:rsidR="007A1DF0" w:rsidRPr="00807C8F" w:rsidRDefault="007A1DF0" w:rsidP="007A1DF0">
      <w:pPr>
        <w:rPr>
          <w:lang w:val="ru-RU"/>
        </w:rPr>
      </w:pPr>
      <w:r w:rsidRPr="00807C8F">
        <w:rPr>
          <w:lang w:val="ru-RU"/>
        </w:rPr>
        <w:t>Сектор радиосвязи в целом и Бюро радиосвязи, в частности, функционируют в рамках ограниченных финансовых и людских ресурсов, поэтому целесообразно провести оценку ресурсов и выработать предложения по их рациональному использованию в будущем.</w:t>
      </w:r>
    </w:p>
    <w:p w:rsidR="007A1DF0" w:rsidRPr="00807C8F" w:rsidRDefault="007A1DF0" w:rsidP="00794AF1">
      <w:pPr>
        <w:pStyle w:val="Heading1"/>
        <w:rPr>
          <w:lang w:val="ru-RU"/>
        </w:rPr>
      </w:pPr>
      <w:r w:rsidRPr="00807C8F">
        <w:rPr>
          <w:lang w:val="ru-RU"/>
        </w:rPr>
        <w:t>2</w:t>
      </w:r>
      <w:r w:rsidRPr="00807C8F">
        <w:rPr>
          <w:lang w:val="ru-RU"/>
        </w:rPr>
        <w:tab/>
        <w:t>Анализ финансовых и людских ресурсов Сектора радиосвязи в период 19</w:t>
      </w:r>
      <w:r w:rsidR="00794AF1">
        <w:rPr>
          <w:lang w:val="ru-RU"/>
        </w:rPr>
        <w:t>96−</w:t>
      </w:r>
      <w:bookmarkStart w:id="4" w:name="_GoBack"/>
      <w:bookmarkEnd w:id="4"/>
      <w:r w:rsidRPr="00807C8F">
        <w:rPr>
          <w:lang w:val="ru-RU"/>
        </w:rPr>
        <w:t>2017 годов</w:t>
      </w:r>
    </w:p>
    <w:p w:rsidR="007A1DF0" w:rsidRPr="00807C8F" w:rsidRDefault="007A1DF0" w:rsidP="007A1DF0">
      <w:pPr>
        <w:pStyle w:val="Heading2"/>
        <w:rPr>
          <w:lang w:val="ru-RU"/>
        </w:rPr>
      </w:pPr>
      <w:r w:rsidRPr="00807C8F">
        <w:rPr>
          <w:lang w:val="ru-RU"/>
        </w:rPr>
        <w:t>2.1</w:t>
      </w:r>
      <w:r w:rsidRPr="00807C8F">
        <w:rPr>
          <w:lang w:val="ru-RU"/>
        </w:rPr>
        <w:tab/>
        <w:t>Анализ финансовых ресурсов Сектора радиосвязи в период 1996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2017 </w:t>
      </w:r>
      <w:r w:rsidR="00AC1860">
        <w:rPr>
          <w:lang w:val="ru-RU"/>
        </w:rPr>
        <w:t>годов в сравнении с </w:t>
      </w:r>
      <w:r w:rsidRPr="00807C8F">
        <w:rPr>
          <w:lang w:val="ru-RU"/>
        </w:rPr>
        <w:t>проектом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7A1DF0" w:rsidRPr="00807C8F" w:rsidRDefault="007A1DF0" w:rsidP="00AC1860">
      <w:pPr>
        <w:rPr>
          <w:lang w:val="ru-RU"/>
        </w:rPr>
      </w:pPr>
      <w:r w:rsidRPr="00807C8F">
        <w:rPr>
          <w:lang w:val="ru-RU"/>
        </w:rPr>
        <w:t>В Таблице 1 и на Рисунке 1 приведены статистические данные, касающиеся динамики изменения бюджета Сектора радиосвязи в 1996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2017 годах (данные по 2010–2019 г</w:t>
      </w:r>
      <w:r w:rsidR="00AC1860">
        <w:rPr>
          <w:lang w:val="ru-RU"/>
        </w:rPr>
        <w:t>г.</w:t>
      </w:r>
      <w:r w:rsidRPr="00807C8F">
        <w:rPr>
          <w:lang w:val="ru-RU"/>
        </w:rPr>
        <w:t xml:space="preserve"> получены из Документа </w:t>
      </w:r>
      <w:hyperlink r:id="rId18" w:history="1">
        <w:r w:rsidRPr="00807C8F">
          <w:rPr>
            <w:rStyle w:val="Hyperlink"/>
            <w:lang w:val="ru-RU"/>
          </w:rPr>
          <w:t>C17/10</w:t>
        </w:r>
      </w:hyperlink>
      <w:r w:rsidRPr="00807C8F">
        <w:rPr>
          <w:lang w:val="ru-RU"/>
        </w:rPr>
        <w:t>).</w:t>
      </w:r>
    </w:p>
    <w:p w:rsidR="007A1DF0" w:rsidRPr="00807C8F" w:rsidRDefault="007A1DF0" w:rsidP="007A1DF0">
      <w:pPr>
        <w:pStyle w:val="TableNo"/>
        <w:rPr>
          <w:lang w:val="ru-RU"/>
        </w:rPr>
      </w:pPr>
      <w:r w:rsidRPr="00807C8F">
        <w:rPr>
          <w:lang w:val="ru-RU"/>
        </w:rPr>
        <w:t>Таблица 1</w:t>
      </w:r>
    </w:p>
    <w:p w:rsidR="007A1DF0" w:rsidRPr="00807C8F" w:rsidRDefault="007A1DF0" w:rsidP="00772D18">
      <w:pPr>
        <w:pStyle w:val="Tabletitle"/>
        <w:rPr>
          <w:lang w:val="ru-RU"/>
        </w:rPr>
      </w:pPr>
      <w:r w:rsidRPr="00807C8F">
        <w:rPr>
          <w:lang w:val="ru-RU"/>
        </w:rPr>
        <w:t xml:space="preserve">Бюджет Сектора радиосвязи в период 1996–2017 годов и проект бюджета на 2018–2019 годы </w:t>
      </w:r>
    </w:p>
    <w:tbl>
      <w:tblPr>
        <w:tblStyle w:val="TableGrid"/>
        <w:tblW w:w="100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50"/>
        <w:gridCol w:w="1218"/>
        <w:gridCol w:w="1522"/>
        <w:gridCol w:w="1404"/>
        <w:gridCol w:w="1035"/>
        <w:gridCol w:w="1215"/>
      </w:tblGrid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Период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Страницы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ind w:left="-57" w:right="-57"/>
              <w:rPr>
                <w:lang w:val="ru-RU"/>
              </w:rPr>
            </w:pPr>
            <w:r w:rsidRPr="00807C8F">
              <w:rPr>
                <w:lang w:val="ru-RU"/>
              </w:rPr>
              <w:t>Бюджет</w:t>
            </w:r>
            <w:r w:rsidRPr="00807C8F">
              <w:rPr>
                <w:lang w:val="ru-RU"/>
              </w:rPr>
              <w:br/>
            </w:r>
            <w:r w:rsidRPr="00807C8F">
              <w:rPr>
                <w:bCs/>
                <w:lang w:val="ru-RU"/>
              </w:rPr>
              <w:t>(тыс.</w:t>
            </w:r>
            <w:r w:rsidR="00AC1860">
              <w:rPr>
                <w:bCs/>
                <w:lang w:val="ru-RU"/>
              </w:rPr>
              <w:t xml:space="preserve"> </w:t>
            </w:r>
            <w:proofErr w:type="spellStart"/>
            <w:r w:rsidRPr="00807C8F">
              <w:rPr>
                <w:bCs/>
                <w:lang w:val="ru-RU"/>
              </w:rPr>
              <w:t>шв</w:t>
            </w:r>
            <w:proofErr w:type="spellEnd"/>
            <w:r w:rsidRPr="00807C8F">
              <w:rPr>
                <w:bCs/>
                <w:lang w:val="ru-RU"/>
              </w:rPr>
              <w:t>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фр.)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Период</w:t>
            </w:r>
            <w:r w:rsidRPr="00807C8F">
              <w:rPr>
                <w:lang w:val="ru-RU"/>
              </w:rPr>
              <w:br/>
            </w:r>
            <w:r w:rsidRPr="00923187">
              <w:rPr>
                <w:b w:val="0"/>
                <w:bCs/>
                <w:i/>
                <w:iCs/>
                <w:lang w:val="ru-RU"/>
              </w:rPr>
              <w:t>(продолжение)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Страницы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head"/>
              <w:ind w:left="-57" w:right="-57"/>
              <w:rPr>
                <w:lang w:val="ru-RU"/>
              </w:rPr>
            </w:pPr>
            <w:r w:rsidRPr="00807C8F">
              <w:rPr>
                <w:lang w:val="ru-RU"/>
              </w:rPr>
              <w:t>Бюджет</w:t>
            </w:r>
            <w:r w:rsidRPr="00807C8F">
              <w:rPr>
                <w:lang w:val="ru-RU"/>
              </w:rPr>
              <w:br/>
            </w:r>
            <w:r w:rsidRPr="00807C8F">
              <w:rPr>
                <w:bCs/>
                <w:lang w:val="ru-RU"/>
              </w:rPr>
              <w:t>(тыс.</w:t>
            </w:r>
            <w:r w:rsidR="00AC1860">
              <w:rPr>
                <w:bCs/>
                <w:lang w:val="ru-RU"/>
              </w:rPr>
              <w:t xml:space="preserve"> </w:t>
            </w:r>
            <w:proofErr w:type="spellStart"/>
            <w:r w:rsidRPr="00807C8F">
              <w:rPr>
                <w:bCs/>
                <w:lang w:val="ru-RU"/>
              </w:rPr>
              <w:t>шв</w:t>
            </w:r>
            <w:proofErr w:type="spellEnd"/>
            <w:r w:rsidRPr="00807C8F">
              <w:rPr>
                <w:bCs/>
                <w:lang w:val="ru-RU"/>
              </w:rPr>
              <w:t>.</w:t>
            </w:r>
            <w:r w:rsidR="00AC1860">
              <w:rPr>
                <w:bCs/>
                <w:lang w:val="ru-RU"/>
              </w:rPr>
              <w:t xml:space="preserve"> </w:t>
            </w:r>
            <w:r w:rsidRPr="00807C8F">
              <w:rPr>
                <w:bCs/>
                <w:lang w:val="ru-RU"/>
              </w:rPr>
              <w:t>фр.)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1996–1997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19" w:history="1">
              <w:r w:rsidR="007A1DF0" w:rsidRPr="00807C8F">
                <w:rPr>
                  <w:rStyle w:val="Hyperlink"/>
                  <w:lang w:val="ru-RU"/>
                </w:rPr>
                <w:t>C2000/11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20–23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62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196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2008–2009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0" w:history="1">
              <w:r w:rsidR="007A1DF0" w:rsidRPr="00807C8F">
                <w:rPr>
                  <w:rStyle w:val="Hyperlink"/>
                  <w:lang w:val="ru-RU"/>
                </w:rPr>
                <w:t>C10/31(Rev.1)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10,</w:t>
            </w:r>
            <w:r w:rsidR="00772D18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18–25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66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728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1998–1999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1" w:history="1">
              <w:r w:rsidR="007A1DF0" w:rsidRPr="00807C8F">
                <w:rPr>
                  <w:rStyle w:val="Hyperlink"/>
                  <w:lang w:val="ru-RU"/>
                </w:rPr>
                <w:t>C2000/11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20–23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206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2010–2011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2" w:history="1">
              <w:r w:rsidR="007A1DF0" w:rsidRPr="00807C8F">
                <w:rPr>
                  <w:rStyle w:val="Hyperlink"/>
                  <w:lang w:val="ru-RU"/>
                </w:rPr>
                <w:t>C13/10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4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772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2000–2001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3" w:history="1">
              <w:r w:rsidR="007A1DF0" w:rsidRPr="00807C8F">
                <w:rPr>
                  <w:rStyle w:val="Hyperlink"/>
                  <w:lang w:val="ru-RU"/>
                </w:rPr>
                <w:t>C02/13(Rev.1)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21–24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67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276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2012–2013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4" w:history="1">
              <w:r w:rsidR="007A1DF0" w:rsidRPr="00807C8F">
                <w:rPr>
                  <w:rStyle w:val="Hyperlink"/>
                  <w:lang w:val="ru-RU"/>
                </w:rPr>
                <w:t>C15/10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61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853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2002–2003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5" w:history="1">
              <w:r w:rsidR="007A1DF0" w:rsidRPr="00807C8F">
                <w:rPr>
                  <w:rStyle w:val="Hyperlink"/>
                  <w:lang w:val="ru-RU"/>
                </w:rPr>
                <w:t>C04/22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10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68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708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2014–2015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6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62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202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2004–2005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7" w:history="1">
              <w:r w:rsidR="007A1DF0" w:rsidRPr="00807C8F">
                <w:rPr>
                  <w:rStyle w:val="Hyperlink"/>
                  <w:lang w:val="ru-RU"/>
                </w:rPr>
                <w:t>C06/26(Rev.1)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18–26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71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139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  <w:vAlign w:val="center"/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>2016–2017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8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  <w:vAlign w:val="center"/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57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501</w:t>
            </w:r>
          </w:p>
        </w:tc>
      </w:tr>
      <w:tr w:rsidR="007A1DF0" w:rsidRPr="00807C8F" w:rsidTr="00772D18">
        <w:tc>
          <w:tcPr>
            <w:tcW w:w="1418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AC1860">
              <w:rPr>
                <w:lang w:val="ru-RU"/>
              </w:rPr>
              <w:t>2006–2007</w:t>
            </w:r>
            <w:r w:rsidR="00923187">
              <w:rPr>
                <w:lang w:val="ru-RU"/>
              </w:rPr>
              <w:t xml:space="preserve"> гг.</w:t>
            </w:r>
          </w:p>
        </w:tc>
        <w:tc>
          <w:tcPr>
            <w:tcW w:w="1276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29" w:history="1">
              <w:r w:rsidR="007A1DF0" w:rsidRPr="00807C8F">
                <w:rPr>
                  <w:rStyle w:val="Hyperlink"/>
                  <w:lang w:val="ru-RU"/>
                </w:rPr>
                <w:t>C08/7</w:t>
              </w:r>
            </w:hyperlink>
          </w:p>
        </w:tc>
        <w:tc>
          <w:tcPr>
            <w:tcW w:w="950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12,</w:t>
            </w:r>
            <w:r w:rsidR="00772D18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18–26</w:t>
            </w:r>
          </w:p>
        </w:tc>
        <w:tc>
          <w:tcPr>
            <w:tcW w:w="1218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74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698</w:t>
            </w:r>
          </w:p>
        </w:tc>
        <w:tc>
          <w:tcPr>
            <w:tcW w:w="1522" w:type="dxa"/>
            <w:tcMar>
              <w:left w:w="29" w:type="dxa"/>
              <w:right w:w="29" w:type="dxa"/>
            </w:tcMar>
          </w:tcPr>
          <w:p w:rsidR="007A1DF0" w:rsidRPr="00AC1860" w:rsidRDefault="007A1DF0" w:rsidP="00AC1860">
            <w:pPr>
              <w:pStyle w:val="Tabletext"/>
              <w:jc w:val="center"/>
              <w:rPr>
                <w:bCs/>
                <w:lang w:val="ru-RU"/>
              </w:rPr>
            </w:pPr>
            <w:r w:rsidRPr="00AC1860">
              <w:rPr>
                <w:bCs/>
                <w:lang w:val="ru-RU"/>
              </w:rPr>
              <w:t xml:space="preserve">2018–2019 </w:t>
            </w:r>
            <w:r w:rsidR="00923187">
              <w:rPr>
                <w:lang w:val="ru-RU"/>
              </w:rPr>
              <w:t>гг.</w:t>
            </w:r>
            <w:r w:rsidR="00923187" w:rsidRPr="00AC1860">
              <w:rPr>
                <w:bCs/>
                <w:lang w:val="ru-RU"/>
              </w:rPr>
              <w:t xml:space="preserve"> </w:t>
            </w:r>
            <w:r w:rsidRPr="00AC1860">
              <w:rPr>
                <w:bCs/>
                <w:lang w:val="ru-RU"/>
              </w:rPr>
              <w:t>(проект)</w:t>
            </w:r>
          </w:p>
        </w:tc>
        <w:tc>
          <w:tcPr>
            <w:tcW w:w="1404" w:type="dxa"/>
            <w:tcMar>
              <w:left w:w="29" w:type="dxa"/>
              <w:right w:w="29" w:type="dxa"/>
            </w:tcMar>
          </w:tcPr>
          <w:p w:rsidR="007A1DF0" w:rsidRPr="00807C8F" w:rsidRDefault="00794AF1" w:rsidP="00923187">
            <w:pPr>
              <w:pStyle w:val="Tabletext"/>
              <w:jc w:val="center"/>
              <w:rPr>
                <w:lang w:val="ru-RU"/>
              </w:rPr>
            </w:pPr>
            <w:hyperlink r:id="rId30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1035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</w:t>
            </w:r>
          </w:p>
        </w:tc>
        <w:tc>
          <w:tcPr>
            <w:tcW w:w="1215" w:type="dxa"/>
            <w:tcMar>
              <w:left w:w="29" w:type="dxa"/>
              <w:right w:w="29" w:type="dxa"/>
            </w:tcMar>
          </w:tcPr>
          <w:p w:rsidR="007A1DF0" w:rsidRPr="00807C8F" w:rsidRDefault="007A1DF0" w:rsidP="00AC1860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color w:val="FF0000"/>
                <w:lang w:val="ru-RU"/>
              </w:rPr>
              <w:t>58</w:t>
            </w:r>
            <w:r w:rsidR="00FC056B" w:rsidRPr="00807C8F">
              <w:rPr>
                <w:color w:val="FF0000"/>
                <w:lang w:val="ru-RU"/>
              </w:rPr>
              <w:t xml:space="preserve"> </w:t>
            </w:r>
            <w:r w:rsidRPr="00807C8F">
              <w:rPr>
                <w:color w:val="FF0000"/>
                <w:lang w:val="ru-RU"/>
              </w:rPr>
              <w:t>586</w:t>
            </w:r>
          </w:p>
        </w:tc>
      </w:tr>
    </w:tbl>
    <w:p w:rsidR="007A1DF0" w:rsidRPr="00807C8F" w:rsidRDefault="007A1DF0" w:rsidP="00C76FEB">
      <w:pPr>
        <w:pStyle w:val="Normalaftertitle"/>
        <w:rPr>
          <w:b/>
          <w:lang w:val="ru-RU"/>
        </w:rPr>
      </w:pPr>
      <w:r w:rsidRPr="00807C8F">
        <w:rPr>
          <w:lang w:val="ru-RU"/>
        </w:rPr>
        <w:t>Следует заметить, что увеличение бюджета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 по сравнению с бюджетом 2016</w:t>
      </w:r>
      <w:r w:rsidR="009032B1" w:rsidRPr="00807C8F">
        <w:rPr>
          <w:lang w:val="ru-RU"/>
        </w:rPr>
        <w:t>−</w:t>
      </w:r>
      <w:r w:rsidRPr="00807C8F">
        <w:rPr>
          <w:lang w:val="ru-RU"/>
        </w:rPr>
        <w:t>2017 годов обусловлено затратами на проведение Всемирной конференции радиосвязи и Ассамблеи радиосвязи 2019 года в объеме 2</w:t>
      </w:r>
      <w:r w:rsidR="00C76FEB">
        <w:rPr>
          <w:lang w:val="ru-RU"/>
        </w:rPr>
        <w:t xml:space="preserve"> </w:t>
      </w:r>
      <w:r w:rsidRPr="00807C8F">
        <w:rPr>
          <w:lang w:val="ru-RU"/>
        </w:rPr>
        <w:t>973 </w:t>
      </w:r>
      <w:r w:rsidR="00C76FEB">
        <w:rPr>
          <w:lang w:val="ru-RU"/>
        </w:rPr>
        <w:t>000</w:t>
      </w:r>
      <w:r w:rsidRPr="00807C8F">
        <w:rPr>
          <w:lang w:val="ru-RU"/>
        </w:rPr>
        <w:t xml:space="preserve"> швейцарских франков. С учетом этих затрат, бюджет на регулярную деятельность составит 55 613 </w:t>
      </w:r>
      <w:r w:rsidR="00C76FEB">
        <w:rPr>
          <w:lang w:val="ru-RU"/>
        </w:rPr>
        <w:t>000</w:t>
      </w:r>
      <w:r w:rsidRPr="00807C8F">
        <w:rPr>
          <w:lang w:val="ru-RU"/>
        </w:rPr>
        <w:t xml:space="preserve"> швейцарских франков, </w:t>
      </w:r>
      <w:r w:rsidRPr="00807C8F">
        <w:rPr>
          <w:b/>
          <w:lang w:val="ru-RU"/>
        </w:rPr>
        <w:t>то есть планируется дальнейшее снижение финансирования регулярной деятельности Сектора радиосвязи</w:t>
      </w:r>
      <w:r w:rsidRPr="00807C8F">
        <w:rPr>
          <w:bCs/>
          <w:lang w:val="ru-RU"/>
        </w:rPr>
        <w:t>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1</w:t>
      </w:r>
    </w:p>
    <w:p w:rsidR="007A1DF0" w:rsidRPr="00807C8F" w:rsidRDefault="007A1DF0" w:rsidP="00772D18">
      <w:pPr>
        <w:pStyle w:val="Figuretitle"/>
        <w:spacing w:after="0"/>
        <w:rPr>
          <w:lang w:val="ru-RU"/>
        </w:rPr>
      </w:pPr>
      <w:r w:rsidRPr="00807C8F">
        <w:rPr>
          <w:lang w:val="ru-RU"/>
        </w:rPr>
        <w:t>Бюджет Сектора радиосвязи в период 1996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годов и проект бюджета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</w:t>
      </w:r>
      <w:r w:rsidRPr="00807C8F">
        <w:rPr>
          <w:lang w:val="ru-RU"/>
        </w:rPr>
        <w:br/>
        <w:t>(графическое отображение)</w:t>
      </w:r>
    </w:p>
    <w:p w:rsidR="007A1DF0" w:rsidRPr="00772D18" w:rsidRDefault="007A1DF0" w:rsidP="00772D18">
      <w:pPr>
        <w:keepNext/>
        <w:keepLines/>
        <w:jc w:val="right"/>
        <w:rPr>
          <w:b/>
          <w:bCs/>
          <w:sz w:val="20"/>
          <w:szCs w:val="18"/>
          <w:lang w:val="ru-RU"/>
        </w:rPr>
      </w:pPr>
      <w:r w:rsidRPr="00772D18">
        <w:rPr>
          <w:b/>
          <w:bCs/>
          <w:sz w:val="18"/>
          <w:szCs w:val="16"/>
          <w:lang w:val="ru-RU"/>
        </w:rPr>
        <w:t xml:space="preserve">В тыс. </w:t>
      </w:r>
      <w:proofErr w:type="spellStart"/>
      <w:r w:rsidRPr="00772D18">
        <w:rPr>
          <w:b/>
          <w:bCs/>
          <w:sz w:val="18"/>
          <w:szCs w:val="16"/>
          <w:lang w:val="ru-RU"/>
        </w:rPr>
        <w:t>шв</w:t>
      </w:r>
      <w:proofErr w:type="spellEnd"/>
      <w:r w:rsidRPr="00772D18">
        <w:rPr>
          <w:b/>
          <w:bCs/>
          <w:sz w:val="18"/>
          <w:szCs w:val="16"/>
          <w:lang w:val="ru-RU"/>
        </w:rPr>
        <w:t>. фр.</w:t>
      </w:r>
    </w:p>
    <w:p w:rsidR="007A1DF0" w:rsidRPr="00807C8F" w:rsidRDefault="007A1DF0" w:rsidP="007A1DF0">
      <w:pPr>
        <w:keepNext/>
        <w:keepLines/>
        <w:jc w:val="center"/>
        <w:rPr>
          <w:b/>
          <w:lang w:val="ru-RU"/>
        </w:rPr>
      </w:pPr>
      <w:r w:rsidRPr="00807C8F">
        <w:rPr>
          <w:noProof/>
          <w:lang w:eastAsia="zh-CN"/>
        </w:rPr>
        <w:drawing>
          <wp:inline distT="0" distB="0" distL="0" distR="0" wp14:anchorId="00C94E06" wp14:editId="45C2DCA0">
            <wp:extent cx="6120765" cy="3263481"/>
            <wp:effectExtent l="0" t="0" r="1333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1DF0" w:rsidRPr="00807C8F" w:rsidRDefault="007A1DF0" w:rsidP="00FC056B">
      <w:pPr>
        <w:rPr>
          <w:b/>
          <w:lang w:val="ru-RU"/>
        </w:rPr>
      </w:pPr>
      <w:r w:rsidRPr="00807C8F">
        <w:rPr>
          <w:lang w:val="ru-RU"/>
        </w:rPr>
        <w:t>При этом целесообразно отметить, что Бюро радиосвязи в рассматриваемый период обеспечивало значительный доход от обработки заявок на спутниковые сети. Соотв</w:t>
      </w:r>
      <w:r w:rsidR="009032B1" w:rsidRPr="00807C8F">
        <w:rPr>
          <w:lang w:val="ru-RU"/>
        </w:rPr>
        <w:t>етствующие данные приведены на Р</w:t>
      </w:r>
      <w:r w:rsidRPr="00807C8F">
        <w:rPr>
          <w:lang w:val="ru-RU"/>
        </w:rPr>
        <w:t>исунке 2. Значительный объем доходной части бюджета МСЭ обеспечивается за счет продажи публикаций Сектора радиосвязи/Бюро радиосвязи, превышающих (по значительно заниженной оценке) 20 миллионов за двухлетний период. Таким образом, деятельность МСЭ-R и, особенно, Бюро радиосвязи приносит в доходную часть МСЭ более половины двухлетнего бюджета Сектора, что является уникальным примером в рамках Союза.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2</w:t>
      </w:r>
    </w:p>
    <w:p w:rsidR="007A1DF0" w:rsidRPr="00807C8F" w:rsidRDefault="007A1DF0" w:rsidP="00772D18">
      <w:pPr>
        <w:pStyle w:val="Figuretitle"/>
        <w:rPr>
          <w:lang w:val="ru-RU"/>
        </w:rPr>
      </w:pPr>
      <w:r w:rsidRPr="00807C8F">
        <w:rPr>
          <w:lang w:val="ru-RU"/>
        </w:rPr>
        <w:t xml:space="preserve">Доход от обработки заявок на спутниковые сети в период с 2002 по 2015 годы </w:t>
      </w:r>
      <w:r w:rsidR="00772D18">
        <w:rPr>
          <w:lang w:val="ru-RU"/>
        </w:rPr>
        <w:br/>
      </w:r>
      <w:r w:rsidRPr="00807C8F">
        <w:rPr>
          <w:lang w:val="ru-RU"/>
        </w:rPr>
        <w:t xml:space="preserve">и </w:t>
      </w:r>
      <w:r w:rsidR="00772D18">
        <w:rPr>
          <w:lang w:val="ru-RU"/>
        </w:rPr>
        <w:t>прогноз</w:t>
      </w:r>
      <w:r w:rsidRPr="00807C8F">
        <w:rPr>
          <w:lang w:val="ru-RU"/>
        </w:rPr>
        <w:t xml:space="preserve"> на 2016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7A1DF0" w:rsidRPr="00772D18" w:rsidRDefault="007A1DF0" w:rsidP="00772D18">
      <w:pPr>
        <w:keepNext/>
        <w:keepLines/>
        <w:jc w:val="right"/>
        <w:rPr>
          <w:b/>
          <w:bCs/>
          <w:sz w:val="20"/>
          <w:szCs w:val="18"/>
          <w:lang w:val="ru-RU"/>
        </w:rPr>
      </w:pPr>
      <w:r w:rsidRPr="00772D18">
        <w:rPr>
          <w:b/>
          <w:bCs/>
          <w:sz w:val="18"/>
          <w:szCs w:val="16"/>
          <w:lang w:val="ru-RU"/>
        </w:rPr>
        <w:t xml:space="preserve">В тыс. </w:t>
      </w:r>
      <w:proofErr w:type="spellStart"/>
      <w:r w:rsidRPr="00772D18">
        <w:rPr>
          <w:b/>
          <w:bCs/>
          <w:sz w:val="18"/>
          <w:szCs w:val="16"/>
          <w:lang w:val="ru-RU"/>
        </w:rPr>
        <w:t>шв</w:t>
      </w:r>
      <w:proofErr w:type="spellEnd"/>
      <w:r w:rsidRPr="00772D18">
        <w:rPr>
          <w:b/>
          <w:bCs/>
          <w:sz w:val="18"/>
          <w:szCs w:val="16"/>
          <w:lang w:val="ru-RU"/>
        </w:rPr>
        <w:t>. фр.</w:t>
      </w:r>
    </w:p>
    <w:p w:rsidR="007A1DF0" w:rsidRPr="00807C8F" w:rsidRDefault="007A1DF0" w:rsidP="007A1DF0">
      <w:pPr>
        <w:keepNext/>
        <w:keepLines/>
        <w:jc w:val="center"/>
        <w:rPr>
          <w:b/>
          <w:lang w:val="ru-RU"/>
        </w:rPr>
      </w:pPr>
      <w:r w:rsidRPr="00807C8F">
        <w:rPr>
          <w:noProof/>
          <w:lang w:eastAsia="zh-CN"/>
        </w:rPr>
        <w:drawing>
          <wp:inline distT="0" distB="0" distL="0" distR="0" wp14:anchorId="5F96B28D" wp14:editId="334CBB04">
            <wp:extent cx="5838825" cy="3543299"/>
            <wp:effectExtent l="0" t="0" r="9525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A1DF0" w:rsidRPr="00807C8F" w:rsidRDefault="007A1DF0" w:rsidP="00772D18">
      <w:pPr>
        <w:pStyle w:val="Normalaftertitle"/>
        <w:rPr>
          <w:lang w:val="ru-RU"/>
        </w:rPr>
      </w:pPr>
      <w:r w:rsidRPr="00807C8F">
        <w:rPr>
          <w:lang w:val="ru-RU"/>
        </w:rPr>
        <w:t>Снижение доходов от обработки за</w:t>
      </w:r>
      <w:r w:rsidR="00772D18">
        <w:rPr>
          <w:lang w:val="ru-RU"/>
        </w:rPr>
        <w:t>явок на спутниковые сети в 2008−</w:t>
      </w:r>
      <w:r w:rsidRPr="00807C8F">
        <w:rPr>
          <w:lang w:val="ru-RU"/>
        </w:rPr>
        <w:t>2009 годы обусловлено пересмотром методики определения затрат на обработку заявок на регистрацию спутниковых сетей (Решение 482, утвержденное на сессии Совета 2008 </w:t>
      </w:r>
      <w:r w:rsidR="008B74A2" w:rsidRPr="00807C8F">
        <w:rPr>
          <w:lang w:val="ru-RU"/>
        </w:rPr>
        <w:t>г.</w:t>
      </w:r>
      <w:r w:rsidRPr="00807C8F">
        <w:rPr>
          <w:lang w:val="ru-RU"/>
        </w:rPr>
        <w:t>) и соответствующим пересмотром счетов-фактур в соответствии с Решением 10 (Анталия, 2006 г.) и Решением 545 (Совет, 2007 г.).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Проводя анализ финансовых ресурсов Сектора радиосвязи в рассматриваемый период, следует отметить, что в эти годы произошло снижение финансовых ресурсов Союза в целом. Поэтому более показательной является относительная оценка финансирования Секторов МСЭ и Генерального секретариата по отношению к "усредненному бюджету каждого Сектора и Генерального секретариата за 1996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 xml:space="preserve">2017 годы", приведенная в </w:t>
      </w:r>
      <w:r w:rsidR="00FC056B" w:rsidRPr="00807C8F">
        <w:rPr>
          <w:lang w:val="ru-RU"/>
        </w:rPr>
        <w:t>Т</w:t>
      </w:r>
      <w:r w:rsidRPr="00807C8F">
        <w:rPr>
          <w:lang w:val="ru-RU"/>
        </w:rPr>
        <w:t>аблице 2.</w:t>
      </w:r>
    </w:p>
    <w:p w:rsidR="00772D18" w:rsidRDefault="00772D18" w:rsidP="00772D18">
      <w:pPr>
        <w:rPr>
          <w:lang w:val="ru-RU"/>
        </w:rPr>
      </w:pPr>
      <w:r>
        <w:rPr>
          <w:lang w:val="ru-RU"/>
        </w:rPr>
        <w:br w:type="page"/>
      </w:r>
    </w:p>
    <w:p w:rsidR="00FC056B" w:rsidRPr="00807C8F" w:rsidRDefault="00FC056B" w:rsidP="00FC056B">
      <w:pPr>
        <w:pStyle w:val="TableNo"/>
        <w:rPr>
          <w:lang w:val="ru-RU"/>
        </w:rPr>
      </w:pPr>
      <w:r w:rsidRPr="00807C8F">
        <w:rPr>
          <w:lang w:val="ru-RU"/>
        </w:rPr>
        <w:lastRenderedPageBreak/>
        <w:t>Таблица 2</w:t>
      </w:r>
    </w:p>
    <w:p w:rsidR="007A1DF0" w:rsidRPr="00807C8F" w:rsidRDefault="007A1DF0" w:rsidP="00FC056B">
      <w:pPr>
        <w:pStyle w:val="Tabletitle"/>
        <w:rPr>
          <w:lang w:val="ru-RU"/>
        </w:rPr>
      </w:pPr>
      <w:r w:rsidRPr="00807C8F">
        <w:rPr>
          <w:lang w:val="ru-RU"/>
        </w:rPr>
        <w:t>Усредненная оценка бюджетов Секторов МСЭ и Генерального секретариата за 1996</w:t>
      </w:r>
      <w:r w:rsidR="004274DA" w:rsidRPr="00807C8F">
        <w:rPr>
          <w:lang w:val="ru-RU"/>
        </w:rPr>
        <w:t>–</w:t>
      </w:r>
      <w:r w:rsidRPr="00807C8F">
        <w:rPr>
          <w:lang w:val="ru-RU"/>
        </w:rPr>
        <w:t>2017 </w:t>
      </w:r>
      <w:r w:rsidR="00772D18">
        <w:rPr>
          <w:lang w:val="ru-RU"/>
        </w:rPr>
        <w:t>годы и </w:t>
      </w:r>
      <w:r w:rsidRPr="00807C8F">
        <w:rPr>
          <w:lang w:val="ru-RU"/>
        </w:rPr>
        <w:t>процентное отношение к проекту бюджета на 2018</w:t>
      </w:r>
      <w:r w:rsidR="004274DA" w:rsidRPr="00807C8F">
        <w:rPr>
          <w:lang w:val="ru-RU"/>
        </w:rPr>
        <w:t>–</w:t>
      </w:r>
      <w:r w:rsidRPr="00807C8F">
        <w:rPr>
          <w:lang w:val="ru-RU"/>
        </w:rPr>
        <w:t>2019 годы</w:t>
      </w:r>
    </w:p>
    <w:p w:rsidR="00FC056B" w:rsidRPr="00772D18" w:rsidRDefault="00FC056B" w:rsidP="000A3E2C">
      <w:pPr>
        <w:keepNext/>
        <w:keepLines/>
        <w:spacing w:before="0" w:after="60"/>
        <w:jc w:val="right"/>
        <w:rPr>
          <w:b/>
          <w:sz w:val="24"/>
          <w:szCs w:val="22"/>
          <w:lang w:val="ru-RU"/>
        </w:rPr>
      </w:pPr>
      <w:r w:rsidRPr="00772D18">
        <w:rPr>
          <w:b/>
          <w:bCs/>
          <w:sz w:val="18"/>
          <w:szCs w:val="18"/>
          <w:lang w:val="ru-RU"/>
        </w:rPr>
        <w:t xml:space="preserve">В тыс. </w:t>
      </w:r>
      <w:proofErr w:type="spellStart"/>
      <w:r w:rsidRPr="00772D18">
        <w:rPr>
          <w:b/>
          <w:bCs/>
          <w:sz w:val="18"/>
          <w:szCs w:val="18"/>
          <w:lang w:val="ru-RU"/>
        </w:rPr>
        <w:t>шв</w:t>
      </w:r>
      <w:proofErr w:type="spellEnd"/>
      <w:r w:rsidRPr="00772D18">
        <w:rPr>
          <w:b/>
          <w:bCs/>
          <w:sz w:val="18"/>
          <w:szCs w:val="18"/>
          <w:lang w:val="ru-RU"/>
        </w:rPr>
        <w:t>. фр</w:t>
      </w:r>
      <w:r w:rsidRPr="00772D18">
        <w:rPr>
          <w:sz w:val="18"/>
          <w:szCs w:val="18"/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1607"/>
        <w:gridCol w:w="1607"/>
        <w:gridCol w:w="1607"/>
        <w:gridCol w:w="1595"/>
      </w:tblGrid>
      <w:tr w:rsidR="007A1DF0" w:rsidRPr="00807C8F" w:rsidTr="007A1DF0">
        <w:trPr>
          <w:jc w:val="center"/>
        </w:trPr>
        <w:tc>
          <w:tcPr>
            <w:tcW w:w="330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Сектор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МСЭ-R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МСЭ-D</w:t>
            </w:r>
          </w:p>
        </w:tc>
        <w:tc>
          <w:tcPr>
            <w:tcW w:w="1650" w:type="dxa"/>
            <w:vAlign w:val="center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МСЭ-T</w:t>
            </w:r>
          </w:p>
        </w:tc>
        <w:tc>
          <w:tcPr>
            <w:tcW w:w="160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Генеральный секретариат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Усредненный двухлетний бюджет (1996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2017 г</w:t>
            </w:r>
            <w:r w:rsidR="00772D18">
              <w:rPr>
                <w:lang w:val="ru-RU"/>
              </w:rPr>
              <w:t>г.</w:t>
            </w:r>
            <w:r w:rsidRPr="00807C8F">
              <w:rPr>
                <w:lang w:val="ru-RU"/>
              </w:rPr>
              <w:t xml:space="preserve">) 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 А1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65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753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59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813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739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179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530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 xml:space="preserve">Проект бюджета </w:t>
            </w:r>
            <w:r w:rsidRPr="00807C8F">
              <w:rPr>
                <w:lang w:val="ru-RU"/>
              </w:rPr>
              <w:br/>
              <w:t>на 2018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>2019 г</w:t>
            </w:r>
            <w:r w:rsidR="00772D18">
              <w:rPr>
                <w:lang w:val="ru-RU"/>
              </w:rPr>
              <w:t>г.</w:t>
            </w:r>
            <w:r w:rsidRPr="00807C8F">
              <w:rPr>
                <w:lang w:val="ru-RU"/>
              </w:rPr>
              <w:t xml:space="preserve"> </w:t>
            </w:r>
            <w:r w:rsidR="00FC056B" w:rsidRPr="00807C8F">
              <w:rPr>
                <w:lang w:val="ru-RU"/>
              </w:rPr>
              <w:t>–</w:t>
            </w:r>
            <w:r w:rsidRPr="00807C8F">
              <w:rPr>
                <w:lang w:val="ru-RU"/>
              </w:rPr>
              <w:t xml:space="preserve"> А2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58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586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55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888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25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494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lang w:val="ru-RU"/>
              </w:rPr>
            </w:pPr>
            <w:r w:rsidRPr="00807C8F">
              <w:rPr>
                <w:lang w:val="ru-RU"/>
              </w:rPr>
              <w:t>180</w:t>
            </w:r>
            <w:r w:rsidR="00FC056B" w:rsidRPr="00807C8F">
              <w:rPr>
                <w:lang w:val="ru-RU"/>
              </w:rPr>
              <w:t xml:space="preserve"> </w:t>
            </w:r>
            <w:r w:rsidRPr="00807C8F">
              <w:rPr>
                <w:lang w:val="ru-RU"/>
              </w:rPr>
              <w:t>134</w:t>
            </w:r>
          </w:p>
        </w:tc>
      </w:tr>
      <w:tr w:rsidR="007A1DF0" w:rsidRPr="00807C8F" w:rsidTr="00772D18">
        <w:trPr>
          <w:jc w:val="center"/>
        </w:trPr>
        <w:tc>
          <w:tcPr>
            <w:tcW w:w="3300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А2/А1</w:t>
            </w:r>
            <w:r w:rsidRPr="00807C8F">
              <w:rPr>
                <w:rFonts w:cs="Calibri"/>
                <w:lang w:val="ru-RU"/>
              </w:rPr>
              <w:t>×</w:t>
            </w:r>
            <w:r w:rsidRPr="00807C8F">
              <w:rPr>
                <w:lang w:val="ru-RU"/>
              </w:rPr>
              <w:t>100 (%)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color w:val="FF0000"/>
                <w:lang w:val="ru-RU"/>
              </w:rPr>
              <w:t>89,1%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95,2%</w:t>
            </w:r>
          </w:p>
        </w:tc>
        <w:tc>
          <w:tcPr>
            <w:tcW w:w="1650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99,0%</w:t>
            </w:r>
          </w:p>
        </w:tc>
        <w:tc>
          <w:tcPr>
            <w:tcW w:w="1605" w:type="dxa"/>
            <w:vAlign w:val="bottom"/>
          </w:tcPr>
          <w:p w:rsidR="007A1DF0" w:rsidRPr="00807C8F" w:rsidRDefault="007A1DF0" w:rsidP="00772D18">
            <w:pPr>
              <w:pStyle w:val="Tabletext"/>
              <w:jc w:val="center"/>
              <w:rPr>
                <w:b/>
                <w:lang w:val="ru-RU"/>
              </w:rPr>
            </w:pPr>
            <w:r w:rsidRPr="00807C8F">
              <w:rPr>
                <w:b/>
                <w:lang w:val="ru-RU"/>
              </w:rPr>
              <w:t>100,3</w:t>
            </w:r>
          </w:p>
        </w:tc>
      </w:tr>
    </w:tbl>
    <w:p w:rsidR="007A1DF0" w:rsidRPr="00807C8F" w:rsidRDefault="007A1DF0" w:rsidP="00FC056B">
      <w:pPr>
        <w:pStyle w:val="Heading2"/>
        <w:rPr>
          <w:lang w:val="ru-RU"/>
        </w:rPr>
      </w:pPr>
      <w:r w:rsidRPr="00807C8F">
        <w:rPr>
          <w:lang w:val="ru-RU"/>
        </w:rPr>
        <w:t>2.2</w:t>
      </w:r>
      <w:r w:rsidRPr="00807C8F">
        <w:rPr>
          <w:lang w:val="ru-RU"/>
        </w:rPr>
        <w:tab/>
        <w:t>Анализ людских ресурсов Бюро радиосвязи в период 2004-2017 годов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В </w:t>
      </w:r>
      <w:r w:rsidR="00FC056B" w:rsidRPr="00807C8F">
        <w:rPr>
          <w:lang w:val="ru-RU"/>
        </w:rPr>
        <w:t>Т</w:t>
      </w:r>
      <w:r w:rsidRPr="00807C8F">
        <w:rPr>
          <w:lang w:val="ru-RU"/>
        </w:rPr>
        <w:t>аблице 3 приведены статистические данные, касающиеся штатного расписания (должностей, предусмотренных в бюджете) Бюро радиосвязи в 2004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годах и проект численности персонала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годы.</w:t>
      </w:r>
    </w:p>
    <w:p w:rsidR="00FC056B" w:rsidRPr="00807C8F" w:rsidRDefault="00FC056B" w:rsidP="00FC056B">
      <w:pPr>
        <w:pStyle w:val="TableNo"/>
        <w:rPr>
          <w:lang w:val="ru-RU"/>
        </w:rPr>
      </w:pPr>
      <w:r w:rsidRPr="00807C8F">
        <w:rPr>
          <w:lang w:val="ru-RU"/>
        </w:rPr>
        <w:t>Таблица 3</w:t>
      </w:r>
    </w:p>
    <w:p w:rsidR="007A1DF0" w:rsidRPr="00807C8F" w:rsidRDefault="007A1DF0" w:rsidP="00772D18">
      <w:pPr>
        <w:pStyle w:val="Tabletitle"/>
        <w:rPr>
          <w:b w:val="0"/>
          <w:lang w:val="ru-RU"/>
        </w:rPr>
      </w:pPr>
      <w:r w:rsidRPr="00807C8F">
        <w:rPr>
          <w:lang w:val="ru-RU"/>
        </w:rPr>
        <w:t xml:space="preserve">Штатное расписание </w:t>
      </w:r>
      <w:r w:rsidR="00772D18" w:rsidRPr="00807C8F">
        <w:rPr>
          <w:lang w:val="ru-RU"/>
        </w:rPr>
        <w:t xml:space="preserve">Бюро радиосвязи МСЭ в 2004–2017 годы </w:t>
      </w:r>
      <w:r w:rsidR="00772D18">
        <w:rPr>
          <w:lang w:val="ru-RU"/>
        </w:rPr>
        <w:br/>
      </w:r>
      <w:r w:rsidRPr="00807C8F">
        <w:rPr>
          <w:lang w:val="ru-RU"/>
        </w:rPr>
        <w:t xml:space="preserve">(должности, предусмотренные в бюджете </w:t>
      </w:r>
      <w:r w:rsidR="00FC056B" w:rsidRPr="00807C8F">
        <w:rPr>
          <w:lang w:val="ru-RU"/>
        </w:rPr>
        <w:t>– см. Т</w:t>
      </w:r>
      <w:r w:rsidR="00772D18">
        <w:rPr>
          <w:lang w:val="ru-RU"/>
        </w:rPr>
        <w:t>аблицу 1)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7A1DF0" w:rsidRPr="00807C8F" w:rsidTr="000A3E2C">
        <w:trPr>
          <w:trHeight w:val="315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Год</w:t>
            </w:r>
          </w:p>
        </w:tc>
        <w:tc>
          <w:tcPr>
            <w:tcW w:w="974" w:type="dxa"/>
            <w:noWrap/>
            <w:tcMar>
              <w:left w:w="29" w:type="dxa"/>
              <w:right w:w="29" w:type="dxa"/>
            </w:tcMar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2004</w:t>
            </w:r>
          </w:p>
        </w:tc>
        <w:tc>
          <w:tcPr>
            <w:tcW w:w="975" w:type="dxa"/>
            <w:noWrap/>
            <w:tcMar>
              <w:left w:w="29" w:type="dxa"/>
              <w:right w:w="29" w:type="dxa"/>
            </w:tcMar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2005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2006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2007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2008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2009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2010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2011</w:t>
            </w:r>
          </w:p>
        </w:tc>
      </w:tr>
      <w:tr w:rsidR="007A1DF0" w:rsidRPr="00807C8F" w:rsidTr="000A3E2C">
        <w:trPr>
          <w:trHeight w:val="327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  <w:hideMark/>
          </w:tcPr>
          <w:p w:rsidR="007A1DF0" w:rsidRPr="00807C8F" w:rsidRDefault="00794AF1" w:rsidP="00772D18">
            <w:pPr>
              <w:pStyle w:val="Tabletext"/>
              <w:jc w:val="center"/>
              <w:rPr>
                <w:rFonts w:asciiTheme="minorHAnsi" w:hAnsiTheme="minorHAnsi" w:cstheme="minorHAnsi"/>
                <w:u w:val="single"/>
                <w:lang w:val="ru-RU"/>
              </w:rPr>
            </w:pPr>
            <w:hyperlink r:id="rId33" w:history="1">
              <w:r w:rsidR="007A1DF0" w:rsidRPr="00807C8F">
                <w:rPr>
                  <w:rStyle w:val="Hyperlink"/>
                  <w:lang w:val="ru-RU"/>
                </w:rPr>
                <w:t>C05/10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  <w:hideMark/>
          </w:tcPr>
          <w:p w:rsidR="007A1DF0" w:rsidRPr="00807C8F" w:rsidRDefault="00794AF1" w:rsidP="00772D18">
            <w:pPr>
              <w:pStyle w:val="Tabletext"/>
              <w:jc w:val="center"/>
              <w:rPr>
                <w:rFonts w:asciiTheme="minorHAnsi" w:hAnsiTheme="minorHAnsi" w:cstheme="minorHAnsi"/>
                <w:u w:val="single"/>
                <w:lang w:val="ru-RU"/>
              </w:rPr>
            </w:pPr>
            <w:hyperlink r:id="rId34" w:history="1">
              <w:r w:rsidR="007A1DF0" w:rsidRPr="00807C8F">
                <w:rPr>
                  <w:rStyle w:val="Hyperlink"/>
                  <w:lang w:val="ru-RU"/>
                </w:rPr>
                <w:t>C05/10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5" w:history="1">
              <w:r w:rsidR="007A1DF0" w:rsidRPr="00807C8F">
                <w:rPr>
                  <w:rStyle w:val="Hyperlink"/>
                  <w:lang w:val="ru-RU"/>
                </w:rPr>
                <w:t>C07/10</w:t>
              </w:r>
            </w:hyperlink>
          </w:p>
        </w:tc>
        <w:tc>
          <w:tcPr>
            <w:tcW w:w="975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6" w:history="1">
              <w:r w:rsidR="007A1DF0" w:rsidRPr="00807C8F">
                <w:rPr>
                  <w:rStyle w:val="Hyperlink"/>
                  <w:lang w:val="ru-RU"/>
                </w:rPr>
                <w:t>C07/10</w:t>
              </w:r>
            </w:hyperlink>
          </w:p>
        </w:tc>
        <w:tc>
          <w:tcPr>
            <w:tcW w:w="974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7" w:history="1">
              <w:r w:rsidR="007A1DF0" w:rsidRPr="00807C8F">
                <w:rPr>
                  <w:rStyle w:val="Hyperlink"/>
                  <w:lang w:val="ru-RU"/>
                </w:rPr>
                <w:t>C09/10</w:t>
              </w:r>
            </w:hyperlink>
          </w:p>
        </w:tc>
        <w:tc>
          <w:tcPr>
            <w:tcW w:w="975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8" w:history="1">
              <w:r w:rsidR="007A1DF0" w:rsidRPr="00807C8F">
                <w:rPr>
                  <w:rStyle w:val="Hyperlink"/>
                  <w:lang w:val="ru-RU"/>
                </w:rPr>
                <w:t>C09/10</w:t>
              </w:r>
            </w:hyperlink>
          </w:p>
        </w:tc>
        <w:tc>
          <w:tcPr>
            <w:tcW w:w="974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39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0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noWrap/>
            <w:hideMark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Страница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205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205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226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226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137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137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noWrap/>
            <w:vAlign w:val="center"/>
            <w:hideMark/>
          </w:tcPr>
          <w:p w:rsidR="007A1DF0" w:rsidRPr="00807C8F" w:rsidRDefault="00807C8F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Количест</w:t>
            </w:r>
            <w:r w:rsidR="007A1DF0" w:rsidRPr="00807C8F">
              <w:rPr>
                <w:lang w:val="ru-RU"/>
              </w:rPr>
              <w:t>во постов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176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807C8F">
              <w:rPr>
                <w:rFonts w:asciiTheme="minorHAnsi" w:hAnsiTheme="minorHAnsi" w:cstheme="minorHAnsi"/>
                <w:lang w:val="ru-RU"/>
              </w:rPr>
              <w:t>176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181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181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175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175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173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173</w:t>
            </w:r>
          </w:p>
        </w:tc>
      </w:tr>
    </w:tbl>
    <w:p w:rsidR="007A1DF0" w:rsidRPr="00807C8F" w:rsidRDefault="007A1DF0" w:rsidP="007A1DF0">
      <w:pPr>
        <w:spacing w:before="0"/>
        <w:rPr>
          <w:b/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974"/>
        <w:gridCol w:w="975"/>
        <w:gridCol w:w="974"/>
        <w:gridCol w:w="975"/>
        <w:gridCol w:w="974"/>
        <w:gridCol w:w="975"/>
        <w:gridCol w:w="974"/>
        <w:gridCol w:w="975"/>
      </w:tblGrid>
      <w:tr w:rsidR="007A1DF0" w:rsidRPr="00807C8F" w:rsidTr="000A3E2C">
        <w:trPr>
          <w:trHeight w:val="315"/>
        </w:trPr>
        <w:tc>
          <w:tcPr>
            <w:tcW w:w="1838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Год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2012</w:t>
            </w:r>
          </w:p>
        </w:tc>
        <w:tc>
          <w:tcPr>
            <w:tcW w:w="975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2013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2014</w:t>
            </w:r>
          </w:p>
        </w:tc>
        <w:tc>
          <w:tcPr>
            <w:tcW w:w="975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2015</w:t>
            </w:r>
          </w:p>
        </w:tc>
        <w:tc>
          <w:tcPr>
            <w:tcW w:w="974" w:type="dxa"/>
            <w:noWrap/>
            <w:hideMark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2016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lang w:val="ru-RU"/>
              </w:rPr>
            </w:pPr>
            <w:r w:rsidRPr="00807C8F">
              <w:rPr>
                <w:lang w:val="ru-RU"/>
              </w:rPr>
              <w:t>2017</w:t>
            </w:r>
          </w:p>
        </w:tc>
        <w:tc>
          <w:tcPr>
            <w:tcW w:w="974" w:type="dxa"/>
          </w:tcPr>
          <w:p w:rsidR="007A1DF0" w:rsidRPr="00807C8F" w:rsidRDefault="007A1DF0" w:rsidP="00772D18">
            <w:pPr>
              <w:pStyle w:val="Tablehead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2018</w:t>
            </w:r>
          </w:p>
        </w:tc>
        <w:tc>
          <w:tcPr>
            <w:tcW w:w="975" w:type="dxa"/>
          </w:tcPr>
          <w:p w:rsidR="007A1DF0" w:rsidRPr="00807C8F" w:rsidRDefault="007A1DF0" w:rsidP="00772D18">
            <w:pPr>
              <w:pStyle w:val="Tablehead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2019</w:t>
            </w:r>
          </w:p>
        </w:tc>
      </w:tr>
      <w:tr w:rsidR="007A1DF0" w:rsidRPr="00807C8F" w:rsidTr="000A3E2C">
        <w:trPr>
          <w:trHeight w:val="281"/>
        </w:trPr>
        <w:tc>
          <w:tcPr>
            <w:tcW w:w="1838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Документ</w:t>
            </w:r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1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2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3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4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  <w:tcMar>
              <w:left w:w="29" w:type="dxa"/>
              <w:right w:w="29" w:type="dxa"/>
            </w:tcMar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5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6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4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7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  <w:tc>
          <w:tcPr>
            <w:tcW w:w="975" w:type="dxa"/>
          </w:tcPr>
          <w:p w:rsidR="007A1DF0" w:rsidRPr="00807C8F" w:rsidRDefault="00794AF1" w:rsidP="00772D18">
            <w:pPr>
              <w:pStyle w:val="Tabletext"/>
              <w:jc w:val="center"/>
              <w:rPr>
                <w:u w:val="single"/>
                <w:lang w:val="ru-RU"/>
              </w:rPr>
            </w:pPr>
            <w:hyperlink r:id="rId48" w:history="1">
              <w:r w:rsidR="007A1DF0" w:rsidRPr="00807C8F">
                <w:rPr>
                  <w:rStyle w:val="Hyperlink"/>
                  <w:lang w:val="ru-RU"/>
                </w:rPr>
                <w:t>C17/10</w:t>
              </w:r>
            </w:hyperlink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</w:tcPr>
          <w:p w:rsidR="007A1DF0" w:rsidRPr="00807C8F" w:rsidRDefault="007A1DF0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Страница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</w:t>
            </w:r>
          </w:p>
        </w:tc>
      </w:tr>
      <w:tr w:rsidR="007A1DF0" w:rsidRPr="00807C8F" w:rsidTr="000A3E2C">
        <w:trPr>
          <w:trHeight w:val="300"/>
        </w:trPr>
        <w:tc>
          <w:tcPr>
            <w:tcW w:w="1838" w:type="dxa"/>
            <w:vAlign w:val="center"/>
          </w:tcPr>
          <w:p w:rsidR="007A1DF0" w:rsidRPr="00807C8F" w:rsidRDefault="00807C8F" w:rsidP="00772D18">
            <w:pPr>
              <w:pStyle w:val="Tabletext"/>
              <w:rPr>
                <w:lang w:val="ru-RU"/>
              </w:rPr>
            </w:pPr>
            <w:r w:rsidRPr="00807C8F">
              <w:rPr>
                <w:lang w:val="ru-RU"/>
              </w:rPr>
              <w:t>Количест</w:t>
            </w:r>
            <w:r w:rsidR="007A1DF0" w:rsidRPr="00807C8F">
              <w:rPr>
                <w:lang w:val="ru-RU"/>
              </w:rPr>
              <w:t>во постов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158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157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158</w:t>
            </w:r>
          </w:p>
        </w:tc>
        <w:tc>
          <w:tcPr>
            <w:tcW w:w="975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157</w:t>
            </w:r>
          </w:p>
        </w:tc>
        <w:tc>
          <w:tcPr>
            <w:tcW w:w="974" w:type="dxa"/>
            <w:noWrap/>
            <w:vAlign w:val="bottom"/>
            <w:hideMark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141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lang w:val="ru-RU"/>
              </w:rPr>
            </w:pPr>
            <w:r w:rsidRPr="00807C8F">
              <w:rPr>
                <w:lang w:val="ru-RU"/>
              </w:rPr>
              <w:t>141</w:t>
            </w:r>
          </w:p>
        </w:tc>
        <w:tc>
          <w:tcPr>
            <w:tcW w:w="974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139</w:t>
            </w:r>
          </w:p>
        </w:tc>
        <w:tc>
          <w:tcPr>
            <w:tcW w:w="975" w:type="dxa"/>
            <w:vAlign w:val="bottom"/>
          </w:tcPr>
          <w:p w:rsidR="007A1DF0" w:rsidRPr="00807C8F" w:rsidRDefault="007A1DF0" w:rsidP="00772D18">
            <w:pPr>
              <w:pStyle w:val="Tabletext"/>
              <w:ind w:right="170"/>
              <w:jc w:val="right"/>
              <w:rPr>
                <w:color w:val="FF0000"/>
                <w:lang w:val="ru-RU"/>
              </w:rPr>
            </w:pPr>
            <w:r w:rsidRPr="00807C8F">
              <w:rPr>
                <w:color w:val="FF0000"/>
                <w:lang w:val="ru-RU"/>
              </w:rPr>
              <w:t>139</w:t>
            </w:r>
          </w:p>
        </w:tc>
      </w:tr>
    </w:tbl>
    <w:p w:rsidR="007A1DF0" w:rsidRPr="00807C8F" w:rsidRDefault="007A1DF0" w:rsidP="000A3E2C">
      <w:pPr>
        <w:pStyle w:val="Normalaftertitle"/>
        <w:rPr>
          <w:b/>
          <w:lang w:val="ru-RU"/>
        </w:rPr>
      </w:pPr>
      <w:r w:rsidRPr="00807C8F">
        <w:rPr>
          <w:lang w:val="ru-RU"/>
        </w:rPr>
        <w:t>Рисунок 3 иллюстрирует изменение штатного расписания: Бюро радиосвязи (</w:t>
      </w:r>
      <w:r w:rsidR="00AC1860">
        <w:rPr>
          <w:lang w:val="ru-RU"/>
        </w:rPr>
        <w:t>БР</w:t>
      </w:r>
      <w:r w:rsidRPr="00807C8F">
        <w:rPr>
          <w:lang w:val="ru-RU"/>
        </w:rPr>
        <w:t>), Бюро развития электросвязи (</w:t>
      </w:r>
      <w:r w:rsidR="00AC1860">
        <w:rPr>
          <w:lang w:val="ru-RU"/>
        </w:rPr>
        <w:t>БРЭ</w:t>
      </w:r>
      <w:r w:rsidRPr="00807C8F">
        <w:rPr>
          <w:lang w:val="ru-RU"/>
        </w:rPr>
        <w:t>) и Бюро стандартизации электросвязи (</w:t>
      </w:r>
      <w:r w:rsidR="00AC1860">
        <w:rPr>
          <w:lang w:val="ru-RU"/>
        </w:rPr>
        <w:t>БСЭ</w:t>
      </w:r>
      <w:r w:rsidRPr="00807C8F">
        <w:rPr>
          <w:lang w:val="ru-RU"/>
        </w:rPr>
        <w:t>) МСЭ в 2004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2017 годах и проект на 2018</w:t>
      </w:r>
      <w:r w:rsidR="00FC056B" w:rsidRPr="00807C8F">
        <w:rPr>
          <w:lang w:val="ru-RU"/>
        </w:rPr>
        <w:t>–</w:t>
      </w:r>
      <w:r w:rsidRPr="00807C8F">
        <w:rPr>
          <w:lang w:val="ru-RU"/>
        </w:rPr>
        <w:t>2019 годы.</w:t>
      </w:r>
    </w:p>
    <w:p w:rsidR="00FC056B" w:rsidRPr="00807C8F" w:rsidRDefault="00FC056B" w:rsidP="00FC056B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3</w:t>
      </w:r>
    </w:p>
    <w:p w:rsidR="007A1DF0" w:rsidRPr="00807C8F" w:rsidRDefault="007A1DF0" w:rsidP="000A3E2C">
      <w:pPr>
        <w:pStyle w:val="Figuretitle"/>
        <w:rPr>
          <w:lang w:val="ru-RU"/>
        </w:rPr>
      </w:pPr>
      <w:r w:rsidRPr="00807C8F">
        <w:rPr>
          <w:lang w:val="ru-RU"/>
        </w:rPr>
        <w:t xml:space="preserve">Изменение штатных расписаний </w:t>
      </w:r>
      <w:r w:rsidR="000A3E2C" w:rsidRPr="00807C8F">
        <w:rPr>
          <w:lang w:val="ru-RU"/>
        </w:rPr>
        <w:t xml:space="preserve">Бюро радиосвязи, Бюро развития электросвязи </w:t>
      </w:r>
      <w:r w:rsidR="000A3E2C">
        <w:rPr>
          <w:lang w:val="ru-RU"/>
        </w:rPr>
        <w:br/>
      </w:r>
      <w:r w:rsidR="000A3E2C" w:rsidRPr="00807C8F">
        <w:rPr>
          <w:lang w:val="ru-RU"/>
        </w:rPr>
        <w:t>и Бюро стандартизации электросвязи в 2004–2017 годы</w:t>
      </w:r>
      <w:r w:rsidRPr="00807C8F">
        <w:rPr>
          <w:lang w:val="ru-RU"/>
        </w:rPr>
        <w:br/>
        <w:t>(количества должност</w:t>
      </w:r>
      <w:r w:rsidR="000A3E2C">
        <w:rPr>
          <w:lang w:val="ru-RU"/>
        </w:rPr>
        <w:t>ей, предусмотренных в бюджете)</w:t>
      </w:r>
    </w:p>
    <w:p w:rsidR="007A1DF0" w:rsidRPr="00807C8F" w:rsidRDefault="000A3E2C" w:rsidP="000A3E2C">
      <w:pPr>
        <w:jc w:val="both"/>
        <w:rPr>
          <w:lang w:val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5314950</wp:posOffset>
                </wp:positionH>
                <wp:positionV relativeFrom="paragraph">
                  <wp:posOffset>1286179</wp:posOffset>
                </wp:positionV>
                <wp:extent cx="809763" cy="1542553"/>
                <wp:effectExtent l="0" t="0" r="9525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763" cy="1542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1C" w:rsidRPr="00C83D79" w:rsidRDefault="00B50B1C" w:rsidP="00C83D79">
                            <w:pPr>
                              <w:spacing w:before="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БР</w:t>
                            </w:r>
                          </w:p>
                          <w:p w:rsidR="00B50B1C" w:rsidRPr="00C83D79" w:rsidRDefault="00B50B1C" w:rsidP="00C83D79">
                            <w:pPr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БРЭ</w:t>
                            </w:r>
                          </w:p>
                          <w:p w:rsidR="00B50B1C" w:rsidRPr="00C83D79" w:rsidRDefault="00B50B1C" w:rsidP="00C83D79">
                            <w:pPr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БСЭ</w:t>
                            </w:r>
                          </w:p>
                          <w:p w:rsidR="00B50B1C" w:rsidRPr="00C83D79" w:rsidRDefault="00B50B1C" w:rsidP="00C83D79">
                            <w:pPr>
                              <w:spacing w:before="6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Полином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proofErr w:type="spellStart"/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апроксим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(БР)</w:t>
                            </w:r>
                          </w:p>
                          <w:p w:rsidR="00B50B1C" w:rsidRPr="00C83D79" w:rsidRDefault="00B50B1C" w:rsidP="00C83D79">
                            <w:pPr>
                              <w:spacing w:before="6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Полином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proofErr w:type="spellStart"/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апроксим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(БРЭ)</w:t>
                            </w:r>
                          </w:p>
                          <w:p w:rsidR="00B50B1C" w:rsidRPr="00C83D79" w:rsidRDefault="00B50B1C" w:rsidP="00C83D79">
                            <w:pPr>
                              <w:spacing w:before="0"/>
                              <w:ind w:left="-113" w:right="-113"/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proofErr w:type="spellStart"/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Линейн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. 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br/>
                            </w:r>
                            <w:proofErr w:type="spellStart"/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>апроксим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C83D79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(БСЭ)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101.25pt;width:63.7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" fillcolor="white [3212]" stroked="f" strokeweight=".5pt">
                <v:textbox>
                  <w:txbxContent>
                    <w:p w:rsidR="00B50B1C" w:rsidRPr="00C83D79" w:rsidRDefault="00B50B1C" w:rsidP="00C83D79">
                      <w:pPr>
                        <w:spacing w:before="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</w:t>
                      </w:r>
                      <w:proofErr w:type="spellEnd"/>
                    </w:p>
                    <w:p w:rsidR="00B50B1C" w:rsidRPr="00C83D79" w:rsidRDefault="00B50B1C" w:rsidP="00C83D79">
                      <w:pPr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БРЭ</w:t>
                      </w:r>
                      <w:proofErr w:type="spellEnd"/>
                    </w:p>
                    <w:p w:rsidR="00B50B1C" w:rsidRPr="00C83D79" w:rsidRDefault="00B50B1C" w:rsidP="00C83D79">
                      <w:pPr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БСЭ</w:t>
                      </w:r>
                      <w:proofErr w:type="spellEnd"/>
                    </w:p>
                    <w:p w:rsidR="00B50B1C" w:rsidRPr="00C83D79" w:rsidRDefault="00B50B1C" w:rsidP="00C83D79">
                      <w:pPr>
                        <w:spacing w:before="6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Полином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B50B1C" w:rsidRPr="00C83D79" w:rsidRDefault="00B50B1C" w:rsidP="00C83D79">
                      <w:pPr>
                        <w:spacing w:before="6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Полином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БРЭ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  <w:p w:rsidR="00B50B1C" w:rsidRPr="00C83D79" w:rsidRDefault="00B50B1C" w:rsidP="00C83D79">
                      <w:pPr>
                        <w:spacing w:before="0"/>
                        <w:ind w:left="-113" w:right="-113"/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Линейн</w:t>
                      </w:r>
                      <w:proofErr w:type="spellEnd"/>
                      <w:proofErr w:type="gramStart"/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. 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br/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апроксим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proofErr w:type="spellStart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БСЭ</w:t>
                      </w:r>
                      <w:proofErr w:type="spellEnd"/>
                      <w:r w:rsidRPr="00C83D79">
                        <w:rPr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0CC5">
        <w:rPr>
          <w:noProof/>
          <w:lang w:eastAsia="zh-CN"/>
        </w:rPr>
        <w:drawing>
          <wp:inline distT="0" distB="0" distL="0" distR="0" wp14:anchorId="669C2218" wp14:editId="0ED4DDB9">
            <wp:extent cx="6120765" cy="3917950"/>
            <wp:effectExtent l="0" t="0" r="13335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A1DF0" w:rsidRPr="00807C8F" w:rsidRDefault="007A1DF0" w:rsidP="000A3E2C">
      <w:pPr>
        <w:pStyle w:val="Normalaftertitle"/>
        <w:rPr>
          <w:lang w:val="ru-RU"/>
        </w:rPr>
      </w:pPr>
      <w:r w:rsidRPr="00807C8F">
        <w:rPr>
          <w:lang w:val="ru-RU"/>
        </w:rPr>
        <w:t>На протяжении последнего 20-летнего периода произошла серьезная перестройка методов работы Бюро радиосвязи. В этот период времени: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был осуществлен переход с ручных методов переноса данных, полученных от пользователей на бумажных носителях, на получение данных пользователей непосредственно в электронном формате;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значительно расширено использование информационно-коммуникационных технологий (ИКТ) при проведении анализа заявок на частотные присвоения систем и станций наземных и космических служб;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осуществлен переход на электронные методы обмена данными между БР, Государствами-Членами МСЭ и Членами Сектора;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 xml:space="preserve">произведен переход на электронные методы публикации документов МСЭ-R, включая публикацию результатов </w:t>
      </w:r>
      <w:proofErr w:type="spellStart"/>
      <w:r w:rsidR="007A1DF0" w:rsidRPr="00807C8F">
        <w:rPr>
          <w:lang w:val="ru-RU"/>
        </w:rPr>
        <w:t>регламентарной</w:t>
      </w:r>
      <w:proofErr w:type="spellEnd"/>
      <w:r w:rsidR="007A1DF0" w:rsidRPr="00807C8F">
        <w:rPr>
          <w:lang w:val="ru-RU"/>
        </w:rPr>
        <w:t xml:space="preserve"> и технической экспертизы заявок;</w:t>
      </w:r>
    </w:p>
    <w:p w:rsidR="007A1DF0" w:rsidRPr="00807C8F" w:rsidRDefault="00FC056B" w:rsidP="00FC056B">
      <w:pPr>
        <w:pStyle w:val="enumlev1"/>
        <w:rPr>
          <w:lang w:val="ru-RU"/>
        </w:rPr>
      </w:pPr>
      <w:r w:rsidRPr="00807C8F">
        <w:rPr>
          <w:lang w:val="ru-RU"/>
        </w:rPr>
        <w:t>–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разработан целый ряд программных пакетов и систем, обеспечивающих решение вышеперечисленных задач.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Упомянутые шаги и другие мероприятия позволили значительно повысить эффективность деятельности персонала БР, а также персонала Государств-Членов МСЭ и Членов Сектора за счет использования программных продуктов БР при подготовке заявок на частотные присвоения, осуществления контроля правильности подготовки информации и, как результат, устранения </w:t>
      </w:r>
      <w:r w:rsidRPr="00807C8F">
        <w:rPr>
          <w:lang w:val="ru-RU"/>
        </w:rPr>
        <w:lastRenderedPageBreak/>
        <w:t>необходимости многократного взаимодействия со специалистами БР. Публикация данных в электронном виде позволяет использовать эти данные при координации, что также способствует повышению эффективности координации.</w:t>
      </w:r>
    </w:p>
    <w:p w:rsidR="007A1DF0" w:rsidRPr="00807C8F" w:rsidRDefault="007A1DF0" w:rsidP="008B74A2">
      <w:pPr>
        <w:rPr>
          <w:lang w:val="ru-RU"/>
        </w:rPr>
      </w:pPr>
      <w:r w:rsidRPr="00807C8F">
        <w:rPr>
          <w:lang w:val="ru-RU"/>
        </w:rPr>
        <w:t>Перечисленные меры позволили значительно и обоснованно сократи</w:t>
      </w:r>
      <w:r w:rsidR="008B74A2" w:rsidRPr="00807C8F">
        <w:rPr>
          <w:lang w:val="ru-RU"/>
        </w:rPr>
        <w:t>ть численность персонал БР (см. Р</w:t>
      </w:r>
      <w:r w:rsidRPr="00807C8F">
        <w:rPr>
          <w:lang w:val="ru-RU"/>
        </w:rPr>
        <w:t>исунок 3), однако автоматизация любых процессов, а особенно столь сложного процесса, каким является управление использования спектра и спутниковых орбит на международном уровне, имеет свои пределы, поэтому сокращение персонала не может продолжаться бесконечно.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Интересно отметить, что численность секретариата МККР</w:t>
      </w:r>
      <w:r w:rsidRPr="00807C8F">
        <w:rPr>
          <w:rStyle w:val="FootnoteReference"/>
          <w:lang w:val="ru-RU"/>
        </w:rPr>
        <w:footnoteReference w:id="1"/>
      </w:r>
      <w:r w:rsidRPr="00807C8F">
        <w:rPr>
          <w:lang w:val="ru-RU"/>
        </w:rPr>
        <w:t xml:space="preserve"> в конце 80-х годов составляла около 30</w:t>
      </w:r>
      <w:r w:rsidRPr="00807C8F">
        <w:rPr>
          <w:rFonts w:cs="Calibri"/>
          <w:lang w:val="ru-RU"/>
        </w:rPr>
        <w:t>± (МККТТ</w:t>
      </w:r>
      <w:r w:rsidRPr="00807C8F">
        <w:rPr>
          <w:rStyle w:val="FootnoteReference"/>
          <w:rFonts w:cs="Calibri"/>
          <w:lang w:val="ru-RU"/>
        </w:rPr>
        <w:footnoteReference w:id="2"/>
      </w:r>
      <w:r w:rsidRPr="00807C8F">
        <w:rPr>
          <w:rFonts w:cs="Calibri"/>
          <w:lang w:val="ru-RU"/>
        </w:rPr>
        <w:t xml:space="preserve"> – около 40+)</w:t>
      </w:r>
      <w:r w:rsidRPr="00807C8F">
        <w:rPr>
          <w:lang w:val="ru-RU"/>
        </w:rPr>
        <w:t>, а в настоящее время в штате Департаменте исследовательских комиссий БР, выполняющих аналогичные функции, состоит всего 16 сотрудников.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Тенденция отрицательной динамики численности персонала в секторе вызвала озабоченность делегатов на сессии Совета 2015 года. В Отчет Председателя постоянного Комитета по администрированию и управлению (Документ </w:t>
      </w:r>
      <w:hyperlink r:id="rId50" w:history="1">
        <w:r w:rsidRPr="00807C8F">
          <w:rPr>
            <w:rStyle w:val="Hyperlink"/>
            <w:lang w:val="ru-RU"/>
          </w:rPr>
          <w:t>C15/105 (Rev.1)</w:t>
        </w:r>
      </w:hyperlink>
      <w:r w:rsidRPr="00807C8F">
        <w:rPr>
          <w:lang w:val="ru-RU"/>
        </w:rPr>
        <w:t>) было включено следующее обращение Совета к руководству Секретариата МСЭ: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"1.12</w:t>
      </w:r>
      <w:r w:rsidRPr="00807C8F">
        <w:rPr>
          <w:lang w:val="ru-RU"/>
        </w:rPr>
        <w:tab/>
        <w:t>Некоторые делегаты отметили существенное сокращение предусмотренных в бюджете должностей в Бюро радиосвязи, которое имело место в 2011−2015 годах, и важность его программы работы согласно Стратегическому плану и оперативным планам. В свете этого делегаты обратились с просьбой к руководству МСЭ при подготовке проектов бюджетов на будущие двухгодичные периоды воздержаться от дальнейшего сокращения предусмотренных в бюджете должностей в Бюро радиосвязи, поскольку это окажет отрицательное воздействие на выполнение в полном масштабе его программы работы".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>Однако, как показано в Документе </w:t>
      </w:r>
      <w:hyperlink r:id="rId51" w:history="1">
        <w:r w:rsidRPr="00807C8F">
          <w:rPr>
            <w:rStyle w:val="Hyperlink"/>
            <w:lang w:val="ru-RU"/>
          </w:rPr>
          <w:t>C17/10</w:t>
        </w:r>
      </w:hyperlink>
      <w:r w:rsidRPr="00807C8F">
        <w:rPr>
          <w:lang w:val="ru-RU"/>
        </w:rPr>
        <w:t>, в проекте бюджета на 2018</w:t>
      </w:r>
      <w:r w:rsidR="008B74A2" w:rsidRPr="00807C8F">
        <w:rPr>
          <w:lang w:val="ru-RU"/>
        </w:rPr>
        <w:t>–</w:t>
      </w:r>
      <w:r w:rsidRPr="00807C8F">
        <w:rPr>
          <w:lang w:val="ru-RU"/>
        </w:rPr>
        <w:t>2019 годы планируется дальнейшее сокращение количества должностей Бюро радиосвязи.</w:t>
      </w:r>
    </w:p>
    <w:p w:rsidR="007A1DF0" w:rsidRPr="00807C8F" w:rsidRDefault="007A1DF0" w:rsidP="00FC056B">
      <w:pPr>
        <w:pStyle w:val="Heading2"/>
        <w:rPr>
          <w:lang w:val="ru-RU"/>
        </w:rPr>
      </w:pPr>
      <w:r w:rsidRPr="00807C8F">
        <w:rPr>
          <w:lang w:val="ru-RU"/>
        </w:rPr>
        <w:t>2.3</w:t>
      </w:r>
      <w:r w:rsidRPr="00807C8F">
        <w:rPr>
          <w:lang w:val="ru-RU"/>
        </w:rPr>
        <w:tab/>
        <w:t>Оценка достаточности финансовых и людских ресурсов Бюро радиосвязи для выполнения поставленных перед БР задач</w:t>
      </w:r>
    </w:p>
    <w:p w:rsidR="007A1DF0" w:rsidRPr="00807C8F" w:rsidRDefault="007A1DF0" w:rsidP="00FC056B">
      <w:pPr>
        <w:rPr>
          <w:lang w:val="ru-RU"/>
        </w:rPr>
      </w:pPr>
      <w:r w:rsidRPr="00807C8F">
        <w:rPr>
          <w:lang w:val="ru-RU"/>
        </w:rPr>
        <w:t xml:space="preserve">Одним из наиболее объективных показателей успешного функционирования Бюро радиосвязи являются данные, касающиеся времени обработки заявок на спутниковые сети. Следует отметить, что, в соответствии с пунктом </w:t>
      </w:r>
      <w:r w:rsidRPr="00807C8F">
        <w:rPr>
          <w:b/>
          <w:lang w:val="ru-RU"/>
        </w:rPr>
        <w:t>9.38</w:t>
      </w:r>
      <w:r w:rsidRPr="00807C8F">
        <w:rPr>
          <w:lang w:val="ru-RU"/>
        </w:rPr>
        <w:t xml:space="preserve"> Регламента радиосвязи, БР должно по получении запроса на координацию частотного присвоения опубликовать "полную информацию в Международном информационном циркуляре по частотам (ИФИК БР) в течение четырех месяцев".</w:t>
      </w:r>
    </w:p>
    <w:p w:rsidR="007A1DF0" w:rsidRPr="00807C8F" w:rsidRDefault="007A1DF0" w:rsidP="008B74A2">
      <w:pPr>
        <w:rPr>
          <w:lang w:val="ru-RU"/>
        </w:rPr>
      </w:pPr>
      <w:r w:rsidRPr="00807C8F">
        <w:rPr>
          <w:lang w:val="ru-RU"/>
        </w:rPr>
        <w:t>На основе анализа данных за 2015</w:t>
      </w:r>
      <w:r w:rsidR="008B74A2" w:rsidRPr="00807C8F">
        <w:rPr>
          <w:lang w:val="ru-RU"/>
        </w:rPr>
        <w:t>–</w:t>
      </w:r>
      <w:r w:rsidRPr="00807C8F">
        <w:rPr>
          <w:lang w:val="ru-RU"/>
        </w:rPr>
        <w:t xml:space="preserve">2016 годы и начала 2017 года, приведенных в Отчетах Директора Бюро радиосвязи собраниям </w:t>
      </w:r>
      <w:proofErr w:type="spellStart"/>
      <w:r w:rsidRPr="00807C8F">
        <w:rPr>
          <w:lang w:val="ru-RU"/>
        </w:rPr>
        <w:t>Радиорегламентарного</w:t>
      </w:r>
      <w:proofErr w:type="spellEnd"/>
      <w:r w:rsidRPr="00807C8F">
        <w:rPr>
          <w:lang w:val="ru-RU"/>
        </w:rPr>
        <w:t xml:space="preserve"> комитета 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 xml:space="preserve"> РРК (Документы </w:t>
      </w:r>
      <w:hyperlink r:id="rId52" w:history="1">
        <w:r w:rsidRPr="00807C8F">
          <w:rPr>
            <w:rStyle w:val="Hyperlink"/>
            <w:lang w:val="ru-RU"/>
          </w:rPr>
          <w:t>RRB15-3/4</w:t>
        </w:r>
      </w:hyperlink>
      <w:r w:rsidRPr="00807C8F">
        <w:rPr>
          <w:lang w:val="ru-RU"/>
        </w:rPr>
        <w:t xml:space="preserve">, </w:t>
      </w:r>
      <w:hyperlink r:id="rId53" w:history="1">
        <w:r w:rsidRPr="00807C8F">
          <w:rPr>
            <w:rStyle w:val="Hyperlink"/>
            <w:lang w:val="ru-RU"/>
          </w:rPr>
          <w:t>RRB</w:t>
        </w:r>
        <w:r w:rsidR="000A3E2C">
          <w:rPr>
            <w:rStyle w:val="Hyperlink"/>
            <w:lang w:val="ru-RU"/>
          </w:rPr>
          <w:t>16</w:t>
        </w:r>
        <w:r w:rsidR="000A3E2C">
          <w:rPr>
            <w:rStyle w:val="Hyperlink"/>
            <w:lang w:val="ru-RU"/>
          </w:rPr>
          <w:noBreakHyphen/>
        </w:r>
        <w:r w:rsidRPr="00807C8F">
          <w:rPr>
            <w:rStyle w:val="Hyperlink"/>
            <w:lang w:val="ru-RU"/>
          </w:rPr>
          <w:t>1/5</w:t>
        </w:r>
      </w:hyperlink>
      <w:r w:rsidRPr="00807C8F">
        <w:rPr>
          <w:lang w:val="ru-RU"/>
        </w:rPr>
        <w:t xml:space="preserve"> и </w:t>
      </w:r>
      <w:hyperlink r:id="rId54" w:history="1">
        <w:r w:rsidRPr="00807C8F">
          <w:rPr>
            <w:rStyle w:val="Hyperlink"/>
            <w:lang w:val="ru-RU"/>
          </w:rPr>
          <w:t>RRB17-1/3</w:t>
        </w:r>
      </w:hyperlink>
      <w:r w:rsidRPr="00807C8F">
        <w:rPr>
          <w:lang w:val="ru-RU"/>
        </w:rPr>
        <w:t xml:space="preserve">), и статистических данных Департамента космических служб БР </w:t>
      </w:r>
      <w:r w:rsidR="000A3E2C">
        <w:rPr>
          <w:lang w:val="ru-RU"/>
        </w:rPr>
        <w:t>(см. </w:t>
      </w:r>
      <w:r w:rsidR="009032B1" w:rsidRPr="00807C8F">
        <w:rPr>
          <w:lang w:val="ru-RU"/>
        </w:rPr>
        <w:t>в</w:t>
      </w:r>
      <w:r w:rsidR="000A3E2C">
        <w:rPr>
          <w:lang w:val="ru-RU"/>
        </w:rPr>
        <w:t>еб</w:t>
      </w:r>
      <w:r w:rsidR="000A3E2C">
        <w:rPr>
          <w:lang w:val="ru-RU"/>
        </w:rPr>
        <w:noBreakHyphen/>
      </w:r>
      <w:r w:rsidRPr="00807C8F">
        <w:rPr>
          <w:lang w:val="ru-RU"/>
        </w:rPr>
        <w:t xml:space="preserve">страницу по адресу: </w:t>
      </w:r>
      <w:hyperlink r:id="rId55" w:history="1">
        <w:r w:rsidRPr="00807C8F">
          <w:rPr>
            <w:rStyle w:val="Hyperlink"/>
            <w:lang w:val="ru-RU"/>
          </w:rPr>
          <w:t>https://www.itu.int/ITU-R/go/space-statistics/en</w:t>
        </w:r>
      </w:hyperlink>
      <w:r w:rsidRPr="00807C8F">
        <w:rPr>
          <w:lang w:val="ru-RU"/>
        </w:rPr>
        <w:t>), следует отметить, что в течение большей части этого периода БР не смогло выполнить требований п. </w:t>
      </w:r>
      <w:r w:rsidRPr="00807C8F">
        <w:rPr>
          <w:b/>
          <w:lang w:val="ru-RU"/>
        </w:rPr>
        <w:t>9.38</w:t>
      </w:r>
      <w:r w:rsidRPr="00807C8F">
        <w:rPr>
          <w:lang w:val="ru-RU"/>
        </w:rPr>
        <w:t xml:space="preserve"> РР. Более того, задержка в обработке заявок на спутниковые сети имеет тенденцию к увеличению. На </w:t>
      </w:r>
      <w:r w:rsidR="008B74A2" w:rsidRPr="00807C8F">
        <w:rPr>
          <w:lang w:val="ru-RU"/>
        </w:rPr>
        <w:t>Р</w:t>
      </w:r>
      <w:r w:rsidRPr="00807C8F">
        <w:rPr>
          <w:lang w:val="ru-RU"/>
        </w:rPr>
        <w:t>исунке 4, в качестве примера приведены данные, касающиеся обработки запросов на координацию в соответствии со Статьей </w:t>
      </w:r>
      <w:r w:rsidRPr="00807C8F">
        <w:rPr>
          <w:b/>
          <w:lang w:val="ru-RU"/>
        </w:rPr>
        <w:t>9</w:t>
      </w:r>
      <w:r w:rsidRPr="00807C8F">
        <w:rPr>
          <w:lang w:val="ru-RU"/>
        </w:rPr>
        <w:t xml:space="preserve"> РР, а также запросов в соответствии со Статьей 4 Приложений </w:t>
      </w:r>
      <w:r w:rsidRPr="00807C8F">
        <w:rPr>
          <w:b/>
          <w:lang w:val="ru-RU"/>
        </w:rPr>
        <w:t>30/30А</w:t>
      </w:r>
      <w:r w:rsidRPr="00807C8F">
        <w:rPr>
          <w:lang w:val="ru-RU"/>
        </w:rPr>
        <w:t> </w:t>
      </w:r>
      <w:r w:rsidR="009032B1" w:rsidRPr="00807C8F">
        <w:rPr>
          <w:lang w:val="ru-RU"/>
        </w:rPr>
        <w:t xml:space="preserve">к </w:t>
      </w:r>
      <w:r w:rsidRPr="00807C8F">
        <w:rPr>
          <w:lang w:val="ru-RU"/>
        </w:rPr>
        <w:t>РР и Статьями 6 и 7 Приложения </w:t>
      </w:r>
      <w:r w:rsidRPr="00807C8F">
        <w:rPr>
          <w:b/>
          <w:lang w:val="ru-RU"/>
        </w:rPr>
        <w:t>30В</w:t>
      </w:r>
      <w:r w:rsidRPr="00807C8F">
        <w:rPr>
          <w:lang w:val="ru-RU"/>
        </w:rPr>
        <w:t> </w:t>
      </w:r>
      <w:r w:rsidR="009032B1" w:rsidRPr="00807C8F">
        <w:rPr>
          <w:lang w:val="ru-RU"/>
        </w:rPr>
        <w:t xml:space="preserve">к </w:t>
      </w:r>
      <w:r w:rsidRPr="00807C8F">
        <w:rPr>
          <w:lang w:val="ru-RU"/>
        </w:rPr>
        <w:t>РР.</w:t>
      </w:r>
    </w:p>
    <w:p w:rsidR="007A1DF0" w:rsidRPr="00807C8F" w:rsidRDefault="004274DA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lastRenderedPageBreak/>
        <w:t>Для сравнения на Р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исунке 5 приведены аналогичные данные по периоду 2007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2008 годов, за исключением данных по Приложению </w:t>
      </w:r>
      <w:r w:rsidR="007A1DF0"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, так как в указанный период обработка заявок в соответствии с Приложением </w:t>
      </w:r>
      <w:r w:rsidR="007A1DF0"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 проводилась по весьма специфичным </w:t>
      </w:r>
      <w:proofErr w:type="spellStart"/>
      <w:r w:rsidR="007A1DF0" w:rsidRPr="00807C8F">
        <w:rPr>
          <w:rFonts w:asciiTheme="minorHAnsi" w:hAnsiTheme="minorHAnsi" w:cstheme="minorHAnsi"/>
          <w:szCs w:val="22"/>
          <w:lang w:val="ru-RU"/>
        </w:rPr>
        <w:t>регламентарным</w:t>
      </w:r>
      <w:proofErr w:type="spellEnd"/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 положениям, не позволяющим БР обрабатывать более 6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10 заявок в год, и теперь эти данные не соответствуют данным, полученным в результате применения действующего РР. Период 2007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−2008 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годов выбран, так как аналогично периоду 2015</w:t>
      </w:r>
      <w:r w:rsidR="009032B1" w:rsidRPr="00807C8F">
        <w:rPr>
          <w:rFonts w:asciiTheme="minorHAnsi" w:hAnsiTheme="minorHAnsi" w:cstheme="minorHAnsi"/>
          <w:szCs w:val="22"/>
          <w:lang w:val="ru-RU"/>
        </w:rPr>
        <w:t>–</w:t>
      </w:r>
      <w:r w:rsidR="007A1DF0" w:rsidRPr="00807C8F">
        <w:rPr>
          <w:rFonts w:asciiTheme="minorHAnsi" w:hAnsiTheme="minorHAnsi" w:cstheme="minorHAnsi"/>
          <w:szCs w:val="22"/>
          <w:lang w:val="ru-RU"/>
        </w:rPr>
        <w:t>2016 годов в указанном периоде проводилась ВКР. Исходные данные получены из документов РРК (Документы </w:t>
      </w:r>
      <w:hyperlink r:id="rId56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RRB07-3/2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, </w:t>
      </w:r>
      <w:hyperlink r:id="rId57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RRB08-1/1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 xml:space="preserve"> и </w:t>
      </w:r>
      <w:hyperlink r:id="rId58" w:history="1">
        <w:r w:rsidR="007A1DF0" w:rsidRPr="00807C8F">
          <w:rPr>
            <w:rStyle w:val="Hyperlink"/>
            <w:rFonts w:asciiTheme="minorHAnsi" w:hAnsiTheme="minorHAnsi" w:cstheme="minorHAnsi"/>
            <w:szCs w:val="22"/>
            <w:lang w:val="ru-RU"/>
          </w:rPr>
          <w:t>RRB09-1/1</w:t>
        </w:r>
      </w:hyperlink>
      <w:r w:rsidR="007A1DF0" w:rsidRPr="00807C8F">
        <w:rPr>
          <w:rFonts w:asciiTheme="minorHAnsi" w:hAnsiTheme="minorHAnsi" w:cstheme="minorHAnsi"/>
          <w:szCs w:val="22"/>
          <w:lang w:val="ru-RU"/>
        </w:rPr>
        <w:t>).</w:t>
      </w:r>
    </w:p>
    <w:p w:rsidR="007A1DF0" w:rsidRPr="00807C8F" w:rsidRDefault="007A1DF0" w:rsidP="007A1DF0">
      <w:pPr>
        <w:spacing w:before="80"/>
        <w:jc w:val="both"/>
        <w:rPr>
          <w:rFonts w:asciiTheme="minorHAnsi" w:hAnsiTheme="minorHAnsi" w:cstheme="minorHAnsi"/>
          <w:szCs w:val="22"/>
          <w:lang w:val="ru-RU"/>
        </w:rPr>
      </w:pPr>
      <w:r w:rsidRPr="00807C8F">
        <w:rPr>
          <w:lang w:val="ru-RU"/>
        </w:rPr>
        <w:t xml:space="preserve">Проблему нарушения сроков отметил в феврале этого года и </w:t>
      </w:r>
      <w:proofErr w:type="spellStart"/>
      <w:r w:rsidRPr="00807C8F">
        <w:rPr>
          <w:lang w:val="ru-RU"/>
        </w:rPr>
        <w:t>Радиорегламентарный</w:t>
      </w:r>
      <w:proofErr w:type="spellEnd"/>
      <w:r w:rsidRPr="00807C8F">
        <w:rPr>
          <w:lang w:val="ru-RU"/>
        </w:rPr>
        <w:t xml:space="preserve"> комитет, внеся в Краткий </w:t>
      </w:r>
      <w:r w:rsidRPr="00807C8F">
        <w:rPr>
          <w:rFonts w:asciiTheme="minorHAnsi" w:hAnsiTheme="minorHAnsi" w:cstheme="minorHAnsi"/>
          <w:szCs w:val="22"/>
          <w:lang w:val="ru-RU"/>
        </w:rPr>
        <w:t>обзор решений 74-го собрания РРК (Документ </w:t>
      </w:r>
      <w:hyperlink r:id="rId59" w:history="1">
        <w:r w:rsidRPr="00807C8F">
          <w:rPr>
            <w:rStyle w:val="Hyperlink"/>
            <w:rFonts w:asciiTheme="minorHAnsi" w:hAnsiTheme="minorHAnsi" w:cstheme="minorHAnsi"/>
            <w:szCs w:val="22"/>
            <w:lang w:val="ru-RU" w:eastAsia="zh-CN"/>
          </w:rPr>
          <w:t>RRB17-1/8</w:t>
        </w:r>
      </w:hyperlink>
      <w:r w:rsidRPr="00807C8F">
        <w:rPr>
          <w:rFonts w:asciiTheme="minorHAnsi" w:hAnsiTheme="minorHAnsi" w:cstheme="minorHAnsi"/>
          <w:szCs w:val="22"/>
          <w:lang w:val="ru-RU"/>
        </w:rPr>
        <w:t>) следующую запись:</w:t>
      </w:r>
    </w:p>
    <w:p w:rsidR="007A1DF0" w:rsidRPr="00807C8F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t xml:space="preserve">"Комитет отметил увеличение объема работы БР в результате возросшего числа и сложности заявок на регистрацию </w:t>
      </w:r>
      <w:r w:rsidRPr="00807C8F">
        <w:rPr>
          <w:lang w:val="ru-RU"/>
        </w:rPr>
        <w:t>спутниковых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систем, полученных в течение последних пятнадцати месяцев. Комитет выразил обеспокоенность в связи с тем, что это вызвало нарушение четырехмесячного </w:t>
      </w:r>
      <w:proofErr w:type="spellStart"/>
      <w:r w:rsidRPr="00807C8F">
        <w:rPr>
          <w:rFonts w:asciiTheme="minorHAnsi" w:hAnsiTheme="minorHAnsi" w:cstheme="minorHAnsi"/>
          <w:szCs w:val="22"/>
          <w:lang w:val="ru-RU"/>
        </w:rPr>
        <w:t>регламентарного</w:t>
      </w:r>
      <w:proofErr w:type="spellEnd"/>
      <w:r w:rsidRPr="00807C8F">
        <w:rPr>
          <w:rFonts w:asciiTheme="minorHAnsi" w:hAnsiTheme="minorHAnsi" w:cstheme="minorHAnsi"/>
          <w:szCs w:val="22"/>
          <w:lang w:val="ru-RU"/>
        </w:rPr>
        <w:t xml:space="preserve"> предельного срока обработки запросов о координации. Комитет поручил Директору приложить все усилия для того, чтобы в возможно краткие сроки вернуться к соблюдению </w:t>
      </w:r>
      <w:proofErr w:type="spellStart"/>
      <w:r w:rsidRPr="00807C8F">
        <w:rPr>
          <w:rFonts w:asciiTheme="minorHAnsi" w:hAnsiTheme="minorHAnsi" w:cstheme="minorHAnsi"/>
          <w:szCs w:val="22"/>
          <w:lang w:val="ru-RU"/>
        </w:rPr>
        <w:t>регламентарного</w:t>
      </w:r>
      <w:proofErr w:type="spellEnd"/>
      <w:r w:rsidRPr="00807C8F">
        <w:rPr>
          <w:rFonts w:asciiTheme="minorHAnsi" w:hAnsiTheme="minorHAnsi" w:cstheme="minorHAnsi"/>
          <w:szCs w:val="22"/>
          <w:lang w:val="ru-RU"/>
        </w:rPr>
        <w:t xml:space="preserve"> срока. Комитет отметил также, что решение этой проблемы может повлечь за собой финансовые последствия, которые относятся к сфере ответственности Совета".</w:t>
      </w:r>
    </w:p>
    <w:p w:rsidR="007A1DF0" w:rsidRPr="00807C8F" w:rsidRDefault="007A1DF0" w:rsidP="009032B1">
      <w:pPr>
        <w:rPr>
          <w:rFonts w:asciiTheme="minorHAnsi" w:hAnsiTheme="minorHAnsi" w:cstheme="minorHAnsi"/>
          <w:szCs w:val="22"/>
          <w:lang w:val="ru-RU"/>
        </w:rPr>
      </w:pPr>
      <w:r w:rsidRPr="00807C8F">
        <w:rPr>
          <w:rFonts w:asciiTheme="minorHAnsi" w:hAnsiTheme="minorHAnsi" w:cstheme="minorHAnsi"/>
          <w:szCs w:val="22"/>
          <w:lang w:val="ru-RU"/>
        </w:rPr>
        <w:t xml:space="preserve">Поддерживая заявление </w:t>
      </w:r>
      <w:proofErr w:type="spellStart"/>
      <w:r w:rsidRPr="00807C8F">
        <w:rPr>
          <w:rFonts w:asciiTheme="minorHAnsi" w:hAnsiTheme="minorHAnsi" w:cstheme="minorHAnsi"/>
          <w:szCs w:val="22"/>
          <w:lang w:val="ru-RU"/>
        </w:rPr>
        <w:t>Радиорегламентарного</w:t>
      </w:r>
      <w:proofErr w:type="spellEnd"/>
      <w:r w:rsidRPr="00807C8F">
        <w:rPr>
          <w:rFonts w:asciiTheme="minorHAnsi" w:hAnsiTheme="minorHAnsi" w:cstheme="minorHAnsi"/>
          <w:szCs w:val="22"/>
          <w:lang w:val="ru-RU"/>
        </w:rPr>
        <w:t xml:space="preserve"> комитета, следует также заметить, что хотя для заявок, </w:t>
      </w:r>
      <w:r w:rsidRPr="00807C8F">
        <w:rPr>
          <w:lang w:val="ru-RU"/>
        </w:rPr>
        <w:t>обрабатываемых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в соответствии с Приложениями 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, 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30А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и </w:t>
      </w:r>
      <w:r w:rsidRPr="00807C8F">
        <w:rPr>
          <w:rFonts w:asciiTheme="minorHAnsi" w:hAnsiTheme="minorHAnsi" w:cstheme="minorHAnsi"/>
          <w:b/>
          <w:szCs w:val="22"/>
          <w:lang w:val="ru-RU"/>
        </w:rPr>
        <w:t>30В</w:t>
      </w:r>
      <w:r w:rsidRPr="00807C8F">
        <w:rPr>
          <w:rFonts w:asciiTheme="minorHAnsi" w:hAnsiTheme="minorHAnsi" w:cstheme="minorHAnsi"/>
          <w:szCs w:val="22"/>
          <w:lang w:val="ru-RU"/>
        </w:rPr>
        <w:t xml:space="preserve"> (Спутниковые планы), не установлены предельные </w:t>
      </w:r>
      <w:proofErr w:type="spellStart"/>
      <w:r w:rsidRPr="00807C8F">
        <w:rPr>
          <w:rFonts w:asciiTheme="minorHAnsi" w:hAnsiTheme="minorHAnsi" w:cstheme="minorHAnsi"/>
          <w:szCs w:val="22"/>
          <w:lang w:val="ru-RU"/>
        </w:rPr>
        <w:t>регламентарные</w:t>
      </w:r>
      <w:proofErr w:type="spellEnd"/>
      <w:r w:rsidRPr="00807C8F">
        <w:rPr>
          <w:rFonts w:asciiTheme="minorHAnsi" w:hAnsiTheme="minorHAnsi" w:cstheme="minorHAnsi"/>
          <w:szCs w:val="22"/>
          <w:lang w:val="ru-RU"/>
        </w:rPr>
        <w:t xml:space="preserve"> сроки обработки, дальнейшее увеличение времени обработки не вызывает оптимизма.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По-видимому, в целях экономии ресурсов уже на протяжении многих лет не проводятся собрания Председателей и Вице-Председателей исследовательских комиссий, что не отвечает требованиям пункта А1.6.1.1 Резолюции МСЭ-R 1-7, уменьшена до 3 дней продолжительность собраний Консультационной группы по радиосвязи, в то время как на проведение собраний аналогичных групп других Секторов, а также очных собраний корреспондентских и руководящих групп КГСЭ и КГРЭ отводятся значительно более продолжительные отрезки времени (иногда такие собрания проводятся дважды в течение одного года) и так далее.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Из приведенного анализа следует заключение о недостаточности людских ресурсов Бюро радиосвязи для решения поставленных задач.</w:t>
      </w:r>
    </w:p>
    <w:p w:rsidR="007A1DF0" w:rsidRPr="00807C8F" w:rsidRDefault="007A1DF0" w:rsidP="007A1D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07C8F">
        <w:rPr>
          <w:lang w:val="ru-RU"/>
        </w:rPr>
        <w:br w:type="page"/>
      </w:r>
    </w:p>
    <w:p w:rsidR="009032B1" w:rsidRPr="00807C8F" w:rsidRDefault="009032B1" w:rsidP="009032B1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4</w:t>
      </w:r>
    </w:p>
    <w:p w:rsidR="007A1DF0" w:rsidRPr="00807C8F" w:rsidRDefault="007A1DF0" w:rsidP="009032B1">
      <w:pPr>
        <w:pStyle w:val="Figuretitle"/>
        <w:rPr>
          <w:lang w:val="ru-RU"/>
        </w:rPr>
      </w:pPr>
      <w:r w:rsidRPr="00807C8F">
        <w:rPr>
          <w:lang w:val="ru-RU"/>
        </w:rPr>
        <w:t>Статистические данные по обработке заявок на частотные</w:t>
      </w:r>
      <w:r w:rsidR="009032B1" w:rsidRPr="00807C8F">
        <w:rPr>
          <w:lang w:val="ru-RU"/>
        </w:rPr>
        <w:t xml:space="preserve"> присвоения космических служб в </w:t>
      </w:r>
      <w:r w:rsidRPr="00807C8F">
        <w:rPr>
          <w:lang w:val="ru-RU"/>
        </w:rPr>
        <w:t>период 2015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2016 годов</w:t>
      </w:r>
    </w:p>
    <w:p w:rsidR="007A1DF0" w:rsidRPr="000A3E2C" w:rsidRDefault="007A1DF0" w:rsidP="00807C8F">
      <w:pPr>
        <w:keepNext/>
        <w:keepLines/>
        <w:spacing w:before="0"/>
        <w:jc w:val="right"/>
        <w:rPr>
          <w:b/>
          <w:sz w:val="24"/>
          <w:szCs w:val="22"/>
          <w:lang w:val="ru-RU"/>
        </w:rPr>
      </w:pPr>
      <w:r w:rsidRPr="000A3E2C">
        <w:rPr>
          <w:b/>
          <w:bCs/>
          <w:sz w:val="18"/>
          <w:szCs w:val="18"/>
          <w:lang w:val="ru-RU"/>
        </w:rPr>
        <w:t>Месяц</w:t>
      </w:r>
      <w:r w:rsidR="00807C8F" w:rsidRPr="000A3E2C">
        <w:rPr>
          <w:b/>
          <w:bCs/>
          <w:sz w:val="18"/>
          <w:szCs w:val="18"/>
          <w:lang w:val="ru-RU"/>
        </w:rPr>
        <w:t>ы</w:t>
      </w:r>
    </w:p>
    <w:p w:rsidR="007A1DF0" w:rsidRPr="00807C8F" w:rsidRDefault="00754A4A" w:rsidP="007A1DF0">
      <w:pPr>
        <w:jc w:val="center"/>
        <w:rPr>
          <w:b/>
          <w:lang w:val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973539</wp:posOffset>
                </wp:positionH>
                <wp:positionV relativeFrom="paragraph">
                  <wp:posOffset>164355</wp:posOffset>
                </wp:positionV>
                <wp:extent cx="1510748" cy="95887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958877"/>
                        </a:xfrm>
                        <a:prstGeom prst="rect">
                          <a:avLst/>
                        </a:prstGeom>
                        <a:solidFill>
                          <a:srgbClr val="FFEA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1C" w:rsidRPr="00BD4461" w:rsidRDefault="00B50B1C" w:rsidP="00754A4A">
                            <w:pPr>
                              <w:spacing w:before="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 xml:space="preserve">Ст. 9 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CR</w:t>
                            </w:r>
                            <w:r w:rsidRPr="00BD4461">
                              <w:rPr>
                                <w:sz w:val="20"/>
                                <w:szCs w:val="18"/>
                                <w:lang w:val="ru-RU"/>
                              </w:rPr>
                              <w:t>/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:rsidR="00B50B1C" w:rsidRPr="00754A4A" w:rsidRDefault="00B50B1C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30/30А, Ст. 4</w:t>
                            </w:r>
                          </w:p>
                          <w:p w:rsidR="00B50B1C" w:rsidRPr="00754A4A" w:rsidRDefault="00B50B1C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30В, Ст. 6 и 7</w:t>
                            </w:r>
                          </w:p>
                          <w:p w:rsidR="00B50B1C" w:rsidRPr="00754A4A" w:rsidRDefault="00B50B1C" w:rsidP="00754A4A">
                            <w:pPr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Предел согласно п. 9.38 РР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6.65pt;margin-top:12.95pt;width:118.95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" fillcolor="#ffead5" stroked="f" strokeweight=".5pt">
                <v:textbox>
                  <w:txbxContent>
                    <w:p w:rsidR="00B50B1C" w:rsidRPr="00BD4461" w:rsidRDefault="00B50B1C" w:rsidP="00754A4A">
                      <w:pPr>
                        <w:spacing w:before="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Ст. 9 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CR</w:t>
                      </w:r>
                      <w:r w:rsidRPr="00BD4461">
                        <w:rPr>
                          <w:sz w:val="20"/>
                          <w:szCs w:val="18"/>
                          <w:lang w:val="ru-RU"/>
                        </w:rPr>
                        <w:t>/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</w:t>
                      </w:r>
                    </w:p>
                    <w:p w:rsidR="00B50B1C" w:rsidRPr="00754A4A" w:rsidRDefault="00B50B1C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Пр. 30/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30А</w:t>
                      </w:r>
                      <w:proofErr w:type="spellEnd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, Ст. 4</w:t>
                      </w:r>
                    </w:p>
                    <w:p w:rsidR="00B50B1C" w:rsidRPr="00754A4A" w:rsidRDefault="00B50B1C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Пр.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30В</w:t>
                      </w:r>
                      <w:proofErr w:type="spellEnd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, Ст. 6 и 7</w:t>
                      </w:r>
                    </w:p>
                    <w:p w:rsidR="00B50B1C" w:rsidRPr="00754A4A" w:rsidRDefault="00B50B1C" w:rsidP="00754A4A">
                      <w:pPr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Предел согласно п. 9.38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РР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1DF0" w:rsidRPr="00807C8F">
        <w:rPr>
          <w:noProof/>
          <w:lang w:eastAsia="zh-CN"/>
        </w:rPr>
        <w:drawing>
          <wp:inline distT="0" distB="0" distL="0" distR="0" wp14:anchorId="4A28C053" wp14:editId="1866FFE1">
            <wp:extent cx="6096000" cy="321945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7A1DF0" w:rsidRPr="00BD4461" w:rsidTr="007A1DF0">
        <w:trPr>
          <w:jc w:val="center"/>
        </w:trPr>
        <w:tc>
          <w:tcPr>
            <w:tcW w:w="9625" w:type="dxa"/>
            <w:tcBorders>
              <w:left w:val="nil"/>
              <w:bottom w:val="nil"/>
              <w:right w:val="nil"/>
            </w:tcBorders>
            <w:vAlign w:val="bottom"/>
          </w:tcPr>
          <w:p w:rsidR="007A1DF0" w:rsidRPr="00807C8F" w:rsidRDefault="007A1DF0" w:rsidP="00807C8F">
            <w:pPr>
              <w:pStyle w:val="Tablelegend"/>
              <w:rPr>
                <w:lang w:val="ru-RU"/>
              </w:rPr>
            </w:pPr>
            <w:r w:rsidRPr="00807C8F">
              <w:rPr>
                <w:lang w:val="ru-RU"/>
              </w:rPr>
              <w:tab/>
            </w:r>
            <w:proofErr w:type="spellStart"/>
            <w:r w:rsidRPr="00807C8F">
              <w:rPr>
                <w:lang w:val="ru-RU"/>
              </w:rPr>
              <w:t>Регламентарный</w:t>
            </w:r>
            <w:proofErr w:type="spellEnd"/>
            <w:r w:rsidRPr="00807C8F">
              <w:rPr>
                <w:lang w:val="ru-RU"/>
              </w:rPr>
              <w:t xml:space="preserve"> предельный срок согласно п. </w:t>
            </w:r>
            <w:r w:rsidRPr="00807C8F">
              <w:rPr>
                <w:b/>
                <w:bCs/>
                <w:lang w:val="ru-RU"/>
              </w:rPr>
              <w:t xml:space="preserve">9.38 </w:t>
            </w:r>
            <w:r w:rsidRPr="00807C8F">
              <w:rPr>
                <w:lang w:val="ru-RU"/>
              </w:rPr>
              <w:t xml:space="preserve">РР: </w:t>
            </w:r>
            <w:r w:rsidR="00807C8F" w:rsidRPr="00807C8F">
              <w:rPr>
                <w:lang w:val="ru-RU"/>
              </w:rPr>
              <w:t>четыре</w:t>
            </w:r>
            <w:r w:rsidRPr="00807C8F">
              <w:rPr>
                <w:lang w:val="ru-RU"/>
              </w:rPr>
              <w:t xml:space="preserve"> месяца.</w:t>
            </w:r>
          </w:p>
        </w:tc>
      </w:tr>
    </w:tbl>
    <w:p w:rsidR="009032B1" w:rsidRPr="00807C8F" w:rsidRDefault="009032B1" w:rsidP="009032B1">
      <w:pPr>
        <w:pStyle w:val="FigureNo"/>
        <w:rPr>
          <w:lang w:val="ru-RU"/>
        </w:rPr>
      </w:pPr>
      <w:r w:rsidRPr="00807C8F">
        <w:rPr>
          <w:lang w:val="ru-RU"/>
        </w:rPr>
        <w:lastRenderedPageBreak/>
        <w:t>Рисунок 5</w:t>
      </w:r>
    </w:p>
    <w:p w:rsidR="007A1DF0" w:rsidRPr="00807C8F" w:rsidRDefault="007A1DF0" w:rsidP="009032B1">
      <w:pPr>
        <w:pStyle w:val="Figuretitle"/>
        <w:rPr>
          <w:lang w:val="ru-RU"/>
        </w:rPr>
      </w:pPr>
      <w:r w:rsidRPr="00807C8F">
        <w:rPr>
          <w:lang w:val="ru-RU"/>
        </w:rPr>
        <w:t>Статистические данные по обработке заявок на частотные присвоения космических служб в</w:t>
      </w:r>
      <w:r w:rsidR="009032B1" w:rsidRPr="00807C8F">
        <w:rPr>
          <w:lang w:val="ru-RU"/>
        </w:rPr>
        <w:t> </w:t>
      </w:r>
      <w:r w:rsidRPr="00807C8F">
        <w:rPr>
          <w:lang w:val="ru-RU"/>
        </w:rPr>
        <w:t>период 2007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2008 годов</w:t>
      </w:r>
    </w:p>
    <w:p w:rsidR="007A1DF0" w:rsidRPr="00807C8F" w:rsidRDefault="007A1DF0" w:rsidP="00807C8F">
      <w:pPr>
        <w:keepNext/>
        <w:keepLines/>
        <w:spacing w:before="0"/>
        <w:jc w:val="right"/>
        <w:rPr>
          <w:b/>
          <w:lang w:val="ru-RU"/>
        </w:rPr>
      </w:pPr>
      <w:r w:rsidRPr="00807C8F">
        <w:rPr>
          <w:b/>
          <w:bCs/>
          <w:sz w:val="18"/>
          <w:szCs w:val="18"/>
          <w:lang w:val="ru-RU"/>
        </w:rPr>
        <w:t>Месяц</w:t>
      </w:r>
      <w:r w:rsidR="00807C8F" w:rsidRPr="00807C8F">
        <w:rPr>
          <w:b/>
          <w:bCs/>
          <w:sz w:val="18"/>
          <w:szCs w:val="18"/>
          <w:lang w:val="ru-RU"/>
        </w:rPr>
        <w:t>ы</w:t>
      </w:r>
    </w:p>
    <w:p w:rsidR="007A1DF0" w:rsidRPr="00807C8F" w:rsidRDefault="00E15AA4" w:rsidP="007A1DF0">
      <w:pPr>
        <w:rPr>
          <w:b/>
          <w:lang w:val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66C89" wp14:editId="491EB104">
                <wp:simplePos x="0" y="0"/>
                <wp:positionH relativeFrom="column">
                  <wp:posOffset>1036817</wp:posOffset>
                </wp:positionH>
                <wp:positionV relativeFrom="paragraph">
                  <wp:posOffset>124598</wp:posOffset>
                </wp:positionV>
                <wp:extent cx="1526982" cy="99065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982" cy="9906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B1C" w:rsidRPr="00BD4461" w:rsidRDefault="00B50B1C" w:rsidP="00437BB2">
                            <w:pPr>
                              <w:spacing w:before="4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 xml:space="preserve">Ст. 9 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CR</w:t>
                            </w:r>
                            <w:r w:rsidRPr="00BD4461">
                              <w:rPr>
                                <w:sz w:val="20"/>
                                <w:szCs w:val="18"/>
                                <w:lang w:val="ru-RU"/>
                              </w:rPr>
                              <w:t>/</w:t>
                            </w:r>
                            <w:r w:rsidRPr="00754A4A">
                              <w:rPr>
                                <w:sz w:val="20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:rsidR="00B50B1C" w:rsidRPr="00754A4A" w:rsidRDefault="00B50B1C" w:rsidP="00437BB2">
                            <w:pPr>
                              <w:spacing w:before="28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Пр. 30/30А</w:t>
                            </w:r>
                          </w:p>
                          <w:p w:rsidR="00B50B1C" w:rsidRPr="00754A4A" w:rsidRDefault="00B50B1C" w:rsidP="00E15AA4">
                            <w:pPr>
                              <w:spacing w:before="280"/>
                              <w:ind w:left="-113" w:right="-113"/>
                              <w:rPr>
                                <w:sz w:val="20"/>
                                <w:szCs w:val="18"/>
                                <w:lang w:val="ru-RU"/>
                              </w:rPr>
                            </w:pPr>
                            <w:r w:rsidRPr="00754A4A">
                              <w:rPr>
                                <w:sz w:val="20"/>
                                <w:szCs w:val="18"/>
                                <w:lang w:val="ru-RU"/>
                              </w:rPr>
                              <w:t>Предел согласно п. 9.38 РР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6C89" id="Text Box 14" o:spid="_x0000_s1028" type="#_x0000_t202" style="position:absolute;margin-left:81.65pt;margin-top:9.8pt;width:120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" fillcolor="#fabf8f [1945]" stroked="f" strokeweight=".5pt">
                <v:textbox>
                  <w:txbxContent>
                    <w:p w:rsidR="00B50B1C" w:rsidRPr="00BD4461" w:rsidRDefault="00B50B1C" w:rsidP="00437BB2">
                      <w:pPr>
                        <w:spacing w:before="4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Ст. 9 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CR</w:t>
                      </w:r>
                      <w:r w:rsidRPr="00BD4461">
                        <w:rPr>
                          <w:sz w:val="20"/>
                          <w:szCs w:val="18"/>
                          <w:lang w:val="ru-RU"/>
                        </w:rPr>
                        <w:t>/</w:t>
                      </w:r>
                      <w:r w:rsidRPr="00754A4A">
                        <w:rPr>
                          <w:sz w:val="20"/>
                          <w:szCs w:val="18"/>
                          <w:lang w:val="en-US"/>
                        </w:rPr>
                        <w:t>C</w:t>
                      </w:r>
                    </w:p>
                    <w:p w:rsidR="00B50B1C" w:rsidRPr="00754A4A" w:rsidRDefault="00B50B1C" w:rsidP="00437BB2">
                      <w:pPr>
                        <w:spacing w:before="28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Пр. 30/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30А</w:t>
                      </w:r>
                      <w:proofErr w:type="spellEnd"/>
                    </w:p>
                    <w:p w:rsidR="00B50B1C" w:rsidRPr="00754A4A" w:rsidRDefault="00B50B1C" w:rsidP="00E15AA4">
                      <w:pPr>
                        <w:spacing w:before="280"/>
                        <w:ind w:left="-113" w:right="-113"/>
                        <w:rPr>
                          <w:sz w:val="20"/>
                          <w:szCs w:val="18"/>
                          <w:lang w:val="ru-RU"/>
                        </w:rPr>
                      </w:pPr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 xml:space="preserve">Предел согласно п. 9.38 </w:t>
                      </w:r>
                      <w:proofErr w:type="spellStart"/>
                      <w:r w:rsidRPr="00754A4A">
                        <w:rPr>
                          <w:sz w:val="20"/>
                          <w:szCs w:val="18"/>
                          <w:lang w:val="ru-RU"/>
                        </w:rPr>
                        <w:t>РР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1DF0" w:rsidRPr="00807C8F">
        <w:rPr>
          <w:noProof/>
          <w:lang w:eastAsia="zh-CN"/>
        </w:rPr>
        <w:drawing>
          <wp:inline distT="0" distB="0" distL="0" distR="0" wp14:anchorId="038A51A6" wp14:editId="6C6B01AD">
            <wp:extent cx="5734050" cy="31146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7A1DF0" w:rsidRPr="00807C8F" w:rsidRDefault="007A1DF0" w:rsidP="007A1DF0">
      <w:pPr>
        <w:pStyle w:val="Tablelegend"/>
        <w:rPr>
          <w:lang w:val="ru-RU"/>
        </w:rPr>
      </w:pPr>
      <w:r w:rsidRPr="00807C8F">
        <w:rPr>
          <w:lang w:val="ru-RU"/>
        </w:rPr>
        <w:tab/>
      </w:r>
      <w:proofErr w:type="spellStart"/>
      <w:r w:rsidRPr="00807C8F">
        <w:rPr>
          <w:lang w:val="ru-RU"/>
        </w:rPr>
        <w:t>Регламентарный</w:t>
      </w:r>
      <w:proofErr w:type="spellEnd"/>
      <w:r w:rsidRPr="00807C8F">
        <w:rPr>
          <w:lang w:val="ru-RU"/>
        </w:rPr>
        <w:t xml:space="preserve"> предельный срок согласно п. </w:t>
      </w:r>
      <w:r w:rsidRPr="00807C8F">
        <w:rPr>
          <w:b/>
          <w:bCs/>
          <w:lang w:val="ru-RU"/>
        </w:rPr>
        <w:t xml:space="preserve">9.38 </w:t>
      </w:r>
      <w:r w:rsidR="00807C8F" w:rsidRPr="00807C8F">
        <w:rPr>
          <w:lang w:val="ru-RU"/>
        </w:rPr>
        <w:t>РР: четыре</w:t>
      </w:r>
      <w:r w:rsidRPr="00807C8F">
        <w:rPr>
          <w:lang w:val="ru-RU"/>
        </w:rPr>
        <w:t xml:space="preserve"> месяца.</w:t>
      </w:r>
    </w:p>
    <w:p w:rsidR="007A1DF0" w:rsidRPr="00807C8F" w:rsidRDefault="007A1DF0" w:rsidP="007A1DF0">
      <w:pPr>
        <w:pStyle w:val="Heading1"/>
        <w:rPr>
          <w:lang w:val="ru-RU"/>
        </w:rPr>
      </w:pPr>
      <w:r w:rsidRPr="00807C8F">
        <w:rPr>
          <w:lang w:val="ru-RU"/>
        </w:rPr>
        <w:t>3</w:t>
      </w:r>
      <w:r w:rsidRPr="00807C8F">
        <w:rPr>
          <w:lang w:val="ru-RU"/>
        </w:rPr>
        <w:tab/>
        <w:t>Выводы</w:t>
      </w:r>
    </w:p>
    <w:p w:rsidR="007A1DF0" w:rsidRPr="00807C8F" w:rsidRDefault="007A1DF0" w:rsidP="009032B1">
      <w:pPr>
        <w:rPr>
          <w:lang w:val="ru-RU"/>
        </w:rPr>
      </w:pPr>
      <w:r w:rsidRPr="00807C8F">
        <w:rPr>
          <w:lang w:val="ru-RU"/>
        </w:rPr>
        <w:t>Проведенный анализ показывает, что выявленные выше проблемы в значительной степени обусловлены сокращением финансовых и людских ресурсов, предоставляемых Сектору радиосвязи в последние годы (включая чрезмерное сокращение численности персонала Бюро радиосвязи), что требует принятия скорейших мер для решения все более усложняющихся задач.</w:t>
      </w:r>
    </w:p>
    <w:p w:rsidR="007A1DF0" w:rsidRPr="00807C8F" w:rsidRDefault="007A1DF0" w:rsidP="00C76FEB">
      <w:pPr>
        <w:rPr>
          <w:lang w:val="ru-RU"/>
        </w:rPr>
      </w:pPr>
      <w:r w:rsidRPr="00807C8F">
        <w:rPr>
          <w:lang w:val="ru-RU"/>
        </w:rPr>
        <w:t>По нашему мнению, для обеспечения стабильной работы Сектора радиосвязи при разработке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 годы для МСЭ-R следует ориентироваться на бюджет 2014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2015 годов. Бюджет Сектора радиосвязи на 2014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2015 годы составлял 62 202</w:t>
      </w:r>
      <w:r w:rsidR="00C76FEB">
        <w:rPr>
          <w:lang w:val="ru-RU"/>
        </w:rPr>
        <w:t xml:space="preserve"> 000</w:t>
      </w:r>
      <w:r w:rsidRPr="00807C8F">
        <w:rPr>
          <w:lang w:val="ru-RU"/>
        </w:rPr>
        <w:t xml:space="preserve"> швейцарских франков.</w:t>
      </w:r>
    </w:p>
    <w:p w:rsidR="007A1DF0" w:rsidRPr="00807C8F" w:rsidRDefault="009032B1" w:rsidP="007A1DF0">
      <w:pPr>
        <w:pStyle w:val="Heading1"/>
        <w:rPr>
          <w:lang w:val="ru-RU"/>
        </w:rPr>
      </w:pPr>
      <w:r w:rsidRPr="00807C8F">
        <w:rPr>
          <w:lang w:val="ru-RU"/>
        </w:rPr>
        <w:lastRenderedPageBreak/>
        <w:t>4</w:t>
      </w:r>
      <w:r w:rsidRPr="00807C8F">
        <w:rPr>
          <w:lang w:val="ru-RU"/>
        </w:rPr>
        <w:tab/>
      </w:r>
      <w:r w:rsidR="007A1DF0" w:rsidRPr="00807C8F">
        <w:rPr>
          <w:lang w:val="ru-RU"/>
        </w:rPr>
        <w:t>Предложения для Совета</w:t>
      </w:r>
    </w:p>
    <w:p w:rsidR="007A1DF0" w:rsidRPr="00807C8F" w:rsidRDefault="007A1DF0" w:rsidP="00C76FEB">
      <w:pPr>
        <w:keepNext/>
        <w:keepLines/>
        <w:rPr>
          <w:lang w:val="ru-RU"/>
        </w:rPr>
      </w:pPr>
      <w:r w:rsidRPr="00807C8F">
        <w:rPr>
          <w:lang w:val="ru-RU"/>
        </w:rPr>
        <w:t>Учитывая чрезвычайную важность деятельности Сектора радиосвязи для всех Государств-Членов МСЭ (как развивающихся, так и развитых), Членов Сектора, операторов связи и производителей оборудования радиосвязи, его важнейшую роль в повышении эффективности использования радиочастотного спектра и спутниковых орбит, роль в выполнении Повестки дня в области глобального развития электросвязи/информационно-коммуникационных технологий "Соединим к 2020 году" и разработки стандартов подвижной радиосвязи пятого поколения, ориентированных на дальнейшее ускоренное развитие и использование систем подвижной радиосвязи и так далее,</w:t>
      </w:r>
      <w:r w:rsidR="00C76FEB">
        <w:rPr>
          <w:lang w:val="ru-RU"/>
        </w:rPr>
        <w:t xml:space="preserve"> </w:t>
      </w:r>
      <w:r w:rsidRPr="00807C8F">
        <w:rPr>
          <w:lang w:val="ru-RU"/>
        </w:rPr>
        <w:t>Совету предлагается: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1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Внести корректировки в проект бюджета на 2018</w:t>
      </w:r>
      <w:r w:rsidR="009032B1" w:rsidRPr="00807C8F">
        <w:rPr>
          <w:lang w:val="ru-RU"/>
        </w:rPr>
        <w:t>–</w:t>
      </w:r>
      <w:r w:rsidRPr="00807C8F">
        <w:rPr>
          <w:lang w:val="ru-RU"/>
        </w:rPr>
        <w:t>2019 годы с целью увеличения бюджета МСЭ-R, которое позволит устранить существующий дисбаланс между объемом задач, решаемых Сектором радиосвязи, и предоставляемыми для решения этих задач ресурсами.</w:t>
      </w:r>
    </w:p>
    <w:p w:rsidR="007A1DF0" w:rsidRPr="00807C8F" w:rsidRDefault="007A1DF0" w:rsidP="000A3E2C">
      <w:pPr>
        <w:pStyle w:val="enumlev1"/>
        <w:rPr>
          <w:highlight w:val="green"/>
          <w:lang w:val="ru-RU"/>
        </w:rPr>
      </w:pPr>
      <w:r w:rsidRPr="00807C8F">
        <w:rPr>
          <w:lang w:val="ru-RU"/>
        </w:rPr>
        <w:t>2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принять срочные меры по восстановлению численности Бюро радиосвязи до уровня, необходимого для выполнения миссии БР в полном объеме.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3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принять меры по устранению задержек в обработке заявок на частотные присвоения.</w:t>
      </w:r>
    </w:p>
    <w:p w:rsidR="007A1DF0" w:rsidRPr="00807C8F" w:rsidRDefault="007A1DF0" w:rsidP="000A3E2C">
      <w:pPr>
        <w:pStyle w:val="enumlev1"/>
        <w:rPr>
          <w:lang w:val="ru-RU"/>
        </w:rPr>
      </w:pPr>
      <w:r w:rsidRPr="00807C8F">
        <w:rPr>
          <w:lang w:val="ru-RU"/>
        </w:rPr>
        <w:t>4</w:t>
      </w:r>
      <w:r w:rsidR="000A3E2C">
        <w:rPr>
          <w:lang w:val="ru-RU"/>
        </w:rPr>
        <w:t>)</w:t>
      </w:r>
      <w:r w:rsidR="009032B1" w:rsidRPr="00807C8F">
        <w:rPr>
          <w:lang w:val="ru-RU"/>
        </w:rPr>
        <w:tab/>
      </w:r>
      <w:r w:rsidRPr="00807C8F">
        <w:rPr>
          <w:lang w:val="ru-RU"/>
        </w:rPr>
        <w:t>Поручить Директору Бюро радиосвязи доложить о принятых мерах и результатах на сессии Совета 2018 года для дальнейшего представления на Полномочную конференцию 2018 года.</w:t>
      </w:r>
    </w:p>
    <w:p w:rsidR="009032B1" w:rsidRPr="00807C8F" w:rsidRDefault="009032B1" w:rsidP="00B50B1C">
      <w:pPr>
        <w:pStyle w:val="Reasons"/>
        <w:rPr>
          <w:lang w:val="ru-RU"/>
        </w:rPr>
      </w:pPr>
    </w:p>
    <w:p w:rsidR="002D2F57" w:rsidRPr="00807C8F" w:rsidRDefault="009032B1" w:rsidP="009032B1">
      <w:pPr>
        <w:jc w:val="center"/>
        <w:rPr>
          <w:lang w:val="ru-RU"/>
        </w:rPr>
      </w:pPr>
      <w:r w:rsidRPr="00807C8F">
        <w:rPr>
          <w:lang w:val="ru-RU"/>
        </w:rPr>
        <w:t>______________</w:t>
      </w:r>
    </w:p>
    <w:sectPr w:rsidR="002D2F57" w:rsidRPr="00807C8F" w:rsidSect="003E392A">
      <w:headerReference w:type="default" r:id="rId62"/>
      <w:footerReference w:type="default" r:id="rId63"/>
      <w:footerReference w:type="first" r:id="rId64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1C" w:rsidRDefault="00B50B1C">
      <w:r>
        <w:separator/>
      </w:r>
    </w:p>
  </w:endnote>
  <w:endnote w:type="continuationSeparator" w:id="0">
    <w:p w:rsidR="00B50B1C" w:rsidRDefault="00B5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FZShuTi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1C" w:rsidRPr="000B01B8" w:rsidRDefault="00794AF1" w:rsidP="000B01B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15E7D">
      <w:t>P:\RUS\SG\CONSEIL\C17\000\080REV2R.docx</w:t>
    </w:r>
    <w:r>
      <w:fldChar w:fldCharType="end"/>
    </w:r>
    <w:r w:rsidR="00B50B1C" w:rsidRPr="000B01B8">
      <w:t xml:space="preserve"> (</w:t>
    </w:r>
    <w:r w:rsidR="00B50B1C" w:rsidRPr="000B01B8">
      <w:rPr>
        <w:lang w:val="ru-RU"/>
      </w:rPr>
      <w:t>419373</w:t>
    </w:r>
    <w:r w:rsidR="00B50B1C" w:rsidRPr="000B01B8">
      <w:t>)</w:t>
    </w:r>
    <w:r w:rsidR="00B50B1C" w:rsidRPr="000B01B8">
      <w:tab/>
    </w:r>
    <w:r w:rsidR="00B50B1C" w:rsidRPr="000B01B8">
      <w:fldChar w:fldCharType="begin"/>
    </w:r>
    <w:r w:rsidR="00B50B1C" w:rsidRPr="000B01B8">
      <w:instrText xml:space="preserve"> SAVEDATE \@ DD.MM.YY </w:instrText>
    </w:r>
    <w:r w:rsidR="00B50B1C" w:rsidRPr="000B01B8">
      <w:fldChar w:fldCharType="separate"/>
    </w:r>
    <w:r>
      <w:t>29.05.17</w:t>
    </w:r>
    <w:r w:rsidR="00B50B1C" w:rsidRPr="000B01B8">
      <w:fldChar w:fldCharType="end"/>
    </w:r>
    <w:r w:rsidR="00B50B1C" w:rsidRPr="000B01B8">
      <w:tab/>
    </w:r>
    <w:r w:rsidR="00B50B1C" w:rsidRPr="000B01B8">
      <w:fldChar w:fldCharType="begin"/>
    </w:r>
    <w:r w:rsidR="00B50B1C" w:rsidRPr="000B01B8">
      <w:instrText xml:space="preserve"> PRINTDATE \@ DD.MM.YY </w:instrText>
    </w:r>
    <w:r w:rsidR="00B50B1C" w:rsidRPr="000B01B8">
      <w:fldChar w:fldCharType="separate"/>
    </w:r>
    <w:r w:rsidR="00C15E7D">
      <w:t>29.05.17</w:t>
    </w:r>
    <w:r w:rsidR="00B50B1C" w:rsidRPr="000B01B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1C" w:rsidRDefault="00B50B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B50B1C" w:rsidRPr="000B01B8" w:rsidRDefault="00794AF1" w:rsidP="000B01B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15E7D">
      <w:t>P:\RUS\SG\CONSEIL\C17\000\080REV2R.docx</w:t>
    </w:r>
    <w:r>
      <w:fldChar w:fldCharType="end"/>
    </w:r>
    <w:r w:rsidR="00B50B1C" w:rsidRPr="000B01B8">
      <w:t xml:space="preserve"> (</w:t>
    </w:r>
    <w:r w:rsidR="00B50B1C" w:rsidRPr="000B01B8">
      <w:rPr>
        <w:lang w:val="ru-RU"/>
      </w:rPr>
      <w:t>419373</w:t>
    </w:r>
    <w:r w:rsidR="00B50B1C" w:rsidRPr="000B01B8">
      <w:t>)</w:t>
    </w:r>
    <w:r w:rsidR="00B50B1C" w:rsidRPr="000B01B8">
      <w:tab/>
    </w:r>
    <w:r w:rsidR="00B50B1C" w:rsidRPr="000B01B8">
      <w:fldChar w:fldCharType="begin"/>
    </w:r>
    <w:r w:rsidR="00B50B1C" w:rsidRPr="000B01B8">
      <w:instrText xml:space="preserve"> SAVEDATE \@ DD.MM.YY </w:instrText>
    </w:r>
    <w:r w:rsidR="00B50B1C" w:rsidRPr="000B01B8">
      <w:fldChar w:fldCharType="separate"/>
    </w:r>
    <w:r>
      <w:t>29.05.17</w:t>
    </w:r>
    <w:r w:rsidR="00B50B1C" w:rsidRPr="000B01B8">
      <w:fldChar w:fldCharType="end"/>
    </w:r>
    <w:r w:rsidR="00B50B1C" w:rsidRPr="000B01B8">
      <w:tab/>
    </w:r>
    <w:r w:rsidR="00B50B1C" w:rsidRPr="000B01B8">
      <w:fldChar w:fldCharType="begin"/>
    </w:r>
    <w:r w:rsidR="00B50B1C" w:rsidRPr="000B01B8">
      <w:instrText xml:space="preserve"> PRINTDATE \@ DD.MM.YY </w:instrText>
    </w:r>
    <w:r w:rsidR="00B50B1C" w:rsidRPr="000B01B8">
      <w:fldChar w:fldCharType="separate"/>
    </w:r>
    <w:r w:rsidR="00C15E7D">
      <w:t>29.05.17</w:t>
    </w:r>
    <w:r w:rsidR="00B50B1C" w:rsidRPr="000B01B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1C" w:rsidRDefault="00B50B1C">
      <w:r>
        <w:t>____________________</w:t>
      </w:r>
    </w:p>
  </w:footnote>
  <w:footnote w:type="continuationSeparator" w:id="0">
    <w:p w:rsidR="00B50B1C" w:rsidRDefault="00B50B1C">
      <w:r>
        <w:continuationSeparator/>
      </w:r>
    </w:p>
  </w:footnote>
  <w:footnote w:id="1">
    <w:p w:rsidR="00B50B1C" w:rsidRPr="007A1DF0" w:rsidRDefault="00B50B1C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>
        <w:rPr>
          <w:lang w:val="ru-RU"/>
        </w:rPr>
        <w:tab/>
      </w:r>
      <w:r w:rsidRPr="007A1DF0">
        <w:rPr>
          <w:lang w:val="ru-RU"/>
        </w:rPr>
        <w:t>МККР – Международный консультативный комитет по радио. В 1992 году интегрирован в Сектор радиосвязи, а секретариат включён в состав Бюро радиосвязи.</w:t>
      </w:r>
    </w:p>
  </w:footnote>
  <w:footnote w:id="2">
    <w:p w:rsidR="00B50B1C" w:rsidRPr="007A1DF0" w:rsidRDefault="00B50B1C" w:rsidP="008B74A2">
      <w:pPr>
        <w:pStyle w:val="FootnoteText"/>
        <w:rPr>
          <w:lang w:val="ru-RU"/>
        </w:rPr>
      </w:pPr>
      <w:r w:rsidRPr="006956FB">
        <w:rPr>
          <w:rStyle w:val="FootnoteReference"/>
        </w:rPr>
        <w:footnoteRef/>
      </w:r>
      <w:r w:rsidRPr="009032B1">
        <w:rPr>
          <w:lang w:val="ru-RU"/>
        </w:rPr>
        <w:tab/>
      </w:r>
      <w:r w:rsidRPr="007A1DF0">
        <w:rPr>
          <w:lang w:val="ru-RU"/>
        </w:rPr>
        <w:t>МККТ</w:t>
      </w:r>
      <w:r>
        <w:rPr>
          <w:lang w:val="ru-RU"/>
        </w:rPr>
        <w:t>Т</w:t>
      </w:r>
      <w:r w:rsidRPr="007A1DF0">
        <w:rPr>
          <w:lang w:val="ru-RU"/>
        </w:rPr>
        <w:t xml:space="preserve"> – Международный консультативный комитет по телеграфии и телефонии. В 1992 преобразован в Сектор стандартизации электросвязи, в </w:t>
      </w:r>
      <w:r w:rsidRPr="00BD4461">
        <w:rPr>
          <w:lang w:val="ru-RU"/>
        </w:rPr>
        <w:t>состав</w:t>
      </w:r>
      <w:r w:rsidRPr="007A1DF0">
        <w:rPr>
          <w:lang w:val="ru-RU"/>
        </w:rPr>
        <w:t xml:space="preserve"> которого входит Бюро стандартизации электросвязи, созданное на базе секретариата МККТТ.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1C" w:rsidRDefault="00B50B1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94AF1">
      <w:rPr>
        <w:noProof/>
      </w:rPr>
      <w:t>10</w:t>
    </w:r>
    <w:r>
      <w:rPr>
        <w:noProof/>
      </w:rPr>
      <w:fldChar w:fldCharType="end"/>
    </w:r>
  </w:p>
  <w:p w:rsidR="00B50B1C" w:rsidRDefault="00B50B1C" w:rsidP="007A1DF0">
    <w:pPr>
      <w:pStyle w:val="Header"/>
      <w:spacing w:after="480"/>
    </w:pPr>
    <w:r>
      <w:t>C17/80</w:t>
    </w:r>
    <w:r>
      <w:rPr>
        <w:lang w:val="ru-RU"/>
      </w:rPr>
      <w:t>(</w:t>
    </w:r>
    <w:r>
      <w:rPr>
        <w:lang w:val="en-US"/>
      </w:rPr>
      <w:t>Rev.</w:t>
    </w:r>
    <w:r>
      <w:rPr>
        <w:lang w:val="ru-RU"/>
      </w:rPr>
      <w:t>2)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AA41B5"/>
    <w:multiLevelType w:val="hybridMultilevel"/>
    <w:tmpl w:val="DD6E5E1A"/>
    <w:lvl w:ilvl="0" w:tplc="74CE6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0"/>
    <w:rsid w:val="0002183E"/>
    <w:rsid w:val="000569B4"/>
    <w:rsid w:val="00080E82"/>
    <w:rsid w:val="000A3E2C"/>
    <w:rsid w:val="000B01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0540F"/>
    <w:rsid w:val="003C7821"/>
    <w:rsid w:val="003E392A"/>
    <w:rsid w:val="003F099E"/>
    <w:rsid w:val="003F235E"/>
    <w:rsid w:val="004023E0"/>
    <w:rsid w:val="00403DD8"/>
    <w:rsid w:val="004274DA"/>
    <w:rsid w:val="00427DBA"/>
    <w:rsid w:val="00437BB2"/>
    <w:rsid w:val="0045686C"/>
    <w:rsid w:val="004918C4"/>
    <w:rsid w:val="004A0374"/>
    <w:rsid w:val="004A45B5"/>
    <w:rsid w:val="004D0129"/>
    <w:rsid w:val="00547459"/>
    <w:rsid w:val="005A64D5"/>
    <w:rsid w:val="00601994"/>
    <w:rsid w:val="0061325D"/>
    <w:rsid w:val="006C17AE"/>
    <w:rsid w:val="006E2D42"/>
    <w:rsid w:val="00703676"/>
    <w:rsid w:val="00707304"/>
    <w:rsid w:val="00732269"/>
    <w:rsid w:val="00754A4A"/>
    <w:rsid w:val="00772D18"/>
    <w:rsid w:val="00785ABD"/>
    <w:rsid w:val="00794AF1"/>
    <w:rsid w:val="007A1DF0"/>
    <w:rsid w:val="007A2DD4"/>
    <w:rsid w:val="007D38B5"/>
    <w:rsid w:val="007E7EA0"/>
    <w:rsid w:val="00807255"/>
    <w:rsid w:val="00807C8F"/>
    <w:rsid w:val="0081023E"/>
    <w:rsid w:val="008173AA"/>
    <w:rsid w:val="00840A14"/>
    <w:rsid w:val="008B62B4"/>
    <w:rsid w:val="008B74A2"/>
    <w:rsid w:val="008C3D2F"/>
    <w:rsid w:val="008D2D7B"/>
    <w:rsid w:val="008E0737"/>
    <w:rsid w:val="008F7C2C"/>
    <w:rsid w:val="009032B1"/>
    <w:rsid w:val="00923187"/>
    <w:rsid w:val="00940E96"/>
    <w:rsid w:val="009B0BAE"/>
    <w:rsid w:val="009C1C89"/>
    <w:rsid w:val="009F3448"/>
    <w:rsid w:val="00A71773"/>
    <w:rsid w:val="00AC1860"/>
    <w:rsid w:val="00AE2C85"/>
    <w:rsid w:val="00AE3178"/>
    <w:rsid w:val="00B12A37"/>
    <w:rsid w:val="00B15676"/>
    <w:rsid w:val="00B26E1C"/>
    <w:rsid w:val="00B50B1C"/>
    <w:rsid w:val="00B63EF2"/>
    <w:rsid w:val="00B86811"/>
    <w:rsid w:val="00BC0D39"/>
    <w:rsid w:val="00BC7BC0"/>
    <w:rsid w:val="00BD4461"/>
    <w:rsid w:val="00BD57B7"/>
    <w:rsid w:val="00BE63E2"/>
    <w:rsid w:val="00C15E7D"/>
    <w:rsid w:val="00C76FEB"/>
    <w:rsid w:val="00C83D79"/>
    <w:rsid w:val="00CD2009"/>
    <w:rsid w:val="00CF629C"/>
    <w:rsid w:val="00D92EEA"/>
    <w:rsid w:val="00DA5D4E"/>
    <w:rsid w:val="00E15AA4"/>
    <w:rsid w:val="00E176BA"/>
    <w:rsid w:val="00E423EC"/>
    <w:rsid w:val="00E55121"/>
    <w:rsid w:val="00EB4FCB"/>
    <w:rsid w:val="00EC6BC5"/>
    <w:rsid w:val="00F35898"/>
    <w:rsid w:val="00F5225B"/>
    <w:rsid w:val="00FC056B"/>
    <w:rsid w:val="00FE570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7EF3C20-47B2-4C26-AE2F-C866D9D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8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rsid w:val="007A1DF0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A1D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table" w:styleId="TableGrid">
    <w:name w:val="Table Grid"/>
    <w:basedOn w:val="TableNormal"/>
    <w:rsid w:val="007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S2">
    <w:name w:val="enumlev1_S2"/>
    <w:basedOn w:val="enumlev1"/>
    <w:rsid w:val="007A1DF0"/>
    <w:pPr>
      <w:tabs>
        <w:tab w:val="clear" w:pos="794"/>
        <w:tab w:val="clear" w:pos="1191"/>
        <w:tab w:val="clear" w:pos="1588"/>
        <w:tab w:val="clear" w:pos="1985"/>
        <w:tab w:val="clear" w:pos="2608"/>
        <w:tab w:val="clear" w:pos="3345"/>
        <w:tab w:val="left" w:pos="851"/>
      </w:tabs>
      <w:spacing w:before="86"/>
      <w:ind w:left="0" w:firstLine="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R09-RRB.09-C-0001" TargetMode="External"/><Relationship Id="rId18" Type="http://schemas.openxmlformats.org/officeDocument/2006/relationships/hyperlink" Target="https://www.itu.int/md/meetingdoc.asp?lang=en&amp;parent=S17-CL-C-0010" TargetMode="External"/><Relationship Id="rId26" Type="http://schemas.openxmlformats.org/officeDocument/2006/relationships/hyperlink" Target="https://www.itu.int/md/meetingdoc.asp?lang=en&amp;parent=S17-CL-C-0010" TargetMode="External"/><Relationship Id="rId39" Type="http://schemas.openxmlformats.org/officeDocument/2006/relationships/hyperlink" Target="https://www.itu.int/md/meetingdoc.asp?lang=en&amp;parent=S17-CL-C-0010" TargetMode="External"/><Relationship Id="rId21" Type="http://schemas.openxmlformats.org/officeDocument/2006/relationships/hyperlink" Target="https://www.itu.int/itudoc/gs/council/c00/docs/11.html" TargetMode="External"/><Relationship Id="rId34" Type="http://schemas.openxmlformats.org/officeDocument/2006/relationships/hyperlink" Target="https://www.itu.int/md/meetingdoc.asp?lang=en&amp;parent=S05-CL-C-0010" TargetMode="External"/><Relationship Id="rId42" Type="http://schemas.openxmlformats.org/officeDocument/2006/relationships/hyperlink" Target="https://www.itu.int/md/meetingdoc.asp?lang=en&amp;parent=S17-CL-C-0010" TargetMode="External"/><Relationship Id="rId47" Type="http://schemas.openxmlformats.org/officeDocument/2006/relationships/hyperlink" Target="https://www.itu.int/md/meetingdoc.asp?lang=en&amp;parent=S17-CL-C-0010" TargetMode="External"/><Relationship Id="rId50" Type="http://schemas.openxmlformats.org/officeDocument/2006/relationships/hyperlink" Target="https://www.itu.int/md/meetingdoc.asp?lang=en&amp;parent=S15-CL-C-0105" TargetMode="External"/><Relationship Id="rId55" Type="http://schemas.openxmlformats.org/officeDocument/2006/relationships/hyperlink" Target="https://www.itu.int/ITU-R/go/space-statistics/en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R17-RRB17.1-C-0003" TargetMode="External"/><Relationship Id="rId20" Type="http://schemas.openxmlformats.org/officeDocument/2006/relationships/hyperlink" Target="https://www.itu.int/md/meetingdoc.asp?lang=en&amp;parent=S10-CL-C-0031" TargetMode="External"/><Relationship Id="rId29" Type="http://schemas.openxmlformats.org/officeDocument/2006/relationships/hyperlink" Target="https://www.itu.int/md/meetingdoc.asp?lang=en&amp;parent=S08-CL-C-0007" TargetMode="External"/><Relationship Id="rId41" Type="http://schemas.openxmlformats.org/officeDocument/2006/relationships/hyperlink" Target="https://www.itu.int/md/meetingdoc.asp?lang=en&amp;parent=S17-CL-C-0010" TargetMode="External"/><Relationship Id="rId54" Type="http://schemas.openxmlformats.org/officeDocument/2006/relationships/hyperlink" Target="https://www.itu.int/md/meetingdoc.asp?lang=en&amp;parent=R17-RRB17.1-C-0003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R07-RRB.07.3-C-0002" TargetMode="External"/><Relationship Id="rId24" Type="http://schemas.openxmlformats.org/officeDocument/2006/relationships/hyperlink" Target="https://www.itu.int/md/meetingdoc.asp?lang=en&amp;parent=S15-CL-C-0010" TargetMode="External"/><Relationship Id="rId32" Type="http://schemas.openxmlformats.org/officeDocument/2006/relationships/chart" Target="charts/chart2.xml"/><Relationship Id="rId37" Type="http://schemas.openxmlformats.org/officeDocument/2006/relationships/hyperlink" Target="https://www.itu.int/md/meetingdoc.asp?lang=en&amp;parent=S09-CL-C-0010" TargetMode="External"/><Relationship Id="rId40" Type="http://schemas.openxmlformats.org/officeDocument/2006/relationships/hyperlink" Target="https://www.itu.int/md/meetingdoc.asp?lang=en&amp;parent=S17-CL-C-0010" TargetMode="External"/><Relationship Id="rId45" Type="http://schemas.openxmlformats.org/officeDocument/2006/relationships/hyperlink" Target="https://www.itu.int/md/meetingdoc.asp?lang=en&amp;parent=S17-CL-C-0010" TargetMode="External"/><Relationship Id="rId53" Type="http://schemas.openxmlformats.org/officeDocument/2006/relationships/hyperlink" Target="https://www.itu.int/md/meetingdoc.asp?lang=en&amp;parent=R16-RRB16.1-C-0005" TargetMode="External"/><Relationship Id="rId58" Type="http://schemas.openxmlformats.org/officeDocument/2006/relationships/hyperlink" Target="https://www.itu.int/md/meetingdoc.asp?lang=en&amp;parent=R09-RRB.09-C-0001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R16-RRB16.1-C-0005" TargetMode="External"/><Relationship Id="rId23" Type="http://schemas.openxmlformats.org/officeDocument/2006/relationships/hyperlink" Target="https://www.itu.int/md/meetingdoc.asp?lang=en&amp;parent=S02-CL-C-0013" TargetMode="External"/><Relationship Id="rId28" Type="http://schemas.openxmlformats.org/officeDocument/2006/relationships/hyperlink" Target="https://www.itu.int/md/meetingdoc.asp?lang=en&amp;parent=S17-CL-C-0010" TargetMode="External"/><Relationship Id="rId36" Type="http://schemas.openxmlformats.org/officeDocument/2006/relationships/hyperlink" Target="https://www.itu.int/md/meetingdoc.asp?lang=en&amp;parent=S07-CL-C-0010" TargetMode="External"/><Relationship Id="rId49" Type="http://schemas.openxmlformats.org/officeDocument/2006/relationships/chart" Target="charts/chart3.xml"/><Relationship Id="rId57" Type="http://schemas.openxmlformats.org/officeDocument/2006/relationships/hyperlink" Target="https://www.itu.int/md/meetingdoc.asp?lang=en&amp;parent=R06-RRB.06.01-C-0003" TargetMode="External"/><Relationship Id="rId61" Type="http://schemas.openxmlformats.org/officeDocument/2006/relationships/chart" Target="charts/chart5.xml"/><Relationship Id="rId10" Type="http://schemas.openxmlformats.org/officeDocument/2006/relationships/hyperlink" Target="https://www.itu.int/md/meetingdoc.asp?lang=en&amp;parent=S17-CL-C-0010" TargetMode="External"/><Relationship Id="rId19" Type="http://schemas.openxmlformats.org/officeDocument/2006/relationships/hyperlink" Target="https://www.itu.int/itudoc/gs/council/c00/docs/11.html" TargetMode="External"/><Relationship Id="rId31" Type="http://schemas.openxmlformats.org/officeDocument/2006/relationships/chart" Target="charts/chart1.xml"/><Relationship Id="rId44" Type="http://schemas.openxmlformats.org/officeDocument/2006/relationships/hyperlink" Target="https://www.itu.int/md/meetingdoc.asp?lang=en&amp;parent=S17-CL-C-0010" TargetMode="External"/><Relationship Id="rId52" Type="http://schemas.openxmlformats.org/officeDocument/2006/relationships/hyperlink" Target="https://www.itu.int/md/meetingdoc.asp?lang=en&amp;parent=R15-RRB15.3-C-0004" TargetMode="External"/><Relationship Id="rId60" Type="http://schemas.openxmlformats.org/officeDocument/2006/relationships/chart" Target="charts/chart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md/17/clcwgfhrm7/inf/S17-CLCWGFHRM7-INF-0003!!PDF-E.pdf" TargetMode="External"/><Relationship Id="rId14" Type="http://schemas.openxmlformats.org/officeDocument/2006/relationships/hyperlink" Target="https://www.itu.int/md/meetingdoc.asp?lang=en&amp;parent=R15-RRB15.3-C-0004" TargetMode="External"/><Relationship Id="rId22" Type="http://schemas.openxmlformats.org/officeDocument/2006/relationships/hyperlink" Target="https://www.itu.int/md/meetingdoc.asp?lang=en&amp;parent=S13-CL-C-0010" TargetMode="External"/><Relationship Id="rId27" Type="http://schemas.openxmlformats.org/officeDocument/2006/relationships/hyperlink" Target="https://www.itu.int/md/meetingdoc.asp?lang=en&amp;parent=S06-CL-C-0026" TargetMode="External"/><Relationship Id="rId30" Type="http://schemas.openxmlformats.org/officeDocument/2006/relationships/hyperlink" Target="https://www.itu.int/md/meetingdoc.asp?lang=en&amp;parent=S17-CL-C-0010" TargetMode="External"/><Relationship Id="rId35" Type="http://schemas.openxmlformats.org/officeDocument/2006/relationships/hyperlink" Target="https://www.itu.int/md/meetingdoc.asp?lang=en&amp;parent=S07-CL-C-0010" TargetMode="External"/><Relationship Id="rId43" Type="http://schemas.openxmlformats.org/officeDocument/2006/relationships/hyperlink" Target="https://www.itu.int/md/meetingdoc.asp?lang=en&amp;parent=S17-CL-C-0010" TargetMode="External"/><Relationship Id="rId48" Type="http://schemas.openxmlformats.org/officeDocument/2006/relationships/hyperlink" Target="https://www.itu.int/md/meetingdoc.asp?lang=en&amp;parent=S17-CL-C-0010" TargetMode="External"/><Relationship Id="rId56" Type="http://schemas.openxmlformats.org/officeDocument/2006/relationships/hyperlink" Target="https://www.itu.int/md/meetingdoc.asp?lang=en&amp;parent=R07-RRB.07.3-C-0002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itu.int/md/meetingdoc.asp?lang=en&amp;parent=S15-CL-C-0105" TargetMode="External"/><Relationship Id="rId51" Type="http://schemas.openxmlformats.org/officeDocument/2006/relationships/hyperlink" Target="https://www.itu.int/md/meetingdoc.asp?lang=en&amp;parent=S17-CL-C-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R06-RRB.06.01-C-0003" TargetMode="External"/><Relationship Id="rId17" Type="http://schemas.openxmlformats.org/officeDocument/2006/relationships/hyperlink" Target="https://www.itu.int/md/meetingdoc.asp?lang=en&amp;parent=R17-RRB17.1-C-0008" TargetMode="External"/><Relationship Id="rId25" Type="http://schemas.openxmlformats.org/officeDocument/2006/relationships/hyperlink" Target="https://www.itu.int/md/meetingdoc.asp?lang=en&amp;parent=S04-CL-C-0022" TargetMode="External"/><Relationship Id="rId33" Type="http://schemas.openxmlformats.org/officeDocument/2006/relationships/hyperlink" Target="https://www.itu.int/md/meetingdoc.asp?lang=en&amp;parent=S05-CL-C-0010" TargetMode="External"/><Relationship Id="rId38" Type="http://schemas.openxmlformats.org/officeDocument/2006/relationships/hyperlink" Target="https://www.itu.int/md/meetingdoc.asp?lang=en&amp;parent=S09-CL-C-0010" TargetMode="External"/><Relationship Id="rId46" Type="http://schemas.openxmlformats.org/officeDocument/2006/relationships/hyperlink" Target="https://www.itu.int/md/meetingdoc.asp?lang=en&amp;parent=S17-CL-C-0010" TargetMode="External"/><Relationship Id="rId59" Type="http://schemas.openxmlformats.org/officeDocument/2006/relationships/hyperlink" Target="https://www.itu.int/md/meetingdoc.asp?lang=en&amp;parent=R17-RRB17.1-C-000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Budget%20Analysis%20v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ctivities\Russia\&#1057;&#1086;&#1074;&#1077;&#1090;%20&#1052;&#1057;&#1069;\2017\Satellite%20Filling%20Cost%20Recovery%20v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Activities\Russia\&#1057;&#1086;&#1074;&#1077;&#1090;%20&#1052;&#1057;&#1069;\2017\Treatment%20of%20satellite%20fill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Pages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</c:ser>
        <c:ser>
          <c:idx val="2"/>
          <c:order val="1"/>
          <c:tx>
            <c:strRef>
              <c:f>Sheet1!$A$5</c:f>
              <c:strCache>
                <c:ptCount val="1"/>
                <c:pt idx="0">
                  <c:v>ITU-R ×1000 CHF</c:v>
                </c:pt>
              </c:strCache>
            </c:strRef>
          </c:tx>
          <c:invertIfNegative val="0"/>
          <c:cat>
            <c:strRef>
              <c:f>Sheet1!$B$1:$M$1</c:f>
              <c:strCache>
                <c:ptCount val="12"/>
                <c:pt idx="0">
                  <c:v>1996-1997</c:v>
                </c:pt>
                <c:pt idx="1">
                  <c:v>1998-1999</c:v>
                </c:pt>
                <c:pt idx="2">
                  <c:v>2000-2001</c:v>
                </c:pt>
                <c:pt idx="3">
                  <c:v>2002-2003</c:v>
                </c:pt>
                <c:pt idx="4">
                  <c:v>2004-2005</c:v>
                </c:pt>
                <c:pt idx="5">
                  <c:v>2006-2007</c:v>
                </c:pt>
                <c:pt idx="6">
                  <c:v>2008-2009</c:v>
                </c:pt>
                <c:pt idx="7">
                  <c:v>2010-2011</c:v>
                </c:pt>
                <c:pt idx="8">
                  <c:v>2012-2013</c:v>
                </c:pt>
                <c:pt idx="9">
                  <c:v>2014-2015</c:v>
                </c:pt>
                <c:pt idx="10">
                  <c:v>2016-2017</c:v>
                </c:pt>
                <c:pt idx="11">
                  <c:v>2018-2019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62196</c:v>
                </c:pt>
                <c:pt idx="1">
                  <c:v>65206</c:v>
                </c:pt>
                <c:pt idx="2">
                  <c:v>67276</c:v>
                </c:pt>
                <c:pt idx="3">
                  <c:v>68708</c:v>
                </c:pt>
                <c:pt idx="4">
                  <c:v>71139</c:v>
                </c:pt>
                <c:pt idx="5">
                  <c:v>74698</c:v>
                </c:pt>
                <c:pt idx="6">
                  <c:v>66728</c:v>
                </c:pt>
                <c:pt idx="7">
                  <c:v>65772</c:v>
                </c:pt>
                <c:pt idx="8">
                  <c:v>61853</c:v>
                </c:pt>
                <c:pt idx="9">
                  <c:v>62202</c:v>
                </c:pt>
                <c:pt idx="10">
                  <c:v>57501</c:v>
                </c:pt>
                <c:pt idx="11">
                  <c:v>58586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overlap val="100"/>
        <c:axId val="286560912"/>
        <c:axId val="286561696"/>
      </c:barChart>
      <c:catAx>
        <c:axId val="28656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561696"/>
        <c:crosses val="autoZero"/>
        <c:auto val="1"/>
        <c:lblAlgn val="ctr"/>
        <c:lblOffset val="100"/>
        <c:noMultiLvlLbl val="0"/>
      </c:catAx>
      <c:valAx>
        <c:axId val="286561696"/>
        <c:scaling>
          <c:orientation val="minMax"/>
          <c:min val="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560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spcBef>
                <a:spcPts val="600"/>
              </a:spcBef>
              <a:defRPr/>
            </a:pPr>
            <a:r>
              <a:rPr lang="ru-RU" sz="1300"/>
              <a:t>Возмещение затрат на обработку заявок </a:t>
            </a:r>
            <a:br>
              <a:rPr lang="ru-RU" sz="1300"/>
            </a:br>
            <a:r>
              <a:rPr lang="ru-RU" sz="1300"/>
              <a:t>на регистрацию спутниковых сетей</a:t>
            </a:r>
            <a:endParaRPr lang="en-US" sz="13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Payment received</c:v>
                </c:pt>
              </c:strCache>
            </c:strRef>
          </c:tx>
          <c:dPt>
            <c:idx val="8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</a:ln>
              </c:spPr>
            </c:marker>
            <c:bubble3D val="0"/>
          </c:dPt>
          <c:cat>
            <c:strRef>
              <c:f>Sheet1!$B$1:$V$1</c:f>
              <c:strCache>
                <c:ptCount val="10"/>
                <c:pt idx="0">
                  <c:v>2000-2001</c:v>
                </c:pt>
                <c:pt idx="1">
                  <c:v>2002-2003</c:v>
                </c:pt>
                <c:pt idx="2">
                  <c:v>2004-2005</c:v>
                </c:pt>
                <c:pt idx="3">
                  <c:v>2006-2007</c:v>
                </c:pt>
                <c:pt idx="4">
                  <c:v>2008-2009</c:v>
                </c:pt>
                <c:pt idx="5">
                  <c:v>2010-2011</c:v>
                </c:pt>
                <c:pt idx="6">
                  <c:v>2012-2013</c:v>
                </c:pt>
                <c:pt idx="7">
                  <c:v>2014-2015</c:v>
                </c:pt>
                <c:pt idx="8">
                  <c:v>2016-2017</c:v>
                </c:pt>
                <c:pt idx="9">
                  <c:v>2018-2019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1">
                  <c:v>16868</c:v>
                </c:pt>
                <c:pt idx="2">
                  <c:v>16018</c:v>
                </c:pt>
                <c:pt idx="3">
                  <c:v>12510</c:v>
                </c:pt>
                <c:pt idx="4">
                  <c:v>10032</c:v>
                </c:pt>
                <c:pt idx="5">
                  <c:v>24127</c:v>
                </c:pt>
                <c:pt idx="6">
                  <c:v>25697</c:v>
                </c:pt>
                <c:pt idx="7">
                  <c:v>21979</c:v>
                </c:pt>
                <c:pt idx="8">
                  <c:v>26000</c:v>
                </c:pt>
                <c:pt idx="9">
                  <c:v>27400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560128"/>
        <c:axId val="286559736"/>
      </c:lineChart>
      <c:dateAx>
        <c:axId val="2865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559736"/>
        <c:crosses val="autoZero"/>
        <c:auto val="0"/>
        <c:lblOffset val="100"/>
        <c:baseTimeUnit val="days"/>
      </c:dateAx>
      <c:valAx>
        <c:axId val="286559736"/>
        <c:scaling>
          <c:orientation val="minMax"/>
          <c:max val="29000"/>
          <c:min val="1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560128"/>
        <c:crosses val="autoZero"/>
        <c:crossBetween val="midCat"/>
        <c:majorUnit val="2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Sheet1!$A$5</c:f>
              <c:strCache>
                <c:ptCount val="1"/>
                <c:pt idx="0">
                  <c:v>BR</c:v>
                </c:pt>
              </c:strCache>
            </c:strRef>
          </c:tx>
          <c:trendline>
            <c:trendlineType val="poly"/>
            <c:order val="2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Sheet1!$C$5:$R$5</c:f>
              <c:numCache>
                <c:formatCode>General</c:formatCode>
                <c:ptCount val="16"/>
                <c:pt idx="0">
                  <c:v>176</c:v>
                </c:pt>
                <c:pt idx="1">
                  <c:v>176</c:v>
                </c:pt>
                <c:pt idx="2">
                  <c:v>181</c:v>
                </c:pt>
                <c:pt idx="3">
                  <c:v>181</c:v>
                </c:pt>
                <c:pt idx="4">
                  <c:v>175</c:v>
                </c:pt>
                <c:pt idx="5">
                  <c:v>175</c:v>
                </c:pt>
                <c:pt idx="6">
                  <c:v>173</c:v>
                </c:pt>
                <c:pt idx="7">
                  <c:v>173</c:v>
                </c:pt>
                <c:pt idx="8">
                  <c:v>158</c:v>
                </c:pt>
                <c:pt idx="9">
                  <c:v>157</c:v>
                </c:pt>
                <c:pt idx="10">
                  <c:v>158</c:v>
                </c:pt>
                <c:pt idx="11">
                  <c:v>157</c:v>
                </c:pt>
                <c:pt idx="12">
                  <c:v>141</c:v>
                </c:pt>
                <c:pt idx="13">
                  <c:v>141</c:v>
                </c:pt>
                <c:pt idx="14">
                  <c:v>138</c:v>
                </c:pt>
                <c:pt idx="15">
                  <c:v>138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Sheet1!$A$6</c:f>
              <c:strCache>
                <c:ptCount val="1"/>
                <c:pt idx="0">
                  <c:v>BDT</c:v>
                </c:pt>
              </c:strCache>
            </c:strRef>
          </c:tx>
          <c:trendline>
            <c:trendlineType val="poly"/>
            <c:order val="2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Sheet1!$C$6:$R$6</c:f>
              <c:numCache>
                <c:formatCode>General</c:formatCode>
                <c:ptCount val="16"/>
                <c:pt idx="0">
                  <c:v>140</c:v>
                </c:pt>
                <c:pt idx="1">
                  <c:v>140</c:v>
                </c:pt>
                <c:pt idx="2">
                  <c:v>134</c:v>
                </c:pt>
                <c:pt idx="3">
                  <c:v>134</c:v>
                </c:pt>
                <c:pt idx="4">
                  <c:v>126</c:v>
                </c:pt>
                <c:pt idx="5">
                  <c:v>126</c:v>
                </c:pt>
                <c:pt idx="6">
                  <c:v>131</c:v>
                </c:pt>
                <c:pt idx="7">
                  <c:v>131</c:v>
                </c:pt>
                <c:pt idx="8">
                  <c:v>142</c:v>
                </c:pt>
                <c:pt idx="9">
                  <c:v>142</c:v>
                </c:pt>
                <c:pt idx="10">
                  <c:v>144</c:v>
                </c:pt>
                <c:pt idx="11">
                  <c:v>144</c:v>
                </c:pt>
                <c:pt idx="12">
                  <c:v>141</c:v>
                </c:pt>
                <c:pt idx="13">
                  <c:v>141</c:v>
                </c:pt>
                <c:pt idx="14">
                  <c:v>140</c:v>
                </c:pt>
                <c:pt idx="15">
                  <c:v>140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Sheet1!$A$7</c:f>
              <c:strCache>
                <c:ptCount val="1"/>
                <c:pt idx="0">
                  <c:v>TSB</c:v>
                </c:pt>
              </c:strCache>
            </c:strRef>
          </c:tx>
          <c:marker>
            <c:symbol val="diamond"/>
            <c:size val="7"/>
          </c:marker>
          <c:trendline>
            <c:trendlineType val="linear"/>
            <c:dispRSqr val="0"/>
            <c:dispEq val="0"/>
          </c:trendline>
          <c:cat>
            <c:numRef>
              <c:f>Sheet1!$C$1:$R$1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Sheet1!$C$7:$R$7</c:f>
              <c:numCache>
                <c:formatCode>General</c:formatCode>
                <c:ptCount val="16"/>
                <c:pt idx="0">
                  <c:v>65</c:v>
                </c:pt>
                <c:pt idx="1">
                  <c:v>65</c:v>
                </c:pt>
                <c:pt idx="2">
                  <c:v>60</c:v>
                </c:pt>
                <c:pt idx="3">
                  <c:v>61</c:v>
                </c:pt>
                <c:pt idx="4">
                  <c:v>63</c:v>
                </c:pt>
                <c:pt idx="5">
                  <c:v>63</c:v>
                </c:pt>
                <c:pt idx="6">
                  <c:v>63</c:v>
                </c:pt>
                <c:pt idx="7">
                  <c:v>63</c:v>
                </c:pt>
                <c:pt idx="8">
                  <c:v>64</c:v>
                </c:pt>
                <c:pt idx="9">
                  <c:v>64</c:v>
                </c:pt>
                <c:pt idx="10">
                  <c:v>64</c:v>
                </c:pt>
                <c:pt idx="11">
                  <c:v>64</c:v>
                </c:pt>
                <c:pt idx="12">
                  <c:v>65</c:v>
                </c:pt>
                <c:pt idx="13">
                  <c:v>65</c:v>
                </c:pt>
                <c:pt idx="14">
                  <c:v>65</c:v>
                </c:pt>
                <c:pt idx="15">
                  <c:v>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562088"/>
        <c:axId val="286560520"/>
      </c:lineChart>
      <c:catAx>
        <c:axId val="286562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560520"/>
        <c:crosses val="autoZero"/>
        <c:auto val="1"/>
        <c:lblAlgn val="ctr"/>
        <c:lblOffset val="100"/>
        <c:noMultiLvlLbl val="0"/>
      </c:catAx>
      <c:valAx>
        <c:axId val="286560520"/>
        <c:scaling>
          <c:orientation val="minMax"/>
          <c:max val="190"/>
          <c:min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562088"/>
        <c:crosses val="autoZero"/>
        <c:crossBetween val="midCat"/>
        <c:majorUnit val="1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Art.9 CR/C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Sheet1!$B$2:$AA$2</c:f>
              <c:numCache>
                <c:formatCode>General</c:formatCode>
                <c:ptCount val="26"/>
                <c:pt idx="0">
                  <c:v>4.5</c:v>
                </c:pt>
                <c:pt idx="1">
                  <c:v>3.4</c:v>
                </c:pt>
                <c:pt idx="2">
                  <c:v>3.9</c:v>
                </c:pt>
                <c:pt idx="3">
                  <c:v>4.8</c:v>
                </c:pt>
                <c:pt idx="4">
                  <c:v>5.5</c:v>
                </c:pt>
                <c:pt idx="5">
                  <c:v>6.4</c:v>
                </c:pt>
                <c:pt idx="6">
                  <c:v>6</c:v>
                </c:pt>
                <c:pt idx="7">
                  <c:v>5.4</c:v>
                </c:pt>
                <c:pt idx="8">
                  <c:v>3.8</c:v>
                </c:pt>
                <c:pt idx="9">
                  <c:v>2.5</c:v>
                </c:pt>
                <c:pt idx="10">
                  <c:v>3.4</c:v>
                </c:pt>
                <c:pt idx="11">
                  <c:v>3.9</c:v>
                </c:pt>
                <c:pt idx="12">
                  <c:v>4.0999999999999996</c:v>
                </c:pt>
                <c:pt idx="13">
                  <c:v>3.9</c:v>
                </c:pt>
                <c:pt idx="14">
                  <c:v>4.4000000000000004</c:v>
                </c:pt>
                <c:pt idx="15">
                  <c:v>5</c:v>
                </c:pt>
                <c:pt idx="16">
                  <c:v>5.9</c:v>
                </c:pt>
                <c:pt idx="17">
                  <c:v>6.9</c:v>
                </c:pt>
                <c:pt idx="18">
                  <c:v>7.1</c:v>
                </c:pt>
                <c:pt idx="19">
                  <c:v>7.2</c:v>
                </c:pt>
                <c:pt idx="20">
                  <c:v>6.1</c:v>
                </c:pt>
                <c:pt idx="21">
                  <c:v>5.9</c:v>
                </c:pt>
                <c:pt idx="22">
                  <c:v>6</c:v>
                </c:pt>
                <c:pt idx="23">
                  <c:v>6.8</c:v>
                </c:pt>
                <c:pt idx="24">
                  <c:v>6.5</c:v>
                </c:pt>
                <c:pt idx="25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v>App.30/30A Art.4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Sheet1!$B$3:$AA$3</c:f>
              <c:numCache>
                <c:formatCode>General</c:formatCode>
                <c:ptCount val="26"/>
                <c:pt idx="0">
                  <c:v>4.3</c:v>
                </c:pt>
                <c:pt idx="1">
                  <c:v>4.3</c:v>
                </c:pt>
                <c:pt idx="2">
                  <c:v>4.3</c:v>
                </c:pt>
                <c:pt idx="3">
                  <c:v>4.3</c:v>
                </c:pt>
                <c:pt idx="4">
                  <c:v>4.0999999999999996</c:v>
                </c:pt>
                <c:pt idx="5">
                  <c:v>4.7</c:v>
                </c:pt>
                <c:pt idx="6">
                  <c:v>5.2</c:v>
                </c:pt>
                <c:pt idx="7">
                  <c:v>5.2</c:v>
                </c:pt>
                <c:pt idx="8">
                  <c:v>5.2</c:v>
                </c:pt>
                <c:pt idx="9">
                  <c:v>4.9000000000000004</c:v>
                </c:pt>
                <c:pt idx="10">
                  <c:v>5.2</c:v>
                </c:pt>
                <c:pt idx="11">
                  <c:v>5.2</c:v>
                </c:pt>
                <c:pt idx="12">
                  <c:v>5.3</c:v>
                </c:pt>
                <c:pt idx="13">
                  <c:v>4.5999999999999996</c:v>
                </c:pt>
                <c:pt idx="14">
                  <c:v>5</c:v>
                </c:pt>
                <c:pt idx="15">
                  <c:v>5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5.8</c:v>
                </c:pt>
                <c:pt idx="20">
                  <c:v>5.8</c:v>
                </c:pt>
                <c:pt idx="21">
                  <c:v>6.8</c:v>
                </c:pt>
                <c:pt idx="22">
                  <c:v>7.6</c:v>
                </c:pt>
                <c:pt idx="23">
                  <c:v>8.3000000000000007</c:v>
                </c:pt>
                <c:pt idx="24">
                  <c:v>9.8000000000000007</c:v>
                </c:pt>
                <c:pt idx="25">
                  <c:v>9.5</c:v>
                </c:pt>
              </c:numCache>
            </c:numRef>
          </c:val>
          <c:smooth val="0"/>
        </c:ser>
        <c:ser>
          <c:idx val="2"/>
          <c:order val="2"/>
          <c:tx>
            <c:v>App.30B Art.6&amp;7</c:v>
          </c:tx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Sheet1!$B$4:$AA$4</c:f>
              <c:numCache>
                <c:formatCode>General</c:formatCode>
                <c:ptCount val="26"/>
                <c:pt idx="0">
                  <c:v>4.8</c:v>
                </c:pt>
                <c:pt idx="1">
                  <c:v>4.8</c:v>
                </c:pt>
                <c:pt idx="2">
                  <c:v>5.9</c:v>
                </c:pt>
                <c:pt idx="3">
                  <c:v>4.0999999999999996</c:v>
                </c:pt>
                <c:pt idx="4">
                  <c:v>4.0999999999999996</c:v>
                </c:pt>
                <c:pt idx="5">
                  <c:v>3.7</c:v>
                </c:pt>
                <c:pt idx="6">
                  <c:v>3.7</c:v>
                </c:pt>
                <c:pt idx="7">
                  <c:v>4.0999999999999996</c:v>
                </c:pt>
                <c:pt idx="8">
                  <c:v>4.4000000000000004</c:v>
                </c:pt>
                <c:pt idx="9">
                  <c:v>4.4000000000000004</c:v>
                </c:pt>
                <c:pt idx="10">
                  <c:v>5.7</c:v>
                </c:pt>
                <c:pt idx="11">
                  <c:v>5.5</c:v>
                </c:pt>
                <c:pt idx="12">
                  <c:v>5</c:v>
                </c:pt>
                <c:pt idx="13">
                  <c:v>5.9</c:v>
                </c:pt>
                <c:pt idx="14">
                  <c:v>4.8</c:v>
                </c:pt>
                <c:pt idx="15">
                  <c:v>5.4</c:v>
                </c:pt>
                <c:pt idx="16">
                  <c:v>5.4</c:v>
                </c:pt>
                <c:pt idx="17">
                  <c:v>7.2</c:v>
                </c:pt>
                <c:pt idx="18">
                  <c:v>8</c:v>
                </c:pt>
                <c:pt idx="19">
                  <c:v>7.5</c:v>
                </c:pt>
                <c:pt idx="20">
                  <c:v>6.9</c:v>
                </c:pt>
                <c:pt idx="21">
                  <c:v>6.5</c:v>
                </c:pt>
                <c:pt idx="22">
                  <c:v>6.2</c:v>
                </c:pt>
                <c:pt idx="23">
                  <c:v>7.2</c:v>
                </c:pt>
                <c:pt idx="24">
                  <c:v>8</c:v>
                </c:pt>
                <c:pt idx="25">
                  <c:v>8</c:v>
                </c:pt>
              </c:numCache>
            </c:numRef>
          </c:val>
          <c:smooth val="0"/>
        </c:ser>
        <c:ser>
          <c:idx val="3"/>
          <c:order val="3"/>
          <c:tx>
            <c:v>RR No.9.38 Limit</c:v>
          </c:tx>
          <c:spPr>
            <a:ln>
              <a:prstDash val="sysDash"/>
            </a:ln>
          </c:spPr>
          <c:marker>
            <c:symbol val="none"/>
          </c:marker>
          <c:cat>
            <c:strRef>
              <c:f>Sheet1!$B$1:$AA$1</c:f>
              <c:strCache>
                <c:ptCount val="26"/>
                <c:pt idx="0">
                  <c:v>01.2015</c:v>
                </c:pt>
                <c:pt idx="1">
                  <c:v>02.2015</c:v>
                </c:pt>
                <c:pt idx="2">
                  <c:v>03.2015</c:v>
                </c:pt>
                <c:pt idx="3">
                  <c:v>04.2015</c:v>
                </c:pt>
                <c:pt idx="4">
                  <c:v>05.2015</c:v>
                </c:pt>
                <c:pt idx="5">
                  <c:v>06.2015</c:v>
                </c:pt>
                <c:pt idx="6">
                  <c:v>07.2015</c:v>
                </c:pt>
                <c:pt idx="7">
                  <c:v>08.2015</c:v>
                </c:pt>
                <c:pt idx="8">
                  <c:v>09.2015</c:v>
                </c:pt>
                <c:pt idx="9">
                  <c:v>10.2015</c:v>
                </c:pt>
                <c:pt idx="10">
                  <c:v>11.2015</c:v>
                </c:pt>
                <c:pt idx="11">
                  <c:v>12.2015</c:v>
                </c:pt>
                <c:pt idx="12">
                  <c:v>01.2016</c:v>
                </c:pt>
                <c:pt idx="13">
                  <c:v>02.2016</c:v>
                </c:pt>
                <c:pt idx="14">
                  <c:v>03.2016</c:v>
                </c:pt>
                <c:pt idx="15">
                  <c:v>04.2016</c:v>
                </c:pt>
                <c:pt idx="16">
                  <c:v>05.2016</c:v>
                </c:pt>
                <c:pt idx="17">
                  <c:v>06.2016</c:v>
                </c:pt>
                <c:pt idx="18">
                  <c:v>07.2016</c:v>
                </c:pt>
                <c:pt idx="19">
                  <c:v>08.2016</c:v>
                </c:pt>
                <c:pt idx="20">
                  <c:v>09.2016</c:v>
                </c:pt>
                <c:pt idx="21">
                  <c:v>10.2016</c:v>
                </c:pt>
                <c:pt idx="22">
                  <c:v>11.2016</c:v>
                </c:pt>
                <c:pt idx="23">
                  <c:v>12.2016</c:v>
                </c:pt>
                <c:pt idx="24">
                  <c:v>01.2017</c:v>
                </c:pt>
                <c:pt idx="25">
                  <c:v>02.2017</c:v>
                </c:pt>
              </c:strCache>
            </c:strRef>
          </c:cat>
          <c:val>
            <c:numRef>
              <c:f>Sheet1!$B$5:$AA$5</c:f>
              <c:numCache>
                <c:formatCode>General</c:formatCode>
                <c:ptCount val="2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5354712"/>
        <c:axId val="295357064"/>
      </c:lineChart>
      <c:catAx>
        <c:axId val="295354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5357064"/>
        <c:crosses val="autoZero"/>
        <c:auto val="1"/>
        <c:lblAlgn val="ctr"/>
        <c:lblOffset val="100"/>
        <c:noMultiLvlLbl val="0"/>
      </c:catAx>
      <c:valAx>
        <c:axId val="295357064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35471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Art. 9 CR/C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Sheet2!$B$2:$Y$2</c:f>
              <c:numCache>
                <c:formatCode>General</c:formatCode>
                <c:ptCount val="24"/>
                <c:pt idx="0">
                  <c:v>4</c:v>
                </c:pt>
                <c:pt idx="1">
                  <c:v>4.2</c:v>
                </c:pt>
                <c:pt idx="2">
                  <c:v>3.7</c:v>
                </c:pt>
                <c:pt idx="3">
                  <c:v>3.7</c:v>
                </c:pt>
                <c:pt idx="4">
                  <c:v>3.6</c:v>
                </c:pt>
                <c:pt idx="5">
                  <c:v>3.8</c:v>
                </c:pt>
                <c:pt idx="6">
                  <c:v>4.0999999999999996</c:v>
                </c:pt>
                <c:pt idx="7">
                  <c:v>3.5</c:v>
                </c:pt>
                <c:pt idx="8">
                  <c:v>3.6</c:v>
                </c:pt>
                <c:pt idx="9">
                  <c:v>3.5</c:v>
                </c:pt>
                <c:pt idx="10">
                  <c:v>4.4000000000000004</c:v>
                </c:pt>
                <c:pt idx="11">
                  <c:v>3.7</c:v>
                </c:pt>
                <c:pt idx="12">
                  <c:v>4</c:v>
                </c:pt>
                <c:pt idx="13">
                  <c:v>4.2</c:v>
                </c:pt>
                <c:pt idx="14">
                  <c:v>3.7</c:v>
                </c:pt>
                <c:pt idx="15">
                  <c:v>4.2</c:v>
                </c:pt>
                <c:pt idx="16">
                  <c:v>3</c:v>
                </c:pt>
                <c:pt idx="17">
                  <c:v>2.2000000000000002</c:v>
                </c:pt>
                <c:pt idx="18">
                  <c:v>3.1</c:v>
                </c:pt>
                <c:pt idx="19">
                  <c:v>3.8</c:v>
                </c:pt>
                <c:pt idx="20">
                  <c:v>4</c:v>
                </c:pt>
                <c:pt idx="21">
                  <c:v>4.5</c:v>
                </c:pt>
                <c:pt idx="22">
                  <c:v>4.9000000000000004</c:v>
                </c:pt>
                <c:pt idx="23">
                  <c:v>4.5999999999999996</c:v>
                </c:pt>
              </c:numCache>
            </c:numRef>
          </c:val>
          <c:smooth val="0"/>
        </c:ser>
        <c:ser>
          <c:idx val="1"/>
          <c:order val="1"/>
          <c:tx>
            <c:v>App. 30/30A</c:v>
          </c:tx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Sheet2!$B$3:$Y$3</c:f>
              <c:numCache>
                <c:formatCode>General</c:formatCode>
                <c:ptCount val="24"/>
                <c:pt idx="0">
                  <c:v>3.5</c:v>
                </c:pt>
                <c:pt idx="1">
                  <c:v>4.4000000000000004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5.9</c:v>
                </c:pt>
                <c:pt idx="6">
                  <c:v>4.8</c:v>
                </c:pt>
                <c:pt idx="7">
                  <c:v>4.8</c:v>
                </c:pt>
                <c:pt idx="8">
                  <c:v>5.3</c:v>
                </c:pt>
                <c:pt idx="9">
                  <c:v>2.2999999999999998</c:v>
                </c:pt>
                <c:pt idx="10">
                  <c:v>2.8</c:v>
                </c:pt>
                <c:pt idx="11">
                  <c:v>2.2999999999999998</c:v>
                </c:pt>
                <c:pt idx="12">
                  <c:v>2.2999999999999998</c:v>
                </c:pt>
                <c:pt idx="13">
                  <c:v>3.7</c:v>
                </c:pt>
                <c:pt idx="14">
                  <c:v>3.7</c:v>
                </c:pt>
                <c:pt idx="15">
                  <c:v>3.7</c:v>
                </c:pt>
                <c:pt idx="16">
                  <c:v>3.4</c:v>
                </c:pt>
                <c:pt idx="17">
                  <c:v>3.4</c:v>
                </c:pt>
                <c:pt idx="18">
                  <c:v>3.6</c:v>
                </c:pt>
                <c:pt idx="19">
                  <c:v>4.8</c:v>
                </c:pt>
                <c:pt idx="20">
                  <c:v>5.8</c:v>
                </c:pt>
                <c:pt idx="21">
                  <c:v>5.8</c:v>
                </c:pt>
                <c:pt idx="22">
                  <c:v>5.9</c:v>
                </c:pt>
                <c:pt idx="23">
                  <c:v>5.9</c:v>
                </c:pt>
              </c:numCache>
            </c:numRef>
          </c:val>
          <c:smooth val="0"/>
        </c:ser>
        <c:ser>
          <c:idx val="3"/>
          <c:order val="2"/>
          <c:tx>
            <c:v>RR No.9.38 Limit</c:v>
          </c:tx>
          <c:spPr>
            <a:ln w="28575">
              <a:prstDash val="sysDash"/>
            </a:ln>
          </c:spPr>
          <c:marker>
            <c:symbol val="none"/>
          </c:marker>
          <c:cat>
            <c:strRef>
              <c:f>Sheet2!$B$1:$Y$1</c:f>
              <c:strCache>
                <c:ptCount val="24"/>
                <c:pt idx="0">
                  <c:v>01.2007</c:v>
                </c:pt>
                <c:pt idx="1">
                  <c:v>02.2007</c:v>
                </c:pt>
                <c:pt idx="2">
                  <c:v>03.2007</c:v>
                </c:pt>
                <c:pt idx="3">
                  <c:v>04.2007</c:v>
                </c:pt>
                <c:pt idx="4">
                  <c:v>05.2007</c:v>
                </c:pt>
                <c:pt idx="5">
                  <c:v>06.2007</c:v>
                </c:pt>
                <c:pt idx="6">
                  <c:v>07.2007</c:v>
                </c:pt>
                <c:pt idx="7">
                  <c:v>08.2007</c:v>
                </c:pt>
                <c:pt idx="8">
                  <c:v>09.2007</c:v>
                </c:pt>
                <c:pt idx="9">
                  <c:v>10.2007</c:v>
                </c:pt>
                <c:pt idx="10">
                  <c:v>11.2007</c:v>
                </c:pt>
                <c:pt idx="11">
                  <c:v>12.2007</c:v>
                </c:pt>
                <c:pt idx="12">
                  <c:v>01.2008</c:v>
                </c:pt>
                <c:pt idx="13">
                  <c:v>02.2008</c:v>
                </c:pt>
                <c:pt idx="14">
                  <c:v>03.2008</c:v>
                </c:pt>
                <c:pt idx="15">
                  <c:v>04.2008</c:v>
                </c:pt>
                <c:pt idx="16">
                  <c:v>05.2008</c:v>
                </c:pt>
                <c:pt idx="17">
                  <c:v>06.2008</c:v>
                </c:pt>
                <c:pt idx="18">
                  <c:v>07.2008</c:v>
                </c:pt>
                <c:pt idx="19">
                  <c:v>08.2008</c:v>
                </c:pt>
                <c:pt idx="20">
                  <c:v>09.2008</c:v>
                </c:pt>
                <c:pt idx="21">
                  <c:v>10.2008</c:v>
                </c:pt>
                <c:pt idx="22">
                  <c:v>11.2008</c:v>
                </c:pt>
                <c:pt idx="23">
                  <c:v>12.2008</c:v>
                </c:pt>
              </c:strCache>
            </c:strRef>
          </c:cat>
          <c:val>
            <c:numRef>
              <c:f>Sheet2!$B$5:$Y$5</c:f>
              <c:numCache>
                <c:formatCode>General</c:formatCode>
                <c:ptCount val="2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040616"/>
        <c:axId val="288039440"/>
      </c:lineChart>
      <c:catAx>
        <c:axId val="288040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039440"/>
        <c:crosses val="autoZero"/>
        <c:auto val="1"/>
        <c:lblAlgn val="ctr"/>
        <c:lblOffset val="100"/>
        <c:noMultiLvlLbl val="0"/>
      </c:catAx>
      <c:valAx>
        <c:axId val="288039440"/>
        <c:scaling>
          <c:orientation val="minMax"/>
          <c:max val="10"/>
          <c:min val="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040616"/>
        <c:crosses val="autoZero"/>
        <c:crossBetween val="midCat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0.06875</cdr:x>
      <cdr:y>0.02367</cdr:y>
    </cdr:from>
    <cdr:to>
      <cdr:x>0.34528</cdr:x>
      <cdr:y>0.32541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19085" y="76199"/>
          <a:ext cx="1685727" cy="971437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0.08638</cdr:x>
      <cdr:y>0.01529</cdr:y>
    </cdr:from>
    <cdr:to>
      <cdr:x>0.37206</cdr:x>
      <cdr:y>0.33635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5300" y="47625"/>
          <a:ext cx="1638095" cy="10000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131</TotalTime>
  <Pages>12</Pages>
  <Words>2373</Words>
  <Characters>19547</Characters>
  <Application>Microsoft Office Word</Application>
  <DocSecurity>0</DocSecurity>
  <Lines>162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21877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dc:description/>
  <cp:lastModifiedBy>Maloletkova, Svetlana</cp:lastModifiedBy>
  <cp:revision>5</cp:revision>
  <cp:lastPrinted>2017-05-29T12:30:00Z</cp:lastPrinted>
  <dcterms:created xsi:type="dcterms:W3CDTF">2017-05-29T10:21:00Z</dcterms:created>
  <dcterms:modified xsi:type="dcterms:W3CDTF">2017-05-29T14:38:00Z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