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drawings/drawing1.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093EEB">
            <w:pPr>
              <w:spacing w:before="360"/>
              <w:rPr>
                <w:szCs w:val="24"/>
              </w:rPr>
            </w:pPr>
            <w:bookmarkStart w:id="0" w:name="dc06"/>
            <w:bookmarkStart w:id="1" w:name="dbluepink" w:colFirst="0" w:colLast="0"/>
            <w:bookmarkEnd w:id="0"/>
            <w:r w:rsidRPr="00093EEB">
              <w:rPr>
                <w:b/>
                <w:bCs/>
                <w:sz w:val="30"/>
                <w:szCs w:val="30"/>
              </w:rPr>
              <w:t>Consejo 2017</w:t>
            </w:r>
            <w:r w:rsidRPr="00093EEB">
              <w:rPr>
                <w:b/>
                <w:bCs/>
                <w:sz w:val="26"/>
                <w:szCs w:val="26"/>
              </w:rPr>
              <w:br/>
            </w:r>
            <w:r w:rsidRPr="00093EEB">
              <w:rPr>
                <w:b/>
                <w:bCs/>
                <w:szCs w:val="24"/>
              </w:rPr>
              <w:t>Ginebra, 15-25 de mayo de 2017</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DC69ED" w:rsidP="00DC69ED">
            <w:pPr>
              <w:tabs>
                <w:tab w:val="left" w:pos="1560"/>
                <w:tab w:val="left" w:pos="3544"/>
                <w:tab w:val="left" w:pos="3969"/>
              </w:tabs>
              <w:spacing w:before="0" w:line="240" w:lineRule="atLeast"/>
              <w:rPr>
                <w:rFonts w:cs="Times"/>
                <w:b/>
                <w:szCs w:val="24"/>
              </w:rPr>
            </w:pPr>
            <w:bookmarkStart w:id="3" w:name="dnum" w:colFirst="1" w:colLast="1"/>
            <w:bookmarkStart w:id="4" w:name="dmeeting" w:colFirst="0" w:colLast="0"/>
            <w:r w:rsidRPr="00DC69ED">
              <w:rPr>
                <w:rFonts w:cs="Times"/>
                <w:b/>
                <w:szCs w:val="24"/>
              </w:rPr>
              <w:t xml:space="preserve">Punto del orden del día: </w:t>
            </w:r>
            <w:r>
              <w:rPr>
                <w:rFonts w:cs="Times"/>
                <w:b/>
                <w:szCs w:val="24"/>
              </w:rPr>
              <w:t>ADM</w:t>
            </w:r>
            <w:r w:rsidRPr="00DC69ED">
              <w:rPr>
                <w:rFonts w:cs="Times"/>
                <w:b/>
                <w:szCs w:val="24"/>
              </w:rPr>
              <w:t xml:space="preserve"> 1.1</w:t>
            </w:r>
          </w:p>
        </w:tc>
        <w:tc>
          <w:tcPr>
            <w:tcW w:w="3261" w:type="dxa"/>
          </w:tcPr>
          <w:p w:rsidR="00093EEB" w:rsidRPr="00093EEB" w:rsidRDefault="001A3D7C" w:rsidP="002B015D">
            <w:pPr>
              <w:spacing w:before="0"/>
              <w:rPr>
                <w:b/>
                <w:bCs/>
                <w:szCs w:val="24"/>
              </w:rPr>
            </w:pPr>
            <w:r>
              <w:rPr>
                <w:b/>
                <w:bCs/>
                <w:szCs w:val="24"/>
              </w:rPr>
              <w:t xml:space="preserve">Revisión </w:t>
            </w:r>
            <w:r w:rsidR="002B015D">
              <w:rPr>
                <w:b/>
                <w:bCs/>
                <w:szCs w:val="24"/>
              </w:rPr>
              <w:t>2</w:t>
            </w:r>
            <w:r>
              <w:rPr>
                <w:b/>
                <w:bCs/>
                <w:szCs w:val="24"/>
              </w:rPr>
              <w:t xml:space="preserve"> al</w:t>
            </w:r>
            <w:r>
              <w:rPr>
                <w:b/>
                <w:bCs/>
                <w:szCs w:val="24"/>
              </w:rPr>
              <w:br/>
            </w:r>
            <w:r w:rsidR="00093EEB">
              <w:rPr>
                <w:b/>
                <w:bCs/>
                <w:szCs w:val="24"/>
              </w:rPr>
              <w:t>Documento C17/</w:t>
            </w:r>
            <w:r w:rsidR="00DC69ED">
              <w:rPr>
                <w:b/>
                <w:bCs/>
                <w:szCs w:val="24"/>
              </w:rPr>
              <w:t>80</w:t>
            </w:r>
            <w:r w:rsidR="00093EEB">
              <w:rPr>
                <w:b/>
                <w:bCs/>
                <w:szCs w:val="24"/>
              </w:rPr>
              <w:t>-S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093EEB" w:rsidRDefault="00DC69ED" w:rsidP="001A3D7C">
            <w:pPr>
              <w:spacing w:before="0"/>
              <w:rPr>
                <w:b/>
                <w:bCs/>
                <w:szCs w:val="24"/>
              </w:rPr>
            </w:pPr>
            <w:r>
              <w:rPr>
                <w:b/>
                <w:bCs/>
                <w:szCs w:val="24"/>
              </w:rPr>
              <w:t>2</w:t>
            </w:r>
            <w:r w:rsidR="002B015D">
              <w:rPr>
                <w:b/>
                <w:bCs/>
                <w:szCs w:val="24"/>
              </w:rPr>
              <w:t>5</w:t>
            </w:r>
            <w:r w:rsidR="0077252D">
              <w:rPr>
                <w:b/>
                <w:bCs/>
                <w:szCs w:val="24"/>
              </w:rPr>
              <w:t xml:space="preserve"> </w:t>
            </w:r>
            <w:r>
              <w:rPr>
                <w:b/>
                <w:bCs/>
                <w:szCs w:val="24"/>
              </w:rPr>
              <w:t xml:space="preserve">de </w:t>
            </w:r>
            <w:r w:rsidR="001A3D7C">
              <w:rPr>
                <w:b/>
                <w:bCs/>
                <w:szCs w:val="24"/>
              </w:rPr>
              <w:t xml:space="preserve">mayo </w:t>
            </w:r>
            <w:r w:rsidR="00093EEB">
              <w:rPr>
                <w:b/>
                <w:bCs/>
                <w:szCs w:val="24"/>
              </w:rPr>
              <w:t>de 2017</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orlang" w:colFirst="1" w:colLast="1"/>
            <w:bookmarkEnd w:id="5"/>
          </w:p>
        </w:tc>
        <w:tc>
          <w:tcPr>
            <w:tcW w:w="3261" w:type="dxa"/>
          </w:tcPr>
          <w:p w:rsidR="00093EEB" w:rsidRPr="00093EEB" w:rsidRDefault="00093EEB" w:rsidP="00DC69ED">
            <w:pPr>
              <w:spacing w:before="0"/>
              <w:rPr>
                <w:b/>
                <w:bCs/>
                <w:szCs w:val="24"/>
              </w:rPr>
            </w:pPr>
            <w:r>
              <w:rPr>
                <w:b/>
                <w:bCs/>
                <w:szCs w:val="24"/>
              </w:rPr>
              <w:t xml:space="preserve">Original: </w:t>
            </w:r>
            <w:r w:rsidR="00DC69ED">
              <w:rPr>
                <w:b/>
                <w:bCs/>
                <w:szCs w:val="24"/>
              </w:rPr>
              <w:t>ruso</w:t>
            </w:r>
          </w:p>
        </w:tc>
      </w:tr>
      <w:tr w:rsidR="00093EEB" w:rsidRPr="000B0D00">
        <w:trPr>
          <w:cantSplit/>
        </w:trPr>
        <w:tc>
          <w:tcPr>
            <w:tcW w:w="10173" w:type="dxa"/>
            <w:gridSpan w:val="2"/>
          </w:tcPr>
          <w:p w:rsidR="00093EEB" w:rsidRPr="000B0D00" w:rsidRDefault="0090344E">
            <w:pPr>
              <w:pStyle w:val="Source"/>
            </w:pPr>
            <w:bookmarkStart w:id="7" w:name="dsource" w:colFirst="0" w:colLast="0"/>
            <w:bookmarkEnd w:id="1"/>
            <w:bookmarkEnd w:id="6"/>
            <w:r w:rsidRPr="0090344E">
              <w:t>Nota del Secretario General</w:t>
            </w:r>
          </w:p>
        </w:tc>
      </w:tr>
      <w:tr w:rsidR="00093EEB" w:rsidRPr="000B0D00">
        <w:trPr>
          <w:cantSplit/>
        </w:trPr>
        <w:tc>
          <w:tcPr>
            <w:tcW w:w="10173" w:type="dxa"/>
            <w:gridSpan w:val="2"/>
          </w:tcPr>
          <w:p w:rsidR="00093EEB" w:rsidRPr="000B0D00" w:rsidRDefault="001A3D7C">
            <w:pPr>
              <w:pStyle w:val="Title1"/>
            </w:pPr>
            <w:bookmarkStart w:id="8" w:name="dtitle1" w:colFirst="0" w:colLast="0"/>
            <w:bookmarkEnd w:id="7"/>
            <w:r w:rsidRPr="00454A0E">
              <w:t xml:space="preserve">CONTRIBUcIóN de la </w:t>
            </w:r>
            <w:r>
              <w:t>Federación de RUS</w:t>
            </w:r>
            <w:r w:rsidRPr="00454A0E">
              <w:t>IA</w:t>
            </w:r>
            <w:r>
              <w:t>, la REPÚBLICA DE ARMENIA, LA REPÚBLICA DE BELARÚS</w:t>
            </w:r>
            <w:r w:rsidR="002B015D">
              <w:t xml:space="preserve"> y la república kirguisa</w:t>
            </w:r>
          </w:p>
        </w:tc>
      </w:tr>
      <w:tr w:rsidR="00DC69ED" w:rsidRPr="000B0D00">
        <w:trPr>
          <w:cantSplit/>
        </w:trPr>
        <w:tc>
          <w:tcPr>
            <w:tcW w:w="10173" w:type="dxa"/>
            <w:gridSpan w:val="2"/>
          </w:tcPr>
          <w:p w:rsidR="00DC69ED" w:rsidRPr="0090344E" w:rsidRDefault="00DC69ED" w:rsidP="00DC69ED">
            <w:pPr>
              <w:pStyle w:val="Title2"/>
            </w:pPr>
            <w:r w:rsidRPr="00DC69ED">
              <w:t xml:space="preserve">PROPUESTAS PARA EL PROYECTO DE PRESUPUESTO DEL SECTOR </w:t>
            </w:r>
            <w:r w:rsidR="00AC55A5">
              <w:br/>
            </w:r>
            <w:r w:rsidRPr="00DC69ED">
              <w:t xml:space="preserve">DE RADIOCOMUNICACIONES PARA 2018-2019, PREPARADO </w:t>
            </w:r>
            <w:r w:rsidR="00AC55A5">
              <w:br/>
            </w:r>
            <w:r w:rsidRPr="00DC69ED">
              <w:t xml:space="preserve">CON ARREGLO A UN ANÁLISIS DE LOS RECURSOS HUMANOS Y </w:t>
            </w:r>
            <w:r>
              <w:br/>
            </w:r>
            <w:r w:rsidRPr="00DC69ED">
              <w:t>FINANCIEROS DEL UIT-R DURANTE EL PERIODO 1996-2017</w:t>
            </w:r>
          </w:p>
        </w:tc>
      </w:tr>
      <w:bookmarkEnd w:id="8"/>
    </w:tbl>
    <w:p w:rsidR="00093EEB" w:rsidRDefault="00093EEB"/>
    <w:p w:rsidR="00DC69ED" w:rsidRDefault="00DC69ED" w:rsidP="002B015D">
      <w:pPr>
        <w:pStyle w:val="Normalaftertitle"/>
      </w:pPr>
      <w:r>
        <w:t xml:space="preserve">Tengo el honor de transmitir a los Estados Miembros del Consejo la contribución adjunta recibida de la </w:t>
      </w:r>
      <w:r w:rsidRPr="00DC69ED">
        <w:rPr>
          <w:b/>
          <w:bCs/>
        </w:rPr>
        <w:t>Federación de Rusia</w:t>
      </w:r>
      <w:r w:rsidR="001A3D7C">
        <w:rPr>
          <w:b/>
          <w:bCs/>
        </w:rPr>
        <w:t>, la República de Armenia</w:t>
      </w:r>
      <w:r w:rsidR="002B015D">
        <w:rPr>
          <w:b/>
          <w:bCs/>
        </w:rPr>
        <w:t>,</w:t>
      </w:r>
      <w:r w:rsidR="001A3D7C">
        <w:rPr>
          <w:b/>
          <w:bCs/>
        </w:rPr>
        <w:t xml:space="preserve"> la República de Belarús</w:t>
      </w:r>
      <w:r w:rsidR="002B015D">
        <w:rPr>
          <w:b/>
          <w:bCs/>
        </w:rPr>
        <w:t xml:space="preserve"> y la República Kirguisa</w:t>
      </w:r>
      <w:r>
        <w:t>.</w:t>
      </w:r>
      <w:r>
        <w:rPr>
          <w:cs/>
        </w:rPr>
        <w:t>‎</w:t>
      </w:r>
    </w:p>
    <w:p w:rsidR="00DC69ED" w:rsidRPr="000B0D00" w:rsidRDefault="00DC69ED" w:rsidP="00DC69ED">
      <w:pPr>
        <w:tabs>
          <w:tab w:val="center" w:pos="7088"/>
        </w:tabs>
        <w:spacing w:before="1320"/>
      </w:pPr>
      <w:r w:rsidRPr="00DC69ED">
        <w:tab/>
      </w:r>
      <w:r w:rsidRPr="00DC69ED">
        <w:tab/>
      </w:r>
      <w:r w:rsidRPr="00DC69ED">
        <w:tab/>
      </w:r>
      <w:r w:rsidRPr="00DC69ED">
        <w:tab/>
      </w:r>
      <w:r w:rsidRPr="00DC69ED">
        <w:tab/>
      </w:r>
      <w:r w:rsidRPr="00DC69ED">
        <w:tab/>
      </w:r>
      <w:r w:rsidRPr="001A3D7C">
        <w:t>Houlin ZHAO</w:t>
      </w:r>
      <w:r w:rsidRPr="001A3D7C">
        <w:br/>
      </w:r>
      <w:r>
        <w:tab/>
      </w:r>
      <w:r>
        <w:tab/>
      </w:r>
      <w:r>
        <w:tab/>
      </w:r>
      <w:r>
        <w:tab/>
      </w:r>
      <w:r>
        <w:tab/>
      </w:r>
      <w:r>
        <w:tab/>
        <w:t>Secretario General</w:t>
      </w:r>
    </w:p>
    <w:p w:rsidR="00DC69ED" w:rsidRDefault="00DC69ED">
      <w:pPr>
        <w:tabs>
          <w:tab w:val="clear" w:pos="567"/>
          <w:tab w:val="clear" w:pos="1134"/>
          <w:tab w:val="clear" w:pos="1701"/>
          <w:tab w:val="clear" w:pos="2268"/>
          <w:tab w:val="clear" w:pos="2835"/>
        </w:tabs>
        <w:overflowPunct/>
        <w:autoSpaceDE/>
        <w:autoSpaceDN/>
        <w:adjustRightInd/>
        <w:spacing w:before="0"/>
        <w:textAlignment w:val="auto"/>
      </w:pPr>
      <w:r>
        <w:br w:type="page"/>
      </w:r>
    </w:p>
    <w:p w:rsidR="00DC69ED" w:rsidRDefault="001A3D7C" w:rsidP="002B015D">
      <w:pPr>
        <w:pStyle w:val="Source"/>
      </w:pPr>
      <w:r w:rsidRPr="00704369">
        <w:lastRenderedPageBreak/>
        <w:t>Federación de Rusia, República de Armenia</w:t>
      </w:r>
      <w:r w:rsidR="002B015D">
        <w:t xml:space="preserve">, </w:t>
      </w:r>
      <w:r w:rsidRPr="00704369">
        <w:t>República de Belarús</w:t>
      </w:r>
      <w:r w:rsidR="002B015D">
        <w:t>, República </w:t>
      </w:r>
      <w:bookmarkStart w:id="9" w:name="_GoBack"/>
      <w:bookmarkEnd w:id="9"/>
      <w:r w:rsidR="002B015D">
        <w:t>Kirguisa</w:t>
      </w:r>
    </w:p>
    <w:p w:rsidR="00DC69ED" w:rsidRDefault="00DC69ED" w:rsidP="00DC69ED">
      <w:pPr>
        <w:pStyle w:val="Title1"/>
      </w:pPr>
      <w:r>
        <w:t xml:space="preserve">PROPUESTAS PARA EL PROYECTO DE PRESUPUESTO DEL SECTOR </w:t>
      </w:r>
      <w:r w:rsidR="00AC55A5">
        <w:br/>
      </w:r>
      <w:r>
        <w:t xml:space="preserve">DE RADIOCOMUNICACIONES PARA 2018-2019, PREPARADO </w:t>
      </w:r>
      <w:r w:rsidR="00AC55A5">
        <w:br/>
      </w:r>
      <w:r>
        <w:t xml:space="preserve">CON ARREGLO A UN ANÁLISIS DE LOS RECURSOS HUMANOS </w:t>
      </w:r>
      <w:r w:rsidR="00AC55A5">
        <w:br/>
      </w:r>
      <w:r>
        <w:t>Y FINANCIEROS DEL UIT-R DURANTE EL PERIODO 1996-2017</w:t>
      </w:r>
    </w:p>
    <w:p w:rsidR="00DC69ED" w:rsidRPr="000B0D00" w:rsidRDefault="00DC69ED"/>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0B0D00" w:rsidRDefault="00093EEB">
            <w:pPr>
              <w:pStyle w:val="Headingb"/>
              <w:rPr>
                <w:lang w:val="es-ES"/>
              </w:rPr>
            </w:pPr>
            <w:r w:rsidRPr="000B0D00">
              <w:rPr>
                <w:lang w:val="es-ES"/>
              </w:rPr>
              <w:t>Resumen</w:t>
            </w:r>
          </w:p>
          <w:p w:rsidR="00093EEB" w:rsidRPr="000B0D00" w:rsidRDefault="00DC69ED" w:rsidP="007620B6">
            <w:pPr>
              <w:rPr>
                <w:lang w:val="es-ES"/>
              </w:rPr>
            </w:pPr>
            <w:r w:rsidRPr="00DC69ED">
              <w:rPr>
                <w:lang w:val="es-ES"/>
              </w:rPr>
              <w:t>E</w:t>
            </w:r>
            <w:r w:rsidR="003C62E4">
              <w:rPr>
                <w:lang w:val="es-ES"/>
              </w:rPr>
              <w:t>n e</w:t>
            </w:r>
            <w:r w:rsidRPr="00DC69ED">
              <w:rPr>
                <w:lang w:val="es-ES"/>
              </w:rPr>
              <w:t>l documento se presentan propuestas destinadas a aclarar el presupuesto del Sector de Radiocomunicaciones para 2018-2019, preparado con arreglo a un análisis de los recursos humanos y financieros del UIT-R durante el periodo</w:t>
            </w:r>
            <w:r w:rsidR="007620B6">
              <w:rPr>
                <w:lang w:val="es-ES"/>
              </w:rPr>
              <w:t> </w:t>
            </w:r>
            <w:r w:rsidRPr="00DC69ED">
              <w:rPr>
                <w:lang w:val="es-ES"/>
              </w:rPr>
              <w:t>1996-2017.</w:t>
            </w:r>
            <w:r w:rsidRPr="00DC69ED">
              <w:rPr>
                <w:cs/>
                <w:lang w:val="es-ES"/>
              </w:rPr>
              <w:t>‎</w:t>
            </w:r>
          </w:p>
          <w:p w:rsidR="00093EEB" w:rsidRPr="000B0D00" w:rsidRDefault="00093EEB">
            <w:pPr>
              <w:pStyle w:val="Headingb"/>
              <w:rPr>
                <w:lang w:val="es-ES"/>
              </w:rPr>
            </w:pPr>
            <w:r w:rsidRPr="000B0D00">
              <w:rPr>
                <w:lang w:val="es-ES"/>
              </w:rPr>
              <w:t>Acción solicitada</w:t>
            </w:r>
          </w:p>
          <w:p w:rsidR="00093EEB" w:rsidRPr="000B0D00" w:rsidRDefault="00DC69ED" w:rsidP="00DC69ED">
            <w:pPr>
              <w:rPr>
                <w:lang w:val="es-ES"/>
              </w:rPr>
            </w:pPr>
            <w:r w:rsidRPr="00DC69ED">
              <w:rPr>
                <w:lang w:val="es-ES"/>
              </w:rPr>
              <w:t xml:space="preserve">Se ruega al Consejo que </w:t>
            </w:r>
            <w:r w:rsidRPr="00DC69ED">
              <w:rPr>
                <w:b/>
                <w:bCs/>
                <w:lang w:val="es-ES"/>
              </w:rPr>
              <w:t>tenga en cuenta las propuestas siguientes al examinar el presupuesto para 2018</w:t>
            </w:r>
            <w:r>
              <w:rPr>
                <w:b/>
                <w:bCs/>
                <w:lang w:val="es-ES"/>
              </w:rPr>
              <w:t>-</w:t>
            </w:r>
            <w:r w:rsidRPr="00DC69ED">
              <w:rPr>
                <w:b/>
                <w:bCs/>
                <w:lang w:val="es-ES"/>
              </w:rPr>
              <w:t>2019</w:t>
            </w:r>
            <w:r w:rsidRPr="00DC69ED">
              <w:rPr>
                <w:lang w:val="es-ES"/>
              </w:rPr>
              <w:t>.</w:t>
            </w:r>
            <w:r w:rsidRPr="00DC69ED">
              <w:rPr>
                <w:cs/>
                <w:lang w:val="es-ES"/>
              </w:rPr>
              <w:t>‎</w:t>
            </w:r>
          </w:p>
          <w:p w:rsidR="00093EEB" w:rsidRPr="000B0D00" w:rsidRDefault="00093EEB">
            <w:pPr>
              <w:pStyle w:val="Table"/>
              <w:keepNext w:val="0"/>
              <w:spacing w:before="0" w:after="0"/>
              <w:rPr>
                <w:caps w:val="0"/>
                <w:sz w:val="22"/>
                <w:lang w:val="es-ES"/>
              </w:rPr>
            </w:pPr>
            <w:r w:rsidRPr="000B0D00">
              <w:rPr>
                <w:caps w:val="0"/>
                <w:sz w:val="22"/>
                <w:lang w:val="es-ES"/>
              </w:rPr>
              <w:t>____________</w:t>
            </w:r>
          </w:p>
          <w:p w:rsidR="00093EEB" w:rsidRPr="000B0D00" w:rsidRDefault="00093EEB">
            <w:pPr>
              <w:pStyle w:val="Headingb"/>
              <w:rPr>
                <w:lang w:val="es-ES"/>
              </w:rPr>
            </w:pPr>
            <w:r w:rsidRPr="000B0D00">
              <w:rPr>
                <w:lang w:val="es-ES"/>
              </w:rPr>
              <w:t>Referencia</w:t>
            </w:r>
            <w:r w:rsidR="00DC69ED">
              <w:rPr>
                <w:lang w:val="es-ES"/>
              </w:rPr>
              <w:t>s</w:t>
            </w:r>
          </w:p>
          <w:p w:rsidR="00093EEB" w:rsidRPr="000B0D00" w:rsidRDefault="00DC69ED" w:rsidP="00DC69ED">
            <w:pPr>
              <w:spacing w:after="120"/>
              <w:rPr>
                <w:i/>
                <w:iCs/>
                <w:lang w:val="es-ES"/>
              </w:rPr>
            </w:pPr>
            <w:r>
              <w:rPr>
                <w:i/>
                <w:iCs/>
                <w:lang w:val="es-ES"/>
              </w:rPr>
              <w:t xml:space="preserve">Documentos </w:t>
            </w:r>
            <w:hyperlink r:id="rId9" w:history="1">
              <w:r w:rsidRPr="00DC69ED">
                <w:rPr>
                  <w:rStyle w:val="Hyperlink"/>
                  <w:i/>
                  <w:iCs/>
                  <w:lang w:val="es-ES"/>
                </w:rPr>
                <w:t>C15/105(Rev.1)</w:t>
              </w:r>
            </w:hyperlink>
            <w:r w:rsidRPr="00DC69ED">
              <w:rPr>
                <w:i/>
                <w:iCs/>
                <w:lang w:val="es-ES"/>
              </w:rPr>
              <w:t xml:space="preserve">, </w:t>
            </w:r>
            <w:hyperlink r:id="rId10" w:history="1">
              <w:r w:rsidRPr="00DC69ED">
                <w:rPr>
                  <w:rStyle w:val="Hyperlink"/>
                  <w:i/>
                  <w:iCs/>
                  <w:lang w:val="es-ES"/>
                </w:rPr>
                <w:t>CWG-FHR-INF 7/3</w:t>
              </w:r>
            </w:hyperlink>
            <w:r w:rsidRPr="00DC69ED">
              <w:rPr>
                <w:i/>
                <w:iCs/>
                <w:lang w:val="es-ES"/>
              </w:rPr>
              <w:t xml:space="preserve">, </w:t>
            </w:r>
            <w:hyperlink r:id="rId11" w:history="1">
              <w:r w:rsidRPr="00DC69ED">
                <w:rPr>
                  <w:rStyle w:val="Hyperlink"/>
                  <w:i/>
                  <w:iCs/>
                  <w:lang w:val="es-ES"/>
                </w:rPr>
                <w:t>C17/10</w:t>
              </w:r>
            </w:hyperlink>
            <w:r w:rsidRPr="00DC69ED">
              <w:rPr>
                <w:i/>
                <w:iCs/>
                <w:lang w:val="es-ES"/>
              </w:rPr>
              <w:t xml:space="preserve">, </w:t>
            </w:r>
            <w:hyperlink r:id="rId12" w:history="1">
              <w:r w:rsidRPr="00DC69ED">
                <w:rPr>
                  <w:rStyle w:val="Hyperlink"/>
                  <w:i/>
                  <w:iCs/>
                  <w:lang w:val="es-ES"/>
                </w:rPr>
                <w:t>RRB07-3/2</w:t>
              </w:r>
            </w:hyperlink>
            <w:r w:rsidRPr="00DC69ED">
              <w:rPr>
                <w:i/>
                <w:iCs/>
                <w:lang w:val="es-ES"/>
              </w:rPr>
              <w:t xml:space="preserve">, </w:t>
            </w:r>
            <w:hyperlink r:id="rId13" w:history="1">
              <w:r w:rsidRPr="00DC69ED">
                <w:rPr>
                  <w:rStyle w:val="Hyperlink"/>
                  <w:i/>
                  <w:iCs/>
                  <w:lang w:val="es-ES"/>
                </w:rPr>
                <w:t>RRB08-1/1</w:t>
              </w:r>
            </w:hyperlink>
            <w:r w:rsidRPr="00DC69ED">
              <w:rPr>
                <w:i/>
                <w:iCs/>
                <w:lang w:val="es-ES"/>
              </w:rPr>
              <w:t xml:space="preserve">, </w:t>
            </w:r>
            <w:hyperlink r:id="rId14" w:history="1">
              <w:r w:rsidRPr="00DC69ED">
                <w:rPr>
                  <w:rStyle w:val="Hyperlink"/>
                  <w:i/>
                  <w:iCs/>
                  <w:lang w:val="es-ES"/>
                </w:rPr>
                <w:t>RRB09-1/1</w:t>
              </w:r>
            </w:hyperlink>
            <w:r w:rsidRPr="00DC69ED">
              <w:rPr>
                <w:i/>
                <w:iCs/>
                <w:lang w:val="es-ES"/>
              </w:rPr>
              <w:t xml:space="preserve">, </w:t>
            </w:r>
            <w:hyperlink r:id="rId15" w:history="1">
              <w:r w:rsidRPr="00DC69ED">
                <w:rPr>
                  <w:rStyle w:val="Hyperlink"/>
                  <w:i/>
                  <w:iCs/>
                  <w:lang w:val="es-ES"/>
                </w:rPr>
                <w:t>RRB15-3/4</w:t>
              </w:r>
            </w:hyperlink>
            <w:r w:rsidRPr="00DC69ED">
              <w:rPr>
                <w:i/>
                <w:iCs/>
                <w:lang w:val="es-ES"/>
              </w:rPr>
              <w:t xml:space="preserve">, </w:t>
            </w:r>
            <w:hyperlink r:id="rId16" w:history="1">
              <w:r w:rsidRPr="00DC69ED">
                <w:rPr>
                  <w:rStyle w:val="Hyperlink"/>
                  <w:i/>
                  <w:iCs/>
                  <w:lang w:val="es-ES"/>
                </w:rPr>
                <w:t>RRB16-1/5</w:t>
              </w:r>
            </w:hyperlink>
            <w:r w:rsidRPr="00DC69ED">
              <w:rPr>
                <w:i/>
                <w:iCs/>
                <w:lang w:val="es-ES"/>
              </w:rPr>
              <w:t xml:space="preserve">, </w:t>
            </w:r>
            <w:hyperlink r:id="rId17" w:history="1">
              <w:r w:rsidRPr="00DC69ED">
                <w:rPr>
                  <w:rStyle w:val="Hyperlink"/>
                  <w:i/>
                  <w:iCs/>
                  <w:lang w:val="es-ES"/>
                </w:rPr>
                <w:t>RRB17-1/3</w:t>
              </w:r>
            </w:hyperlink>
            <w:r w:rsidRPr="00DC69ED">
              <w:rPr>
                <w:i/>
                <w:iCs/>
                <w:lang w:val="es-ES"/>
              </w:rPr>
              <w:t xml:space="preserve">, </w:t>
            </w:r>
            <w:hyperlink r:id="rId18" w:history="1">
              <w:r w:rsidRPr="00DC69ED">
                <w:rPr>
                  <w:rStyle w:val="Hyperlink"/>
                  <w:i/>
                  <w:iCs/>
                  <w:lang w:val="es-ES"/>
                </w:rPr>
                <w:t>RRB17-1/8</w:t>
              </w:r>
            </w:hyperlink>
            <w:r w:rsidRPr="00DC69ED">
              <w:rPr>
                <w:i/>
                <w:iCs/>
                <w:lang w:val="es-ES"/>
              </w:rPr>
              <w:t>, y los documentos indicados en los Cuadros 1 a 3</w:t>
            </w:r>
            <w:r w:rsidR="007620B6">
              <w:rPr>
                <w:i/>
                <w:iCs/>
                <w:lang w:val="es-ES"/>
              </w:rPr>
              <w:t>.</w:t>
            </w:r>
          </w:p>
        </w:tc>
      </w:tr>
    </w:tbl>
    <w:p w:rsidR="00AC55A5" w:rsidRPr="00B92F87" w:rsidRDefault="00AC55A5" w:rsidP="00AC55A5">
      <w:pPr>
        <w:pStyle w:val="Heading1"/>
        <w:rPr>
          <w:lang w:eastAsia="zh-CN"/>
        </w:rPr>
      </w:pPr>
      <w:r w:rsidRPr="00B92F87">
        <w:rPr>
          <w:lang w:eastAsia="zh-CN"/>
        </w:rPr>
        <w:t>1</w:t>
      </w:r>
      <w:r w:rsidRPr="00B92F87">
        <w:rPr>
          <w:lang w:eastAsia="zh-CN"/>
        </w:rPr>
        <w:tab/>
        <w:t>Introducción</w:t>
      </w:r>
    </w:p>
    <w:p w:rsidR="00AC55A5" w:rsidRPr="00B92F87" w:rsidRDefault="00AC55A5" w:rsidP="00AC55A5">
      <w:pPr>
        <w:rPr>
          <w:lang w:eastAsia="zh-CN"/>
        </w:rPr>
      </w:pPr>
      <w:r w:rsidRPr="00B92F87">
        <w:rPr>
          <w:lang w:eastAsia="zh-CN"/>
        </w:rPr>
        <w:t>Entre los objetivos de la Unión estipulados en el Artículo 1 de la Constitución, la UIT en particular:</w:t>
      </w:r>
    </w:p>
    <w:tbl>
      <w:tblPr>
        <w:tblW w:w="5000" w:type="pct"/>
        <w:tblCellMar>
          <w:left w:w="0" w:type="dxa"/>
          <w:right w:w="0" w:type="dxa"/>
        </w:tblCellMar>
        <w:tblLook w:val="0000" w:firstRow="0" w:lastRow="0" w:firstColumn="0" w:lastColumn="0" w:noHBand="0" w:noVBand="0"/>
      </w:tblPr>
      <w:tblGrid>
        <w:gridCol w:w="898"/>
        <w:gridCol w:w="8741"/>
      </w:tblGrid>
      <w:tr w:rsidR="00AC55A5" w:rsidRPr="00B92F87" w:rsidTr="00A07C81">
        <w:tc>
          <w:tcPr>
            <w:tcW w:w="466" w:type="pct"/>
            <w:tcMar>
              <w:left w:w="108" w:type="dxa"/>
              <w:right w:w="108" w:type="dxa"/>
            </w:tcMar>
          </w:tcPr>
          <w:p w:rsidR="00AC55A5" w:rsidRPr="00B92F87" w:rsidRDefault="00AC55A5" w:rsidP="00A07C81">
            <w:pPr>
              <w:rPr>
                <w:b/>
                <w:i/>
                <w:lang w:eastAsia="zh-CN"/>
              </w:rPr>
            </w:pPr>
            <w:r w:rsidRPr="00B92F87">
              <w:rPr>
                <w:b/>
                <w:i/>
                <w:lang w:eastAsia="zh-CN"/>
              </w:rPr>
              <w:t>11</w:t>
            </w:r>
            <w:r w:rsidRPr="00B92F87">
              <w:rPr>
                <w:b/>
                <w:i/>
                <w:lang w:eastAsia="zh-CN"/>
              </w:rPr>
              <w:br/>
              <w:t>PP-98</w:t>
            </w:r>
          </w:p>
        </w:tc>
        <w:tc>
          <w:tcPr>
            <w:tcW w:w="4534" w:type="pct"/>
            <w:tcMar>
              <w:left w:w="108" w:type="dxa"/>
              <w:right w:w="108" w:type="dxa"/>
            </w:tcMar>
          </w:tcPr>
          <w:p w:rsidR="00AC55A5" w:rsidRPr="007620B6" w:rsidRDefault="00AC55A5" w:rsidP="007620B6">
            <w:pPr>
              <w:pStyle w:val="enumlev1"/>
              <w:rPr>
                <w:i/>
                <w:iCs/>
              </w:rPr>
            </w:pPr>
            <w:r w:rsidRPr="007620B6">
              <w:rPr>
                <w:i/>
                <w:iCs/>
              </w:rPr>
              <w:t>a)</w:t>
            </w:r>
            <w:r w:rsidRPr="007620B6">
              <w:rPr>
                <w:i/>
                <w:iCs/>
              </w:rPr>
              <w:tab/>
              <w:t xml:space="preserve">efectuará la atribución de las bandas de frecuencias del espectro radioeléctrico y la adjudicación de frecuencias radioeléctricas, y llevará el registro de las asignaciones de frecuencias y, para los servicios espaciales, de las posiciones orbitales asociadas en la órbita de los satélites geoestacionarios o las características asociadas de los satélites en otras órbitas, a fin de evitar toda interferencia perjudicial entre las estaciones de radiocomunicación de los distintos países; </w:t>
            </w:r>
          </w:p>
        </w:tc>
      </w:tr>
      <w:tr w:rsidR="00AC55A5" w:rsidRPr="00B92F87" w:rsidTr="00A07C81">
        <w:tc>
          <w:tcPr>
            <w:tcW w:w="466" w:type="pct"/>
            <w:tcMar>
              <w:left w:w="108" w:type="dxa"/>
              <w:right w:w="108" w:type="dxa"/>
            </w:tcMar>
          </w:tcPr>
          <w:p w:rsidR="00AC55A5" w:rsidRPr="00B92F87" w:rsidRDefault="00AC55A5" w:rsidP="00A07C81">
            <w:pPr>
              <w:rPr>
                <w:b/>
                <w:i/>
                <w:lang w:eastAsia="zh-CN"/>
              </w:rPr>
            </w:pPr>
            <w:r w:rsidRPr="00B92F87">
              <w:rPr>
                <w:b/>
                <w:i/>
                <w:lang w:eastAsia="zh-CN"/>
              </w:rPr>
              <w:t>12</w:t>
            </w:r>
            <w:r w:rsidRPr="00B92F87">
              <w:rPr>
                <w:b/>
                <w:i/>
                <w:lang w:eastAsia="zh-CN"/>
              </w:rPr>
              <w:br/>
              <w:t>PP-98</w:t>
            </w:r>
          </w:p>
        </w:tc>
        <w:tc>
          <w:tcPr>
            <w:tcW w:w="4534" w:type="pct"/>
            <w:tcMar>
              <w:left w:w="108" w:type="dxa"/>
              <w:right w:w="108" w:type="dxa"/>
            </w:tcMar>
          </w:tcPr>
          <w:p w:rsidR="00AC55A5" w:rsidRPr="007620B6" w:rsidRDefault="00AC55A5" w:rsidP="007620B6">
            <w:pPr>
              <w:pStyle w:val="enumlev1"/>
              <w:rPr>
                <w:i/>
                <w:iCs/>
              </w:rPr>
            </w:pPr>
            <w:r w:rsidRPr="007620B6">
              <w:rPr>
                <w:i/>
                <w:iCs/>
              </w:rPr>
              <w:t>b)</w:t>
            </w:r>
            <w:r w:rsidRPr="007620B6">
              <w:rPr>
                <w:i/>
                <w:iCs/>
              </w:rPr>
              <w:tab/>
              <w:t>coordinará los esfuerzos para eliminar las interferencias perjudiciales entre las estaciones de radiocomunicación de los diferentes países y mejorar la utilización del espectro de frecuencias radioeléctricas por los servicios de radiocomunicación y de la órbita de los satélites geoestacionarios y otras órbitas;</w:t>
            </w:r>
          </w:p>
        </w:tc>
      </w:tr>
      <w:tr w:rsidR="00AC55A5" w:rsidRPr="00B92F87" w:rsidTr="00A07C81">
        <w:tc>
          <w:tcPr>
            <w:tcW w:w="466" w:type="pct"/>
            <w:tcMar>
              <w:left w:w="108" w:type="dxa"/>
              <w:right w:w="108" w:type="dxa"/>
            </w:tcMar>
          </w:tcPr>
          <w:p w:rsidR="00AC55A5" w:rsidRPr="00B92F87" w:rsidRDefault="00AC55A5" w:rsidP="00A07C81">
            <w:pPr>
              <w:rPr>
                <w:b/>
                <w:i/>
                <w:lang w:eastAsia="zh-CN"/>
              </w:rPr>
            </w:pPr>
            <w:r w:rsidRPr="00B92F87">
              <w:rPr>
                <w:b/>
                <w:i/>
                <w:lang w:eastAsia="zh-CN"/>
              </w:rPr>
              <w:t>15</w:t>
            </w:r>
          </w:p>
        </w:tc>
        <w:tc>
          <w:tcPr>
            <w:tcW w:w="4534" w:type="pct"/>
            <w:tcMar>
              <w:left w:w="108" w:type="dxa"/>
              <w:right w:w="108" w:type="dxa"/>
            </w:tcMar>
          </w:tcPr>
          <w:p w:rsidR="00AC55A5" w:rsidRPr="007620B6" w:rsidRDefault="00AC55A5" w:rsidP="007620B6">
            <w:pPr>
              <w:pStyle w:val="enumlev1"/>
              <w:rPr>
                <w:i/>
                <w:iCs/>
              </w:rPr>
            </w:pPr>
            <w:r w:rsidRPr="007620B6">
              <w:rPr>
                <w:i/>
                <w:iCs/>
              </w:rPr>
              <w:t>e)</w:t>
            </w:r>
            <w:r w:rsidRPr="007620B6">
              <w:rPr>
                <w:i/>
                <w:iCs/>
              </w:rPr>
              <w:tab/>
              <w:t>coordinará asimismo los esfuerzos para armonizar el desarrollo de los medios de telecomunicación, especialmente los que utilizan técnicas espaciales, a fin de aprovechar al máximo sus posibilidades;</w:t>
            </w:r>
          </w:p>
        </w:tc>
      </w:tr>
    </w:tbl>
    <w:p w:rsidR="00AC55A5" w:rsidRPr="00B92F87" w:rsidRDefault="00AC55A5" w:rsidP="00AC55A5">
      <w:pPr>
        <w:rPr>
          <w:lang w:eastAsia="zh-CN"/>
        </w:rPr>
      </w:pPr>
      <w:r w:rsidRPr="00B92F87">
        <w:rPr>
          <w:lang w:eastAsia="zh-CN"/>
        </w:rPr>
        <w:t>…</w:t>
      </w:r>
    </w:p>
    <w:p w:rsidR="00AC55A5" w:rsidRPr="00B92F87" w:rsidRDefault="00AC55A5" w:rsidP="00AC55A5">
      <w:pPr>
        <w:rPr>
          <w:lang w:eastAsia="zh-CN"/>
        </w:rPr>
      </w:pPr>
      <w:r w:rsidRPr="00B92F87">
        <w:rPr>
          <w:lang w:eastAsia="zh-CN"/>
        </w:rPr>
        <w:lastRenderedPageBreak/>
        <w:t>Estos y otras numerosas metas, en particular la elaboración de normas de radiocomunicaciones (Recomendaciones UIT-R en la terminología de la UIT) se llevan a cabo en el marco del Sector de Radiocomunicaciones (UIT-R) y su Secretaría, la Oficina de Radiocomunicaciones (BR).</w:t>
      </w:r>
    </w:p>
    <w:p w:rsidR="00AC55A5" w:rsidRPr="00B92F87" w:rsidRDefault="00AC55A5" w:rsidP="003C62E4">
      <w:pPr>
        <w:rPr>
          <w:lang w:eastAsia="zh-CN"/>
        </w:rPr>
      </w:pPr>
      <w:r w:rsidRPr="00B92F87">
        <w:rPr>
          <w:lang w:eastAsia="zh-CN"/>
        </w:rPr>
        <w:t xml:space="preserve">En los últimos decenios, se viene prestando cada vez más atención a los esfuerzos destinados a aumentar la eficiencia en la utilización del espectro radioeléctrico y de las órbitas de los satélites. Prueba de ello constituye el número siempre creciente de participantes en las Conferencias Mundiales de Radiocomunicaciones (CMR); hubo unos </w:t>
      </w:r>
      <w:r w:rsidR="003C62E4" w:rsidRPr="00B92F87">
        <w:rPr>
          <w:lang w:eastAsia="zh-CN"/>
        </w:rPr>
        <w:t xml:space="preserve">2 000 </w:t>
      </w:r>
      <w:r w:rsidRPr="00B92F87">
        <w:rPr>
          <w:lang w:eastAsia="zh-CN"/>
        </w:rPr>
        <w:t>participantes registrados en la CMR-97 (celebra en 1997), y más de 3 300 en la CMR-15 (celebrada en 2015).</w:t>
      </w:r>
    </w:p>
    <w:p w:rsidR="00AC55A5" w:rsidRPr="00B92F87" w:rsidRDefault="00AC55A5" w:rsidP="00AC55A5">
      <w:pPr>
        <w:rPr>
          <w:lang w:eastAsia="zh-CN"/>
        </w:rPr>
      </w:pPr>
      <w:r w:rsidRPr="00B92F87">
        <w:rPr>
          <w:lang w:eastAsia="zh-CN"/>
        </w:rPr>
        <w:t>Al mismo tiempo, se observa un aumento en los tipos, complejidad y volumen de las tareas que realiza el personal de la BR, que constituye fundamentalmente el motor ejecutivo del sistema internacional de gestión del espectro y de las órbitas de los satélites.</w:t>
      </w:r>
    </w:p>
    <w:p w:rsidR="00AC55A5" w:rsidRPr="00B92F87" w:rsidRDefault="00AC55A5" w:rsidP="00AC55A5">
      <w:pPr>
        <w:rPr>
          <w:lang w:eastAsia="zh-CN"/>
        </w:rPr>
      </w:pPr>
      <w:r w:rsidRPr="00B92F87">
        <w:rPr>
          <w:lang w:eastAsia="zh-CN"/>
        </w:rPr>
        <w:t>En el desempeño de su trabajo, el personal altamente cualificado de la BR, además de garantizar el cumplimiento de los requisitos el Reglamento de Radiocomunicaciones, prestan asistencia considerable y diversa a las administraciones y operadores de telecomunicaciones. En los últimos años, han desempeñado incluso un conjunto complejo de actividades destinadas a revolucionar la forma en que los sistemas de utilización utilizan el espectro y a armonizar las bandas de frecuencia utilizadas por los sistemas de comunicaciones móviles terrenales de cuarta generación, así como a prestar asistencia técnica en muchos otros campos.</w:t>
      </w:r>
    </w:p>
    <w:p w:rsidR="00AC55A5" w:rsidRPr="00B92F87" w:rsidRDefault="00AC55A5" w:rsidP="00AC55A5">
      <w:pPr>
        <w:rPr>
          <w:lang w:eastAsia="zh-CN"/>
        </w:rPr>
      </w:pPr>
      <w:r w:rsidRPr="00B92F87">
        <w:rPr>
          <w:lang w:eastAsia="zh-CN"/>
        </w:rPr>
        <w:t>Dado que el UIT-R en general, y la BR en particular, funcionan con limitados recursos humanos y financieros, sería conveniente evaluar dichos recursos y formular propuestas para su utilización racional en el futuro.</w:t>
      </w:r>
    </w:p>
    <w:p w:rsidR="00AC55A5" w:rsidRPr="00B92F87" w:rsidRDefault="00AC55A5" w:rsidP="006F6B26">
      <w:pPr>
        <w:pStyle w:val="Heading1"/>
        <w:rPr>
          <w:lang w:eastAsia="zh-CN"/>
        </w:rPr>
      </w:pPr>
      <w:r w:rsidRPr="00B92F87">
        <w:rPr>
          <w:lang w:eastAsia="zh-CN"/>
        </w:rPr>
        <w:t>2</w:t>
      </w:r>
      <w:r w:rsidRPr="00B92F87">
        <w:rPr>
          <w:lang w:eastAsia="zh-CN"/>
        </w:rPr>
        <w:tab/>
        <w:t>Análisis de los recursos humanos y financieros del UIT-R durante el periodo</w:t>
      </w:r>
      <w:r w:rsidR="006F6B26">
        <w:rPr>
          <w:lang w:eastAsia="zh-CN"/>
        </w:rPr>
        <w:t> </w:t>
      </w:r>
      <w:r w:rsidRPr="00B92F87">
        <w:rPr>
          <w:lang w:eastAsia="zh-CN"/>
        </w:rPr>
        <w:t>1996</w:t>
      </w:r>
      <w:r w:rsidRPr="00B92F87">
        <w:rPr>
          <w:lang w:eastAsia="zh-CN"/>
        </w:rPr>
        <w:noBreakHyphen/>
        <w:t>2017</w:t>
      </w:r>
    </w:p>
    <w:p w:rsidR="00AC55A5" w:rsidRPr="00B92F87" w:rsidRDefault="00AC55A5" w:rsidP="00AC55A5">
      <w:pPr>
        <w:pStyle w:val="Heading2"/>
        <w:rPr>
          <w:lang w:eastAsia="zh-CN"/>
        </w:rPr>
      </w:pPr>
      <w:r w:rsidRPr="00B92F87">
        <w:rPr>
          <w:lang w:eastAsia="zh-CN"/>
        </w:rPr>
        <w:t>2.1</w:t>
      </w:r>
      <w:r w:rsidRPr="00B92F87">
        <w:rPr>
          <w:lang w:eastAsia="zh-CN"/>
        </w:rPr>
        <w:tab/>
        <w:t>Análisis de los recursos financieros del UIT-R durante el periodo 1996-2017 y comparación con el proyecto de presupuesto para 2018-2019</w:t>
      </w:r>
    </w:p>
    <w:p w:rsidR="007620B6" w:rsidRDefault="00AC55A5" w:rsidP="00AC55A5">
      <w:pPr>
        <w:rPr>
          <w:lang w:eastAsia="zh-CN"/>
        </w:rPr>
      </w:pPr>
      <w:r w:rsidRPr="00B92F87">
        <w:rPr>
          <w:lang w:eastAsia="zh-CN"/>
        </w:rPr>
        <w:t>En el Cuadro 1 y en la Figura 1 se consignan datos estadísticos que muestran la evolución del presupuesto del UIT-R a lo largo del periodo 1996-2017 (los datos para 2010-2019 se han obtenido del Documento </w:t>
      </w:r>
      <w:hyperlink r:id="rId19" w:history="1">
        <w:r w:rsidRPr="00B92F87">
          <w:rPr>
            <w:rStyle w:val="Hyperlink"/>
            <w:lang w:eastAsia="zh-CN"/>
          </w:rPr>
          <w:t>C17/10</w:t>
        </w:r>
      </w:hyperlink>
      <w:r w:rsidRPr="00B92F87">
        <w:rPr>
          <w:lang w:eastAsia="zh-CN"/>
        </w:rPr>
        <w:t>).</w:t>
      </w:r>
    </w:p>
    <w:p w:rsidR="007620B6" w:rsidRDefault="007620B6" w:rsidP="007620B6">
      <w:pPr>
        <w:rPr>
          <w:lang w:eastAsia="zh-CN"/>
        </w:rPr>
      </w:pPr>
      <w:r>
        <w:rPr>
          <w:lang w:eastAsia="zh-CN"/>
        </w:rPr>
        <w:br w:type="page"/>
      </w:r>
    </w:p>
    <w:p w:rsidR="00AC55A5" w:rsidRPr="00B92F87" w:rsidRDefault="00AC55A5" w:rsidP="00AC55A5">
      <w:pPr>
        <w:pStyle w:val="TableNo"/>
        <w:rPr>
          <w:lang w:eastAsia="zh-CN"/>
        </w:rPr>
      </w:pPr>
      <w:r w:rsidRPr="00B92F87">
        <w:rPr>
          <w:lang w:eastAsia="zh-CN"/>
        </w:rPr>
        <w:lastRenderedPageBreak/>
        <w:t>CUADRO 1</w:t>
      </w:r>
    </w:p>
    <w:p w:rsidR="00AC55A5" w:rsidRPr="00B92F87" w:rsidRDefault="00AC55A5" w:rsidP="00AC55A5">
      <w:pPr>
        <w:pStyle w:val="Tabletitle"/>
        <w:rPr>
          <w:lang w:eastAsia="zh-CN"/>
        </w:rPr>
      </w:pPr>
      <w:r w:rsidRPr="00B92F87">
        <w:rPr>
          <w:lang w:eastAsia="zh-CN"/>
        </w:rPr>
        <w:t>Presupuesto del UIT-R durante el periodo 1996-2017</w:t>
      </w:r>
      <w:r w:rsidRPr="00B92F87">
        <w:rPr>
          <w:lang w:eastAsia="zh-CN"/>
        </w:rPr>
        <w:br/>
        <w:t>y proyecto de presupuesto para 2018-2019</w:t>
      </w:r>
    </w:p>
    <w:tbl>
      <w:tblPr>
        <w:tblStyle w:val="TableGrid"/>
        <w:tblW w:w="9918" w:type="dxa"/>
        <w:tblLayout w:type="fixed"/>
        <w:tblLook w:val="04A0" w:firstRow="1" w:lastRow="0" w:firstColumn="1" w:lastColumn="0" w:noHBand="0" w:noVBand="1"/>
      </w:tblPr>
      <w:tblGrid>
        <w:gridCol w:w="1073"/>
        <w:gridCol w:w="1428"/>
        <w:gridCol w:w="1190"/>
        <w:gridCol w:w="1232"/>
        <w:gridCol w:w="1357"/>
        <w:gridCol w:w="1442"/>
        <w:gridCol w:w="924"/>
        <w:gridCol w:w="1272"/>
      </w:tblGrid>
      <w:tr w:rsidR="00AC55A5" w:rsidRPr="00B92F87" w:rsidTr="007620B6">
        <w:tc>
          <w:tcPr>
            <w:tcW w:w="1073" w:type="dxa"/>
            <w:tcMar>
              <w:left w:w="29" w:type="dxa"/>
              <w:right w:w="29" w:type="dxa"/>
            </w:tcMar>
            <w:vAlign w:val="center"/>
          </w:tcPr>
          <w:p w:rsidR="00AC55A5" w:rsidRPr="00B92F87" w:rsidRDefault="00AC55A5" w:rsidP="00A07C81">
            <w:pPr>
              <w:pStyle w:val="Tablehead"/>
              <w:rPr>
                <w:lang w:eastAsia="zh-CN"/>
              </w:rPr>
            </w:pPr>
            <w:r w:rsidRPr="00B92F87">
              <w:rPr>
                <w:lang w:eastAsia="zh-CN"/>
              </w:rPr>
              <w:t>Periodo</w:t>
            </w:r>
          </w:p>
        </w:tc>
        <w:tc>
          <w:tcPr>
            <w:tcW w:w="1428" w:type="dxa"/>
            <w:tcMar>
              <w:left w:w="29" w:type="dxa"/>
              <w:right w:w="29" w:type="dxa"/>
            </w:tcMar>
            <w:vAlign w:val="center"/>
          </w:tcPr>
          <w:p w:rsidR="00AC55A5" w:rsidRPr="00B92F87" w:rsidRDefault="00AC55A5" w:rsidP="00A07C81">
            <w:pPr>
              <w:pStyle w:val="Tablehead"/>
              <w:rPr>
                <w:lang w:eastAsia="zh-CN"/>
              </w:rPr>
            </w:pPr>
            <w:r w:rsidRPr="00B92F87">
              <w:rPr>
                <w:lang w:eastAsia="zh-CN"/>
              </w:rPr>
              <w:t>Documento</w:t>
            </w:r>
          </w:p>
        </w:tc>
        <w:tc>
          <w:tcPr>
            <w:tcW w:w="1190" w:type="dxa"/>
            <w:tcMar>
              <w:left w:w="29" w:type="dxa"/>
              <w:right w:w="29" w:type="dxa"/>
            </w:tcMar>
            <w:vAlign w:val="center"/>
          </w:tcPr>
          <w:p w:rsidR="00AC55A5" w:rsidRPr="00B92F87" w:rsidRDefault="00AC55A5" w:rsidP="00A07C81">
            <w:pPr>
              <w:pStyle w:val="Tablehead"/>
              <w:rPr>
                <w:lang w:eastAsia="zh-CN"/>
              </w:rPr>
            </w:pPr>
            <w:r w:rsidRPr="00B92F87">
              <w:rPr>
                <w:lang w:eastAsia="zh-CN"/>
              </w:rPr>
              <w:t>Páginas</w:t>
            </w:r>
          </w:p>
        </w:tc>
        <w:tc>
          <w:tcPr>
            <w:tcW w:w="1232" w:type="dxa"/>
            <w:tcMar>
              <w:left w:w="29" w:type="dxa"/>
              <w:right w:w="29" w:type="dxa"/>
            </w:tcMar>
            <w:vAlign w:val="center"/>
          </w:tcPr>
          <w:p w:rsidR="00AC55A5" w:rsidRPr="00B92F87" w:rsidRDefault="00AC55A5" w:rsidP="00A07C81">
            <w:pPr>
              <w:pStyle w:val="Tablehead"/>
              <w:rPr>
                <w:lang w:eastAsia="zh-CN"/>
              </w:rPr>
            </w:pPr>
            <w:r w:rsidRPr="00B92F87">
              <w:rPr>
                <w:lang w:eastAsia="zh-CN"/>
              </w:rPr>
              <w:t>Presupuesto</w:t>
            </w:r>
            <w:r w:rsidRPr="00B92F87">
              <w:rPr>
                <w:lang w:eastAsia="zh-CN"/>
              </w:rPr>
              <w:br/>
              <w:t>(miles CHF)</w:t>
            </w:r>
          </w:p>
        </w:tc>
        <w:tc>
          <w:tcPr>
            <w:tcW w:w="1357" w:type="dxa"/>
            <w:tcMar>
              <w:left w:w="29" w:type="dxa"/>
              <w:right w:w="29" w:type="dxa"/>
            </w:tcMar>
            <w:vAlign w:val="center"/>
          </w:tcPr>
          <w:p w:rsidR="00AC55A5" w:rsidRPr="00B92F87" w:rsidRDefault="00AC55A5" w:rsidP="00A07C81">
            <w:pPr>
              <w:pStyle w:val="Tablehead"/>
              <w:rPr>
                <w:lang w:eastAsia="zh-CN"/>
              </w:rPr>
            </w:pPr>
            <w:r w:rsidRPr="00B92F87">
              <w:rPr>
                <w:lang w:eastAsia="zh-CN"/>
              </w:rPr>
              <w:t>Periodo</w:t>
            </w:r>
            <w:r w:rsidRPr="00B92F87">
              <w:rPr>
                <w:lang w:eastAsia="zh-CN"/>
              </w:rPr>
              <w:br/>
            </w:r>
            <w:r w:rsidRPr="00B92F87">
              <w:rPr>
                <w:bCs/>
                <w:lang w:eastAsia="zh-CN"/>
              </w:rPr>
              <w:t>(continuo)</w:t>
            </w:r>
          </w:p>
        </w:tc>
        <w:tc>
          <w:tcPr>
            <w:tcW w:w="1442" w:type="dxa"/>
            <w:tcMar>
              <w:left w:w="29" w:type="dxa"/>
              <w:right w:w="29" w:type="dxa"/>
            </w:tcMar>
            <w:vAlign w:val="center"/>
          </w:tcPr>
          <w:p w:rsidR="00AC55A5" w:rsidRPr="00B92F87" w:rsidRDefault="00AC55A5" w:rsidP="00A07C81">
            <w:pPr>
              <w:pStyle w:val="Tablehead"/>
              <w:rPr>
                <w:lang w:eastAsia="zh-CN"/>
              </w:rPr>
            </w:pPr>
            <w:r w:rsidRPr="00B92F87">
              <w:rPr>
                <w:lang w:eastAsia="zh-CN"/>
              </w:rPr>
              <w:t>Documento</w:t>
            </w:r>
          </w:p>
        </w:tc>
        <w:tc>
          <w:tcPr>
            <w:tcW w:w="924" w:type="dxa"/>
            <w:tcMar>
              <w:left w:w="29" w:type="dxa"/>
              <w:right w:w="29" w:type="dxa"/>
            </w:tcMar>
            <w:vAlign w:val="center"/>
          </w:tcPr>
          <w:p w:rsidR="00AC55A5" w:rsidRPr="00B92F87" w:rsidRDefault="00AC55A5" w:rsidP="00A07C81">
            <w:pPr>
              <w:pStyle w:val="Tablehead"/>
              <w:rPr>
                <w:lang w:eastAsia="zh-CN"/>
              </w:rPr>
            </w:pPr>
            <w:r w:rsidRPr="00B92F87">
              <w:rPr>
                <w:lang w:eastAsia="zh-CN"/>
              </w:rPr>
              <w:t>Páginas</w:t>
            </w:r>
          </w:p>
        </w:tc>
        <w:tc>
          <w:tcPr>
            <w:tcW w:w="1272" w:type="dxa"/>
            <w:tcMar>
              <w:left w:w="29" w:type="dxa"/>
              <w:right w:w="29" w:type="dxa"/>
            </w:tcMar>
            <w:vAlign w:val="center"/>
          </w:tcPr>
          <w:p w:rsidR="00AC55A5" w:rsidRPr="00B92F87" w:rsidRDefault="00AC55A5" w:rsidP="00A07C81">
            <w:pPr>
              <w:pStyle w:val="Tablehead"/>
              <w:rPr>
                <w:lang w:eastAsia="zh-CN"/>
              </w:rPr>
            </w:pPr>
            <w:r w:rsidRPr="00B92F87">
              <w:rPr>
                <w:lang w:eastAsia="zh-CN"/>
              </w:rPr>
              <w:t>Presupuesto</w:t>
            </w:r>
            <w:r w:rsidRPr="00B92F87">
              <w:rPr>
                <w:lang w:eastAsia="zh-CN"/>
              </w:rPr>
              <w:br/>
              <w:t>(miles CHF)</w:t>
            </w:r>
          </w:p>
        </w:tc>
      </w:tr>
      <w:tr w:rsidR="00AC55A5" w:rsidRPr="00B92F87" w:rsidTr="007620B6">
        <w:tc>
          <w:tcPr>
            <w:tcW w:w="1073" w:type="dxa"/>
            <w:tcMar>
              <w:left w:w="29" w:type="dxa"/>
              <w:right w:w="29" w:type="dxa"/>
            </w:tcMar>
            <w:vAlign w:val="center"/>
          </w:tcPr>
          <w:p w:rsidR="00AC55A5" w:rsidRPr="00B92F87" w:rsidRDefault="00AC55A5" w:rsidP="00A07C81">
            <w:pPr>
              <w:pStyle w:val="Tabletext"/>
              <w:jc w:val="center"/>
              <w:rPr>
                <w:lang w:eastAsia="zh-CN"/>
              </w:rPr>
            </w:pPr>
            <w:r w:rsidRPr="00B92F87">
              <w:rPr>
                <w:lang w:eastAsia="zh-CN"/>
              </w:rPr>
              <w:t>1996-1997</w:t>
            </w:r>
          </w:p>
        </w:tc>
        <w:tc>
          <w:tcPr>
            <w:tcW w:w="1428" w:type="dxa"/>
            <w:tcMar>
              <w:left w:w="29" w:type="dxa"/>
              <w:right w:w="29" w:type="dxa"/>
            </w:tcMar>
            <w:vAlign w:val="center"/>
          </w:tcPr>
          <w:p w:rsidR="00AC55A5" w:rsidRPr="00B92F87" w:rsidRDefault="002B015D" w:rsidP="00A07C81">
            <w:pPr>
              <w:pStyle w:val="Tabletext"/>
              <w:jc w:val="center"/>
              <w:rPr>
                <w:lang w:eastAsia="zh-CN"/>
              </w:rPr>
            </w:pPr>
            <w:hyperlink r:id="rId20" w:history="1">
              <w:r w:rsidR="00AC55A5" w:rsidRPr="00B92F87">
                <w:rPr>
                  <w:rStyle w:val="Hyperlink"/>
                  <w:lang w:eastAsia="zh-CN"/>
                </w:rPr>
                <w:t>C2000/11</w:t>
              </w:r>
            </w:hyperlink>
          </w:p>
        </w:tc>
        <w:tc>
          <w:tcPr>
            <w:tcW w:w="1190" w:type="dxa"/>
            <w:tcMar>
              <w:left w:w="29" w:type="dxa"/>
              <w:right w:w="29" w:type="dxa"/>
            </w:tcMar>
            <w:vAlign w:val="center"/>
          </w:tcPr>
          <w:p w:rsidR="00AC55A5" w:rsidRPr="00B92F87" w:rsidRDefault="00AC55A5" w:rsidP="00A07C81">
            <w:pPr>
              <w:pStyle w:val="Tabletext"/>
              <w:jc w:val="center"/>
              <w:rPr>
                <w:lang w:eastAsia="zh-CN"/>
              </w:rPr>
            </w:pPr>
            <w:r w:rsidRPr="00B92F87">
              <w:rPr>
                <w:lang w:eastAsia="zh-CN"/>
              </w:rPr>
              <w:t>20-23</w:t>
            </w:r>
          </w:p>
        </w:tc>
        <w:tc>
          <w:tcPr>
            <w:tcW w:w="1232" w:type="dxa"/>
            <w:tcMar>
              <w:left w:w="29" w:type="dxa"/>
              <w:right w:w="29" w:type="dxa"/>
            </w:tcMar>
            <w:vAlign w:val="center"/>
          </w:tcPr>
          <w:p w:rsidR="00AC55A5" w:rsidRPr="00B92F87" w:rsidRDefault="00AC55A5" w:rsidP="00A07C81">
            <w:pPr>
              <w:pStyle w:val="Tabletext"/>
              <w:jc w:val="center"/>
              <w:rPr>
                <w:lang w:eastAsia="zh-CN"/>
              </w:rPr>
            </w:pPr>
            <w:r w:rsidRPr="00B92F87">
              <w:rPr>
                <w:lang w:eastAsia="zh-CN"/>
              </w:rPr>
              <w:t>62 196</w:t>
            </w:r>
          </w:p>
        </w:tc>
        <w:tc>
          <w:tcPr>
            <w:tcW w:w="1357" w:type="dxa"/>
            <w:tcMar>
              <w:left w:w="29" w:type="dxa"/>
              <w:right w:w="29" w:type="dxa"/>
            </w:tcMar>
            <w:vAlign w:val="center"/>
          </w:tcPr>
          <w:p w:rsidR="00AC55A5" w:rsidRPr="00B92F87" w:rsidRDefault="00AC55A5" w:rsidP="00A07C81">
            <w:pPr>
              <w:pStyle w:val="Tabletext"/>
              <w:jc w:val="center"/>
              <w:rPr>
                <w:lang w:eastAsia="zh-CN"/>
              </w:rPr>
            </w:pPr>
            <w:r w:rsidRPr="00B92F87">
              <w:rPr>
                <w:lang w:eastAsia="zh-CN"/>
              </w:rPr>
              <w:t>2008-2009</w:t>
            </w:r>
          </w:p>
        </w:tc>
        <w:tc>
          <w:tcPr>
            <w:tcW w:w="1442" w:type="dxa"/>
            <w:tcMar>
              <w:left w:w="29" w:type="dxa"/>
              <w:right w:w="29" w:type="dxa"/>
            </w:tcMar>
            <w:vAlign w:val="center"/>
          </w:tcPr>
          <w:p w:rsidR="00AC55A5" w:rsidRPr="00B92F87" w:rsidRDefault="002B015D" w:rsidP="00A07C81">
            <w:pPr>
              <w:pStyle w:val="Tabletext"/>
              <w:jc w:val="center"/>
              <w:rPr>
                <w:lang w:eastAsia="zh-CN"/>
              </w:rPr>
            </w:pPr>
            <w:hyperlink r:id="rId21" w:history="1">
              <w:r w:rsidR="00AC55A5" w:rsidRPr="00B92F87">
                <w:rPr>
                  <w:rStyle w:val="Hyperlink"/>
                  <w:lang w:eastAsia="zh-CN"/>
                </w:rPr>
                <w:t>C10/31(Rev.1)</w:t>
              </w:r>
            </w:hyperlink>
          </w:p>
        </w:tc>
        <w:tc>
          <w:tcPr>
            <w:tcW w:w="924" w:type="dxa"/>
            <w:tcMar>
              <w:left w:w="29" w:type="dxa"/>
              <w:right w:w="29" w:type="dxa"/>
            </w:tcMar>
            <w:vAlign w:val="center"/>
          </w:tcPr>
          <w:p w:rsidR="00AC55A5" w:rsidRPr="00B92F87" w:rsidRDefault="00AC55A5" w:rsidP="00A07C81">
            <w:pPr>
              <w:pStyle w:val="Tabletext"/>
              <w:jc w:val="center"/>
              <w:rPr>
                <w:lang w:eastAsia="zh-CN"/>
              </w:rPr>
            </w:pPr>
            <w:r w:rsidRPr="00B92F87">
              <w:rPr>
                <w:lang w:eastAsia="zh-CN"/>
              </w:rPr>
              <w:t>10, 18-25</w:t>
            </w:r>
          </w:p>
        </w:tc>
        <w:tc>
          <w:tcPr>
            <w:tcW w:w="1272" w:type="dxa"/>
            <w:tcMar>
              <w:left w:w="29" w:type="dxa"/>
              <w:right w:w="29" w:type="dxa"/>
            </w:tcMar>
            <w:vAlign w:val="center"/>
          </w:tcPr>
          <w:p w:rsidR="00AC55A5" w:rsidRPr="00B92F87" w:rsidRDefault="00AC55A5" w:rsidP="00A07C81">
            <w:pPr>
              <w:pStyle w:val="Tabletext"/>
              <w:jc w:val="center"/>
              <w:rPr>
                <w:lang w:eastAsia="zh-CN"/>
              </w:rPr>
            </w:pPr>
            <w:r w:rsidRPr="00B92F87">
              <w:rPr>
                <w:lang w:eastAsia="zh-CN"/>
              </w:rPr>
              <w:t>66 728</w:t>
            </w:r>
          </w:p>
        </w:tc>
      </w:tr>
      <w:tr w:rsidR="00AC55A5" w:rsidRPr="00B92F87" w:rsidTr="007620B6">
        <w:tc>
          <w:tcPr>
            <w:tcW w:w="1073" w:type="dxa"/>
            <w:tcMar>
              <w:left w:w="29" w:type="dxa"/>
              <w:right w:w="29" w:type="dxa"/>
            </w:tcMar>
            <w:vAlign w:val="center"/>
          </w:tcPr>
          <w:p w:rsidR="00AC55A5" w:rsidRPr="00B92F87" w:rsidRDefault="00AC55A5" w:rsidP="00A07C81">
            <w:pPr>
              <w:pStyle w:val="Tabletext"/>
              <w:jc w:val="center"/>
              <w:rPr>
                <w:lang w:eastAsia="zh-CN"/>
              </w:rPr>
            </w:pPr>
            <w:r w:rsidRPr="00B92F87">
              <w:rPr>
                <w:lang w:eastAsia="zh-CN"/>
              </w:rPr>
              <w:t>1998-1999</w:t>
            </w:r>
          </w:p>
        </w:tc>
        <w:tc>
          <w:tcPr>
            <w:tcW w:w="1428" w:type="dxa"/>
            <w:tcMar>
              <w:left w:w="29" w:type="dxa"/>
              <w:right w:w="29" w:type="dxa"/>
            </w:tcMar>
            <w:vAlign w:val="center"/>
          </w:tcPr>
          <w:p w:rsidR="00AC55A5" w:rsidRPr="00B92F87" w:rsidRDefault="002B015D" w:rsidP="00A07C81">
            <w:pPr>
              <w:pStyle w:val="Tabletext"/>
              <w:jc w:val="center"/>
              <w:rPr>
                <w:lang w:eastAsia="zh-CN"/>
              </w:rPr>
            </w:pPr>
            <w:hyperlink r:id="rId22" w:history="1">
              <w:r w:rsidR="00AC55A5" w:rsidRPr="00B92F87">
                <w:rPr>
                  <w:rStyle w:val="Hyperlink"/>
                  <w:lang w:eastAsia="zh-CN"/>
                </w:rPr>
                <w:t>C2000/11</w:t>
              </w:r>
            </w:hyperlink>
          </w:p>
        </w:tc>
        <w:tc>
          <w:tcPr>
            <w:tcW w:w="1190" w:type="dxa"/>
            <w:tcMar>
              <w:left w:w="29" w:type="dxa"/>
              <w:right w:w="29" w:type="dxa"/>
            </w:tcMar>
            <w:vAlign w:val="center"/>
          </w:tcPr>
          <w:p w:rsidR="00AC55A5" w:rsidRPr="00B92F87" w:rsidRDefault="00AC55A5" w:rsidP="00A07C81">
            <w:pPr>
              <w:pStyle w:val="Tabletext"/>
              <w:jc w:val="center"/>
              <w:rPr>
                <w:lang w:eastAsia="zh-CN"/>
              </w:rPr>
            </w:pPr>
            <w:r w:rsidRPr="00B92F87">
              <w:rPr>
                <w:lang w:eastAsia="zh-CN"/>
              </w:rPr>
              <w:t>20-23</w:t>
            </w:r>
          </w:p>
        </w:tc>
        <w:tc>
          <w:tcPr>
            <w:tcW w:w="1232" w:type="dxa"/>
            <w:tcMar>
              <w:left w:w="29" w:type="dxa"/>
              <w:right w:w="29" w:type="dxa"/>
            </w:tcMar>
            <w:vAlign w:val="center"/>
          </w:tcPr>
          <w:p w:rsidR="00AC55A5" w:rsidRPr="00B92F87" w:rsidRDefault="00AC55A5" w:rsidP="00A07C81">
            <w:pPr>
              <w:pStyle w:val="Tabletext"/>
              <w:jc w:val="center"/>
              <w:rPr>
                <w:lang w:eastAsia="zh-CN"/>
              </w:rPr>
            </w:pPr>
            <w:r w:rsidRPr="00B92F87">
              <w:rPr>
                <w:lang w:eastAsia="zh-CN"/>
              </w:rPr>
              <w:t>65 206</w:t>
            </w:r>
          </w:p>
        </w:tc>
        <w:tc>
          <w:tcPr>
            <w:tcW w:w="1357" w:type="dxa"/>
            <w:tcMar>
              <w:left w:w="29" w:type="dxa"/>
              <w:right w:w="29" w:type="dxa"/>
            </w:tcMar>
            <w:vAlign w:val="center"/>
          </w:tcPr>
          <w:p w:rsidR="00AC55A5" w:rsidRPr="00B92F87" w:rsidRDefault="00AC55A5" w:rsidP="00A07C81">
            <w:pPr>
              <w:pStyle w:val="Tabletext"/>
              <w:jc w:val="center"/>
              <w:rPr>
                <w:lang w:eastAsia="zh-CN"/>
              </w:rPr>
            </w:pPr>
            <w:r w:rsidRPr="00B92F87">
              <w:rPr>
                <w:lang w:eastAsia="zh-CN"/>
              </w:rPr>
              <w:t>2010-2011</w:t>
            </w:r>
          </w:p>
        </w:tc>
        <w:tc>
          <w:tcPr>
            <w:tcW w:w="1442" w:type="dxa"/>
            <w:tcMar>
              <w:left w:w="29" w:type="dxa"/>
              <w:right w:w="29" w:type="dxa"/>
            </w:tcMar>
            <w:vAlign w:val="center"/>
          </w:tcPr>
          <w:p w:rsidR="00AC55A5" w:rsidRPr="00B92F87" w:rsidRDefault="002B015D" w:rsidP="00A07C81">
            <w:pPr>
              <w:pStyle w:val="Tabletext"/>
              <w:jc w:val="center"/>
              <w:rPr>
                <w:lang w:eastAsia="zh-CN"/>
              </w:rPr>
            </w:pPr>
            <w:hyperlink r:id="rId23" w:history="1">
              <w:r w:rsidR="00AC55A5" w:rsidRPr="00B92F87">
                <w:rPr>
                  <w:rStyle w:val="Hyperlink"/>
                  <w:lang w:eastAsia="zh-CN"/>
                </w:rPr>
                <w:t>C13/10</w:t>
              </w:r>
            </w:hyperlink>
          </w:p>
        </w:tc>
        <w:tc>
          <w:tcPr>
            <w:tcW w:w="924" w:type="dxa"/>
            <w:tcMar>
              <w:left w:w="29" w:type="dxa"/>
              <w:right w:w="29" w:type="dxa"/>
            </w:tcMar>
            <w:vAlign w:val="center"/>
          </w:tcPr>
          <w:p w:rsidR="00AC55A5" w:rsidRPr="00B92F87" w:rsidRDefault="00AC55A5" w:rsidP="00A07C81">
            <w:pPr>
              <w:pStyle w:val="Tabletext"/>
              <w:jc w:val="center"/>
              <w:rPr>
                <w:lang w:eastAsia="zh-CN"/>
              </w:rPr>
            </w:pPr>
            <w:r w:rsidRPr="00B92F87">
              <w:rPr>
                <w:lang w:eastAsia="zh-CN"/>
              </w:rPr>
              <w:t>4</w:t>
            </w:r>
          </w:p>
        </w:tc>
        <w:tc>
          <w:tcPr>
            <w:tcW w:w="1272" w:type="dxa"/>
            <w:tcMar>
              <w:left w:w="29" w:type="dxa"/>
              <w:right w:w="29" w:type="dxa"/>
            </w:tcMar>
            <w:vAlign w:val="center"/>
          </w:tcPr>
          <w:p w:rsidR="00AC55A5" w:rsidRPr="00B92F87" w:rsidRDefault="00AC55A5" w:rsidP="00A07C81">
            <w:pPr>
              <w:pStyle w:val="Tabletext"/>
              <w:jc w:val="center"/>
              <w:rPr>
                <w:lang w:eastAsia="zh-CN"/>
              </w:rPr>
            </w:pPr>
            <w:r w:rsidRPr="00B92F87">
              <w:rPr>
                <w:lang w:eastAsia="zh-CN"/>
              </w:rPr>
              <w:t>65 772</w:t>
            </w:r>
          </w:p>
        </w:tc>
      </w:tr>
      <w:tr w:rsidR="00AC55A5" w:rsidRPr="00B92F87" w:rsidTr="007620B6">
        <w:tc>
          <w:tcPr>
            <w:tcW w:w="1073" w:type="dxa"/>
            <w:tcMar>
              <w:left w:w="29" w:type="dxa"/>
              <w:right w:w="29" w:type="dxa"/>
            </w:tcMar>
            <w:vAlign w:val="center"/>
          </w:tcPr>
          <w:p w:rsidR="00AC55A5" w:rsidRPr="00B92F87" w:rsidRDefault="00AC55A5" w:rsidP="00A07C81">
            <w:pPr>
              <w:pStyle w:val="Tabletext"/>
              <w:jc w:val="center"/>
              <w:rPr>
                <w:lang w:eastAsia="zh-CN"/>
              </w:rPr>
            </w:pPr>
            <w:r w:rsidRPr="00B92F87">
              <w:rPr>
                <w:lang w:eastAsia="zh-CN"/>
              </w:rPr>
              <w:t>2000-2001</w:t>
            </w:r>
          </w:p>
        </w:tc>
        <w:tc>
          <w:tcPr>
            <w:tcW w:w="1428" w:type="dxa"/>
            <w:tcMar>
              <w:left w:w="29" w:type="dxa"/>
              <w:right w:w="29" w:type="dxa"/>
            </w:tcMar>
            <w:vAlign w:val="center"/>
          </w:tcPr>
          <w:p w:rsidR="00AC55A5" w:rsidRPr="00B92F87" w:rsidRDefault="002B015D" w:rsidP="00A07C81">
            <w:pPr>
              <w:pStyle w:val="Tabletext"/>
              <w:jc w:val="center"/>
              <w:rPr>
                <w:lang w:eastAsia="zh-CN"/>
              </w:rPr>
            </w:pPr>
            <w:hyperlink r:id="rId24" w:history="1">
              <w:r w:rsidR="00AC55A5" w:rsidRPr="00B92F87">
                <w:rPr>
                  <w:rStyle w:val="Hyperlink"/>
                  <w:lang w:eastAsia="zh-CN"/>
                </w:rPr>
                <w:t>C02/13(Rev.1)</w:t>
              </w:r>
            </w:hyperlink>
          </w:p>
        </w:tc>
        <w:tc>
          <w:tcPr>
            <w:tcW w:w="1190" w:type="dxa"/>
            <w:tcMar>
              <w:left w:w="29" w:type="dxa"/>
              <w:right w:w="29" w:type="dxa"/>
            </w:tcMar>
            <w:vAlign w:val="center"/>
          </w:tcPr>
          <w:p w:rsidR="00AC55A5" w:rsidRPr="00B92F87" w:rsidRDefault="00AC55A5" w:rsidP="00A07C81">
            <w:pPr>
              <w:pStyle w:val="Tabletext"/>
              <w:jc w:val="center"/>
              <w:rPr>
                <w:lang w:eastAsia="zh-CN"/>
              </w:rPr>
            </w:pPr>
            <w:r w:rsidRPr="00B92F87">
              <w:rPr>
                <w:lang w:eastAsia="zh-CN"/>
              </w:rPr>
              <w:t>21-24</w:t>
            </w:r>
          </w:p>
        </w:tc>
        <w:tc>
          <w:tcPr>
            <w:tcW w:w="1232" w:type="dxa"/>
            <w:tcMar>
              <w:left w:w="29" w:type="dxa"/>
              <w:right w:w="29" w:type="dxa"/>
            </w:tcMar>
            <w:vAlign w:val="center"/>
          </w:tcPr>
          <w:p w:rsidR="00AC55A5" w:rsidRPr="00B92F87" w:rsidRDefault="00AC55A5" w:rsidP="00A07C81">
            <w:pPr>
              <w:pStyle w:val="Tabletext"/>
              <w:jc w:val="center"/>
              <w:rPr>
                <w:lang w:eastAsia="zh-CN"/>
              </w:rPr>
            </w:pPr>
            <w:r w:rsidRPr="00B92F87">
              <w:rPr>
                <w:lang w:eastAsia="zh-CN"/>
              </w:rPr>
              <w:t>67 276</w:t>
            </w:r>
          </w:p>
        </w:tc>
        <w:tc>
          <w:tcPr>
            <w:tcW w:w="1357" w:type="dxa"/>
            <w:tcMar>
              <w:left w:w="29" w:type="dxa"/>
              <w:right w:w="29" w:type="dxa"/>
            </w:tcMar>
            <w:vAlign w:val="center"/>
          </w:tcPr>
          <w:p w:rsidR="00AC55A5" w:rsidRPr="00B92F87" w:rsidRDefault="00AC55A5" w:rsidP="00A07C81">
            <w:pPr>
              <w:pStyle w:val="Tabletext"/>
              <w:jc w:val="center"/>
              <w:rPr>
                <w:lang w:eastAsia="zh-CN"/>
              </w:rPr>
            </w:pPr>
            <w:r w:rsidRPr="00B92F87">
              <w:rPr>
                <w:lang w:eastAsia="zh-CN"/>
              </w:rPr>
              <w:t>2012-2013</w:t>
            </w:r>
          </w:p>
        </w:tc>
        <w:tc>
          <w:tcPr>
            <w:tcW w:w="1442" w:type="dxa"/>
            <w:tcMar>
              <w:left w:w="29" w:type="dxa"/>
              <w:right w:w="29" w:type="dxa"/>
            </w:tcMar>
            <w:vAlign w:val="center"/>
          </w:tcPr>
          <w:p w:rsidR="00AC55A5" w:rsidRPr="00B92F87" w:rsidRDefault="002B015D" w:rsidP="00A07C81">
            <w:pPr>
              <w:pStyle w:val="Tabletext"/>
              <w:jc w:val="center"/>
              <w:rPr>
                <w:lang w:eastAsia="zh-CN"/>
              </w:rPr>
            </w:pPr>
            <w:hyperlink r:id="rId25" w:history="1">
              <w:r w:rsidR="00AC55A5" w:rsidRPr="00B92F87">
                <w:rPr>
                  <w:rStyle w:val="Hyperlink"/>
                  <w:lang w:eastAsia="zh-CN"/>
                </w:rPr>
                <w:t>C15/10</w:t>
              </w:r>
            </w:hyperlink>
          </w:p>
        </w:tc>
        <w:tc>
          <w:tcPr>
            <w:tcW w:w="924" w:type="dxa"/>
            <w:tcMar>
              <w:left w:w="29" w:type="dxa"/>
              <w:right w:w="29" w:type="dxa"/>
            </w:tcMar>
            <w:vAlign w:val="center"/>
          </w:tcPr>
          <w:p w:rsidR="00AC55A5" w:rsidRPr="00B92F87" w:rsidRDefault="00AC55A5" w:rsidP="00A07C81">
            <w:pPr>
              <w:pStyle w:val="Tabletext"/>
              <w:jc w:val="center"/>
              <w:rPr>
                <w:lang w:eastAsia="zh-CN"/>
              </w:rPr>
            </w:pPr>
            <w:r w:rsidRPr="00B92F87">
              <w:rPr>
                <w:lang w:eastAsia="zh-CN"/>
              </w:rPr>
              <w:t>5</w:t>
            </w:r>
          </w:p>
        </w:tc>
        <w:tc>
          <w:tcPr>
            <w:tcW w:w="1272" w:type="dxa"/>
            <w:tcMar>
              <w:left w:w="29" w:type="dxa"/>
              <w:right w:w="29" w:type="dxa"/>
            </w:tcMar>
            <w:vAlign w:val="center"/>
          </w:tcPr>
          <w:p w:rsidR="00AC55A5" w:rsidRPr="00B92F87" w:rsidRDefault="00AC55A5" w:rsidP="00A07C81">
            <w:pPr>
              <w:pStyle w:val="Tabletext"/>
              <w:jc w:val="center"/>
              <w:rPr>
                <w:lang w:eastAsia="zh-CN"/>
              </w:rPr>
            </w:pPr>
            <w:r w:rsidRPr="00B92F87">
              <w:rPr>
                <w:lang w:eastAsia="zh-CN"/>
              </w:rPr>
              <w:t>61 853</w:t>
            </w:r>
          </w:p>
        </w:tc>
      </w:tr>
      <w:tr w:rsidR="00AC55A5" w:rsidRPr="00B92F87" w:rsidTr="007620B6">
        <w:tc>
          <w:tcPr>
            <w:tcW w:w="1073" w:type="dxa"/>
            <w:tcMar>
              <w:left w:w="29" w:type="dxa"/>
              <w:right w:w="29" w:type="dxa"/>
            </w:tcMar>
            <w:vAlign w:val="center"/>
          </w:tcPr>
          <w:p w:rsidR="00AC55A5" w:rsidRPr="00B92F87" w:rsidRDefault="00AC55A5" w:rsidP="00A07C81">
            <w:pPr>
              <w:pStyle w:val="Tabletext"/>
              <w:jc w:val="center"/>
              <w:rPr>
                <w:lang w:eastAsia="zh-CN"/>
              </w:rPr>
            </w:pPr>
            <w:r w:rsidRPr="00B92F87">
              <w:rPr>
                <w:lang w:eastAsia="zh-CN"/>
              </w:rPr>
              <w:t>2002-2003</w:t>
            </w:r>
          </w:p>
        </w:tc>
        <w:tc>
          <w:tcPr>
            <w:tcW w:w="1428" w:type="dxa"/>
            <w:tcMar>
              <w:left w:w="29" w:type="dxa"/>
              <w:right w:w="29" w:type="dxa"/>
            </w:tcMar>
            <w:vAlign w:val="center"/>
          </w:tcPr>
          <w:p w:rsidR="00AC55A5" w:rsidRPr="00B92F87" w:rsidRDefault="002B015D" w:rsidP="00A07C81">
            <w:pPr>
              <w:pStyle w:val="Tabletext"/>
              <w:jc w:val="center"/>
              <w:rPr>
                <w:lang w:eastAsia="zh-CN"/>
              </w:rPr>
            </w:pPr>
            <w:hyperlink r:id="rId26" w:history="1">
              <w:r w:rsidR="00AC55A5" w:rsidRPr="00B92F87">
                <w:rPr>
                  <w:rStyle w:val="Hyperlink"/>
                  <w:lang w:eastAsia="zh-CN"/>
                </w:rPr>
                <w:t>C04/22</w:t>
              </w:r>
            </w:hyperlink>
          </w:p>
        </w:tc>
        <w:tc>
          <w:tcPr>
            <w:tcW w:w="1190" w:type="dxa"/>
            <w:tcMar>
              <w:left w:w="29" w:type="dxa"/>
              <w:right w:w="29" w:type="dxa"/>
            </w:tcMar>
            <w:vAlign w:val="center"/>
          </w:tcPr>
          <w:p w:rsidR="00AC55A5" w:rsidRPr="00B92F87" w:rsidRDefault="00AC55A5" w:rsidP="00A07C81">
            <w:pPr>
              <w:pStyle w:val="Tabletext"/>
              <w:jc w:val="center"/>
              <w:rPr>
                <w:lang w:eastAsia="zh-CN"/>
              </w:rPr>
            </w:pPr>
            <w:r w:rsidRPr="00B92F87">
              <w:rPr>
                <w:lang w:eastAsia="zh-CN"/>
              </w:rPr>
              <w:t>10</w:t>
            </w:r>
          </w:p>
        </w:tc>
        <w:tc>
          <w:tcPr>
            <w:tcW w:w="1232" w:type="dxa"/>
            <w:tcMar>
              <w:left w:w="29" w:type="dxa"/>
              <w:right w:w="29" w:type="dxa"/>
            </w:tcMar>
            <w:vAlign w:val="center"/>
          </w:tcPr>
          <w:p w:rsidR="00AC55A5" w:rsidRPr="00B92F87" w:rsidRDefault="00AC55A5" w:rsidP="00A07C81">
            <w:pPr>
              <w:pStyle w:val="Tabletext"/>
              <w:jc w:val="center"/>
              <w:rPr>
                <w:lang w:eastAsia="zh-CN"/>
              </w:rPr>
            </w:pPr>
            <w:r w:rsidRPr="00B92F87">
              <w:rPr>
                <w:lang w:eastAsia="zh-CN"/>
              </w:rPr>
              <w:t>68 708</w:t>
            </w:r>
          </w:p>
        </w:tc>
        <w:tc>
          <w:tcPr>
            <w:tcW w:w="1357" w:type="dxa"/>
            <w:tcMar>
              <w:left w:w="29" w:type="dxa"/>
              <w:right w:w="29" w:type="dxa"/>
            </w:tcMar>
            <w:vAlign w:val="center"/>
          </w:tcPr>
          <w:p w:rsidR="00AC55A5" w:rsidRPr="00B92F87" w:rsidRDefault="00AC55A5" w:rsidP="00A07C81">
            <w:pPr>
              <w:pStyle w:val="Tabletext"/>
              <w:jc w:val="center"/>
              <w:rPr>
                <w:lang w:eastAsia="zh-CN"/>
              </w:rPr>
            </w:pPr>
            <w:r w:rsidRPr="00B92F87">
              <w:rPr>
                <w:lang w:eastAsia="zh-CN"/>
              </w:rPr>
              <w:t>2014-2015</w:t>
            </w:r>
          </w:p>
        </w:tc>
        <w:tc>
          <w:tcPr>
            <w:tcW w:w="1442" w:type="dxa"/>
            <w:tcMar>
              <w:left w:w="29" w:type="dxa"/>
              <w:right w:w="29" w:type="dxa"/>
            </w:tcMar>
            <w:vAlign w:val="center"/>
          </w:tcPr>
          <w:p w:rsidR="00AC55A5" w:rsidRPr="00B92F87" w:rsidRDefault="002B015D" w:rsidP="00A07C81">
            <w:pPr>
              <w:pStyle w:val="Tabletext"/>
              <w:jc w:val="center"/>
              <w:rPr>
                <w:lang w:eastAsia="zh-CN"/>
              </w:rPr>
            </w:pPr>
            <w:hyperlink r:id="rId27" w:history="1">
              <w:r w:rsidR="00AC55A5" w:rsidRPr="00B92F87">
                <w:rPr>
                  <w:rStyle w:val="Hyperlink"/>
                  <w:lang w:eastAsia="zh-CN"/>
                </w:rPr>
                <w:t>C17/10</w:t>
              </w:r>
            </w:hyperlink>
          </w:p>
        </w:tc>
        <w:tc>
          <w:tcPr>
            <w:tcW w:w="924" w:type="dxa"/>
            <w:tcMar>
              <w:left w:w="29" w:type="dxa"/>
              <w:right w:w="29" w:type="dxa"/>
            </w:tcMar>
            <w:vAlign w:val="center"/>
          </w:tcPr>
          <w:p w:rsidR="00AC55A5" w:rsidRPr="00B92F87" w:rsidRDefault="00AC55A5" w:rsidP="00A07C81">
            <w:pPr>
              <w:pStyle w:val="Tabletext"/>
              <w:jc w:val="center"/>
              <w:rPr>
                <w:lang w:eastAsia="zh-CN"/>
              </w:rPr>
            </w:pPr>
            <w:r w:rsidRPr="00B92F87">
              <w:rPr>
                <w:lang w:eastAsia="zh-CN"/>
              </w:rPr>
              <w:t>5</w:t>
            </w:r>
          </w:p>
        </w:tc>
        <w:tc>
          <w:tcPr>
            <w:tcW w:w="1272" w:type="dxa"/>
            <w:tcMar>
              <w:left w:w="29" w:type="dxa"/>
              <w:right w:w="29" w:type="dxa"/>
            </w:tcMar>
            <w:vAlign w:val="center"/>
          </w:tcPr>
          <w:p w:rsidR="00AC55A5" w:rsidRPr="00B92F87" w:rsidRDefault="00AC55A5" w:rsidP="00A07C81">
            <w:pPr>
              <w:pStyle w:val="Tabletext"/>
              <w:jc w:val="center"/>
              <w:rPr>
                <w:lang w:eastAsia="zh-CN"/>
              </w:rPr>
            </w:pPr>
            <w:r w:rsidRPr="00B92F87">
              <w:rPr>
                <w:lang w:eastAsia="zh-CN"/>
              </w:rPr>
              <w:t>62 202</w:t>
            </w:r>
          </w:p>
        </w:tc>
      </w:tr>
      <w:tr w:rsidR="00AC55A5" w:rsidRPr="00B92F87" w:rsidTr="007620B6">
        <w:tc>
          <w:tcPr>
            <w:tcW w:w="1073" w:type="dxa"/>
            <w:tcMar>
              <w:left w:w="29" w:type="dxa"/>
              <w:right w:w="29" w:type="dxa"/>
            </w:tcMar>
            <w:vAlign w:val="center"/>
          </w:tcPr>
          <w:p w:rsidR="00AC55A5" w:rsidRPr="00B92F87" w:rsidRDefault="00AC55A5" w:rsidP="00A07C81">
            <w:pPr>
              <w:pStyle w:val="Tabletext"/>
              <w:jc w:val="center"/>
              <w:rPr>
                <w:lang w:eastAsia="zh-CN"/>
              </w:rPr>
            </w:pPr>
            <w:r w:rsidRPr="00B92F87">
              <w:rPr>
                <w:lang w:eastAsia="zh-CN"/>
              </w:rPr>
              <w:t>2004-2005</w:t>
            </w:r>
          </w:p>
        </w:tc>
        <w:tc>
          <w:tcPr>
            <w:tcW w:w="1428" w:type="dxa"/>
            <w:tcMar>
              <w:left w:w="29" w:type="dxa"/>
              <w:right w:w="29" w:type="dxa"/>
            </w:tcMar>
            <w:vAlign w:val="center"/>
          </w:tcPr>
          <w:p w:rsidR="00AC55A5" w:rsidRPr="00B92F87" w:rsidRDefault="002B015D" w:rsidP="00A07C81">
            <w:pPr>
              <w:pStyle w:val="Tabletext"/>
              <w:jc w:val="center"/>
              <w:rPr>
                <w:lang w:eastAsia="zh-CN"/>
              </w:rPr>
            </w:pPr>
            <w:hyperlink r:id="rId28" w:history="1">
              <w:r w:rsidR="00AC55A5" w:rsidRPr="00B92F87">
                <w:rPr>
                  <w:rStyle w:val="Hyperlink"/>
                  <w:lang w:eastAsia="zh-CN"/>
                </w:rPr>
                <w:t>C06/26(Rev.1)</w:t>
              </w:r>
            </w:hyperlink>
          </w:p>
        </w:tc>
        <w:tc>
          <w:tcPr>
            <w:tcW w:w="1190" w:type="dxa"/>
            <w:tcMar>
              <w:left w:w="29" w:type="dxa"/>
              <w:right w:w="29" w:type="dxa"/>
            </w:tcMar>
            <w:vAlign w:val="center"/>
          </w:tcPr>
          <w:p w:rsidR="00AC55A5" w:rsidRPr="00B92F87" w:rsidRDefault="00AC55A5" w:rsidP="00A07C81">
            <w:pPr>
              <w:pStyle w:val="Tabletext"/>
              <w:jc w:val="center"/>
              <w:rPr>
                <w:lang w:eastAsia="zh-CN"/>
              </w:rPr>
            </w:pPr>
            <w:r w:rsidRPr="00B92F87">
              <w:rPr>
                <w:lang w:eastAsia="zh-CN"/>
              </w:rPr>
              <w:t>18-26</w:t>
            </w:r>
          </w:p>
        </w:tc>
        <w:tc>
          <w:tcPr>
            <w:tcW w:w="1232" w:type="dxa"/>
            <w:tcMar>
              <w:left w:w="29" w:type="dxa"/>
              <w:right w:w="29" w:type="dxa"/>
            </w:tcMar>
            <w:vAlign w:val="center"/>
          </w:tcPr>
          <w:p w:rsidR="00AC55A5" w:rsidRPr="00B92F87" w:rsidRDefault="00AC55A5" w:rsidP="00A07C81">
            <w:pPr>
              <w:pStyle w:val="Tabletext"/>
              <w:jc w:val="center"/>
              <w:rPr>
                <w:lang w:eastAsia="zh-CN"/>
              </w:rPr>
            </w:pPr>
            <w:r w:rsidRPr="00B92F87">
              <w:rPr>
                <w:lang w:eastAsia="zh-CN"/>
              </w:rPr>
              <w:t>71 139</w:t>
            </w:r>
          </w:p>
        </w:tc>
        <w:tc>
          <w:tcPr>
            <w:tcW w:w="1357" w:type="dxa"/>
            <w:tcMar>
              <w:left w:w="29" w:type="dxa"/>
              <w:right w:w="29" w:type="dxa"/>
            </w:tcMar>
            <w:vAlign w:val="center"/>
          </w:tcPr>
          <w:p w:rsidR="00AC55A5" w:rsidRPr="00B92F87" w:rsidRDefault="00AC55A5" w:rsidP="00A07C81">
            <w:pPr>
              <w:pStyle w:val="Tabletext"/>
              <w:jc w:val="center"/>
              <w:rPr>
                <w:lang w:eastAsia="zh-CN"/>
              </w:rPr>
            </w:pPr>
            <w:r w:rsidRPr="00B92F87">
              <w:rPr>
                <w:lang w:eastAsia="zh-CN"/>
              </w:rPr>
              <w:t>2016-2017</w:t>
            </w:r>
          </w:p>
        </w:tc>
        <w:tc>
          <w:tcPr>
            <w:tcW w:w="1442" w:type="dxa"/>
            <w:tcMar>
              <w:left w:w="29" w:type="dxa"/>
              <w:right w:w="29" w:type="dxa"/>
            </w:tcMar>
            <w:vAlign w:val="center"/>
          </w:tcPr>
          <w:p w:rsidR="00AC55A5" w:rsidRPr="00B92F87" w:rsidRDefault="002B015D" w:rsidP="00A07C81">
            <w:pPr>
              <w:pStyle w:val="Tabletext"/>
              <w:jc w:val="center"/>
              <w:rPr>
                <w:lang w:eastAsia="zh-CN"/>
              </w:rPr>
            </w:pPr>
            <w:hyperlink r:id="rId29" w:history="1">
              <w:r w:rsidR="00AC55A5" w:rsidRPr="00B92F87">
                <w:rPr>
                  <w:rStyle w:val="Hyperlink"/>
                  <w:lang w:eastAsia="zh-CN"/>
                </w:rPr>
                <w:t>C17/10</w:t>
              </w:r>
            </w:hyperlink>
          </w:p>
        </w:tc>
        <w:tc>
          <w:tcPr>
            <w:tcW w:w="924" w:type="dxa"/>
            <w:tcMar>
              <w:left w:w="29" w:type="dxa"/>
              <w:right w:w="29" w:type="dxa"/>
            </w:tcMar>
            <w:vAlign w:val="center"/>
          </w:tcPr>
          <w:p w:rsidR="00AC55A5" w:rsidRPr="00B92F87" w:rsidRDefault="00AC55A5" w:rsidP="00A07C81">
            <w:pPr>
              <w:pStyle w:val="Tabletext"/>
              <w:jc w:val="center"/>
              <w:rPr>
                <w:lang w:eastAsia="zh-CN"/>
              </w:rPr>
            </w:pPr>
            <w:r w:rsidRPr="00B92F87">
              <w:rPr>
                <w:lang w:eastAsia="zh-CN"/>
              </w:rPr>
              <w:t>5</w:t>
            </w:r>
          </w:p>
        </w:tc>
        <w:tc>
          <w:tcPr>
            <w:tcW w:w="1272" w:type="dxa"/>
            <w:tcMar>
              <w:left w:w="29" w:type="dxa"/>
              <w:right w:w="29" w:type="dxa"/>
            </w:tcMar>
            <w:vAlign w:val="center"/>
          </w:tcPr>
          <w:p w:rsidR="00AC55A5" w:rsidRPr="00B92F87" w:rsidRDefault="00AC55A5" w:rsidP="00A07C81">
            <w:pPr>
              <w:pStyle w:val="Tabletext"/>
              <w:jc w:val="center"/>
              <w:rPr>
                <w:lang w:eastAsia="zh-CN"/>
              </w:rPr>
            </w:pPr>
            <w:r w:rsidRPr="00B92F87">
              <w:rPr>
                <w:lang w:eastAsia="zh-CN"/>
              </w:rPr>
              <w:t>57 501</w:t>
            </w:r>
          </w:p>
        </w:tc>
      </w:tr>
      <w:tr w:rsidR="00AC55A5" w:rsidRPr="00B92F87" w:rsidTr="007620B6">
        <w:tc>
          <w:tcPr>
            <w:tcW w:w="1073" w:type="dxa"/>
            <w:tcMar>
              <w:left w:w="29" w:type="dxa"/>
              <w:right w:w="29" w:type="dxa"/>
            </w:tcMar>
            <w:vAlign w:val="center"/>
          </w:tcPr>
          <w:p w:rsidR="00AC55A5" w:rsidRPr="00B92F87" w:rsidRDefault="00AC55A5" w:rsidP="00A07C81">
            <w:pPr>
              <w:pStyle w:val="Tabletext"/>
              <w:jc w:val="center"/>
              <w:rPr>
                <w:lang w:eastAsia="zh-CN"/>
              </w:rPr>
            </w:pPr>
            <w:r w:rsidRPr="00B92F87">
              <w:rPr>
                <w:lang w:eastAsia="zh-CN"/>
              </w:rPr>
              <w:t>2006-2007</w:t>
            </w:r>
          </w:p>
        </w:tc>
        <w:tc>
          <w:tcPr>
            <w:tcW w:w="1428" w:type="dxa"/>
            <w:tcMar>
              <w:left w:w="29" w:type="dxa"/>
              <w:right w:w="29" w:type="dxa"/>
            </w:tcMar>
            <w:vAlign w:val="center"/>
          </w:tcPr>
          <w:p w:rsidR="00AC55A5" w:rsidRPr="00B92F87" w:rsidRDefault="002B015D" w:rsidP="00A07C81">
            <w:pPr>
              <w:pStyle w:val="Tabletext"/>
              <w:jc w:val="center"/>
              <w:rPr>
                <w:lang w:eastAsia="zh-CN"/>
              </w:rPr>
            </w:pPr>
            <w:hyperlink r:id="rId30" w:history="1">
              <w:r w:rsidR="00AC55A5" w:rsidRPr="00B92F87">
                <w:rPr>
                  <w:rStyle w:val="Hyperlink"/>
                  <w:lang w:eastAsia="zh-CN"/>
                </w:rPr>
                <w:t>C08/7</w:t>
              </w:r>
            </w:hyperlink>
          </w:p>
        </w:tc>
        <w:tc>
          <w:tcPr>
            <w:tcW w:w="1190" w:type="dxa"/>
            <w:tcMar>
              <w:left w:w="29" w:type="dxa"/>
              <w:right w:w="29" w:type="dxa"/>
            </w:tcMar>
            <w:vAlign w:val="center"/>
          </w:tcPr>
          <w:p w:rsidR="00AC55A5" w:rsidRPr="00B92F87" w:rsidRDefault="00AC55A5" w:rsidP="00A07C81">
            <w:pPr>
              <w:pStyle w:val="Tabletext"/>
              <w:jc w:val="center"/>
              <w:rPr>
                <w:lang w:eastAsia="zh-CN"/>
              </w:rPr>
            </w:pPr>
            <w:r w:rsidRPr="00B92F87">
              <w:rPr>
                <w:lang w:eastAsia="zh-CN"/>
              </w:rPr>
              <w:t>12, 18-26</w:t>
            </w:r>
          </w:p>
        </w:tc>
        <w:tc>
          <w:tcPr>
            <w:tcW w:w="1232" w:type="dxa"/>
            <w:tcMar>
              <w:left w:w="29" w:type="dxa"/>
              <w:right w:w="29" w:type="dxa"/>
            </w:tcMar>
            <w:vAlign w:val="center"/>
          </w:tcPr>
          <w:p w:rsidR="00AC55A5" w:rsidRPr="00B92F87" w:rsidRDefault="00AC55A5" w:rsidP="00A07C81">
            <w:pPr>
              <w:pStyle w:val="Tabletext"/>
              <w:jc w:val="center"/>
              <w:rPr>
                <w:lang w:eastAsia="zh-CN"/>
              </w:rPr>
            </w:pPr>
            <w:r w:rsidRPr="00B92F87">
              <w:rPr>
                <w:lang w:eastAsia="zh-CN"/>
              </w:rPr>
              <w:t>74 698</w:t>
            </w:r>
          </w:p>
        </w:tc>
        <w:tc>
          <w:tcPr>
            <w:tcW w:w="1357" w:type="dxa"/>
            <w:tcMar>
              <w:left w:w="29" w:type="dxa"/>
              <w:right w:w="29" w:type="dxa"/>
            </w:tcMar>
            <w:vAlign w:val="center"/>
          </w:tcPr>
          <w:p w:rsidR="00AC55A5" w:rsidRPr="00B92F87" w:rsidRDefault="00AC55A5" w:rsidP="00A07C81">
            <w:pPr>
              <w:pStyle w:val="Tabletext"/>
              <w:jc w:val="center"/>
              <w:rPr>
                <w:lang w:eastAsia="zh-CN"/>
              </w:rPr>
            </w:pPr>
            <w:r w:rsidRPr="00B92F87">
              <w:rPr>
                <w:lang w:eastAsia="zh-CN"/>
              </w:rPr>
              <w:t>2018-2019 (previsto)</w:t>
            </w:r>
          </w:p>
        </w:tc>
        <w:tc>
          <w:tcPr>
            <w:tcW w:w="1442" w:type="dxa"/>
            <w:tcMar>
              <w:left w:w="29" w:type="dxa"/>
              <w:right w:w="29" w:type="dxa"/>
            </w:tcMar>
            <w:vAlign w:val="center"/>
          </w:tcPr>
          <w:p w:rsidR="00AC55A5" w:rsidRPr="00B92F87" w:rsidRDefault="002B015D" w:rsidP="00A07C81">
            <w:pPr>
              <w:pStyle w:val="Tabletext"/>
              <w:jc w:val="center"/>
              <w:rPr>
                <w:lang w:eastAsia="zh-CN"/>
              </w:rPr>
            </w:pPr>
            <w:hyperlink r:id="rId31" w:history="1">
              <w:r w:rsidR="00AC55A5" w:rsidRPr="00B92F87">
                <w:rPr>
                  <w:rStyle w:val="Hyperlink"/>
                  <w:lang w:eastAsia="zh-CN"/>
                </w:rPr>
                <w:t>C17/10</w:t>
              </w:r>
            </w:hyperlink>
          </w:p>
        </w:tc>
        <w:tc>
          <w:tcPr>
            <w:tcW w:w="924" w:type="dxa"/>
            <w:tcMar>
              <w:left w:w="29" w:type="dxa"/>
              <w:right w:w="29" w:type="dxa"/>
            </w:tcMar>
            <w:vAlign w:val="center"/>
          </w:tcPr>
          <w:p w:rsidR="00AC55A5" w:rsidRPr="00B92F87" w:rsidRDefault="00AC55A5" w:rsidP="00A07C81">
            <w:pPr>
              <w:pStyle w:val="Tabletext"/>
              <w:jc w:val="center"/>
              <w:rPr>
                <w:lang w:eastAsia="zh-CN"/>
              </w:rPr>
            </w:pPr>
            <w:r w:rsidRPr="00B92F87">
              <w:rPr>
                <w:lang w:eastAsia="zh-CN"/>
              </w:rPr>
              <w:t>5</w:t>
            </w:r>
          </w:p>
        </w:tc>
        <w:tc>
          <w:tcPr>
            <w:tcW w:w="1272" w:type="dxa"/>
            <w:tcMar>
              <w:left w:w="29" w:type="dxa"/>
              <w:right w:w="29" w:type="dxa"/>
            </w:tcMar>
            <w:vAlign w:val="center"/>
          </w:tcPr>
          <w:p w:rsidR="00AC55A5" w:rsidRPr="00B92F87" w:rsidRDefault="00AC55A5" w:rsidP="00A07C81">
            <w:pPr>
              <w:pStyle w:val="Tabletext"/>
              <w:jc w:val="center"/>
              <w:rPr>
                <w:color w:val="FF0000"/>
                <w:lang w:eastAsia="zh-CN"/>
              </w:rPr>
            </w:pPr>
            <w:r w:rsidRPr="00B92F87">
              <w:rPr>
                <w:color w:val="FF0000"/>
                <w:lang w:eastAsia="zh-CN"/>
              </w:rPr>
              <w:t>58 586</w:t>
            </w:r>
          </w:p>
        </w:tc>
      </w:tr>
    </w:tbl>
    <w:p w:rsidR="00AC55A5" w:rsidRPr="00B92F87" w:rsidRDefault="00AC55A5" w:rsidP="007620B6">
      <w:pPr>
        <w:pStyle w:val="Normalaftertitle"/>
        <w:rPr>
          <w:lang w:eastAsia="zh-CN"/>
        </w:rPr>
      </w:pPr>
      <w:r w:rsidRPr="00B92F87">
        <w:rPr>
          <w:lang w:eastAsia="zh-CN"/>
        </w:rPr>
        <w:t xml:space="preserve">Obsérvese que el aumento en el presupuesto para 2018-2019 respecto del de 2016-2017 se debe al gasto necesario por la celebración de la CMR y la Asamblea de Radiocomunicaciones en 2019, que asciende a 2 973 000 CHF . Si se resta esa partida, el presupuesto para las actividades ordinarias se eleva 55 613 000 CHF, </w:t>
      </w:r>
      <w:r w:rsidRPr="00B92F87">
        <w:rPr>
          <w:b/>
          <w:lang w:eastAsia="zh-CN"/>
        </w:rPr>
        <w:t>es decir una nueva reducción en la financiación de las actividades ordinarias del UIT-R</w:t>
      </w:r>
      <w:r w:rsidRPr="00B92F87">
        <w:rPr>
          <w:lang w:eastAsia="zh-CN"/>
        </w:rPr>
        <w:t>.</w:t>
      </w:r>
    </w:p>
    <w:p w:rsidR="00AC55A5" w:rsidRPr="00B92F87" w:rsidRDefault="00AC55A5" w:rsidP="00AC55A5">
      <w:pPr>
        <w:pStyle w:val="FigureNo"/>
        <w:rPr>
          <w:lang w:eastAsia="zh-CN"/>
        </w:rPr>
      </w:pPr>
      <w:r w:rsidRPr="00B92F87">
        <w:rPr>
          <w:lang w:eastAsia="zh-CN"/>
        </w:rPr>
        <w:t>FigurA 1</w:t>
      </w:r>
    </w:p>
    <w:p w:rsidR="00AC55A5" w:rsidRPr="00B92F87" w:rsidRDefault="00AC55A5" w:rsidP="007620B6">
      <w:pPr>
        <w:pStyle w:val="Figuretitle"/>
        <w:rPr>
          <w:lang w:eastAsia="zh-CN"/>
        </w:rPr>
      </w:pPr>
      <w:r w:rsidRPr="00B92F87">
        <w:rPr>
          <w:lang w:eastAsia="zh-CN"/>
        </w:rPr>
        <w:t xml:space="preserve">Presupuesto del UIT-R durante el periodo 1996-2017 y </w:t>
      </w:r>
      <w:r w:rsidRPr="00B92F87">
        <w:rPr>
          <w:lang w:eastAsia="zh-CN"/>
        </w:rPr>
        <w:br/>
        <w:t>proyecto de presupuesto para 2018-2019</w:t>
      </w:r>
      <w:r w:rsidRPr="00B92F87">
        <w:rPr>
          <w:lang w:eastAsia="zh-CN"/>
        </w:rPr>
        <w:br/>
        <w:t>(gráfico)</w:t>
      </w:r>
    </w:p>
    <w:p w:rsidR="00AC55A5" w:rsidRPr="00B92F87" w:rsidRDefault="00AC55A5" w:rsidP="006F6B26">
      <w:pPr>
        <w:pStyle w:val="Figurelegend"/>
        <w:jc w:val="right"/>
        <w:rPr>
          <w:b/>
          <w:bCs/>
          <w:lang w:eastAsia="zh-CN"/>
        </w:rPr>
      </w:pPr>
      <w:r w:rsidRPr="00B92F87">
        <w:rPr>
          <w:b/>
          <w:bCs/>
          <w:lang w:eastAsia="zh-CN"/>
        </w:rPr>
        <w:t xml:space="preserve">En miles CHF </w:t>
      </w:r>
    </w:p>
    <w:p w:rsidR="00AC55A5" w:rsidRPr="00B92F87" w:rsidRDefault="00AC55A5" w:rsidP="00AC55A5">
      <w:pPr>
        <w:jc w:val="center"/>
        <w:rPr>
          <w:lang w:eastAsia="zh-CN"/>
        </w:rPr>
      </w:pPr>
      <w:r w:rsidRPr="00B92F87">
        <w:rPr>
          <w:noProof/>
          <w:lang w:val="en-US" w:eastAsia="zh-CN"/>
        </w:rPr>
        <w:drawing>
          <wp:inline distT="0" distB="0" distL="0" distR="0" wp14:anchorId="221A66C0" wp14:editId="69E48640">
            <wp:extent cx="6120765" cy="3263265"/>
            <wp:effectExtent l="0" t="0" r="13335" b="133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AC55A5" w:rsidRPr="00B92F87" w:rsidRDefault="00AC55A5" w:rsidP="007620B6">
      <w:pPr>
        <w:pStyle w:val="Normalaftertitle"/>
        <w:rPr>
          <w:b/>
          <w:lang w:eastAsia="zh-CN"/>
        </w:rPr>
      </w:pPr>
      <w:r w:rsidRPr="00B92F87">
        <w:rPr>
          <w:lang w:eastAsia="zh-CN"/>
        </w:rPr>
        <w:lastRenderedPageBreak/>
        <w:t>A este respecto, es importante señalar que durante el periodo en cuestión la BR generó considerables ingresos en concepto de la tramitación de notificaciones de redes de satélite. Los correspondientes datos se muestran en la Figura 2. Por otra parte, una parte importante de los ingresos del presupuesto de la UIT se obtienen de la venta de publicaciones del UIT-R/BR, que asciende (en una estimación muy conservativa) a más de 20 millones por bienio. Por consiguiente, en el desempeño de sus actividades el UIT-R, y, especialmente la BR, proporciona a la UIT unos ingresos que representan el equivalente a la mitad del presupuesto bienal del Sector, una situación única dentro de la Unión en su conjunto.</w:t>
      </w:r>
    </w:p>
    <w:p w:rsidR="00AC55A5" w:rsidRPr="00B92F87" w:rsidRDefault="00AC55A5" w:rsidP="00AC55A5">
      <w:pPr>
        <w:pStyle w:val="FigureNo"/>
        <w:rPr>
          <w:lang w:eastAsia="zh-CN"/>
        </w:rPr>
      </w:pPr>
      <w:r w:rsidRPr="00B92F87">
        <w:rPr>
          <w:lang w:eastAsia="zh-CN"/>
        </w:rPr>
        <w:t>FigurA 2</w:t>
      </w:r>
    </w:p>
    <w:p w:rsidR="00AC55A5" w:rsidRPr="00B92F87" w:rsidRDefault="00AC55A5" w:rsidP="007620B6">
      <w:pPr>
        <w:pStyle w:val="Figuretitle"/>
        <w:rPr>
          <w:lang w:eastAsia="zh-CN"/>
        </w:rPr>
      </w:pPr>
      <w:r w:rsidRPr="00B92F87">
        <w:rPr>
          <w:lang w:eastAsia="zh-CN"/>
        </w:rPr>
        <w:t xml:space="preserve">Ingresos en concepto de la tramitación de notificaciones de redes de satélite </w:t>
      </w:r>
      <w:r w:rsidR="00F760EE">
        <w:rPr>
          <w:lang w:eastAsia="zh-CN"/>
        </w:rPr>
        <w:br/>
      </w:r>
      <w:r w:rsidRPr="00B92F87">
        <w:rPr>
          <w:lang w:eastAsia="zh-CN"/>
        </w:rPr>
        <w:t>durante el periodo 2002-2015, y previsiones para 2016-2019</w:t>
      </w:r>
    </w:p>
    <w:p w:rsidR="00AC55A5" w:rsidRPr="00B92F87" w:rsidRDefault="00AC55A5" w:rsidP="006F6B26">
      <w:pPr>
        <w:pStyle w:val="Figurelegend"/>
        <w:jc w:val="right"/>
        <w:rPr>
          <w:b/>
          <w:lang w:eastAsia="zh-CN"/>
        </w:rPr>
      </w:pPr>
      <w:r w:rsidRPr="00B92F87">
        <w:rPr>
          <w:b/>
          <w:lang w:eastAsia="zh-CN"/>
        </w:rPr>
        <w:t xml:space="preserve">En miles CHF </w:t>
      </w:r>
    </w:p>
    <w:p w:rsidR="00AC55A5" w:rsidRPr="00B92F87" w:rsidRDefault="00AC55A5" w:rsidP="00AC55A5">
      <w:pPr>
        <w:jc w:val="center"/>
        <w:rPr>
          <w:lang w:eastAsia="zh-CN"/>
        </w:rPr>
      </w:pPr>
      <w:r w:rsidRPr="00B92F87">
        <w:rPr>
          <w:noProof/>
          <w:lang w:val="en-US" w:eastAsia="zh-CN"/>
        </w:rPr>
        <w:drawing>
          <wp:inline distT="0" distB="0" distL="0" distR="0" wp14:anchorId="73371D18" wp14:editId="24641B41">
            <wp:extent cx="5838825" cy="3543299"/>
            <wp:effectExtent l="0" t="0" r="9525" b="63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AC55A5" w:rsidRPr="00B92F87" w:rsidRDefault="00AC55A5" w:rsidP="007620B6">
      <w:pPr>
        <w:pStyle w:val="Normalaftertitle"/>
        <w:rPr>
          <w:lang w:eastAsia="zh-CN"/>
        </w:rPr>
      </w:pPr>
      <w:r w:rsidRPr="00B92F87">
        <w:rPr>
          <w:lang w:eastAsia="zh-CN"/>
        </w:rPr>
        <w:t>La reducción de ingresos en concepto de la tramitación de notificaciones de redes de satélites en 2008-2009 fue debido a la revisión de la metodología para determinar los costes que conlleva dicha tramitación (Acuerdo 482, adoptado por el Consejo en su reunión de 2008) y la correspondiente revisión de las factores con arreglo a la Decisión 10 (Antalya, 2006) y el Acuerdo</w:t>
      </w:r>
      <w:r w:rsidR="007620B6">
        <w:rPr>
          <w:lang w:eastAsia="zh-CN"/>
        </w:rPr>
        <w:t> </w:t>
      </w:r>
      <w:r w:rsidRPr="00B92F87">
        <w:rPr>
          <w:lang w:eastAsia="zh-CN"/>
        </w:rPr>
        <w:t>545 (Consejo</w:t>
      </w:r>
      <w:r w:rsidRPr="00B92F87">
        <w:rPr>
          <w:lang w:eastAsia="zh-CN"/>
        </w:rPr>
        <w:noBreakHyphen/>
        <w:t>07).</w:t>
      </w:r>
    </w:p>
    <w:p w:rsidR="00AC55A5" w:rsidRPr="00B92F87" w:rsidRDefault="00AC55A5" w:rsidP="002E697C">
      <w:pPr>
        <w:rPr>
          <w:lang w:eastAsia="zh-CN"/>
        </w:rPr>
      </w:pPr>
      <w:r w:rsidRPr="00B92F87">
        <w:rPr>
          <w:lang w:eastAsia="zh-CN"/>
        </w:rPr>
        <w:t xml:space="preserve">Al realizar el análisis de los recursos financieros del UIT-R durante el periodo considerado, es importante señalar que en esos mismos años se produjo una reducción de los recursos financieros de la Unión en su conjunto. Por consiguiente, resulta más significativo indicar el valor relativo de la financiación de los Sectores de la UIT y de la Secretaría General respecto del </w:t>
      </w:r>
      <w:r w:rsidR="002E697C">
        <w:rPr>
          <w:lang w:eastAsia="zh-CN"/>
        </w:rPr>
        <w:t>"</w:t>
      </w:r>
      <w:r w:rsidRPr="00B92F87">
        <w:rPr>
          <w:lang w:eastAsia="zh-CN"/>
        </w:rPr>
        <w:t>presupuesto medio de cada Sector y de la Secretaría General en el periodo 1996-2017</w:t>
      </w:r>
      <w:r w:rsidR="002E697C">
        <w:rPr>
          <w:lang w:eastAsia="zh-CN"/>
        </w:rPr>
        <w:t>"</w:t>
      </w:r>
      <w:r w:rsidRPr="00B92F87">
        <w:rPr>
          <w:lang w:eastAsia="zh-CN"/>
        </w:rPr>
        <w:t>, como se muestra en el Cuadro 2.</w:t>
      </w:r>
    </w:p>
    <w:p w:rsidR="00AC55A5" w:rsidRPr="00B92F87" w:rsidRDefault="00AC55A5" w:rsidP="00AC55A5">
      <w:pPr>
        <w:pStyle w:val="TableNo"/>
        <w:rPr>
          <w:lang w:eastAsia="zh-CN"/>
        </w:rPr>
      </w:pPr>
      <w:r w:rsidRPr="00B92F87">
        <w:rPr>
          <w:lang w:eastAsia="zh-CN"/>
        </w:rPr>
        <w:lastRenderedPageBreak/>
        <w:t>CUADRO 2</w:t>
      </w:r>
    </w:p>
    <w:p w:rsidR="00AC55A5" w:rsidRPr="00B92F87" w:rsidRDefault="00AC55A5" w:rsidP="00AC55A5">
      <w:pPr>
        <w:pStyle w:val="Tabletitle"/>
        <w:rPr>
          <w:lang w:eastAsia="zh-CN"/>
        </w:rPr>
      </w:pPr>
      <w:r w:rsidRPr="00B92F87">
        <w:rPr>
          <w:lang w:eastAsia="zh-CN"/>
        </w:rPr>
        <w:t>Valor medio de los presupuestos de los Sectores de la UIT y la Secretaría General durante el periodo 1996-2017 y relación porcentual respecto del proyecto de presupuesto de 2018-2019</w:t>
      </w:r>
    </w:p>
    <w:p w:rsidR="00AC55A5" w:rsidRPr="00B92F87" w:rsidRDefault="006F6B26" w:rsidP="006F6B26">
      <w:pPr>
        <w:pStyle w:val="Tablelegend"/>
        <w:keepNext/>
        <w:keepLines/>
        <w:jc w:val="right"/>
        <w:rPr>
          <w:b/>
          <w:bCs/>
          <w:lang w:eastAsia="zh-CN"/>
        </w:rPr>
      </w:pPr>
      <w:r>
        <w:rPr>
          <w:b/>
          <w:bCs/>
          <w:lang w:eastAsia="zh-CN"/>
        </w:rPr>
        <w:t>Miles CHF</w:t>
      </w:r>
    </w:p>
    <w:tbl>
      <w:tblPr>
        <w:tblStyle w:val="TableGrid"/>
        <w:tblW w:w="0" w:type="auto"/>
        <w:jc w:val="center"/>
        <w:tblLook w:val="04A0" w:firstRow="1" w:lastRow="0" w:firstColumn="1" w:lastColumn="0" w:noHBand="0" w:noVBand="1"/>
      </w:tblPr>
      <w:tblGrid>
        <w:gridCol w:w="3209"/>
        <w:gridCol w:w="1612"/>
        <w:gridCol w:w="1612"/>
        <w:gridCol w:w="1612"/>
        <w:gridCol w:w="1584"/>
      </w:tblGrid>
      <w:tr w:rsidR="00AC55A5" w:rsidRPr="00B92F87" w:rsidTr="00A07C81">
        <w:trPr>
          <w:jc w:val="center"/>
        </w:trPr>
        <w:tc>
          <w:tcPr>
            <w:tcW w:w="3300" w:type="dxa"/>
            <w:vAlign w:val="center"/>
          </w:tcPr>
          <w:p w:rsidR="00AC55A5" w:rsidRPr="00B92F87" w:rsidRDefault="00AC55A5" w:rsidP="00A07C81">
            <w:pPr>
              <w:pStyle w:val="Tablehead"/>
              <w:rPr>
                <w:lang w:eastAsia="zh-CN"/>
              </w:rPr>
            </w:pPr>
            <w:r w:rsidRPr="00B92F87">
              <w:rPr>
                <w:lang w:eastAsia="zh-CN"/>
              </w:rPr>
              <w:t>Sector</w:t>
            </w:r>
          </w:p>
        </w:tc>
        <w:tc>
          <w:tcPr>
            <w:tcW w:w="1650" w:type="dxa"/>
            <w:vAlign w:val="center"/>
          </w:tcPr>
          <w:p w:rsidR="00AC55A5" w:rsidRPr="00B92F87" w:rsidRDefault="00AC55A5" w:rsidP="00A07C81">
            <w:pPr>
              <w:pStyle w:val="Tablehead"/>
              <w:rPr>
                <w:lang w:eastAsia="zh-CN"/>
              </w:rPr>
            </w:pPr>
            <w:r w:rsidRPr="00B92F87">
              <w:rPr>
                <w:lang w:eastAsia="zh-CN"/>
              </w:rPr>
              <w:t>UIT-R</w:t>
            </w:r>
          </w:p>
        </w:tc>
        <w:tc>
          <w:tcPr>
            <w:tcW w:w="1650" w:type="dxa"/>
            <w:vAlign w:val="center"/>
          </w:tcPr>
          <w:p w:rsidR="00AC55A5" w:rsidRPr="00B92F87" w:rsidRDefault="00AC55A5" w:rsidP="00A07C81">
            <w:pPr>
              <w:pStyle w:val="Tablehead"/>
              <w:rPr>
                <w:lang w:eastAsia="zh-CN"/>
              </w:rPr>
            </w:pPr>
            <w:r w:rsidRPr="00B92F87">
              <w:rPr>
                <w:lang w:eastAsia="zh-CN"/>
              </w:rPr>
              <w:t>UIT-D</w:t>
            </w:r>
          </w:p>
        </w:tc>
        <w:tc>
          <w:tcPr>
            <w:tcW w:w="1650" w:type="dxa"/>
            <w:vAlign w:val="center"/>
          </w:tcPr>
          <w:p w:rsidR="00AC55A5" w:rsidRPr="00B92F87" w:rsidRDefault="00AC55A5" w:rsidP="00A07C81">
            <w:pPr>
              <w:pStyle w:val="Tablehead"/>
              <w:rPr>
                <w:lang w:eastAsia="zh-CN"/>
              </w:rPr>
            </w:pPr>
            <w:r w:rsidRPr="00B92F87">
              <w:rPr>
                <w:lang w:eastAsia="zh-CN"/>
              </w:rPr>
              <w:t>UIT-T</w:t>
            </w:r>
          </w:p>
        </w:tc>
        <w:tc>
          <w:tcPr>
            <w:tcW w:w="1605" w:type="dxa"/>
          </w:tcPr>
          <w:p w:rsidR="00AC55A5" w:rsidRPr="00B92F87" w:rsidRDefault="00AC55A5" w:rsidP="00A07C81">
            <w:pPr>
              <w:pStyle w:val="Tablehead"/>
              <w:rPr>
                <w:lang w:eastAsia="zh-CN"/>
              </w:rPr>
            </w:pPr>
            <w:r w:rsidRPr="00B92F87">
              <w:rPr>
                <w:lang w:eastAsia="zh-CN"/>
              </w:rPr>
              <w:t xml:space="preserve">Secretaría General </w:t>
            </w:r>
          </w:p>
        </w:tc>
      </w:tr>
      <w:tr w:rsidR="00AC55A5" w:rsidRPr="00B92F87" w:rsidTr="00A07C81">
        <w:trPr>
          <w:jc w:val="center"/>
        </w:trPr>
        <w:tc>
          <w:tcPr>
            <w:tcW w:w="3300" w:type="dxa"/>
          </w:tcPr>
          <w:p w:rsidR="00AC55A5" w:rsidRPr="00B92F87" w:rsidRDefault="00AC55A5" w:rsidP="00A07C81">
            <w:pPr>
              <w:pStyle w:val="Tabletext"/>
              <w:keepNext/>
              <w:rPr>
                <w:lang w:eastAsia="zh-CN"/>
              </w:rPr>
            </w:pPr>
            <w:r w:rsidRPr="00B92F87">
              <w:rPr>
                <w:lang w:eastAsia="zh-CN"/>
              </w:rPr>
              <w:t xml:space="preserve">Presupuesto bienal medio </w:t>
            </w:r>
            <w:r w:rsidRPr="00B92F87">
              <w:rPr>
                <w:lang w:eastAsia="zh-CN"/>
              </w:rPr>
              <w:br/>
              <w:t>(1996-2017) – А1</w:t>
            </w:r>
          </w:p>
        </w:tc>
        <w:tc>
          <w:tcPr>
            <w:tcW w:w="1650" w:type="dxa"/>
            <w:vAlign w:val="center"/>
          </w:tcPr>
          <w:p w:rsidR="00AC55A5" w:rsidRPr="00B92F87" w:rsidRDefault="00AC55A5" w:rsidP="00A07C81">
            <w:pPr>
              <w:pStyle w:val="Tabletext"/>
              <w:keepNext/>
              <w:jc w:val="center"/>
              <w:rPr>
                <w:lang w:eastAsia="zh-CN"/>
              </w:rPr>
            </w:pPr>
            <w:r w:rsidRPr="00B92F87">
              <w:rPr>
                <w:lang w:eastAsia="zh-CN"/>
              </w:rPr>
              <w:t>65 753</w:t>
            </w:r>
          </w:p>
        </w:tc>
        <w:tc>
          <w:tcPr>
            <w:tcW w:w="1650" w:type="dxa"/>
            <w:vAlign w:val="center"/>
          </w:tcPr>
          <w:p w:rsidR="00AC55A5" w:rsidRPr="00B92F87" w:rsidRDefault="00AC55A5" w:rsidP="00A07C81">
            <w:pPr>
              <w:pStyle w:val="Tabletext"/>
              <w:keepNext/>
              <w:jc w:val="center"/>
              <w:rPr>
                <w:lang w:eastAsia="zh-CN"/>
              </w:rPr>
            </w:pPr>
            <w:r w:rsidRPr="00B92F87">
              <w:rPr>
                <w:lang w:eastAsia="zh-CN"/>
              </w:rPr>
              <w:t>59 813</w:t>
            </w:r>
          </w:p>
        </w:tc>
        <w:tc>
          <w:tcPr>
            <w:tcW w:w="1650" w:type="dxa"/>
            <w:vAlign w:val="center"/>
          </w:tcPr>
          <w:p w:rsidR="00AC55A5" w:rsidRPr="00B92F87" w:rsidRDefault="00AC55A5" w:rsidP="00A07C81">
            <w:pPr>
              <w:pStyle w:val="Tabletext"/>
              <w:keepNext/>
              <w:jc w:val="center"/>
              <w:rPr>
                <w:lang w:eastAsia="zh-CN"/>
              </w:rPr>
            </w:pPr>
            <w:r w:rsidRPr="00B92F87">
              <w:rPr>
                <w:lang w:eastAsia="zh-CN"/>
              </w:rPr>
              <w:t>25 739</w:t>
            </w:r>
          </w:p>
        </w:tc>
        <w:tc>
          <w:tcPr>
            <w:tcW w:w="1605" w:type="dxa"/>
            <w:vAlign w:val="center"/>
          </w:tcPr>
          <w:p w:rsidR="00AC55A5" w:rsidRPr="00B92F87" w:rsidRDefault="00AC55A5" w:rsidP="00A07C81">
            <w:pPr>
              <w:pStyle w:val="Tabletext"/>
              <w:keepNext/>
              <w:jc w:val="center"/>
              <w:rPr>
                <w:lang w:eastAsia="zh-CN"/>
              </w:rPr>
            </w:pPr>
            <w:r w:rsidRPr="00B92F87">
              <w:rPr>
                <w:lang w:eastAsia="zh-CN"/>
              </w:rPr>
              <w:t>179 530</w:t>
            </w:r>
          </w:p>
        </w:tc>
      </w:tr>
      <w:tr w:rsidR="00AC55A5" w:rsidRPr="00B92F87" w:rsidTr="00A07C81">
        <w:trPr>
          <w:jc w:val="center"/>
        </w:trPr>
        <w:tc>
          <w:tcPr>
            <w:tcW w:w="3300" w:type="dxa"/>
          </w:tcPr>
          <w:p w:rsidR="00AC55A5" w:rsidRPr="00B92F87" w:rsidRDefault="00AC55A5" w:rsidP="00A07C81">
            <w:pPr>
              <w:pStyle w:val="Tabletext"/>
              <w:keepNext/>
              <w:rPr>
                <w:lang w:eastAsia="zh-CN"/>
              </w:rPr>
            </w:pPr>
            <w:r w:rsidRPr="00B92F87">
              <w:rPr>
                <w:lang w:eastAsia="zh-CN"/>
              </w:rPr>
              <w:t>Proyecto de presupuesto para 2018-2019 – А2</w:t>
            </w:r>
          </w:p>
        </w:tc>
        <w:tc>
          <w:tcPr>
            <w:tcW w:w="1650" w:type="dxa"/>
            <w:vAlign w:val="center"/>
          </w:tcPr>
          <w:p w:rsidR="00AC55A5" w:rsidRPr="00B92F87" w:rsidRDefault="00AC55A5" w:rsidP="00A07C81">
            <w:pPr>
              <w:pStyle w:val="Tabletext"/>
              <w:keepNext/>
              <w:jc w:val="center"/>
              <w:rPr>
                <w:lang w:eastAsia="zh-CN"/>
              </w:rPr>
            </w:pPr>
            <w:r w:rsidRPr="00B92F87">
              <w:rPr>
                <w:lang w:eastAsia="zh-CN"/>
              </w:rPr>
              <w:t>58 586</w:t>
            </w:r>
          </w:p>
        </w:tc>
        <w:tc>
          <w:tcPr>
            <w:tcW w:w="1650" w:type="dxa"/>
            <w:vAlign w:val="center"/>
          </w:tcPr>
          <w:p w:rsidR="00AC55A5" w:rsidRPr="00B92F87" w:rsidRDefault="00AC55A5" w:rsidP="00A07C81">
            <w:pPr>
              <w:pStyle w:val="Tabletext"/>
              <w:keepNext/>
              <w:jc w:val="center"/>
              <w:rPr>
                <w:lang w:eastAsia="zh-CN"/>
              </w:rPr>
            </w:pPr>
            <w:r w:rsidRPr="00B92F87">
              <w:rPr>
                <w:lang w:eastAsia="zh-CN"/>
              </w:rPr>
              <w:t>55 888</w:t>
            </w:r>
          </w:p>
        </w:tc>
        <w:tc>
          <w:tcPr>
            <w:tcW w:w="1650" w:type="dxa"/>
            <w:vAlign w:val="center"/>
          </w:tcPr>
          <w:p w:rsidR="00AC55A5" w:rsidRPr="00B92F87" w:rsidRDefault="00AC55A5" w:rsidP="00A07C81">
            <w:pPr>
              <w:pStyle w:val="Tabletext"/>
              <w:keepNext/>
              <w:jc w:val="center"/>
              <w:rPr>
                <w:lang w:eastAsia="zh-CN"/>
              </w:rPr>
            </w:pPr>
            <w:r w:rsidRPr="00B92F87">
              <w:rPr>
                <w:lang w:eastAsia="zh-CN"/>
              </w:rPr>
              <w:t>25 494</w:t>
            </w:r>
          </w:p>
        </w:tc>
        <w:tc>
          <w:tcPr>
            <w:tcW w:w="1605" w:type="dxa"/>
            <w:vAlign w:val="center"/>
          </w:tcPr>
          <w:p w:rsidR="00AC55A5" w:rsidRPr="00B92F87" w:rsidRDefault="00AC55A5" w:rsidP="00A07C81">
            <w:pPr>
              <w:pStyle w:val="Tabletext"/>
              <w:keepNext/>
              <w:jc w:val="center"/>
              <w:rPr>
                <w:lang w:eastAsia="zh-CN"/>
              </w:rPr>
            </w:pPr>
            <w:r w:rsidRPr="00B92F87">
              <w:rPr>
                <w:lang w:eastAsia="zh-CN"/>
              </w:rPr>
              <w:t>180 134</w:t>
            </w:r>
          </w:p>
        </w:tc>
      </w:tr>
      <w:tr w:rsidR="00AC55A5" w:rsidRPr="00B92F87" w:rsidTr="00A07C81">
        <w:trPr>
          <w:jc w:val="center"/>
        </w:trPr>
        <w:tc>
          <w:tcPr>
            <w:tcW w:w="3300" w:type="dxa"/>
          </w:tcPr>
          <w:p w:rsidR="00AC55A5" w:rsidRPr="00B92F87" w:rsidRDefault="00AC55A5" w:rsidP="00A07C81">
            <w:pPr>
              <w:pStyle w:val="Tabletext"/>
              <w:rPr>
                <w:lang w:eastAsia="zh-CN"/>
              </w:rPr>
            </w:pPr>
            <w:r w:rsidRPr="00B92F87">
              <w:rPr>
                <w:lang w:eastAsia="zh-CN"/>
              </w:rPr>
              <w:t>А2/А1×100 (%)</w:t>
            </w:r>
          </w:p>
        </w:tc>
        <w:tc>
          <w:tcPr>
            <w:tcW w:w="1650" w:type="dxa"/>
            <w:vAlign w:val="center"/>
          </w:tcPr>
          <w:p w:rsidR="00AC55A5" w:rsidRPr="00B92F87" w:rsidRDefault="00AC55A5" w:rsidP="00A07C81">
            <w:pPr>
              <w:pStyle w:val="Tabletext"/>
              <w:jc w:val="center"/>
              <w:rPr>
                <w:b/>
                <w:bCs/>
                <w:lang w:eastAsia="zh-CN"/>
              </w:rPr>
            </w:pPr>
            <w:r w:rsidRPr="00B92F87">
              <w:rPr>
                <w:b/>
                <w:bCs/>
                <w:color w:val="FF0000"/>
                <w:lang w:eastAsia="zh-CN"/>
              </w:rPr>
              <w:t>89,1%</w:t>
            </w:r>
          </w:p>
        </w:tc>
        <w:tc>
          <w:tcPr>
            <w:tcW w:w="1650" w:type="dxa"/>
            <w:vAlign w:val="center"/>
          </w:tcPr>
          <w:p w:rsidR="00AC55A5" w:rsidRPr="00B92F87" w:rsidRDefault="00AC55A5" w:rsidP="00A07C81">
            <w:pPr>
              <w:pStyle w:val="Tabletext"/>
              <w:jc w:val="center"/>
              <w:rPr>
                <w:b/>
                <w:bCs/>
                <w:lang w:eastAsia="zh-CN"/>
              </w:rPr>
            </w:pPr>
            <w:r w:rsidRPr="00B92F87">
              <w:rPr>
                <w:b/>
                <w:bCs/>
                <w:lang w:eastAsia="zh-CN"/>
              </w:rPr>
              <w:t>95,2%</w:t>
            </w:r>
          </w:p>
        </w:tc>
        <w:tc>
          <w:tcPr>
            <w:tcW w:w="1650" w:type="dxa"/>
            <w:vAlign w:val="center"/>
          </w:tcPr>
          <w:p w:rsidR="00AC55A5" w:rsidRPr="00B92F87" w:rsidRDefault="00AC55A5" w:rsidP="00A07C81">
            <w:pPr>
              <w:pStyle w:val="Tabletext"/>
              <w:jc w:val="center"/>
              <w:rPr>
                <w:b/>
                <w:bCs/>
                <w:lang w:eastAsia="zh-CN"/>
              </w:rPr>
            </w:pPr>
            <w:r w:rsidRPr="00B92F87">
              <w:rPr>
                <w:b/>
                <w:bCs/>
                <w:lang w:eastAsia="zh-CN"/>
              </w:rPr>
              <w:t>99,0%</w:t>
            </w:r>
          </w:p>
        </w:tc>
        <w:tc>
          <w:tcPr>
            <w:tcW w:w="1605" w:type="dxa"/>
            <w:vAlign w:val="center"/>
          </w:tcPr>
          <w:p w:rsidR="00AC55A5" w:rsidRPr="00B92F87" w:rsidRDefault="00AC55A5" w:rsidP="00A07C81">
            <w:pPr>
              <w:pStyle w:val="Tabletext"/>
              <w:jc w:val="center"/>
              <w:rPr>
                <w:b/>
                <w:bCs/>
                <w:lang w:eastAsia="zh-CN"/>
              </w:rPr>
            </w:pPr>
            <w:r w:rsidRPr="00B92F87">
              <w:rPr>
                <w:b/>
                <w:bCs/>
                <w:lang w:eastAsia="zh-CN"/>
              </w:rPr>
              <w:t>100,3</w:t>
            </w:r>
          </w:p>
        </w:tc>
      </w:tr>
    </w:tbl>
    <w:p w:rsidR="00AC55A5" w:rsidRPr="00B92F87" w:rsidRDefault="00AC55A5" w:rsidP="00AC55A5">
      <w:pPr>
        <w:pStyle w:val="Heading2"/>
        <w:rPr>
          <w:lang w:eastAsia="zh-CN"/>
        </w:rPr>
      </w:pPr>
      <w:r w:rsidRPr="00B92F87">
        <w:rPr>
          <w:lang w:eastAsia="zh-CN"/>
        </w:rPr>
        <w:t>2.2</w:t>
      </w:r>
      <w:r w:rsidRPr="00B92F87">
        <w:rPr>
          <w:lang w:eastAsia="zh-CN"/>
        </w:rPr>
        <w:tab/>
        <w:t>Análisis de los recursos humanos de la BR durante el periodo 2004-2017</w:t>
      </w:r>
    </w:p>
    <w:p w:rsidR="00AC55A5" w:rsidRPr="00B92F87" w:rsidRDefault="00AC55A5" w:rsidP="00AC55A5">
      <w:pPr>
        <w:rPr>
          <w:lang w:eastAsia="zh-CN"/>
        </w:rPr>
      </w:pPr>
      <w:r w:rsidRPr="00B92F87">
        <w:rPr>
          <w:lang w:eastAsia="zh-CN"/>
        </w:rPr>
        <w:t>En el Cuadro 3 figuran datos estadísticos de la evolución del personal de plantilla de la BR (puestos presupuestados) a lo largo del periodo 2004-2017, con las cifras previstas para 2018-2019.</w:t>
      </w:r>
    </w:p>
    <w:p w:rsidR="00AC55A5" w:rsidRPr="00B92F87" w:rsidRDefault="00AC55A5" w:rsidP="00AC55A5">
      <w:pPr>
        <w:pStyle w:val="TableNo"/>
        <w:rPr>
          <w:lang w:eastAsia="zh-CN"/>
        </w:rPr>
      </w:pPr>
      <w:r w:rsidRPr="00B92F87">
        <w:rPr>
          <w:lang w:eastAsia="zh-CN"/>
        </w:rPr>
        <w:t>CUADRO 3</w:t>
      </w:r>
    </w:p>
    <w:p w:rsidR="00AC55A5" w:rsidRPr="00B92F87" w:rsidRDefault="00AC55A5" w:rsidP="00AC55A5">
      <w:pPr>
        <w:pStyle w:val="Tabletitle"/>
        <w:rPr>
          <w:lang w:eastAsia="zh-CN"/>
        </w:rPr>
      </w:pPr>
      <w:r w:rsidRPr="00B92F87">
        <w:rPr>
          <w:lang w:eastAsia="zh-CN"/>
        </w:rPr>
        <w:t>Personal de plantilla de la Oficina de Radiocomunicaciones de la UIT en 2004-2017</w:t>
      </w:r>
      <w:r w:rsidRPr="00B92F87">
        <w:rPr>
          <w:lang w:eastAsia="zh-CN"/>
        </w:rPr>
        <w:br/>
        <w:t>(puestos pres</w:t>
      </w:r>
      <w:r w:rsidR="000405C3">
        <w:rPr>
          <w:lang w:eastAsia="zh-CN"/>
        </w:rPr>
        <w:t>upuestados – véase el Cuadro 1)</w:t>
      </w:r>
    </w:p>
    <w:tbl>
      <w:tblPr>
        <w:tblStyle w:val="TableGrid"/>
        <w:tblW w:w="9890" w:type="dxa"/>
        <w:jc w:val="center"/>
        <w:tblLayout w:type="fixed"/>
        <w:tblLook w:val="04A0" w:firstRow="1" w:lastRow="0" w:firstColumn="1" w:lastColumn="0" w:noHBand="0" w:noVBand="1"/>
      </w:tblPr>
      <w:tblGrid>
        <w:gridCol w:w="1486"/>
        <w:gridCol w:w="1050"/>
        <w:gridCol w:w="1051"/>
        <w:gridCol w:w="1050"/>
        <w:gridCol w:w="1051"/>
        <w:gridCol w:w="1050"/>
        <w:gridCol w:w="1051"/>
        <w:gridCol w:w="1050"/>
        <w:gridCol w:w="1051"/>
      </w:tblGrid>
      <w:tr w:rsidR="00AC55A5" w:rsidRPr="00B92F87" w:rsidTr="00A07C81">
        <w:trPr>
          <w:trHeight w:val="315"/>
          <w:jc w:val="center"/>
        </w:trPr>
        <w:tc>
          <w:tcPr>
            <w:tcW w:w="1486" w:type="dxa"/>
            <w:noWrap/>
            <w:hideMark/>
          </w:tcPr>
          <w:p w:rsidR="00AC55A5" w:rsidRPr="00B92F87" w:rsidRDefault="00AC55A5" w:rsidP="00A07C81">
            <w:pPr>
              <w:pStyle w:val="Tablehead"/>
              <w:rPr>
                <w:lang w:eastAsia="zh-CN"/>
              </w:rPr>
            </w:pPr>
            <w:r w:rsidRPr="00B92F87">
              <w:rPr>
                <w:lang w:eastAsia="zh-CN"/>
              </w:rPr>
              <w:t>Año</w:t>
            </w:r>
          </w:p>
        </w:tc>
        <w:tc>
          <w:tcPr>
            <w:tcW w:w="1050" w:type="dxa"/>
            <w:noWrap/>
            <w:tcMar>
              <w:left w:w="29" w:type="dxa"/>
              <w:right w:w="29" w:type="dxa"/>
            </w:tcMar>
            <w:hideMark/>
          </w:tcPr>
          <w:p w:rsidR="00AC55A5" w:rsidRPr="00B92F87" w:rsidRDefault="00AC55A5" w:rsidP="00A07C81">
            <w:pPr>
              <w:pStyle w:val="Tablehead"/>
              <w:rPr>
                <w:lang w:eastAsia="zh-CN"/>
              </w:rPr>
            </w:pPr>
            <w:r w:rsidRPr="00B92F87">
              <w:rPr>
                <w:lang w:eastAsia="zh-CN"/>
              </w:rPr>
              <w:t>2004</w:t>
            </w:r>
          </w:p>
        </w:tc>
        <w:tc>
          <w:tcPr>
            <w:tcW w:w="1051" w:type="dxa"/>
            <w:noWrap/>
            <w:tcMar>
              <w:left w:w="29" w:type="dxa"/>
              <w:right w:w="29" w:type="dxa"/>
            </w:tcMar>
            <w:hideMark/>
          </w:tcPr>
          <w:p w:rsidR="00AC55A5" w:rsidRPr="00B92F87" w:rsidRDefault="00AC55A5" w:rsidP="00A07C81">
            <w:pPr>
              <w:pStyle w:val="Tablehead"/>
              <w:rPr>
                <w:lang w:eastAsia="zh-CN"/>
              </w:rPr>
            </w:pPr>
            <w:r w:rsidRPr="00B92F87">
              <w:rPr>
                <w:lang w:eastAsia="zh-CN"/>
              </w:rPr>
              <w:t>2005</w:t>
            </w:r>
          </w:p>
        </w:tc>
        <w:tc>
          <w:tcPr>
            <w:tcW w:w="1050" w:type="dxa"/>
            <w:tcMar>
              <w:left w:w="29" w:type="dxa"/>
              <w:right w:w="29" w:type="dxa"/>
            </w:tcMar>
          </w:tcPr>
          <w:p w:rsidR="00AC55A5" w:rsidRPr="00B92F87" w:rsidRDefault="00AC55A5" w:rsidP="00A07C81">
            <w:pPr>
              <w:pStyle w:val="Tablehead"/>
              <w:rPr>
                <w:lang w:eastAsia="zh-CN"/>
              </w:rPr>
            </w:pPr>
            <w:r w:rsidRPr="00B92F87">
              <w:rPr>
                <w:lang w:eastAsia="zh-CN"/>
              </w:rPr>
              <w:t>2006</w:t>
            </w:r>
          </w:p>
        </w:tc>
        <w:tc>
          <w:tcPr>
            <w:tcW w:w="1051" w:type="dxa"/>
          </w:tcPr>
          <w:p w:rsidR="00AC55A5" w:rsidRPr="00B92F87" w:rsidRDefault="00AC55A5" w:rsidP="00A07C81">
            <w:pPr>
              <w:pStyle w:val="Tablehead"/>
              <w:rPr>
                <w:lang w:eastAsia="zh-CN"/>
              </w:rPr>
            </w:pPr>
            <w:r w:rsidRPr="00B92F87">
              <w:rPr>
                <w:lang w:eastAsia="zh-CN"/>
              </w:rPr>
              <w:t>2007</w:t>
            </w:r>
          </w:p>
        </w:tc>
        <w:tc>
          <w:tcPr>
            <w:tcW w:w="1050" w:type="dxa"/>
          </w:tcPr>
          <w:p w:rsidR="00AC55A5" w:rsidRPr="00B92F87" w:rsidRDefault="00AC55A5" w:rsidP="00A07C81">
            <w:pPr>
              <w:pStyle w:val="Tablehead"/>
              <w:rPr>
                <w:lang w:eastAsia="zh-CN"/>
              </w:rPr>
            </w:pPr>
            <w:r w:rsidRPr="00B92F87">
              <w:rPr>
                <w:lang w:eastAsia="zh-CN"/>
              </w:rPr>
              <w:t>2008</w:t>
            </w:r>
          </w:p>
        </w:tc>
        <w:tc>
          <w:tcPr>
            <w:tcW w:w="1051" w:type="dxa"/>
          </w:tcPr>
          <w:p w:rsidR="00AC55A5" w:rsidRPr="00B92F87" w:rsidRDefault="00AC55A5" w:rsidP="00A07C81">
            <w:pPr>
              <w:pStyle w:val="Tablehead"/>
              <w:rPr>
                <w:lang w:eastAsia="zh-CN"/>
              </w:rPr>
            </w:pPr>
            <w:r w:rsidRPr="00B92F87">
              <w:rPr>
                <w:lang w:eastAsia="zh-CN"/>
              </w:rPr>
              <w:t>2009</w:t>
            </w:r>
          </w:p>
        </w:tc>
        <w:tc>
          <w:tcPr>
            <w:tcW w:w="1050" w:type="dxa"/>
          </w:tcPr>
          <w:p w:rsidR="00AC55A5" w:rsidRPr="00B92F87" w:rsidRDefault="00AC55A5" w:rsidP="00A07C81">
            <w:pPr>
              <w:pStyle w:val="Tablehead"/>
              <w:rPr>
                <w:lang w:eastAsia="zh-CN"/>
              </w:rPr>
            </w:pPr>
            <w:r w:rsidRPr="00B92F87">
              <w:rPr>
                <w:lang w:eastAsia="zh-CN"/>
              </w:rPr>
              <w:t>2010</w:t>
            </w:r>
          </w:p>
        </w:tc>
        <w:tc>
          <w:tcPr>
            <w:tcW w:w="1051" w:type="dxa"/>
          </w:tcPr>
          <w:p w:rsidR="00AC55A5" w:rsidRPr="00B92F87" w:rsidRDefault="00AC55A5" w:rsidP="00A07C81">
            <w:pPr>
              <w:pStyle w:val="Tablehead"/>
              <w:rPr>
                <w:lang w:eastAsia="zh-CN"/>
              </w:rPr>
            </w:pPr>
            <w:r w:rsidRPr="00B92F87">
              <w:rPr>
                <w:lang w:eastAsia="zh-CN"/>
              </w:rPr>
              <w:t>2011</w:t>
            </w:r>
          </w:p>
        </w:tc>
      </w:tr>
      <w:tr w:rsidR="00AC55A5" w:rsidRPr="00B92F87" w:rsidTr="00A07C81">
        <w:trPr>
          <w:trHeight w:val="327"/>
          <w:jc w:val="center"/>
        </w:trPr>
        <w:tc>
          <w:tcPr>
            <w:tcW w:w="1486" w:type="dxa"/>
            <w:noWrap/>
            <w:hideMark/>
          </w:tcPr>
          <w:p w:rsidR="00AC55A5" w:rsidRPr="00B92F87" w:rsidRDefault="00AC55A5" w:rsidP="00A07C81">
            <w:pPr>
              <w:pStyle w:val="Tabletext"/>
              <w:rPr>
                <w:lang w:eastAsia="zh-CN"/>
              </w:rPr>
            </w:pPr>
            <w:r w:rsidRPr="00B92F87">
              <w:rPr>
                <w:lang w:eastAsia="zh-CN"/>
              </w:rPr>
              <w:t>Documento</w:t>
            </w:r>
          </w:p>
        </w:tc>
        <w:tc>
          <w:tcPr>
            <w:tcW w:w="1050" w:type="dxa"/>
            <w:tcMar>
              <w:left w:w="29" w:type="dxa"/>
              <w:right w:w="29" w:type="dxa"/>
            </w:tcMar>
            <w:vAlign w:val="center"/>
            <w:hideMark/>
          </w:tcPr>
          <w:p w:rsidR="00AC55A5" w:rsidRPr="00B92F87" w:rsidRDefault="002B015D" w:rsidP="00A07C81">
            <w:pPr>
              <w:pStyle w:val="Tabletext"/>
              <w:jc w:val="center"/>
              <w:rPr>
                <w:u w:val="single"/>
                <w:lang w:eastAsia="zh-CN"/>
              </w:rPr>
            </w:pPr>
            <w:hyperlink r:id="rId34" w:history="1">
              <w:r w:rsidR="00AC55A5" w:rsidRPr="00B92F87">
                <w:rPr>
                  <w:rStyle w:val="Hyperlink"/>
                  <w:lang w:eastAsia="zh-CN"/>
                </w:rPr>
                <w:t>C05/10</w:t>
              </w:r>
            </w:hyperlink>
          </w:p>
        </w:tc>
        <w:tc>
          <w:tcPr>
            <w:tcW w:w="1051" w:type="dxa"/>
            <w:tcMar>
              <w:left w:w="29" w:type="dxa"/>
              <w:right w:w="29" w:type="dxa"/>
            </w:tcMar>
            <w:vAlign w:val="center"/>
            <w:hideMark/>
          </w:tcPr>
          <w:p w:rsidR="00AC55A5" w:rsidRPr="00B92F87" w:rsidRDefault="002B015D" w:rsidP="00A07C81">
            <w:pPr>
              <w:pStyle w:val="Tabletext"/>
              <w:jc w:val="center"/>
              <w:rPr>
                <w:u w:val="single"/>
                <w:lang w:eastAsia="zh-CN"/>
              </w:rPr>
            </w:pPr>
            <w:hyperlink r:id="rId35" w:history="1">
              <w:r w:rsidR="00AC55A5" w:rsidRPr="00B92F87">
                <w:rPr>
                  <w:rStyle w:val="Hyperlink"/>
                  <w:lang w:eastAsia="zh-CN"/>
                </w:rPr>
                <w:t>C05/10</w:t>
              </w:r>
            </w:hyperlink>
          </w:p>
        </w:tc>
        <w:tc>
          <w:tcPr>
            <w:tcW w:w="1050" w:type="dxa"/>
            <w:tcMar>
              <w:left w:w="29" w:type="dxa"/>
              <w:right w:w="29" w:type="dxa"/>
            </w:tcMar>
            <w:vAlign w:val="center"/>
          </w:tcPr>
          <w:p w:rsidR="00AC55A5" w:rsidRPr="00B92F87" w:rsidRDefault="002B015D" w:rsidP="00A07C81">
            <w:pPr>
              <w:pStyle w:val="Tabletext"/>
              <w:jc w:val="center"/>
              <w:rPr>
                <w:u w:val="single"/>
                <w:lang w:eastAsia="zh-CN"/>
              </w:rPr>
            </w:pPr>
            <w:hyperlink r:id="rId36" w:history="1">
              <w:r w:rsidR="00AC55A5" w:rsidRPr="00B92F87">
                <w:rPr>
                  <w:rStyle w:val="Hyperlink"/>
                  <w:lang w:eastAsia="zh-CN"/>
                </w:rPr>
                <w:t>C07/10</w:t>
              </w:r>
            </w:hyperlink>
          </w:p>
        </w:tc>
        <w:tc>
          <w:tcPr>
            <w:tcW w:w="1051" w:type="dxa"/>
            <w:vAlign w:val="center"/>
          </w:tcPr>
          <w:p w:rsidR="00AC55A5" w:rsidRPr="00B92F87" w:rsidRDefault="002B015D" w:rsidP="00A07C81">
            <w:pPr>
              <w:pStyle w:val="Tabletext"/>
              <w:jc w:val="center"/>
              <w:rPr>
                <w:u w:val="single"/>
                <w:lang w:eastAsia="zh-CN"/>
              </w:rPr>
            </w:pPr>
            <w:hyperlink r:id="rId37" w:history="1">
              <w:r w:rsidR="00AC55A5" w:rsidRPr="00B92F87">
                <w:rPr>
                  <w:rStyle w:val="Hyperlink"/>
                  <w:lang w:eastAsia="zh-CN"/>
                </w:rPr>
                <w:t>C07/10</w:t>
              </w:r>
            </w:hyperlink>
          </w:p>
        </w:tc>
        <w:tc>
          <w:tcPr>
            <w:tcW w:w="1050" w:type="dxa"/>
            <w:vAlign w:val="center"/>
          </w:tcPr>
          <w:p w:rsidR="00AC55A5" w:rsidRPr="00B92F87" w:rsidRDefault="002B015D" w:rsidP="00A07C81">
            <w:pPr>
              <w:pStyle w:val="Tabletext"/>
              <w:jc w:val="center"/>
              <w:rPr>
                <w:u w:val="single"/>
                <w:lang w:eastAsia="zh-CN"/>
              </w:rPr>
            </w:pPr>
            <w:hyperlink r:id="rId38" w:history="1">
              <w:r w:rsidR="00AC55A5" w:rsidRPr="00B92F87">
                <w:rPr>
                  <w:rStyle w:val="Hyperlink"/>
                  <w:lang w:eastAsia="zh-CN"/>
                </w:rPr>
                <w:t>C09/10</w:t>
              </w:r>
            </w:hyperlink>
          </w:p>
        </w:tc>
        <w:tc>
          <w:tcPr>
            <w:tcW w:w="1051" w:type="dxa"/>
            <w:vAlign w:val="center"/>
          </w:tcPr>
          <w:p w:rsidR="00AC55A5" w:rsidRPr="00B92F87" w:rsidRDefault="002B015D" w:rsidP="00A07C81">
            <w:pPr>
              <w:pStyle w:val="Tabletext"/>
              <w:jc w:val="center"/>
              <w:rPr>
                <w:u w:val="single"/>
                <w:lang w:eastAsia="zh-CN"/>
              </w:rPr>
            </w:pPr>
            <w:hyperlink r:id="rId39" w:history="1">
              <w:r w:rsidR="00AC55A5" w:rsidRPr="00B92F87">
                <w:rPr>
                  <w:rStyle w:val="Hyperlink"/>
                  <w:lang w:eastAsia="zh-CN"/>
                </w:rPr>
                <w:t>C09/10</w:t>
              </w:r>
            </w:hyperlink>
          </w:p>
        </w:tc>
        <w:tc>
          <w:tcPr>
            <w:tcW w:w="1050" w:type="dxa"/>
            <w:vAlign w:val="center"/>
          </w:tcPr>
          <w:p w:rsidR="00AC55A5" w:rsidRPr="00B92F87" w:rsidRDefault="002B015D" w:rsidP="00A07C81">
            <w:pPr>
              <w:pStyle w:val="Tabletext"/>
              <w:jc w:val="center"/>
              <w:rPr>
                <w:u w:val="single"/>
                <w:lang w:eastAsia="zh-CN"/>
              </w:rPr>
            </w:pPr>
            <w:hyperlink r:id="rId40" w:history="1">
              <w:r w:rsidR="00AC55A5" w:rsidRPr="00B92F87">
                <w:rPr>
                  <w:rStyle w:val="Hyperlink"/>
                  <w:lang w:eastAsia="zh-CN"/>
                </w:rPr>
                <w:t>C17/10</w:t>
              </w:r>
            </w:hyperlink>
          </w:p>
        </w:tc>
        <w:tc>
          <w:tcPr>
            <w:tcW w:w="1051" w:type="dxa"/>
            <w:vAlign w:val="center"/>
          </w:tcPr>
          <w:p w:rsidR="00AC55A5" w:rsidRPr="00B92F87" w:rsidRDefault="002B015D" w:rsidP="00A07C81">
            <w:pPr>
              <w:pStyle w:val="Tabletext"/>
              <w:jc w:val="center"/>
              <w:rPr>
                <w:u w:val="single"/>
                <w:lang w:eastAsia="zh-CN"/>
              </w:rPr>
            </w:pPr>
            <w:hyperlink r:id="rId41" w:history="1">
              <w:r w:rsidR="00AC55A5" w:rsidRPr="00B92F87">
                <w:rPr>
                  <w:rStyle w:val="Hyperlink"/>
                  <w:lang w:eastAsia="zh-CN"/>
                </w:rPr>
                <w:t>C17/10</w:t>
              </w:r>
            </w:hyperlink>
          </w:p>
        </w:tc>
      </w:tr>
      <w:tr w:rsidR="00AC55A5" w:rsidRPr="00B92F87" w:rsidTr="00A07C81">
        <w:trPr>
          <w:trHeight w:val="300"/>
          <w:jc w:val="center"/>
        </w:trPr>
        <w:tc>
          <w:tcPr>
            <w:tcW w:w="1486" w:type="dxa"/>
            <w:noWrap/>
            <w:hideMark/>
          </w:tcPr>
          <w:p w:rsidR="00AC55A5" w:rsidRPr="00B92F87" w:rsidRDefault="00AC55A5" w:rsidP="00A07C81">
            <w:pPr>
              <w:pStyle w:val="Tabletext"/>
              <w:rPr>
                <w:lang w:eastAsia="zh-CN"/>
              </w:rPr>
            </w:pPr>
            <w:r w:rsidRPr="00B92F87">
              <w:rPr>
                <w:lang w:eastAsia="zh-CN"/>
              </w:rPr>
              <w:t>Página</w:t>
            </w:r>
          </w:p>
        </w:tc>
        <w:tc>
          <w:tcPr>
            <w:tcW w:w="1050" w:type="dxa"/>
            <w:noWrap/>
            <w:vAlign w:val="center"/>
            <w:hideMark/>
          </w:tcPr>
          <w:p w:rsidR="00AC55A5" w:rsidRPr="00B92F87" w:rsidRDefault="00AC55A5" w:rsidP="00A07C81">
            <w:pPr>
              <w:pStyle w:val="Tabletext"/>
              <w:jc w:val="center"/>
              <w:rPr>
                <w:lang w:eastAsia="zh-CN"/>
              </w:rPr>
            </w:pPr>
            <w:r w:rsidRPr="00B92F87">
              <w:rPr>
                <w:lang w:eastAsia="zh-CN"/>
              </w:rPr>
              <w:t>205</w:t>
            </w:r>
          </w:p>
        </w:tc>
        <w:tc>
          <w:tcPr>
            <w:tcW w:w="1051" w:type="dxa"/>
            <w:noWrap/>
            <w:vAlign w:val="center"/>
            <w:hideMark/>
          </w:tcPr>
          <w:p w:rsidR="00AC55A5" w:rsidRPr="00B92F87" w:rsidRDefault="00AC55A5" w:rsidP="00A07C81">
            <w:pPr>
              <w:pStyle w:val="Tabletext"/>
              <w:jc w:val="center"/>
              <w:rPr>
                <w:lang w:eastAsia="zh-CN"/>
              </w:rPr>
            </w:pPr>
            <w:r w:rsidRPr="00B92F87">
              <w:rPr>
                <w:lang w:eastAsia="zh-CN"/>
              </w:rPr>
              <w:t>205</w:t>
            </w:r>
          </w:p>
        </w:tc>
        <w:tc>
          <w:tcPr>
            <w:tcW w:w="1050" w:type="dxa"/>
            <w:vAlign w:val="center"/>
          </w:tcPr>
          <w:p w:rsidR="00AC55A5" w:rsidRPr="00B92F87" w:rsidRDefault="00AC55A5" w:rsidP="00A07C81">
            <w:pPr>
              <w:pStyle w:val="Tabletext"/>
              <w:jc w:val="center"/>
              <w:rPr>
                <w:lang w:eastAsia="zh-CN"/>
              </w:rPr>
            </w:pPr>
            <w:r w:rsidRPr="00B92F87">
              <w:rPr>
                <w:lang w:eastAsia="zh-CN"/>
              </w:rPr>
              <w:t>226</w:t>
            </w:r>
          </w:p>
        </w:tc>
        <w:tc>
          <w:tcPr>
            <w:tcW w:w="1051" w:type="dxa"/>
            <w:vAlign w:val="center"/>
          </w:tcPr>
          <w:p w:rsidR="00AC55A5" w:rsidRPr="00B92F87" w:rsidRDefault="00AC55A5" w:rsidP="00A07C81">
            <w:pPr>
              <w:pStyle w:val="Tabletext"/>
              <w:jc w:val="center"/>
              <w:rPr>
                <w:lang w:eastAsia="zh-CN"/>
              </w:rPr>
            </w:pPr>
            <w:r w:rsidRPr="00B92F87">
              <w:rPr>
                <w:lang w:eastAsia="zh-CN"/>
              </w:rPr>
              <w:t>226</w:t>
            </w:r>
          </w:p>
        </w:tc>
        <w:tc>
          <w:tcPr>
            <w:tcW w:w="1050" w:type="dxa"/>
            <w:vAlign w:val="center"/>
          </w:tcPr>
          <w:p w:rsidR="00AC55A5" w:rsidRPr="00B92F87" w:rsidRDefault="00AC55A5" w:rsidP="00A07C81">
            <w:pPr>
              <w:pStyle w:val="Tabletext"/>
              <w:jc w:val="center"/>
              <w:rPr>
                <w:lang w:eastAsia="zh-CN"/>
              </w:rPr>
            </w:pPr>
            <w:r w:rsidRPr="00B92F87">
              <w:rPr>
                <w:lang w:eastAsia="zh-CN"/>
              </w:rPr>
              <w:t>137</w:t>
            </w:r>
          </w:p>
        </w:tc>
        <w:tc>
          <w:tcPr>
            <w:tcW w:w="1051" w:type="dxa"/>
            <w:vAlign w:val="center"/>
          </w:tcPr>
          <w:p w:rsidR="00AC55A5" w:rsidRPr="00B92F87" w:rsidRDefault="00AC55A5" w:rsidP="00A07C81">
            <w:pPr>
              <w:pStyle w:val="Tabletext"/>
              <w:jc w:val="center"/>
              <w:rPr>
                <w:lang w:eastAsia="zh-CN"/>
              </w:rPr>
            </w:pPr>
            <w:r w:rsidRPr="00B92F87">
              <w:rPr>
                <w:lang w:eastAsia="zh-CN"/>
              </w:rPr>
              <w:t>137</w:t>
            </w:r>
          </w:p>
        </w:tc>
        <w:tc>
          <w:tcPr>
            <w:tcW w:w="1050" w:type="dxa"/>
            <w:vAlign w:val="center"/>
          </w:tcPr>
          <w:p w:rsidR="00AC55A5" w:rsidRPr="00B92F87" w:rsidRDefault="00AC55A5" w:rsidP="00A07C81">
            <w:pPr>
              <w:pStyle w:val="Tabletext"/>
              <w:jc w:val="center"/>
              <w:rPr>
                <w:lang w:eastAsia="zh-CN"/>
              </w:rPr>
            </w:pPr>
            <w:r w:rsidRPr="00B92F87">
              <w:rPr>
                <w:lang w:eastAsia="zh-CN"/>
              </w:rPr>
              <w:t>14</w:t>
            </w:r>
          </w:p>
        </w:tc>
        <w:tc>
          <w:tcPr>
            <w:tcW w:w="1051" w:type="dxa"/>
            <w:vAlign w:val="center"/>
          </w:tcPr>
          <w:p w:rsidR="00AC55A5" w:rsidRPr="00B92F87" w:rsidRDefault="00AC55A5" w:rsidP="00A07C81">
            <w:pPr>
              <w:pStyle w:val="Tabletext"/>
              <w:jc w:val="center"/>
              <w:rPr>
                <w:lang w:eastAsia="zh-CN"/>
              </w:rPr>
            </w:pPr>
            <w:r w:rsidRPr="00B92F87">
              <w:rPr>
                <w:lang w:eastAsia="zh-CN"/>
              </w:rPr>
              <w:t>14</w:t>
            </w:r>
          </w:p>
        </w:tc>
      </w:tr>
      <w:tr w:rsidR="00AC55A5" w:rsidRPr="00B92F87" w:rsidTr="00A07C81">
        <w:trPr>
          <w:trHeight w:val="300"/>
          <w:jc w:val="center"/>
        </w:trPr>
        <w:tc>
          <w:tcPr>
            <w:tcW w:w="1486" w:type="dxa"/>
            <w:noWrap/>
            <w:vAlign w:val="center"/>
            <w:hideMark/>
          </w:tcPr>
          <w:p w:rsidR="00AC55A5" w:rsidRPr="00B92F87" w:rsidRDefault="00AC55A5" w:rsidP="00A07C81">
            <w:pPr>
              <w:pStyle w:val="Tabletext"/>
              <w:rPr>
                <w:lang w:eastAsia="zh-CN"/>
              </w:rPr>
            </w:pPr>
            <w:r w:rsidRPr="00B92F87">
              <w:rPr>
                <w:lang w:eastAsia="zh-CN"/>
              </w:rPr>
              <w:t>Nº de puestos</w:t>
            </w:r>
          </w:p>
        </w:tc>
        <w:tc>
          <w:tcPr>
            <w:tcW w:w="1050" w:type="dxa"/>
            <w:noWrap/>
            <w:vAlign w:val="center"/>
            <w:hideMark/>
          </w:tcPr>
          <w:p w:rsidR="00AC55A5" w:rsidRPr="00B92F87" w:rsidRDefault="00AC55A5" w:rsidP="00A07C81">
            <w:pPr>
              <w:pStyle w:val="Tabletext"/>
              <w:jc w:val="center"/>
              <w:rPr>
                <w:lang w:eastAsia="zh-CN"/>
              </w:rPr>
            </w:pPr>
            <w:r w:rsidRPr="00B92F87">
              <w:rPr>
                <w:lang w:eastAsia="zh-CN"/>
              </w:rPr>
              <w:t>176</w:t>
            </w:r>
          </w:p>
        </w:tc>
        <w:tc>
          <w:tcPr>
            <w:tcW w:w="1051" w:type="dxa"/>
            <w:noWrap/>
            <w:vAlign w:val="center"/>
            <w:hideMark/>
          </w:tcPr>
          <w:p w:rsidR="00AC55A5" w:rsidRPr="00B92F87" w:rsidRDefault="00AC55A5" w:rsidP="00A07C81">
            <w:pPr>
              <w:pStyle w:val="Tabletext"/>
              <w:jc w:val="center"/>
              <w:rPr>
                <w:lang w:eastAsia="zh-CN"/>
              </w:rPr>
            </w:pPr>
            <w:r w:rsidRPr="00B92F87">
              <w:rPr>
                <w:lang w:eastAsia="zh-CN"/>
              </w:rPr>
              <w:t>176</w:t>
            </w:r>
          </w:p>
        </w:tc>
        <w:tc>
          <w:tcPr>
            <w:tcW w:w="1050" w:type="dxa"/>
            <w:vAlign w:val="center"/>
          </w:tcPr>
          <w:p w:rsidR="00AC55A5" w:rsidRPr="00B92F87" w:rsidRDefault="00AC55A5" w:rsidP="00A07C81">
            <w:pPr>
              <w:pStyle w:val="Tabletext"/>
              <w:jc w:val="center"/>
              <w:rPr>
                <w:lang w:eastAsia="zh-CN"/>
              </w:rPr>
            </w:pPr>
            <w:r w:rsidRPr="00B92F87">
              <w:rPr>
                <w:lang w:eastAsia="zh-CN"/>
              </w:rPr>
              <w:t>181</w:t>
            </w:r>
          </w:p>
        </w:tc>
        <w:tc>
          <w:tcPr>
            <w:tcW w:w="1051" w:type="dxa"/>
            <w:vAlign w:val="center"/>
          </w:tcPr>
          <w:p w:rsidR="00AC55A5" w:rsidRPr="00B92F87" w:rsidRDefault="00AC55A5" w:rsidP="00A07C81">
            <w:pPr>
              <w:pStyle w:val="Tabletext"/>
              <w:jc w:val="center"/>
              <w:rPr>
                <w:lang w:eastAsia="zh-CN"/>
              </w:rPr>
            </w:pPr>
            <w:r w:rsidRPr="00B92F87">
              <w:rPr>
                <w:lang w:eastAsia="zh-CN"/>
              </w:rPr>
              <w:t>181</w:t>
            </w:r>
          </w:p>
        </w:tc>
        <w:tc>
          <w:tcPr>
            <w:tcW w:w="1050" w:type="dxa"/>
            <w:vAlign w:val="center"/>
          </w:tcPr>
          <w:p w:rsidR="00AC55A5" w:rsidRPr="00B92F87" w:rsidRDefault="00AC55A5" w:rsidP="00A07C81">
            <w:pPr>
              <w:pStyle w:val="Tabletext"/>
              <w:jc w:val="center"/>
              <w:rPr>
                <w:lang w:eastAsia="zh-CN"/>
              </w:rPr>
            </w:pPr>
            <w:r w:rsidRPr="00B92F87">
              <w:rPr>
                <w:lang w:eastAsia="zh-CN"/>
              </w:rPr>
              <w:t>175</w:t>
            </w:r>
          </w:p>
        </w:tc>
        <w:tc>
          <w:tcPr>
            <w:tcW w:w="1051" w:type="dxa"/>
            <w:vAlign w:val="center"/>
          </w:tcPr>
          <w:p w:rsidR="00AC55A5" w:rsidRPr="00B92F87" w:rsidRDefault="00AC55A5" w:rsidP="00A07C81">
            <w:pPr>
              <w:pStyle w:val="Tabletext"/>
              <w:jc w:val="center"/>
              <w:rPr>
                <w:lang w:eastAsia="zh-CN"/>
              </w:rPr>
            </w:pPr>
            <w:r w:rsidRPr="00B92F87">
              <w:rPr>
                <w:lang w:eastAsia="zh-CN"/>
              </w:rPr>
              <w:t>175</w:t>
            </w:r>
          </w:p>
        </w:tc>
        <w:tc>
          <w:tcPr>
            <w:tcW w:w="1050" w:type="dxa"/>
            <w:vAlign w:val="center"/>
          </w:tcPr>
          <w:p w:rsidR="00AC55A5" w:rsidRPr="00B92F87" w:rsidRDefault="00AC55A5" w:rsidP="00A07C81">
            <w:pPr>
              <w:pStyle w:val="Tabletext"/>
              <w:jc w:val="center"/>
              <w:rPr>
                <w:lang w:eastAsia="zh-CN"/>
              </w:rPr>
            </w:pPr>
            <w:r w:rsidRPr="00B92F87">
              <w:rPr>
                <w:lang w:eastAsia="zh-CN"/>
              </w:rPr>
              <w:t>173</w:t>
            </w:r>
          </w:p>
        </w:tc>
        <w:tc>
          <w:tcPr>
            <w:tcW w:w="1051" w:type="dxa"/>
            <w:vAlign w:val="center"/>
          </w:tcPr>
          <w:p w:rsidR="00AC55A5" w:rsidRPr="00B92F87" w:rsidRDefault="00AC55A5" w:rsidP="00A07C81">
            <w:pPr>
              <w:pStyle w:val="Tabletext"/>
              <w:jc w:val="center"/>
              <w:rPr>
                <w:lang w:eastAsia="zh-CN"/>
              </w:rPr>
            </w:pPr>
            <w:r w:rsidRPr="00B92F87">
              <w:rPr>
                <w:lang w:eastAsia="zh-CN"/>
              </w:rPr>
              <w:t>173</w:t>
            </w:r>
          </w:p>
        </w:tc>
      </w:tr>
    </w:tbl>
    <w:p w:rsidR="00AC55A5" w:rsidRPr="00B92F87" w:rsidRDefault="00AC55A5" w:rsidP="00AC55A5">
      <w:pPr>
        <w:rPr>
          <w:b/>
          <w:lang w:eastAsia="zh-CN"/>
        </w:rPr>
      </w:pPr>
    </w:p>
    <w:tbl>
      <w:tblPr>
        <w:tblStyle w:val="TableGrid"/>
        <w:tblW w:w="9890" w:type="dxa"/>
        <w:jc w:val="center"/>
        <w:tblLayout w:type="fixed"/>
        <w:tblLook w:val="04A0" w:firstRow="1" w:lastRow="0" w:firstColumn="1" w:lastColumn="0" w:noHBand="0" w:noVBand="1"/>
      </w:tblPr>
      <w:tblGrid>
        <w:gridCol w:w="1486"/>
        <w:gridCol w:w="1050"/>
        <w:gridCol w:w="1051"/>
        <w:gridCol w:w="1050"/>
        <w:gridCol w:w="1051"/>
        <w:gridCol w:w="1050"/>
        <w:gridCol w:w="1051"/>
        <w:gridCol w:w="1050"/>
        <w:gridCol w:w="1051"/>
      </w:tblGrid>
      <w:tr w:rsidR="00AC55A5" w:rsidRPr="00B92F87" w:rsidTr="00A07C81">
        <w:trPr>
          <w:trHeight w:val="315"/>
          <w:jc w:val="center"/>
        </w:trPr>
        <w:tc>
          <w:tcPr>
            <w:tcW w:w="1486" w:type="dxa"/>
            <w:noWrap/>
            <w:hideMark/>
          </w:tcPr>
          <w:p w:rsidR="00AC55A5" w:rsidRPr="00B92F87" w:rsidRDefault="00AC55A5" w:rsidP="00A07C81">
            <w:pPr>
              <w:pStyle w:val="Tablehead"/>
              <w:rPr>
                <w:lang w:eastAsia="zh-CN"/>
              </w:rPr>
            </w:pPr>
            <w:r w:rsidRPr="00B92F87">
              <w:rPr>
                <w:lang w:eastAsia="zh-CN"/>
              </w:rPr>
              <w:t>Año</w:t>
            </w:r>
          </w:p>
        </w:tc>
        <w:tc>
          <w:tcPr>
            <w:tcW w:w="1050" w:type="dxa"/>
            <w:noWrap/>
            <w:tcMar>
              <w:left w:w="29" w:type="dxa"/>
              <w:right w:w="29" w:type="dxa"/>
            </w:tcMar>
            <w:vAlign w:val="center"/>
            <w:hideMark/>
          </w:tcPr>
          <w:p w:rsidR="00AC55A5" w:rsidRPr="00B92F87" w:rsidRDefault="00AC55A5" w:rsidP="00A07C81">
            <w:pPr>
              <w:pStyle w:val="Tablehead"/>
              <w:rPr>
                <w:lang w:eastAsia="zh-CN"/>
              </w:rPr>
            </w:pPr>
            <w:r w:rsidRPr="00B92F87">
              <w:rPr>
                <w:lang w:eastAsia="zh-CN"/>
              </w:rPr>
              <w:t>2012</w:t>
            </w:r>
          </w:p>
        </w:tc>
        <w:tc>
          <w:tcPr>
            <w:tcW w:w="1051" w:type="dxa"/>
            <w:noWrap/>
            <w:tcMar>
              <w:left w:w="29" w:type="dxa"/>
              <w:right w:w="29" w:type="dxa"/>
            </w:tcMar>
            <w:vAlign w:val="center"/>
            <w:hideMark/>
          </w:tcPr>
          <w:p w:rsidR="00AC55A5" w:rsidRPr="00B92F87" w:rsidRDefault="00AC55A5" w:rsidP="00A07C81">
            <w:pPr>
              <w:pStyle w:val="Tablehead"/>
              <w:rPr>
                <w:lang w:eastAsia="zh-CN"/>
              </w:rPr>
            </w:pPr>
            <w:r w:rsidRPr="00B92F87">
              <w:rPr>
                <w:lang w:eastAsia="zh-CN"/>
              </w:rPr>
              <w:t>2013</w:t>
            </w:r>
          </w:p>
        </w:tc>
        <w:tc>
          <w:tcPr>
            <w:tcW w:w="1050" w:type="dxa"/>
            <w:tcMar>
              <w:left w:w="29" w:type="dxa"/>
              <w:right w:w="29" w:type="dxa"/>
            </w:tcMar>
            <w:vAlign w:val="center"/>
          </w:tcPr>
          <w:p w:rsidR="00AC55A5" w:rsidRPr="00B92F87" w:rsidRDefault="00AC55A5" w:rsidP="00A07C81">
            <w:pPr>
              <w:pStyle w:val="Tablehead"/>
              <w:rPr>
                <w:lang w:eastAsia="zh-CN"/>
              </w:rPr>
            </w:pPr>
            <w:r w:rsidRPr="00B92F87">
              <w:rPr>
                <w:lang w:eastAsia="zh-CN"/>
              </w:rPr>
              <w:t>2014</w:t>
            </w:r>
          </w:p>
        </w:tc>
        <w:tc>
          <w:tcPr>
            <w:tcW w:w="1051" w:type="dxa"/>
            <w:vAlign w:val="center"/>
          </w:tcPr>
          <w:p w:rsidR="00AC55A5" w:rsidRPr="00B92F87" w:rsidRDefault="00AC55A5" w:rsidP="00A07C81">
            <w:pPr>
              <w:pStyle w:val="Tablehead"/>
              <w:rPr>
                <w:lang w:eastAsia="zh-CN"/>
              </w:rPr>
            </w:pPr>
            <w:r w:rsidRPr="00B92F87">
              <w:rPr>
                <w:lang w:eastAsia="zh-CN"/>
              </w:rPr>
              <w:t>2015</w:t>
            </w:r>
          </w:p>
        </w:tc>
        <w:tc>
          <w:tcPr>
            <w:tcW w:w="1050" w:type="dxa"/>
            <w:vAlign w:val="center"/>
          </w:tcPr>
          <w:p w:rsidR="00AC55A5" w:rsidRPr="00B92F87" w:rsidRDefault="00AC55A5" w:rsidP="00A07C81">
            <w:pPr>
              <w:pStyle w:val="Tablehead"/>
              <w:rPr>
                <w:lang w:eastAsia="zh-CN"/>
              </w:rPr>
            </w:pPr>
            <w:r w:rsidRPr="00B92F87">
              <w:rPr>
                <w:lang w:eastAsia="zh-CN"/>
              </w:rPr>
              <w:t>2016</w:t>
            </w:r>
          </w:p>
        </w:tc>
        <w:tc>
          <w:tcPr>
            <w:tcW w:w="1051" w:type="dxa"/>
            <w:vAlign w:val="center"/>
          </w:tcPr>
          <w:p w:rsidR="00AC55A5" w:rsidRPr="00B92F87" w:rsidRDefault="00AC55A5" w:rsidP="00A07C81">
            <w:pPr>
              <w:pStyle w:val="Tablehead"/>
              <w:rPr>
                <w:lang w:eastAsia="zh-CN"/>
              </w:rPr>
            </w:pPr>
            <w:r w:rsidRPr="00B92F87">
              <w:rPr>
                <w:lang w:eastAsia="zh-CN"/>
              </w:rPr>
              <w:t>2017</w:t>
            </w:r>
          </w:p>
        </w:tc>
        <w:tc>
          <w:tcPr>
            <w:tcW w:w="1050" w:type="dxa"/>
            <w:vAlign w:val="center"/>
          </w:tcPr>
          <w:p w:rsidR="00AC55A5" w:rsidRPr="00B92F87" w:rsidRDefault="00AC55A5" w:rsidP="00A07C81">
            <w:pPr>
              <w:pStyle w:val="Tablehead"/>
              <w:rPr>
                <w:color w:val="FF0000"/>
                <w:lang w:eastAsia="zh-CN"/>
              </w:rPr>
            </w:pPr>
            <w:r w:rsidRPr="00B92F87">
              <w:rPr>
                <w:color w:val="FF0000"/>
                <w:lang w:eastAsia="zh-CN"/>
              </w:rPr>
              <w:t>2018</w:t>
            </w:r>
          </w:p>
        </w:tc>
        <w:tc>
          <w:tcPr>
            <w:tcW w:w="1051" w:type="dxa"/>
            <w:vAlign w:val="center"/>
          </w:tcPr>
          <w:p w:rsidR="00AC55A5" w:rsidRPr="00B92F87" w:rsidRDefault="00AC55A5" w:rsidP="00A07C81">
            <w:pPr>
              <w:pStyle w:val="Tablehead"/>
              <w:rPr>
                <w:color w:val="FF0000"/>
                <w:lang w:eastAsia="zh-CN"/>
              </w:rPr>
            </w:pPr>
            <w:r w:rsidRPr="00B92F87">
              <w:rPr>
                <w:color w:val="FF0000"/>
                <w:lang w:eastAsia="zh-CN"/>
              </w:rPr>
              <w:t>2019</w:t>
            </w:r>
          </w:p>
        </w:tc>
      </w:tr>
      <w:tr w:rsidR="00AC55A5" w:rsidRPr="00B92F87" w:rsidTr="00A07C81">
        <w:trPr>
          <w:trHeight w:val="327"/>
          <w:jc w:val="center"/>
        </w:trPr>
        <w:tc>
          <w:tcPr>
            <w:tcW w:w="1486" w:type="dxa"/>
            <w:noWrap/>
            <w:hideMark/>
          </w:tcPr>
          <w:p w:rsidR="00AC55A5" w:rsidRPr="00B92F87" w:rsidRDefault="00AC55A5" w:rsidP="00A07C81">
            <w:pPr>
              <w:pStyle w:val="Tabletext"/>
              <w:rPr>
                <w:lang w:eastAsia="zh-CN"/>
              </w:rPr>
            </w:pPr>
            <w:r w:rsidRPr="00B92F87">
              <w:rPr>
                <w:lang w:eastAsia="zh-CN"/>
              </w:rPr>
              <w:t>Documento</w:t>
            </w:r>
          </w:p>
        </w:tc>
        <w:tc>
          <w:tcPr>
            <w:tcW w:w="1050" w:type="dxa"/>
            <w:tcMar>
              <w:left w:w="29" w:type="dxa"/>
              <w:right w:w="29" w:type="dxa"/>
            </w:tcMar>
            <w:vAlign w:val="center"/>
            <w:hideMark/>
          </w:tcPr>
          <w:p w:rsidR="00AC55A5" w:rsidRPr="00B92F87" w:rsidRDefault="002B015D" w:rsidP="00A07C81">
            <w:pPr>
              <w:pStyle w:val="Tabletext"/>
              <w:jc w:val="center"/>
              <w:rPr>
                <w:u w:val="single"/>
                <w:lang w:eastAsia="zh-CN"/>
              </w:rPr>
            </w:pPr>
            <w:hyperlink r:id="rId42" w:history="1">
              <w:r w:rsidR="00AC55A5" w:rsidRPr="00B92F87">
                <w:rPr>
                  <w:rStyle w:val="Hyperlink"/>
                  <w:lang w:eastAsia="zh-CN"/>
                </w:rPr>
                <w:t>C17/10</w:t>
              </w:r>
            </w:hyperlink>
          </w:p>
        </w:tc>
        <w:tc>
          <w:tcPr>
            <w:tcW w:w="1051" w:type="dxa"/>
            <w:tcMar>
              <w:left w:w="29" w:type="dxa"/>
              <w:right w:w="29" w:type="dxa"/>
            </w:tcMar>
            <w:vAlign w:val="center"/>
            <w:hideMark/>
          </w:tcPr>
          <w:p w:rsidR="00AC55A5" w:rsidRPr="00B92F87" w:rsidRDefault="002B015D" w:rsidP="00A07C81">
            <w:pPr>
              <w:pStyle w:val="Tabletext"/>
              <w:jc w:val="center"/>
              <w:rPr>
                <w:u w:val="single"/>
                <w:lang w:eastAsia="zh-CN"/>
              </w:rPr>
            </w:pPr>
            <w:hyperlink r:id="rId43" w:history="1">
              <w:r w:rsidR="00AC55A5" w:rsidRPr="00B92F87">
                <w:rPr>
                  <w:rStyle w:val="Hyperlink"/>
                  <w:lang w:eastAsia="zh-CN"/>
                </w:rPr>
                <w:t>C17/10</w:t>
              </w:r>
            </w:hyperlink>
          </w:p>
        </w:tc>
        <w:tc>
          <w:tcPr>
            <w:tcW w:w="1050" w:type="dxa"/>
            <w:tcMar>
              <w:left w:w="29" w:type="dxa"/>
              <w:right w:w="29" w:type="dxa"/>
            </w:tcMar>
            <w:vAlign w:val="center"/>
          </w:tcPr>
          <w:p w:rsidR="00AC55A5" w:rsidRPr="00B92F87" w:rsidRDefault="002B015D" w:rsidP="00A07C81">
            <w:pPr>
              <w:pStyle w:val="Tabletext"/>
              <w:jc w:val="center"/>
              <w:rPr>
                <w:u w:val="single"/>
                <w:lang w:eastAsia="zh-CN"/>
              </w:rPr>
            </w:pPr>
            <w:hyperlink r:id="rId44" w:history="1">
              <w:r w:rsidR="00AC55A5" w:rsidRPr="00B92F87">
                <w:rPr>
                  <w:rStyle w:val="Hyperlink"/>
                  <w:lang w:eastAsia="zh-CN"/>
                </w:rPr>
                <w:t>C17/10</w:t>
              </w:r>
            </w:hyperlink>
          </w:p>
        </w:tc>
        <w:tc>
          <w:tcPr>
            <w:tcW w:w="1051" w:type="dxa"/>
            <w:vAlign w:val="center"/>
          </w:tcPr>
          <w:p w:rsidR="00AC55A5" w:rsidRPr="00B92F87" w:rsidRDefault="002B015D" w:rsidP="00A07C81">
            <w:pPr>
              <w:pStyle w:val="Tabletext"/>
              <w:jc w:val="center"/>
              <w:rPr>
                <w:u w:val="single"/>
                <w:lang w:eastAsia="zh-CN"/>
              </w:rPr>
            </w:pPr>
            <w:hyperlink r:id="rId45" w:history="1">
              <w:r w:rsidR="00AC55A5" w:rsidRPr="00B92F87">
                <w:rPr>
                  <w:rStyle w:val="Hyperlink"/>
                  <w:lang w:eastAsia="zh-CN"/>
                </w:rPr>
                <w:t>C17/10</w:t>
              </w:r>
            </w:hyperlink>
          </w:p>
        </w:tc>
        <w:tc>
          <w:tcPr>
            <w:tcW w:w="1050" w:type="dxa"/>
            <w:vAlign w:val="center"/>
          </w:tcPr>
          <w:p w:rsidR="00AC55A5" w:rsidRPr="00B92F87" w:rsidRDefault="002B015D" w:rsidP="00A07C81">
            <w:pPr>
              <w:pStyle w:val="Tabletext"/>
              <w:jc w:val="center"/>
              <w:rPr>
                <w:u w:val="single"/>
                <w:lang w:eastAsia="zh-CN"/>
              </w:rPr>
            </w:pPr>
            <w:hyperlink r:id="rId46" w:history="1">
              <w:r w:rsidR="00AC55A5" w:rsidRPr="00B92F87">
                <w:rPr>
                  <w:rStyle w:val="Hyperlink"/>
                  <w:lang w:eastAsia="zh-CN"/>
                </w:rPr>
                <w:t>C17/10</w:t>
              </w:r>
            </w:hyperlink>
          </w:p>
        </w:tc>
        <w:tc>
          <w:tcPr>
            <w:tcW w:w="1051" w:type="dxa"/>
            <w:vAlign w:val="center"/>
          </w:tcPr>
          <w:p w:rsidR="00AC55A5" w:rsidRPr="00B92F87" w:rsidRDefault="002B015D" w:rsidP="00A07C81">
            <w:pPr>
              <w:pStyle w:val="Tabletext"/>
              <w:jc w:val="center"/>
              <w:rPr>
                <w:u w:val="single"/>
                <w:lang w:eastAsia="zh-CN"/>
              </w:rPr>
            </w:pPr>
            <w:hyperlink r:id="rId47" w:history="1">
              <w:r w:rsidR="00AC55A5" w:rsidRPr="00B92F87">
                <w:rPr>
                  <w:rStyle w:val="Hyperlink"/>
                  <w:lang w:eastAsia="zh-CN"/>
                </w:rPr>
                <w:t>C17/10</w:t>
              </w:r>
            </w:hyperlink>
          </w:p>
        </w:tc>
        <w:tc>
          <w:tcPr>
            <w:tcW w:w="1050" w:type="dxa"/>
            <w:vAlign w:val="center"/>
          </w:tcPr>
          <w:p w:rsidR="00AC55A5" w:rsidRPr="00B92F87" w:rsidRDefault="002B015D" w:rsidP="00A07C81">
            <w:pPr>
              <w:pStyle w:val="Tabletext"/>
              <w:jc w:val="center"/>
              <w:rPr>
                <w:u w:val="single"/>
                <w:lang w:eastAsia="zh-CN"/>
              </w:rPr>
            </w:pPr>
            <w:hyperlink r:id="rId48" w:history="1">
              <w:r w:rsidR="00AC55A5" w:rsidRPr="00B92F87">
                <w:rPr>
                  <w:rStyle w:val="Hyperlink"/>
                  <w:lang w:eastAsia="zh-CN"/>
                </w:rPr>
                <w:t>C17/10</w:t>
              </w:r>
            </w:hyperlink>
          </w:p>
        </w:tc>
        <w:tc>
          <w:tcPr>
            <w:tcW w:w="1051" w:type="dxa"/>
            <w:vAlign w:val="center"/>
          </w:tcPr>
          <w:p w:rsidR="00AC55A5" w:rsidRPr="00B92F87" w:rsidRDefault="002B015D" w:rsidP="00A07C81">
            <w:pPr>
              <w:pStyle w:val="Tabletext"/>
              <w:jc w:val="center"/>
              <w:rPr>
                <w:u w:val="single"/>
                <w:lang w:eastAsia="zh-CN"/>
              </w:rPr>
            </w:pPr>
            <w:hyperlink r:id="rId49" w:history="1">
              <w:r w:rsidR="00AC55A5" w:rsidRPr="00B92F87">
                <w:rPr>
                  <w:rStyle w:val="Hyperlink"/>
                  <w:lang w:eastAsia="zh-CN"/>
                </w:rPr>
                <w:t>C17/10</w:t>
              </w:r>
            </w:hyperlink>
          </w:p>
        </w:tc>
      </w:tr>
      <w:tr w:rsidR="00AC55A5" w:rsidRPr="00B92F87" w:rsidTr="00A07C81">
        <w:trPr>
          <w:trHeight w:val="300"/>
          <w:jc w:val="center"/>
        </w:trPr>
        <w:tc>
          <w:tcPr>
            <w:tcW w:w="1486" w:type="dxa"/>
            <w:noWrap/>
            <w:hideMark/>
          </w:tcPr>
          <w:p w:rsidR="00AC55A5" w:rsidRPr="00B92F87" w:rsidRDefault="00AC55A5" w:rsidP="00A07C81">
            <w:pPr>
              <w:pStyle w:val="Tabletext"/>
              <w:rPr>
                <w:lang w:eastAsia="zh-CN"/>
              </w:rPr>
            </w:pPr>
            <w:r w:rsidRPr="00B92F87">
              <w:rPr>
                <w:lang w:eastAsia="zh-CN"/>
              </w:rPr>
              <w:t xml:space="preserve">Página </w:t>
            </w:r>
          </w:p>
        </w:tc>
        <w:tc>
          <w:tcPr>
            <w:tcW w:w="1050" w:type="dxa"/>
            <w:noWrap/>
            <w:vAlign w:val="center"/>
            <w:hideMark/>
          </w:tcPr>
          <w:p w:rsidR="00AC55A5" w:rsidRPr="00B92F87" w:rsidRDefault="00AC55A5" w:rsidP="00A07C81">
            <w:pPr>
              <w:pStyle w:val="Tabletext"/>
              <w:jc w:val="center"/>
              <w:rPr>
                <w:lang w:eastAsia="zh-CN"/>
              </w:rPr>
            </w:pPr>
            <w:r w:rsidRPr="00B92F87">
              <w:rPr>
                <w:lang w:eastAsia="zh-CN"/>
              </w:rPr>
              <w:t>14</w:t>
            </w:r>
          </w:p>
        </w:tc>
        <w:tc>
          <w:tcPr>
            <w:tcW w:w="1051" w:type="dxa"/>
            <w:noWrap/>
            <w:vAlign w:val="center"/>
            <w:hideMark/>
          </w:tcPr>
          <w:p w:rsidR="00AC55A5" w:rsidRPr="00B92F87" w:rsidRDefault="00AC55A5" w:rsidP="00A07C81">
            <w:pPr>
              <w:pStyle w:val="Tabletext"/>
              <w:jc w:val="center"/>
              <w:rPr>
                <w:lang w:eastAsia="zh-CN"/>
              </w:rPr>
            </w:pPr>
            <w:r w:rsidRPr="00B92F87">
              <w:rPr>
                <w:lang w:eastAsia="zh-CN"/>
              </w:rPr>
              <w:t>14</w:t>
            </w:r>
          </w:p>
        </w:tc>
        <w:tc>
          <w:tcPr>
            <w:tcW w:w="1050" w:type="dxa"/>
            <w:vAlign w:val="center"/>
          </w:tcPr>
          <w:p w:rsidR="00AC55A5" w:rsidRPr="00B92F87" w:rsidRDefault="00AC55A5" w:rsidP="00A07C81">
            <w:pPr>
              <w:pStyle w:val="Tabletext"/>
              <w:jc w:val="center"/>
              <w:rPr>
                <w:lang w:eastAsia="zh-CN"/>
              </w:rPr>
            </w:pPr>
            <w:r w:rsidRPr="00B92F87">
              <w:rPr>
                <w:lang w:eastAsia="zh-CN"/>
              </w:rPr>
              <w:t>14</w:t>
            </w:r>
          </w:p>
        </w:tc>
        <w:tc>
          <w:tcPr>
            <w:tcW w:w="1051" w:type="dxa"/>
            <w:vAlign w:val="center"/>
          </w:tcPr>
          <w:p w:rsidR="00AC55A5" w:rsidRPr="00B92F87" w:rsidRDefault="00AC55A5" w:rsidP="00A07C81">
            <w:pPr>
              <w:pStyle w:val="Tabletext"/>
              <w:jc w:val="center"/>
              <w:rPr>
                <w:lang w:eastAsia="zh-CN"/>
              </w:rPr>
            </w:pPr>
            <w:r w:rsidRPr="00B92F87">
              <w:rPr>
                <w:lang w:eastAsia="zh-CN"/>
              </w:rPr>
              <w:t>14</w:t>
            </w:r>
          </w:p>
        </w:tc>
        <w:tc>
          <w:tcPr>
            <w:tcW w:w="1050" w:type="dxa"/>
            <w:vAlign w:val="center"/>
          </w:tcPr>
          <w:p w:rsidR="00AC55A5" w:rsidRPr="00B92F87" w:rsidRDefault="00AC55A5" w:rsidP="00A07C81">
            <w:pPr>
              <w:pStyle w:val="Tabletext"/>
              <w:jc w:val="center"/>
              <w:rPr>
                <w:lang w:eastAsia="zh-CN"/>
              </w:rPr>
            </w:pPr>
            <w:r w:rsidRPr="00B92F87">
              <w:rPr>
                <w:lang w:eastAsia="zh-CN"/>
              </w:rPr>
              <w:t>14</w:t>
            </w:r>
          </w:p>
        </w:tc>
        <w:tc>
          <w:tcPr>
            <w:tcW w:w="1051" w:type="dxa"/>
            <w:vAlign w:val="center"/>
          </w:tcPr>
          <w:p w:rsidR="00AC55A5" w:rsidRPr="00B92F87" w:rsidRDefault="00AC55A5" w:rsidP="00A07C81">
            <w:pPr>
              <w:pStyle w:val="Tabletext"/>
              <w:jc w:val="center"/>
              <w:rPr>
                <w:lang w:eastAsia="zh-CN"/>
              </w:rPr>
            </w:pPr>
            <w:r w:rsidRPr="00B92F87">
              <w:rPr>
                <w:lang w:eastAsia="zh-CN"/>
              </w:rPr>
              <w:t>14</w:t>
            </w:r>
          </w:p>
        </w:tc>
        <w:tc>
          <w:tcPr>
            <w:tcW w:w="1050" w:type="dxa"/>
            <w:vAlign w:val="center"/>
          </w:tcPr>
          <w:p w:rsidR="00AC55A5" w:rsidRPr="00B92F87" w:rsidRDefault="00AC55A5" w:rsidP="00A07C81">
            <w:pPr>
              <w:pStyle w:val="Tabletext"/>
              <w:jc w:val="center"/>
              <w:rPr>
                <w:lang w:eastAsia="zh-CN"/>
              </w:rPr>
            </w:pPr>
            <w:r w:rsidRPr="00B92F87">
              <w:rPr>
                <w:lang w:eastAsia="zh-CN"/>
              </w:rPr>
              <w:t>14</w:t>
            </w:r>
          </w:p>
        </w:tc>
        <w:tc>
          <w:tcPr>
            <w:tcW w:w="1051" w:type="dxa"/>
            <w:vAlign w:val="center"/>
          </w:tcPr>
          <w:p w:rsidR="00AC55A5" w:rsidRPr="00B92F87" w:rsidRDefault="00AC55A5" w:rsidP="00A07C81">
            <w:pPr>
              <w:pStyle w:val="Tabletext"/>
              <w:jc w:val="center"/>
              <w:rPr>
                <w:lang w:eastAsia="zh-CN"/>
              </w:rPr>
            </w:pPr>
            <w:r w:rsidRPr="00B92F87">
              <w:rPr>
                <w:lang w:eastAsia="zh-CN"/>
              </w:rPr>
              <w:t>14</w:t>
            </w:r>
          </w:p>
        </w:tc>
      </w:tr>
      <w:tr w:rsidR="00AC55A5" w:rsidRPr="00B92F87" w:rsidTr="00A07C81">
        <w:trPr>
          <w:trHeight w:val="300"/>
          <w:jc w:val="center"/>
        </w:trPr>
        <w:tc>
          <w:tcPr>
            <w:tcW w:w="1486" w:type="dxa"/>
            <w:noWrap/>
            <w:vAlign w:val="center"/>
            <w:hideMark/>
          </w:tcPr>
          <w:p w:rsidR="00AC55A5" w:rsidRPr="00B92F87" w:rsidRDefault="00AC55A5" w:rsidP="00A07C81">
            <w:pPr>
              <w:pStyle w:val="Tabletext"/>
              <w:rPr>
                <w:lang w:eastAsia="zh-CN"/>
              </w:rPr>
            </w:pPr>
            <w:r w:rsidRPr="00B92F87">
              <w:rPr>
                <w:lang w:eastAsia="zh-CN"/>
              </w:rPr>
              <w:t>Nº de puestos</w:t>
            </w:r>
          </w:p>
        </w:tc>
        <w:tc>
          <w:tcPr>
            <w:tcW w:w="1050" w:type="dxa"/>
            <w:noWrap/>
            <w:vAlign w:val="center"/>
            <w:hideMark/>
          </w:tcPr>
          <w:p w:rsidR="00AC55A5" w:rsidRPr="00B92F87" w:rsidRDefault="00AC55A5" w:rsidP="00A07C81">
            <w:pPr>
              <w:pStyle w:val="Tabletext"/>
              <w:jc w:val="center"/>
              <w:rPr>
                <w:lang w:eastAsia="zh-CN"/>
              </w:rPr>
            </w:pPr>
            <w:r w:rsidRPr="00B92F87">
              <w:rPr>
                <w:lang w:eastAsia="zh-CN"/>
              </w:rPr>
              <w:t>158</w:t>
            </w:r>
          </w:p>
        </w:tc>
        <w:tc>
          <w:tcPr>
            <w:tcW w:w="1051" w:type="dxa"/>
            <w:noWrap/>
            <w:vAlign w:val="center"/>
            <w:hideMark/>
          </w:tcPr>
          <w:p w:rsidR="00AC55A5" w:rsidRPr="00B92F87" w:rsidRDefault="00AC55A5" w:rsidP="00A07C81">
            <w:pPr>
              <w:pStyle w:val="Tabletext"/>
              <w:jc w:val="center"/>
              <w:rPr>
                <w:lang w:eastAsia="zh-CN"/>
              </w:rPr>
            </w:pPr>
            <w:r w:rsidRPr="00B92F87">
              <w:rPr>
                <w:lang w:eastAsia="zh-CN"/>
              </w:rPr>
              <w:t>157</w:t>
            </w:r>
          </w:p>
        </w:tc>
        <w:tc>
          <w:tcPr>
            <w:tcW w:w="1050" w:type="dxa"/>
            <w:vAlign w:val="center"/>
          </w:tcPr>
          <w:p w:rsidR="00AC55A5" w:rsidRPr="00B92F87" w:rsidRDefault="00AC55A5" w:rsidP="00A07C81">
            <w:pPr>
              <w:pStyle w:val="Tabletext"/>
              <w:jc w:val="center"/>
              <w:rPr>
                <w:lang w:eastAsia="zh-CN"/>
              </w:rPr>
            </w:pPr>
            <w:r w:rsidRPr="00B92F87">
              <w:rPr>
                <w:lang w:eastAsia="zh-CN"/>
              </w:rPr>
              <w:t>158</w:t>
            </w:r>
          </w:p>
        </w:tc>
        <w:tc>
          <w:tcPr>
            <w:tcW w:w="1051" w:type="dxa"/>
            <w:vAlign w:val="center"/>
          </w:tcPr>
          <w:p w:rsidR="00AC55A5" w:rsidRPr="00B92F87" w:rsidRDefault="00AC55A5" w:rsidP="00A07C81">
            <w:pPr>
              <w:pStyle w:val="Tabletext"/>
              <w:jc w:val="center"/>
              <w:rPr>
                <w:lang w:eastAsia="zh-CN"/>
              </w:rPr>
            </w:pPr>
            <w:r w:rsidRPr="00B92F87">
              <w:rPr>
                <w:lang w:eastAsia="zh-CN"/>
              </w:rPr>
              <w:t>157</w:t>
            </w:r>
          </w:p>
        </w:tc>
        <w:tc>
          <w:tcPr>
            <w:tcW w:w="1050" w:type="dxa"/>
            <w:vAlign w:val="center"/>
          </w:tcPr>
          <w:p w:rsidR="00AC55A5" w:rsidRPr="00B92F87" w:rsidRDefault="00AC55A5" w:rsidP="00A07C81">
            <w:pPr>
              <w:pStyle w:val="Tabletext"/>
              <w:jc w:val="center"/>
              <w:rPr>
                <w:lang w:eastAsia="zh-CN"/>
              </w:rPr>
            </w:pPr>
            <w:r w:rsidRPr="00B92F87">
              <w:rPr>
                <w:lang w:eastAsia="zh-CN"/>
              </w:rPr>
              <w:t>141</w:t>
            </w:r>
          </w:p>
        </w:tc>
        <w:tc>
          <w:tcPr>
            <w:tcW w:w="1051" w:type="dxa"/>
            <w:vAlign w:val="center"/>
          </w:tcPr>
          <w:p w:rsidR="00AC55A5" w:rsidRPr="00B92F87" w:rsidRDefault="00AC55A5" w:rsidP="00A07C81">
            <w:pPr>
              <w:pStyle w:val="Tabletext"/>
              <w:jc w:val="center"/>
              <w:rPr>
                <w:lang w:eastAsia="zh-CN"/>
              </w:rPr>
            </w:pPr>
            <w:r w:rsidRPr="00B92F87">
              <w:rPr>
                <w:lang w:eastAsia="zh-CN"/>
              </w:rPr>
              <w:t>141</w:t>
            </w:r>
          </w:p>
        </w:tc>
        <w:tc>
          <w:tcPr>
            <w:tcW w:w="1050" w:type="dxa"/>
            <w:vAlign w:val="center"/>
          </w:tcPr>
          <w:p w:rsidR="00AC55A5" w:rsidRPr="00B92F87" w:rsidRDefault="00AC55A5" w:rsidP="00A07C81">
            <w:pPr>
              <w:pStyle w:val="Tabletext"/>
              <w:jc w:val="center"/>
              <w:rPr>
                <w:color w:val="FF0000"/>
                <w:lang w:eastAsia="zh-CN"/>
              </w:rPr>
            </w:pPr>
            <w:r w:rsidRPr="00B92F87">
              <w:rPr>
                <w:color w:val="FF0000"/>
                <w:lang w:eastAsia="zh-CN"/>
              </w:rPr>
              <w:t>139</w:t>
            </w:r>
          </w:p>
        </w:tc>
        <w:tc>
          <w:tcPr>
            <w:tcW w:w="1051" w:type="dxa"/>
            <w:vAlign w:val="center"/>
          </w:tcPr>
          <w:p w:rsidR="00AC55A5" w:rsidRPr="00B92F87" w:rsidRDefault="00AC55A5" w:rsidP="00A07C81">
            <w:pPr>
              <w:pStyle w:val="Tabletext"/>
              <w:jc w:val="center"/>
              <w:rPr>
                <w:color w:val="FF0000"/>
                <w:lang w:eastAsia="zh-CN"/>
              </w:rPr>
            </w:pPr>
            <w:r w:rsidRPr="00B92F87">
              <w:rPr>
                <w:color w:val="FF0000"/>
                <w:lang w:eastAsia="zh-CN"/>
              </w:rPr>
              <w:t>139</w:t>
            </w:r>
          </w:p>
        </w:tc>
      </w:tr>
    </w:tbl>
    <w:p w:rsidR="00AC55A5" w:rsidRPr="00B92F87" w:rsidRDefault="00AC55A5" w:rsidP="007620B6">
      <w:pPr>
        <w:pStyle w:val="Normalaftertitle"/>
        <w:rPr>
          <w:lang w:eastAsia="zh-CN"/>
        </w:rPr>
      </w:pPr>
      <w:r w:rsidRPr="00B92F87">
        <w:rPr>
          <w:lang w:eastAsia="zh-CN"/>
        </w:rPr>
        <w:t>En la Figura 3 se ilustra la variación del personal de plantilla en la BR, la Oficina de Desarrollo de las Telecomunicaciones (BDT) y la Oficina de Normalización de las Telecomunicaciones (TSB) en el periodo 2004-2017, con las previsiones para 2018-2019.</w:t>
      </w:r>
    </w:p>
    <w:p w:rsidR="00AC55A5" w:rsidRPr="00B92F87" w:rsidRDefault="00AC55A5" w:rsidP="00AC55A5">
      <w:pPr>
        <w:pStyle w:val="FigureNo"/>
        <w:rPr>
          <w:lang w:eastAsia="zh-CN"/>
        </w:rPr>
      </w:pPr>
      <w:r w:rsidRPr="00B92F87">
        <w:rPr>
          <w:lang w:eastAsia="zh-CN"/>
        </w:rPr>
        <w:lastRenderedPageBreak/>
        <w:t>FigurA 3</w:t>
      </w:r>
    </w:p>
    <w:p w:rsidR="00AC55A5" w:rsidRPr="00B92F87" w:rsidRDefault="00AC55A5" w:rsidP="00AC55A5">
      <w:pPr>
        <w:pStyle w:val="Figuretitle"/>
        <w:rPr>
          <w:lang w:eastAsia="zh-CN"/>
        </w:rPr>
      </w:pPr>
      <w:r w:rsidRPr="00B92F87">
        <w:rPr>
          <w:lang w:eastAsia="zh-CN"/>
        </w:rPr>
        <w:t>Variación del personal de plantilla (número de puestos presupuestados)</w:t>
      </w:r>
      <w:r w:rsidRPr="00B92F87">
        <w:rPr>
          <w:lang w:eastAsia="zh-CN"/>
        </w:rPr>
        <w:br/>
        <w:t>durante el periodo 2004-2017 en la BR, la BDT y la TSB</w:t>
      </w:r>
    </w:p>
    <w:p w:rsidR="00AC55A5" w:rsidRPr="00B92F87" w:rsidRDefault="00AC55A5" w:rsidP="00AC55A5">
      <w:pPr>
        <w:jc w:val="center"/>
        <w:rPr>
          <w:lang w:eastAsia="zh-CN"/>
        </w:rPr>
      </w:pPr>
      <w:r w:rsidRPr="00B92F87">
        <w:rPr>
          <w:noProof/>
          <w:lang w:val="en-US" w:eastAsia="zh-CN"/>
        </w:rPr>
        <w:drawing>
          <wp:inline distT="0" distB="0" distL="0" distR="0" wp14:anchorId="032B36F3" wp14:editId="2BE7B4F0">
            <wp:extent cx="6120765" cy="3917950"/>
            <wp:effectExtent l="0" t="0" r="13335" b="63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AC55A5" w:rsidRPr="00B92F87" w:rsidRDefault="00AC55A5" w:rsidP="007620B6">
      <w:pPr>
        <w:pStyle w:val="Normalaftertitle"/>
        <w:rPr>
          <w:lang w:eastAsia="zh-CN"/>
        </w:rPr>
      </w:pPr>
      <w:r w:rsidRPr="00B92F87">
        <w:rPr>
          <w:lang w:eastAsia="zh-CN"/>
        </w:rPr>
        <w:t>En los últimos 20 años, los métodos de trabajo de la BR han experimentado un profundo cambio. Este periodo se ha caracterizado por:</w:t>
      </w:r>
    </w:p>
    <w:p w:rsidR="00AC55A5" w:rsidRPr="00B92F87" w:rsidRDefault="00AC55A5" w:rsidP="00AC55A5">
      <w:pPr>
        <w:pStyle w:val="enumlev1"/>
        <w:rPr>
          <w:lang w:eastAsia="zh-CN"/>
        </w:rPr>
      </w:pPr>
      <w:r w:rsidRPr="00B92F87">
        <w:rPr>
          <w:lang w:eastAsia="zh-CN"/>
        </w:rPr>
        <w:sym w:font="Symbol" w:char="F02D"/>
      </w:r>
      <w:r w:rsidRPr="00B92F87">
        <w:rPr>
          <w:lang w:eastAsia="zh-CN"/>
        </w:rPr>
        <w:tab/>
        <w:t>la transición desde métodos manuales de transferencia de los datos recibidos de los usuarios en papel a la recepción directa de datos en formato electrónico;</w:t>
      </w:r>
    </w:p>
    <w:p w:rsidR="00AC55A5" w:rsidRPr="00B92F87" w:rsidRDefault="00AC55A5" w:rsidP="00AC55A5">
      <w:pPr>
        <w:pStyle w:val="enumlev1"/>
        <w:rPr>
          <w:lang w:eastAsia="zh-CN"/>
        </w:rPr>
      </w:pPr>
      <w:r w:rsidRPr="00B92F87">
        <w:rPr>
          <w:lang w:eastAsia="zh-CN"/>
        </w:rPr>
        <w:sym w:font="Symbol" w:char="F02D"/>
      </w:r>
      <w:r w:rsidRPr="00B92F87">
        <w:rPr>
          <w:lang w:eastAsia="zh-CN"/>
        </w:rPr>
        <w:tab/>
        <w:t>el aumento considerable de la utilización de las tecnologías de la información y la comunicación (TIC) para examinar las notificaciones de asignaciones de frecuencia para sistemas y estaciones de servicios espaciales y terrenales;</w:t>
      </w:r>
    </w:p>
    <w:p w:rsidR="00AC55A5" w:rsidRPr="00B92F87" w:rsidRDefault="00AC55A5" w:rsidP="00AC55A5">
      <w:pPr>
        <w:pStyle w:val="enumlev1"/>
        <w:rPr>
          <w:lang w:eastAsia="zh-CN"/>
        </w:rPr>
      </w:pPr>
      <w:r w:rsidRPr="00B92F87">
        <w:rPr>
          <w:lang w:eastAsia="zh-CN"/>
        </w:rPr>
        <w:sym w:font="Symbol" w:char="F02D"/>
      </w:r>
      <w:r w:rsidRPr="00B92F87">
        <w:rPr>
          <w:lang w:eastAsia="zh-CN"/>
        </w:rPr>
        <w:tab/>
        <w:t>la transición a medios electrónicos de intercambio de datos entre la BR y los Estados Miembros y Miembros de Sector de la UIT;</w:t>
      </w:r>
    </w:p>
    <w:p w:rsidR="00AC55A5" w:rsidRPr="00B92F87" w:rsidRDefault="00AC55A5" w:rsidP="00AC55A5">
      <w:pPr>
        <w:pStyle w:val="enumlev1"/>
        <w:rPr>
          <w:lang w:eastAsia="zh-CN"/>
        </w:rPr>
      </w:pPr>
      <w:r w:rsidRPr="00B92F87">
        <w:rPr>
          <w:lang w:eastAsia="zh-CN"/>
        </w:rPr>
        <w:sym w:font="Symbol" w:char="F02D"/>
      </w:r>
      <w:r w:rsidRPr="00B92F87">
        <w:rPr>
          <w:lang w:eastAsia="zh-CN"/>
        </w:rPr>
        <w:tab/>
        <w:t>la transición a medios electrónicos para la publicación de documentos del UIT-R, en particular la publicación de las conclusiones del examen técnico y reglamentario de las notificaciones;</w:t>
      </w:r>
    </w:p>
    <w:p w:rsidR="00AC55A5" w:rsidRPr="00B92F87" w:rsidRDefault="00AC55A5" w:rsidP="00AC55A5">
      <w:pPr>
        <w:pStyle w:val="enumlev1"/>
        <w:rPr>
          <w:lang w:eastAsia="zh-CN"/>
        </w:rPr>
      </w:pPr>
      <w:r w:rsidRPr="00B92F87">
        <w:rPr>
          <w:lang w:eastAsia="zh-CN"/>
        </w:rPr>
        <w:sym w:font="Symbol" w:char="F02D"/>
      </w:r>
      <w:r w:rsidRPr="00B92F87">
        <w:rPr>
          <w:lang w:eastAsia="zh-CN"/>
        </w:rPr>
        <w:tab/>
        <w:t>el desarrollo de una amplia gama de sistemas y paquetes de software para realizar las tareas anteriores.</w:t>
      </w:r>
    </w:p>
    <w:p w:rsidR="00AC55A5" w:rsidRPr="00B92F87" w:rsidRDefault="00AC55A5" w:rsidP="00AC55A5">
      <w:pPr>
        <w:rPr>
          <w:lang w:eastAsia="zh-CN"/>
        </w:rPr>
      </w:pPr>
      <w:r w:rsidRPr="00B92F87">
        <w:rPr>
          <w:lang w:eastAsia="zh-CN"/>
        </w:rPr>
        <w:t xml:space="preserve">Estas y otras medidas han dado lugar a un considerable aumento del rendimiento del personal de la BR y también del personal encargado en los Estados Miembros y Miembros de Sector de la UIT, gracias a que utilizan el software de la BR para preparar las notificaciones de asignaciones de frecuencias y su ulterior verificación, eliminando así la necesidad de numerosas comunicaciones </w:t>
      </w:r>
      <w:r w:rsidRPr="00B92F87">
        <w:rPr>
          <w:lang w:eastAsia="zh-CN"/>
        </w:rPr>
        <w:lastRenderedPageBreak/>
        <w:t>con expertos de la BR. La publicación de los datos en formato electrónico significa que puede utilizarse en la fase de coordinación, lo que a su vez hace más eficiente el proceso de coordinación.</w:t>
      </w:r>
    </w:p>
    <w:p w:rsidR="00AC55A5" w:rsidRPr="00B92F87" w:rsidRDefault="00AC55A5" w:rsidP="00AC55A5">
      <w:pPr>
        <w:rPr>
          <w:lang w:eastAsia="zh-CN"/>
        </w:rPr>
      </w:pPr>
      <w:r w:rsidRPr="00B92F87">
        <w:rPr>
          <w:lang w:eastAsia="zh-CN"/>
        </w:rPr>
        <w:t>Los avances mencionados han permitido una reducción considerable y justificable del número de miembros del personal de la BR (véase la Figura 3). Ahora bien, todo tipo de automatización de procesos tiene sus límites, especialmente cuando el proceso es tan complejo como la gestión del espectro y de las órbitas de los satélites a escala internacional, y la reducción del personal no puede continuar indefinidamente.</w:t>
      </w:r>
    </w:p>
    <w:p w:rsidR="00AC55A5" w:rsidRPr="00B92F87" w:rsidRDefault="00AC55A5" w:rsidP="00AC55A5">
      <w:pPr>
        <w:rPr>
          <w:lang w:eastAsia="zh-CN"/>
        </w:rPr>
      </w:pPr>
      <w:r w:rsidRPr="00B92F87">
        <w:rPr>
          <w:lang w:eastAsia="zh-CN"/>
        </w:rPr>
        <w:t>Resulta interesante observar que en los años 80 el CCIR</w:t>
      </w:r>
      <w:r w:rsidRPr="00B92F87">
        <w:rPr>
          <w:rStyle w:val="FootnoteReference"/>
        </w:rPr>
        <w:footnoteReference w:id="1"/>
      </w:r>
      <w:r w:rsidRPr="00B92F87">
        <w:rPr>
          <w:lang w:eastAsia="zh-CN"/>
        </w:rPr>
        <w:t xml:space="preserve"> contaba con unos 30 miembros del personal (el CCITT</w:t>
      </w:r>
      <w:r w:rsidRPr="00B92F87">
        <w:rPr>
          <w:rStyle w:val="FootnoteReference"/>
        </w:rPr>
        <w:footnoteReference w:id="2"/>
      </w:r>
      <w:r w:rsidRPr="00B92F87">
        <w:rPr>
          <w:lang w:eastAsia="zh-CN"/>
        </w:rPr>
        <w:t xml:space="preserve"> tenía unos 40), mientras que ahora el personal del Departamento de Comisiones de Estudio de la BR, que desempeña funciones comparables, consta de 16 personas.</w:t>
      </w:r>
    </w:p>
    <w:p w:rsidR="00AC55A5" w:rsidRPr="00B92F87" w:rsidRDefault="00AC55A5" w:rsidP="00AC55A5">
      <w:pPr>
        <w:rPr>
          <w:lang w:eastAsia="zh-CN"/>
        </w:rPr>
      </w:pPr>
      <w:r w:rsidRPr="00B92F87">
        <w:rPr>
          <w:lang w:eastAsia="zh-CN"/>
        </w:rPr>
        <w:t xml:space="preserve">La tendencia a la baja en la dotación de personal del Sector ha suscitado la preocupación de los delegados que asistieron a la reunión de 2015 del Consejo. En el informe del Presidente de la Comisión Permanente de Administración y Gestión (Documento </w:t>
      </w:r>
      <w:hyperlink r:id="rId51" w:history="1">
        <w:r w:rsidR="000405C3">
          <w:rPr>
            <w:rStyle w:val="Hyperlink"/>
            <w:lang w:eastAsia="zh-CN"/>
          </w:rPr>
          <w:t>C15/105</w:t>
        </w:r>
        <w:r w:rsidRPr="00B92F87">
          <w:rPr>
            <w:rStyle w:val="Hyperlink"/>
            <w:lang w:eastAsia="zh-CN"/>
          </w:rPr>
          <w:t>(Rev.1)</w:t>
        </w:r>
      </w:hyperlink>
      <w:r w:rsidRPr="00B92F87">
        <w:rPr>
          <w:lang w:eastAsia="zh-CN"/>
        </w:rPr>
        <w:t>) se incluyó el siguiente mensaje del Consejo a la dirección de la Secretaría de la UIT:</w:t>
      </w:r>
    </w:p>
    <w:p w:rsidR="00AC55A5" w:rsidRPr="00B92F87" w:rsidRDefault="002E697C" w:rsidP="002E697C">
      <w:pPr>
        <w:rPr>
          <w:lang w:eastAsia="zh-CN"/>
        </w:rPr>
      </w:pPr>
      <w:r>
        <w:rPr>
          <w:lang w:eastAsia="zh-CN"/>
        </w:rPr>
        <w:t>"</w:t>
      </w:r>
      <w:r w:rsidR="00AC55A5" w:rsidRPr="00B92F87">
        <w:rPr>
          <w:lang w:eastAsia="zh-CN"/>
        </w:rPr>
        <w:t>1.12</w:t>
      </w:r>
      <w:r w:rsidR="00AC55A5" w:rsidRPr="00B92F87">
        <w:rPr>
          <w:lang w:eastAsia="zh-CN"/>
        </w:rPr>
        <w:tab/>
        <w:t>Algunos delegados señalaron la notable reducción del número de puestos presupuestados en la Oficina de Radiocomunicaciones que tuvo lugar entre 2011 y 2015, así como la importancia de su programa de trabajo de acuerdo con el Plan Estratégico y los Planes Operacionales. En ese sentido, los delegados solicitaron al equipo directo de la UIT que, al elaborar los proyectos de presupuesto para futuros bienios, se abstuviese de seguir reduciendo los puestos presupuestados en la Oficina de Radiocomunicaciones, puesto que ello podría repercutir de forma negativa en la plena ejecución de su programa de trabajo</w:t>
      </w:r>
      <w:r>
        <w:rPr>
          <w:lang w:eastAsia="zh-CN"/>
        </w:rPr>
        <w:t>"</w:t>
      </w:r>
      <w:r w:rsidR="00AC55A5" w:rsidRPr="00B92F87">
        <w:rPr>
          <w:lang w:eastAsia="zh-CN"/>
        </w:rPr>
        <w:t>.</w:t>
      </w:r>
    </w:p>
    <w:p w:rsidR="00AC55A5" w:rsidRPr="00B92F87" w:rsidRDefault="00AC55A5" w:rsidP="00905872">
      <w:pPr>
        <w:rPr>
          <w:lang w:eastAsia="zh-CN"/>
        </w:rPr>
      </w:pPr>
      <w:r w:rsidRPr="00B92F87">
        <w:rPr>
          <w:lang w:eastAsia="zh-CN"/>
        </w:rPr>
        <w:t>Ahora bien, del Documento </w:t>
      </w:r>
      <w:hyperlink r:id="rId52" w:history="1">
        <w:r w:rsidRPr="00B92F87">
          <w:rPr>
            <w:rStyle w:val="Hyperlink"/>
          </w:rPr>
          <w:t>C17/10</w:t>
        </w:r>
      </w:hyperlink>
      <w:r w:rsidRPr="00B92F87">
        <w:rPr>
          <w:lang w:eastAsia="zh-CN"/>
        </w:rPr>
        <w:t xml:space="preserve"> se desprende que en el proyecto de presupuesto para 2018</w:t>
      </w:r>
      <w:r w:rsidR="00905872">
        <w:rPr>
          <w:lang w:eastAsia="zh-CN"/>
        </w:rPr>
        <w:noBreakHyphen/>
      </w:r>
      <w:r w:rsidRPr="00B92F87">
        <w:rPr>
          <w:lang w:eastAsia="zh-CN"/>
        </w:rPr>
        <w:t>2019 se tiene previsto reducir nuevamente el número de puestos en la BR.</w:t>
      </w:r>
    </w:p>
    <w:p w:rsidR="00AC55A5" w:rsidRPr="00B92F87" w:rsidRDefault="00AC55A5" w:rsidP="00AC55A5">
      <w:pPr>
        <w:pStyle w:val="Heading2"/>
        <w:rPr>
          <w:lang w:eastAsia="zh-CN"/>
        </w:rPr>
      </w:pPr>
      <w:r w:rsidRPr="00B92F87">
        <w:rPr>
          <w:lang w:eastAsia="zh-CN"/>
        </w:rPr>
        <w:t>2.3</w:t>
      </w:r>
      <w:r w:rsidRPr="00B92F87">
        <w:rPr>
          <w:lang w:eastAsia="zh-CN"/>
        </w:rPr>
        <w:tab/>
        <w:t>Evaluación de la idoneidad de los recursos humanos y financieros de la BR para el cumplimiento de los objetivos de la Oficina</w:t>
      </w:r>
    </w:p>
    <w:p w:rsidR="00AC55A5" w:rsidRPr="00B92F87" w:rsidRDefault="00AC55A5" w:rsidP="002E697C">
      <w:pPr>
        <w:rPr>
          <w:lang w:eastAsia="zh-CN"/>
        </w:rPr>
      </w:pPr>
      <w:r w:rsidRPr="00B92F87">
        <w:rPr>
          <w:lang w:eastAsia="zh-CN"/>
        </w:rPr>
        <w:t xml:space="preserve">Uno de los indicadores más objetivos del buen rendimiento de la Oficina es el tiempo que se tarda en tramitar las notificaciones de redes de satélites. De conformidad con el número </w:t>
      </w:r>
      <w:r w:rsidRPr="00905872">
        <w:rPr>
          <w:b/>
          <w:bCs/>
          <w:lang w:eastAsia="zh-CN"/>
        </w:rPr>
        <w:t>9.38</w:t>
      </w:r>
      <w:r w:rsidRPr="00B92F87">
        <w:rPr>
          <w:lang w:eastAsia="zh-CN"/>
        </w:rPr>
        <w:t xml:space="preserve"> del Reglamento de Radiocomunicaciones, al recibir una solicitud de coordinación de una asignación de frecuencias, la Oficina publicará </w:t>
      </w:r>
      <w:r w:rsidR="002E697C">
        <w:rPr>
          <w:lang w:eastAsia="zh-CN"/>
        </w:rPr>
        <w:t>"</w:t>
      </w:r>
      <w:r w:rsidRPr="00B92F87">
        <w:rPr>
          <w:lang w:eastAsia="zh-CN"/>
        </w:rPr>
        <w:t>la información completa en la Circular Internacional de Información sobre Frecuencias de la Oficina de Radiocomunicaciones (BR IFIC) en el plazo de cuatro meses</w:t>
      </w:r>
      <w:r w:rsidR="002E697C">
        <w:rPr>
          <w:lang w:eastAsia="zh-CN"/>
        </w:rPr>
        <w:t>"</w:t>
      </w:r>
      <w:r w:rsidRPr="00B92F87">
        <w:rPr>
          <w:lang w:eastAsia="zh-CN"/>
        </w:rPr>
        <w:t>.</w:t>
      </w:r>
    </w:p>
    <w:p w:rsidR="00AC55A5" w:rsidRPr="00B92F87" w:rsidRDefault="00AC55A5" w:rsidP="00661C87">
      <w:pPr>
        <w:rPr>
          <w:lang w:eastAsia="zh-CN"/>
        </w:rPr>
      </w:pPr>
      <w:r w:rsidRPr="00B92F87">
        <w:rPr>
          <w:lang w:eastAsia="zh-CN"/>
        </w:rPr>
        <w:t>Según los datos de 2015-2016 y de principios de 2017 que figuran en los informes del Director de la BR a la Junta del Reglamento de Radiocomunicaciones (RRB) (Documentos </w:t>
      </w:r>
      <w:hyperlink r:id="rId53" w:history="1">
        <w:r w:rsidRPr="00B92F87">
          <w:rPr>
            <w:rStyle w:val="Hyperlink"/>
            <w:lang w:eastAsia="zh-CN"/>
          </w:rPr>
          <w:t>RRB15-3/4</w:t>
        </w:r>
      </w:hyperlink>
      <w:r w:rsidRPr="00B92F87">
        <w:rPr>
          <w:lang w:eastAsia="zh-CN"/>
        </w:rPr>
        <w:t xml:space="preserve">, </w:t>
      </w:r>
      <w:hyperlink r:id="rId54" w:history="1">
        <w:r w:rsidRPr="00B92F87">
          <w:rPr>
            <w:rStyle w:val="Hyperlink"/>
            <w:lang w:eastAsia="zh-CN"/>
          </w:rPr>
          <w:t>RRB16</w:t>
        </w:r>
        <w:r w:rsidR="00661C87">
          <w:rPr>
            <w:rStyle w:val="Hyperlink"/>
            <w:lang w:eastAsia="zh-CN"/>
          </w:rPr>
          <w:noBreakHyphen/>
        </w:r>
        <w:r w:rsidRPr="00B92F87">
          <w:rPr>
            <w:rStyle w:val="Hyperlink"/>
            <w:lang w:eastAsia="zh-CN"/>
          </w:rPr>
          <w:t>1/5</w:t>
        </w:r>
      </w:hyperlink>
      <w:r w:rsidRPr="00B92F87">
        <w:rPr>
          <w:lang w:eastAsia="zh-CN"/>
        </w:rPr>
        <w:t xml:space="preserve"> y </w:t>
      </w:r>
      <w:hyperlink r:id="rId55" w:history="1">
        <w:r w:rsidRPr="00B92F87">
          <w:rPr>
            <w:rStyle w:val="Hyperlink"/>
            <w:lang w:eastAsia="zh-CN"/>
          </w:rPr>
          <w:t>RRB17-1/3</w:t>
        </w:r>
      </w:hyperlink>
      <w:r w:rsidRPr="00B92F87">
        <w:rPr>
          <w:lang w:eastAsia="zh-CN"/>
        </w:rPr>
        <w:t xml:space="preserve">), y a tenor de los datos estadísticos publicados por el Departamento de </w:t>
      </w:r>
      <w:r w:rsidRPr="00B92F87">
        <w:rPr>
          <w:lang w:eastAsia="zh-CN"/>
        </w:rPr>
        <w:lastRenderedPageBreak/>
        <w:t xml:space="preserve">Servicios Espaciales de la BR </w:t>
      </w:r>
      <w:hyperlink r:id="rId56" w:history="1">
        <w:r w:rsidRPr="00B92F87">
          <w:rPr>
            <w:rStyle w:val="Hyperlink"/>
            <w:lang w:eastAsia="zh-CN"/>
          </w:rPr>
          <w:t>https://www.itu.int/ITU-R/go/space-statistics/en</w:t>
        </w:r>
      </w:hyperlink>
      <w:r w:rsidRPr="00B92F87">
        <w:rPr>
          <w:lang w:eastAsia="zh-CN"/>
        </w:rPr>
        <w:t xml:space="preserve">, se observa que durante la mayor parte de ese periodo la BR no pudo cumplir lo estipulado en el número </w:t>
      </w:r>
      <w:r w:rsidRPr="00661C87">
        <w:rPr>
          <w:b/>
          <w:bCs/>
          <w:lang w:eastAsia="zh-CN"/>
        </w:rPr>
        <w:t>9.38</w:t>
      </w:r>
      <w:r w:rsidRPr="00B92F87">
        <w:rPr>
          <w:lang w:eastAsia="zh-CN"/>
        </w:rPr>
        <w:t xml:space="preserve"> del RR. Además, el retardo en la tramitación de notificaciones de redes de satélites muestra una tendencia al alza. A título de ejemplo, la Figura 4 contiene datos relativos a la tramitación de solicitudes de coordinación con arreglo al Artículo 9 del RR, así como solicitudes con arreglo al Artículo 4 de los Apéndices </w:t>
      </w:r>
      <w:r w:rsidRPr="00661C87">
        <w:rPr>
          <w:b/>
          <w:bCs/>
          <w:lang w:eastAsia="zh-CN"/>
        </w:rPr>
        <w:t>30/30A</w:t>
      </w:r>
      <w:r w:rsidRPr="00B92F87">
        <w:rPr>
          <w:lang w:eastAsia="zh-CN"/>
        </w:rPr>
        <w:t xml:space="preserve"> del RR y los Artículos 6 y 7 del Apéndice </w:t>
      </w:r>
      <w:r w:rsidRPr="00661C87">
        <w:rPr>
          <w:b/>
          <w:bCs/>
          <w:lang w:eastAsia="zh-CN"/>
        </w:rPr>
        <w:t>30B</w:t>
      </w:r>
      <w:r w:rsidRPr="00B92F87">
        <w:rPr>
          <w:lang w:eastAsia="zh-CN"/>
        </w:rPr>
        <w:t xml:space="preserve"> del RR.</w:t>
      </w:r>
    </w:p>
    <w:p w:rsidR="00AC55A5" w:rsidRPr="00B92F87" w:rsidRDefault="00AC55A5" w:rsidP="00AC55A5">
      <w:pPr>
        <w:rPr>
          <w:lang w:eastAsia="zh-CN"/>
        </w:rPr>
      </w:pPr>
      <w:r w:rsidRPr="00B92F87">
        <w:rPr>
          <w:lang w:eastAsia="zh-CN"/>
        </w:rPr>
        <w:t xml:space="preserve">A efectos de comparación, la Figura 5 contiene datos equivalente para el periodo 2007-2008, con la excepción de los datos con arreglo al Apéndice </w:t>
      </w:r>
      <w:r w:rsidRPr="005D52AC">
        <w:rPr>
          <w:b/>
          <w:bCs/>
          <w:lang w:eastAsia="zh-CN"/>
        </w:rPr>
        <w:t>30B</w:t>
      </w:r>
      <w:r w:rsidRPr="00B92F87">
        <w:rPr>
          <w:lang w:eastAsia="zh-CN"/>
        </w:rPr>
        <w:t xml:space="preserve">, ya que a la sazón la tramitación notificaciones con arreglo al Apéndice </w:t>
      </w:r>
      <w:r w:rsidRPr="005D52AC">
        <w:rPr>
          <w:b/>
          <w:bCs/>
          <w:lang w:eastAsia="zh-CN"/>
        </w:rPr>
        <w:t>30B</w:t>
      </w:r>
      <w:r w:rsidRPr="00B92F87">
        <w:rPr>
          <w:lang w:eastAsia="zh-CN"/>
        </w:rPr>
        <w:t xml:space="preserve"> se efectuaba con sujeción a disposiciones reglamentarias muy específicas, de modo que la BR sólo podía tramitar un máximo de seis a diez notificaciones al años, y dichos datos no se corresponden ahora a los datos recibidos en aplicación del Reglamento de Radiocomunicaciones vigente. Se ha seleccionado el periodo 2007-2008 porque, al igual que el periodo 2015-2016, incluía la celebración de una CMR. Los datos se han obtenido de documentos de la RRB (Documentos </w:t>
      </w:r>
      <w:hyperlink r:id="rId57" w:history="1">
        <w:r w:rsidRPr="00B92F87">
          <w:rPr>
            <w:rStyle w:val="Hyperlink"/>
            <w:lang w:eastAsia="zh-CN"/>
          </w:rPr>
          <w:t>RRB07-3/2</w:t>
        </w:r>
      </w:hyperlink>
      <w:r w:rsidRPr="00B92F87">
        <w:rPr>
          <w:lang w:eastAsia="zh-CN"/>
        </w:rPr>
        <w:t xml:space="preserve">, </w:t>
      </w:r>
      <w:hyperlink r:id="rId58" w:history="1">
        <w:r w:rsidRPr="00B92F87">
          <w:rPr>
            <w:rStyle w:val="Hyperlink"/>
            <w:lang w:eastAsia="zh-CN"/>
          </w:rPr>
          <w:t>RRB08-1/1</w:t>
        </w:r>
      </w:hyperlink>
      <w:r w:rsidRPr="00B92F87">
        <w:rPr>
          <w:lang w:eastAsia="zh-CN"/>
        </w:rPr>
        <w:t xml:space="preserve"> y </w:t>
      </w:r>
      <w:hyperlink r:id="rId59" w:history="1">
        <w:r w:rsidRPr="00B92F87">
          <w:rPr>
            <w:rStyle w:val="Hyperlink"/>
            <w:lang w:eastAsia="zh-CN"/>
          </w:rPr>
          <w:t>RRB09-1/1</w:t>
        </w:r>
      </w:hyperlink>
      <w:r w:rsidRPr="00B92F87">
        <w:rPr>
          <w:lang w:eastAsia="zh-CN"/>
        </w:rPr>
        <w:t>).</w:t>
      </w:r>
    </w:p>
    <w:p w:rsidR="00AC55A5" w:rsidRPr="00B92F87" w:rsidRDefault="00AC55A5" w:rsidP="00AC55A5">
      <w:pPr>
        <w:rPr>
          <w:lang w:eastAsia="zh-CN"/>
        </w:rPr>
      </w:pPr>
      <w:r w:rsidRPr="00B92F87">
        <w:rPr>
          <w:lang w:eastAsia="zh-CN"/>
        </w:rPr>
        <w:t>El problema de los incumplimientos de plazos ya lo puso de relieve la RRB en febrero del presente año, que incluyó la siguiente nota en el resumen de decisiones de su 74ª reunión (Documento </w:t>
      </w:r>
      <w:hyperlink r:id="rId60" w:history="1">
        <w:r w:rsidRPr="00B92F87">
          <w:rPr>
            <w:rStyle w:val="Hyperlink"/>
            <w:lang w:eastAsia="zh-CN"/>
          </w:rPr>
          <w:t>RRB17</w:t>
        </w:r>
        <w:r w:rsidRPr="00B92F87">
          <w:rPr>
            <w:rStyle w:val="Hyperlink"/>
            <w:lang w:eastAsia="zh-CN"/>
          </w:rPr>
          <w:noBreakHyphen/>
          <w:t>1/8</w:t>
        </w:r>
      </w:hyperlink>
      <w:r w:rsidRPr="00B92F87">
        <w:rPr>
          <w:lang w:eastAsia="zh-CN"/>
        </w:rPr>
        <w:t>):</w:t>
      </w:r>
    </w:p>
    <w:p w:rsidR="00AC55A5" w:rsidRPr="00B92F87" w:rsidRDefault="002E697C" w:rsidP="002E697C">
      <w:pPr>
        <w:rPr>
          <w:lang w:eastAsia="zh-CN"/>
        </w:rPr>
      </w:pPr>
      <w:r>
        <w:rPr>
          <w:lang w:eastAsia="zh-CN"/>
        </w:rPr>
        <w:t>"</w:t>
      </w:r>
      <w:r w:rsidR="00AC55A5" w:rsidRPr="00B92F87">
        <w:rPr>
          <w:lang w:eastAsia="zh-CN"/>
        </w:rPr>
        <w:t>La Junta tomó nota del aumento de la carga de trabajo de la BR provocado por el aumento del número y la complejidad de las notificaciones de satélite recibidas durante los últimos 15 meses. La Junta se inquietó que ello causara un incumplimiento del plazo reglamentario de cuatro meses para la tramitación de solicitudes de coordinación. La Junta pidió al Director que hiciera todo lo posible por volver a respetar lo antes posible el límite reglamentario. La Junta también tomó nota de que la resolución del problema podría tener consecuencias financieras que son de la responsabilidad del Consejo</w:t>
      </w:r>
      <w:r>
        <w:rPr>
          <w:lang w:eastAsia="zh-CN"/>
        </w:rPr>
        <w:t>."</w:t>
      </w:r>
    </w:p>
    <w:p w:rsidR="00AC55A5" w:rsidRPr="00B92F87" w:rsidRDefault="00AC55A5" w:rsidP="00AC55A5">
      <w:pPr>
        <w:rPr>
          <w:lang w:eastAsia="zh-CN"/>
        </w:rPr>
      </w:pPr>
      <w:r w:rsidRPr="00B92F87">
        <w:rPr>
          <w:lang w:eastAsia="zh-CN"/>
        </w:rPr>
        <w:t xml:space="preserve">Aun respaldando la declaración de la RRB, cabe señalar asimismo que si bien no se han establecido plazos reglamentarios para la tramitación a las notificaciones con arreglo a los Apéndices </w:t>
      </w:r>
      <w:r w:rsidRPr="00EA1B2B">
        <w:rPr>
          <w:b/>
          <w:bCs/>
          <w:lang w:eastAsia="zh-CN"/>
        </w:rPr>
        <w:t>30</w:t>
      </w:r>
      <w:r w:rsidRPr="00B92F87">
        <w:rPr>
          <w:lang w:eastAsia="zh-CN"/>
        </w:rPr>
        <w:t xml:space="preserve">, </w:t>
      </w:r>
      <w:r w:rsidRPr="00EA1B2B">
        <w:rPr>
          <w:b/>
          <w:bCs/>
          <w:lang w:eastAsia="zh-CN"/>
        </w:rPr>
        <w:t>30A</w:t>
      </w:r>
      <w:r w:rsidRPr="00B92F87">
        <w:rPr>
          <w:lang w:eastAsia="zh-CN"/>
        </w:rPr>
        <w:t xml:space="preserve"> y </w:t>
      </w:r>
      <w:r w:rsidRPr="00EA1B2B">
        <w:rPr>
          <w:b/>
          <w:bCs/>
          <w:lang w:eastAsia="zh-CN"/>
        </w:rPr>
        <w:t>30B</w:t>
      </w:r>
      <w:r w:rsidRPr="00B92F87">
        <w:rPr>
          <w:lang w:eastAsia="zh-CN"/>
        </w:rPr>
        <w:t xml:space="preserve"> (planes de satélite), no conviene que aumente el tiempo de tramitación.</w:t>
      </w:r>
    </w:p>
    <w:p w:rsidR="00AC55A5" w:rsidRPr="00B92F87" w:rsidRDefault="00AC55A5" w:rsidP="00AC55A5">
      <w:r w:rsidRPr="00B92F87">
        <w:rPr>
          <w:lang w:eastAsia="zh-CN"/>
        </w:rPr>
        <w:t>Al parecer, en aras de las economías no se han celebrado desde hace muchos años reuniones de los Presidentes y Vicepresidentes de Comisiones de Estudio, no es coherente con lo estipulado en el § A1.6.1.1 de la Resolución UIT-R 1-7, y la duración de las reuniones del Grupo Asesor de Radiocomunicaciones se ha reducido a tres días, mientras que las reuniones de los grupos equivalentes de otros Sectores, así como las reuniones presenciales de los grupos por correspondencia y rectores del GANT y del GADT</w:t>
      </w:r>
      <w:r w:rsidRPr="00B92F87">
        <w:t>, tiene una duración más larga (en algunos casos se reúnen dos veces al año), etc.</w:t>
      </w:r>
    </w:p>
    <w:p w:rsidR="00AC55A5" w:rsidRPr="00B92F87" w:rsidRDefault="00AC55A5" w:rsidP="00AC55A5">
      <w:r w:rsidRPr="00B92F87">
        <w:t>Del análisis anterior debemos concluir que la BR no dispone de recursos humanos suficientes para cumplir sus objetivos.</w:t>
      </w:r>
    </w:p>
    <w:p w:rsidR="00AC55A5" w:rsidRPr="00B92F87" w:rsidRDefault="00AC55A5" w:rsidP="00AC55A5">
      <w:pPr>
        <w:pStyle w:val="FigureNo"/>
        <w:rPr>
          <w:lang w:eastAsia="zh-CN"/>
        </w:rPr>
      </w:pPr>
      <w:r w:rsidRPr="00B92F87">
        <w:rPr>
          <w:lang w:eastAsia="zh-CN"/>
        </w:rPr>
        <w:lastRenderedPageBreak/>
        <w:t>FigurA 4</w:t>
      </w:r>
    </w:p>
    <w:p w:rsidR="00AC55A5" w:rsidRPr="00B92F87" w:rsidRDefault="00AC55A5" w:rsidP="00AC55A5">
      <w:pPr>
        <w:pStyle w:val="Figuretitle"/>
        <w:rPr>
          <w:lang w:eastAsia="zh-CN"/>
        </w:rPr>
      </w:pPr>
      <w:r w:rsidRPr="00B92F87">
        <w:rPr>
          <w:lang w:eastAsia="zh-CN"/>
        </w:rPr>
        <w:t xml:space="preserve">Datos estadísticos sobre la tramitación de notificaciones de asignaciones de frecuencias </w:t>
      </w:r>
      <w:r w:rsidRPr="00B92F87">
        <w:rPr>
          <w:lang w:eastAsia="zh-CN"/>
        </w:rPr>
        <w:br/>
        <w:t>para servicios espaciales durante el periodo 2015-2016</w:t>
      </w:r>
    </w:p>
    <w:p w:rsidR="00AC55A5" w:rsidRPr="00B92F87" w:rsidRDefault="007620B6" w:rsidP="00AC55A5">
      <w:pPr>
        <w:pStyle w:val="Figurelegend"/>
        <w:jc w:val="right"/>
        <w:rPr>
          <w:b/>
          <w:bCs/>
          <w:lang w:eastAsia="zh-CN"/>
        </w:rPr>
      </w:pPr>
      <w:r>
        <w:rPr>
          <w:b/>
          <w:bCs/>
          <w:lang w:eastAsia="zh-CN"/>
        </w:rPr>
        <w:t>M</w:t>
      </w:r>
      <w:r w:rsidR="00AC55A5" w:rsidRPr="00B92F87">
        <w:rPr>
          <w:b/>
          <w:bCs/>
          <w:lang w:eastAsia="zh-CN"/>
        </w:rPr>
        <w:t>eses</w:t>
      </w:r>
    </w:p>
    <w:p w:rsidR="00AC55A5" w:rsidRPr="00B92F87" w:rsidRDefault="00AC55A5" w:rsidP="00AC55A5">
      <w:pPr>
        <w:jc w:val="center"/>
        <w:rPr>
          <w:lang w:eastAsia="zh-CN"/>
        </w:rPr>
      </w:pPr>
      <w:r w:rsidRPr="00B92F87">
        <w:rPr>
          <w:noProof/>
          <w:lang w:val="en-US" w:eastAsia="zh-CN"/>
        </w:rPr>
        <w:drawing>
          <wp:inline distT="0" distB="0" distL="0" distR="0" wp14:anchorId="5FC7A44A" wp14:editId="08F68BFE">
            <wp:extent cx="6096000" cy="321945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AC55A5" w:rsidRPr="00B92F87" w:rsidRDefault="00AC55A5" w:rsidP="007620B6">
      <w:pPr>
        <w:pStyle w:val="Figurelegend"/>
        <w:keepNext w:val="0"/>
        <w:spacing w:before="240"/>
        <w:jc w:val="center"/>
        <w:rPr>
          <w:b/>
          <w:lang w:eastAsia="zh-CN"/>
        </w:rPr>
      </w:pPr>
      <w:r w:rsidRPr="00B92F87">
        <w:rPr>
          <w:lang w:eastAsia="zh-CN"/>
        </w:rPr>
        <w:t xml:space="preserve">Plazo reglamentario estipulado en el número </w:t>
      </w:r>
      <w:r w:rsidRPr="00B92F87">
        <w:rPr>
          <w:b/>
          <w:bCs/>
          <w:lang w:eastAsia="zh-CN"/>
        </w:rPr>
        <w:t xml:space="preserve">9.38 </w:t>
      </w:r>
      <w:r w:rsidRPr="00B92F87">
        <w:rPr>
          <w:lang w:eastAsia="zh-CN"/>
        </w:rPr>
        <w:t>del Reglamento de Radiocomunicaciones: cuatro meses</w:t>
      </w:r>
    </w:p>
    <w:p w:rsidR="00AC55A5" w:rsidRPr="00B92F87" w:rsidRDefault="00AC55A5" w:rsidP="00AC55A5">
      <w:pPr>
        <w:pStyle w:val="FigureNo"/>
        <w:rPr>
          <w:lang w:eastAsia="zh-CN"/>
        </w:rPr>
      </w:pPr>
      <w:r w:rsidRPr="00B92F87">
        <w:rPr>
          <w:lang w:eastAsia="zh-CN"/>
        </w:rPr>
        <w:lastRenderedPageBreak/>
        <w:t>FigurA 5</w:t>
      </w:r>
    </w:p>
    <w:p w:rsidR="00AC55A5" w:rsidRPr="00B92F87" w:rsidRDefault="00AC55A5" w:rsidP="00AC55A5">
      <w:pPr>
        <w:pStyle w:val="Figuretitle"/>
        <w:rPr>
          <w:lang w:eastAsia="zh-CN"/>
        </w:rPr>
      </w:pPr>
      <w:r w:rsidRPr="00B92F87">
        <w:rPr>
          <w:lang w:eastAsia="zh-CN"/>
        </w:rPr>
        <w:t xml:space="preserve">Datos estadísticos sobre la tramitación de notificaciones de asignaciones de frecuencias </w:t>
      </w:r>
      <w:r w:rsidRPr="00B92F87">
        <w:rPr>
          <w:lang w:eastAsia="zh-CN"/>
        </w:rPr>
        <w:br/>
        <w:t>para servicios espaciales durante el periodo 2007-2008</w:t>
      </w:r>
    </w:p>
    <w:p w:rsidR="00AC55A5" w:rsidRPr="00B92F87" w:rsidRDefault="00AC55A5" w:rsidP="007620B6">
      <w:pPr>
        <w:pStyle w:val="Figurelegend"/>
        <w:jc w:val="right"/>
        <w:rPr>
          <w:lang w:eastAsia="zh-CN"/>
        </w:rPr>
      </w:pPr>
      <w:r w:rsidRPr="00B92F87">
        <w:rPr>
          <w:b/>
          <w:bCs/>
          <w:lang w:eastAsia="zh-CN"/>
        </w:rPr>
        <w:t>Meses</w:t>
      </w:r>
    </w:p>
    <w:p w:rsidR="00AC55A5" w:rsidRPr="00B92F87" w:rsidRDefault="00AC55A5" w:rsidP="007620B6">
      <w:pPr>
        <w:pStyle w:val="Figurelegend"/>
        <w:jc w:val="center"/>
        <w:rPr>
          <w:lang w:eastAsia="zh-CN"/>
        </w:rPr>
      </w:pPr>
      <w:r w:rsidRPr="00B92F87">
        <w:rPr>
          <w:noProof/>
          <w:lang w:val="en-US" w:eastAsia="zh-CN"/>
        </w:rPr>
        <w:drawing>
          <wp:inline distT="0" distB="0" distL="0" distR="0" wp14:anchorId="6B13BF08" wp14:editId="6F947344">
            <wp:extent cx="5734050" cy="3114675"/>
            <wp:effectExtent l="0" t="0" r="19050"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C55A5" w:rsidRPr="00B92F87" w:rsidRDefault="00AC55A5" w:rsidP="007620B6">
      <w:pPr>
        <w:pStyle w:val="Figurelegend"/>
        <w:keepNext w:val="0"/>
        <w:spacing w:before="240"/>
        <w:jc w:val="center"/>
        <w:rPr>
          <w:lang w:eastAsia="zh-CN"/>
        </w:rPr>
      </w:pPr>
      <w:r w:rsidRPr="00B92F87">
        <w:rPr>
          <w:lang w:eastAsia="zh-CN"/>
        </w:rPr>
        <w:t xml:space="preserve">Plazo reglamentario estipulado en el número </w:t>
      </w:r>
      <w:r w:rsidRPr="00B92F87">
        <w:rPr>
          <w:b/>
          <w:bCs/>
          <w:lang w:eastAsia="zh-CN"/>
        </w:rPr>
        <w:t xml:space="preserve">9.38 </w:t>
      </w:r>
      <w:r w:rsidRPr="00B92F87">
        <w:rPr>
          <w:lang w:eastAsia="zh-CN"/>
        </w:rPr>
        <w:t>del Reglamento de Radiocomunicaciones: cuatro meses</w:t>
      </w:r>
    </w:p>
    <w:p w:rsidR="00AC55A5" w:rsidRPr="00B92F87" w:rsidRDefault="00AC55A5" w:rsidP="00AC55A5">
      <w:pPr>
        <w:pStyle w:val="Heading1"/>
        <w:rPr>
          <w:lang w:eastAsia="zh-CN"/>
        </w:rPr>
      </w:pPr>
      <w:r w:rsidRPr="00B92F87">
        <w:rPr>
          <w:lang w:eastAsia="zh-CN"/>
        </w:rPr>
        <w:t>3</w:t>
      </w:r>
      <w:r w:rsidRPr="00B92F87">
        <w:rPr>
          <w:lang w:eastAsia="zh-CN"/>
        </w:rPr>
        <w:tab/>
        <w:t>Conclusiones</w:t>
      </w:r>
    </w:p>
    <w:p w:rsidR="00AC55A5" w:rsidRPr="00B92F87" w:rsidRDefault="00AC55A5" w:rsidP="00AC55A5">
      <w:pPr>
        <w:rPr>
          <w:lang w:eastAsia="zh-CN"/>
        </w:rPr>
      </w:pPr>
      <w:r w:rsidRPr="00B92F87">
        <w:t>El análisis realizado muestra que los problemas indicados se deben en gran medida a la reducción de los recursos humanos y financieros del Sector de Radiocomunicaciones en los últimos año</w:t>
      </w:r>
      <w:r w:rsidR="007541F7">
        <w:t>s</w:t>
      </w:r>
      <w:r w:rsidRPr="00B92F87">
        <w:t xml:space="preserve"> (incluida una drástica reducción del personal de plantilla de la BR), por lo que es menester tomar medidas urgentes para hacer frente a tareas cada vez más complejas.</w:t>
      </w:r>
    </w:p>
    <w:p w:rsidR="00AC55A5" w:rsidRPr="00B92F87" w:rsidRDefault="00AC55A5" w:rsidP="002E697C">
      <w:pPr>
        <w:textAlignment w:val="auto"/>
      </w:pPr>
      <w:r w:rsidRPr="00B92F87">
        <w:t>Consideramos que para garantizar la estabilidad de los trabajos del Sector de Radiocomunicaciones, al elaborar el presupuesto del UIT-R para 2018-2019 debemos basarnos en el presupuesto de 2014-2015, ya que el presupuesto del Sector de Radiocomunicaciones para ese periodo fue de 62</w:t>
      </w:r>
      <w:r w:rsidR="002E697C">
        <w:t> </w:t>
      </w:r>
      <w:r w:rsidRPr="00B92F87">
        <w:t>202</w:t>
      </w:r>
      <w:r w:rsidR="002E697C">
        <w:t> </w:t>
      </w:r>
      <w:r w:rsidRPr="00B92F87">
        <w:t>000 CHF.</w:t>
      </w:r>
    </w:p>
    <w:p w:rsidR="00AC55A5" w:rsidRPr="00B92F87" w:rsidRDefault="00AC55A5" w:rsidP="00AC55A5">
      <w:pPr>
        <w:pStyle w:val="Heading1"/>
      </w:pPr>
      <w:r w:rsidRPr="00B92F87">
        <w:t>4</w:t>
      </w:r>
      <w:r w:rsidRPr="00B92F87">
        <w:tab/>
        <w:t>Propuestas para el Consejo</w:t>
      </w:r>
    </w:p>
    <w:p w:rsidR="00AC55A5" w:rsidRPr="00B92F87" w:rsidRDefault="00AC55A5" w:rsidP="00AC55A5">
      <w:pPr>
        <w:textAlignment w:val="auto"/>
        <w:rPr>
          <w:color w:val="000000"/>
        </w:rPr>
      </w:pPr>
      <w:r w:rsidRPr="00B92F87">
        <w:t xml:space="preserve">Habida cuenta de la gran importancia que revisten las actividades del Sector de Radiocomunicaciones para todos los Estados Miembros de la UIT (desarrollados y en desarrollo), Miembros de Sector, operadores de telecomunicaciones y fabricantes de equipos de radiocomunicaciones, su papel protagonista en la promoción de una utilización más eficaz del espectro y de las órbitas de satélites, su papel en la aplicación de la Agenda </w:t>
      </w:r>
      <w:r w:rsidR="002E697C">
        <w:t>"</w:t>
      </w:r>
      <w:r w:rsidRPr="00B92F87">
        <w:t>Conectar 2020</w:t>
      </w:r>
      <w:r w:rsidR="002E697C">
        <w:t>"</w:t>
      </w:r>
      <w:r w:rsidRPr="00B92F87">
        <w:t xml:space="preserve"> para el desarrollo mundial de las telecomunicaciones/TIC y en la elaboración de las normas sobre las comunicaciones móviles de la quinta generación para mejorar el futuro desarrollo y la utilización de sistemas de radiocomunicaciones móviles, etc., se pide al Consejo que</w:t>
      </w:r>
      <w:r w:rsidRPr="00B92F87">
        <w:rPr>
          <w:color w:val="000000"/>
        </w:rPr>
        <w:t>:</w:t>
      </w:r>
    </w:p>
    <w:p w:rsidR="00AC55A5" w:rsidRPr="00B92F87" w:rsidRDefault="00AC55A5" w:rsidP="00AC55A5">
      <w:pPr>
        <w:pStyle w:val="enumlev1"/>
      </w:pPr>
      <w:r>
        <w:lastRenderedPageBreak/>
        <w:t>1)</w:t>
      </w:r>
      <w:r>
        <w:tab/>
      </w:r>
      <w:r w:rsidRPr="00B92F87">
        <w:t>Enmiende el proyecto de presupuesto para 2018-2019 con miras a aumentar el presupuesto del UIT-R, a fin de suprimir el desequilibrio actual entre el volumen de tareas que realiza el Sector de Radiocomunicaciones y los recursos de que dispone para ello.</w:t>
      </w:r>
    </w:p>
    <w:p w:rsidR="00AC55A5" w:rsidRPr="00B92F87" w:rsidRDefault="00AC55A5" w:rsidP="00AC55A5">
      <w:pPr>
        <w:pStyle w:val="enumlev1"/>
      </w:pPr>
      <w:r>
        <w:t>2)</w:t>
      </w:r>
      <w:r>
        <w:tab/>
      </w:r>
      <w:r w:rsidRPr="00B92F87">
        <w:t>Encargue al Director de la Oficina de Radiocomunicaciones que adopte medidas urgentes para restablecer la dotación de personal de la Oficina de Radiocomunicaciones al nivel necesario para que la BR pueda realizar plenamente su misión.</w:t>
      </w:r>
    </w:p>
    <w:p w:rsidR="00AC55A5" w:rsidRPr="00B92F87" w:rsidRDefault="00AC55A5" w:rsidP="00AC55A5">
      <w:pPr>
        <w:pStyle w:val="enumlev1"/>
      </w:pPr>
      <w:r>
        <w:t>3)</w:t>
      </w:r>
      <w:r>
        <w:tab/>
      </w:r>
      <w:r w:rsidRPr="00B92F87">
        <w:t>Encargue al Director de la Oficina de Radiocomunicaciones que adopte medidas para suprimir los retrasos en la tramitación de notificaciones de asignaciones de frecuencias.</w:t>
      </w:r>
    </w:p>
    <w:p w:rsidR="00AC55A5" w:rsidRPr="00B92F87" w:rsidRDefault="00AC55A5" w:rsidP="00AC55A5">
      <w:pPr>
        <w:pStyle w:val="enumlev1"/>
      </w:pPr>
      <w:r>
        <w:t>4)</w:t>
      </w:r>
      <w:r>
        <w:tab/>
      </w:r>
      <w:r w:rsidRPr="00B92F87">
        <w:t>Encargue al Director de la Oficina de Radiocomunicaciones que presente un informe sobre las medidas adoptadas y los resultados correspondientes a la reunión de 2018 del Consejo, con miras a someterlo posteriormente a la Conferencia de Plenipotenciarios de 2018.</w:t>
      </w:r>
    </w:p>
    <w:p w:rsidR="00AC55A5" w:rsidRDefault="00AC55A5" w:rsidP="0032202E">
      <w:pPr>
        <w:pStyle w:val="Reasons"/>
      </w:pPr>
    </w:p>
    <w:p w:rsidR="00AC55A5" w:rsidRDefault="00AC55A5">
      <w:pPr>
        <w:jc w:val="center"/>
      </w:pPr>
      <w:r>
        <w:t>______________</w:t>
      </w:r>
    </w:p>
    <w:sectPr w:rsidR="00AC55A5" w:rsidSect="006710F6">
      <w:headerReference w:type="default" r:id="rId63"/>
      <w:footerReference w:type="default" r:id="rId64"/>
      <w:footerReference w:type="first" r:id="rId6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44E" w:rsidRDefault="0090344E">
      <w:r>
        <w:separator/>
      </w:r>
    </w:p>
  </w:endnote>
  <w:endnote w:type="continuationSeparator" w:id="0">
    <w:p w:rsidR="0090344E" w:rsidRDefault="00903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5F36F5" w:rsidRDefault="00AC55A5" w:rsidP="00AC55A5">
    <w:pPr>
      <w:pStyle w:val="Footer"/>
      <w:rPr>
        <w:lang w:val="en-US"/>
      </w:rPr>
    </w:pPr>
    <w:r>
      <w:fldChar w:fldCharType="begin"/>
    </w:r>
    <w:r w:rsidRPr="005F36F5">
      <w:rPr>
        <w:lang w:val="en-US"/>
      </w:rPr>
      <w:instrText xml:space="preserve"> FILENAME \p  \* MERGEFORMAT </w:instrText>
    </w:r>
    <w:r>
      <w:fldChar w:fldCharType="separate"/>
    </w:r>
    <w:r w:rsidR="005F36F5" w:rsidRPr="005F36F5">
      <w:rPr>
        <w:lang w:val="en-US"/>
      </w:rPr>
      <w:t>P:\SPM\GBS\c17\doc\080rev1s.docx</w:t>
    </w:r>
    <w:r>
      <w:fldChar w:fldCharType="end"/>
    </w:r>
    <w:r w:rsidRPr="005F36F5">
      <w:rPr>
        <w:lang w:val="en-US"/>
      </w:rPr>
      <w:t xml:space="preserve"> (417444)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44E" w:rsidRDefault="0090344E">
      <w:r>
        <w:t>____________________</w:t>
      </w:r>
    </w:p>
  </w:footnote>
  <w:footnote w:type="continuationSeparator" w:id="0">
    <w:p w:rsidR="0090344E" w:rsidRDefault="0090344E">
      <w:r>
        <w:continuationSeparator/>
      </w:r>
    </w:p>
  </w:footnote>
  <w:footnote w:id="1">
    <w:p w:rsidR="00AC55A5" w:rsidRPr="00180562" w:rsidRDefault="00AC55A5" w:rsidP="00AC55A5">
      <w:pPr>
        <w:pStyle w:val="FootnoteText"/>
      </w:pPr>
      <w:r w:rsidRPr="00180562">
        <w:rPr>
          <w:rStyle w:val="FootnoteReference"/>
          <w:rFonts w:asciiTheme="majorBidi" w:hAnsiTheme="majorBidi" w:cstheme="majorBidi"/>
          <w:sz w:val="20"/>
        </w:rPr>
        <w:footnoteRef/>
      </w:r>
      <w:r w:rsidRPr="00180562">
        <w:t xml:space="preserve"> </w:t>
      </w:r>
      <w:r w:rsidRPr="00180562">
        <w:tab/>
        <w:t>CCIR – Comité Consultivo Internacional de Radiocomunicaciones. En 1992 se integró en el Sector de Radiocomunicaciones, mientras que su secretaría se convirtió en la Oficina de Radiocomunicaciones.</w:t>
      </w:r>
    </w:p>
  </w:footnote>
  <w:footnote w:id="2">
    <w:p w:rsidR="00AC55A5" w:rsidRPr="00180562" w:rsidRDefault="00AC55A5" w:rsidP="00AC55A5">
      <w:pPr>
        <w:pStyle w:val="FootnoteText"/>
      </w:pPr>
      <w:r w:rsidRPr="00180562">
        <w:rPr>
          <w:rStyle w:val="FootnoteReference"/>
          <w:rFonts w:asciiTheme="majorBidi" w:hAnsiTheme="majorBidi" w:cstheme="majorBidi"/>
          <w:sz w:val="20"/>
        </w:rPr>
        <w:footnoteRef/>
      </w:r>
      <w:r w:rsidRPr="00180562">
        <w:t xml:space="preserve"> </w:t>
      </w:r>
      <w:r w:rsidRPr="00180562">
        <w:tab/>
        <w:t xml:space="preserve">CCITT – Comité Consultivo Internacional de Telégrafos y Teléfonos. </w:t>
      </w:r>
      <w:r>
        <w:t>En</w:t>
      </w:r>
      <w:r w:rsidRPr="00180562">
        <w:t xml:space="preserve"> 1992</w:t>
      </w:r>
      <w:r>
        <w:t xml:space="preserve"> se convirtió en el Sector de Normalización de las Telecomunicaciones</w:t>
      </w:r>
      <w:r w:rsidRPr="00180562">
        <w:t xml:space="preserve">, </w:t>
      </w:r>
      <w:r>
        <w:t xml:space="preserve">que incluye la Oficina de Normalización de las Telecomunicaciones, constituida por la antigua secretaría del </w:t>
      </w:r>
      <w:r w:rsidRPr="00180562">
        <w:t>CCITT.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2B015D">
      <w:rPr>
        <w:noProof/>
      </w:rPr>
      <w:t>2</w:t>
    </w:r>
    <w:r>
      <w:rPr>
        <w:noProof/>
      </w:rPr>
      <w:fldChar w:fldCharType="end"/>
    </w:r>
  </w:p>
  <w:p w:rsidR="00760F1C" w:rsidRDefault="00760F1C" w:rsidP="002B015D">
    <w:pPr>
      <w:pStyle w:val="Header"/>
    </w:pPr>
    <w:r>
      <w:t>C</w:t>
    </w:r>
    <w:r w:rsidR="007F350B">
      <w:t>1</w:t>
    </w:r>
    <w:r w:rsidR="00B8298E">
      <w:t>7</w:t>
    </w:r>
    <w:r>
      <w:t>/</w:t>
    </w:r>
    <w:r w:rsidR="00DC69ED">
      <w:t>80</w:t>
    </w:r>
    <w:r w:rsidR="001A3D7C">
      <w:t>(Rev.</w:t>
    </w:r>
    <w:r w:rsidR="002B015D">
      <w:t>2</w:t>
    </w:r>
    <w:r w:rsidR="001A3D7C">
      <w:t>)</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AE5CDC"/>
    <w:multiLevelType w:val="hybridMultilevel"/>
    <w:tmpl w:val="DE248BA4"/>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44E"/>
    <w:rsid w:val="000405C3"/>
    <w:rsid w:val="00093EEB"/>
    <w:rsid w:val="000B0D00"/>
    <w:rsid w:val="000B7C15"/>
    <w:rsid w:val="000D1D0F"/>
    <w:rsid w:val="000F5290"/>
    <w:rsid w:val="0010165C"/>
    <w:rsid w:val="00146BFB"/>
    <w:rsid w:val="001A3D7C"/>
    <w:rsid w:val="001F14A2"/>
    <w:rsid w:val="002801AA"/>
    <w:rsid w:val="002B015D"/>
    <w:rsid w:val="002C4676"/>
    <w:rsid w:val="002C70B0"/>
    <w:rsid w:val="002E697C"/>
    <w:rsid w:val="002F3CC4"/>
    <w:rsid w:val="002F49AC"/>
    <w:rsid w:val="003C62E4"/>
    <w:rsid w:val="004268B2"/>
    <w:rsid w:val="00513630"/>
    <w:rsid w:val="00560125"/>
    <w:rsid w:val="00585553"/>
    <w:rsid w:val="005B34D9"/>
    <w:rsid w:val="005D0CCF"/>
    <w:rsid w:val="005D52AC"/>
    <w:rsid w:val="005F36F5"/>
    <w:rsid w:val="005F410F"/>
    <w:rsid w:val="0060149A"/>
    <w:rsid w:val="00601924"/>
    <w:rsid w:val="006447EA"/>
    <w:rsid w:val="0064731F"/>
    <w:rsid w:val="00661C87"/>
    <w:rsid w:val="006710F6"/>
    <w:rsid w:val="006C1B56"/>
    <w:rsid w:val="006D4761"/>
    <w:rsid w:val="006F6B26"/>
    <w:rsid w:val="00726872"/>
    <w:rsid w:val="007541F7"/>
    <w:rsid w:val="00760F1C"/>
    <w:rsid w:val="007620B6"/>
    <w:rsid w:val="007657F0"/>
    <w:rsid w:val="0077252D"/>
    <w:rsid w:val="007E5DD3"/>
    <w:rsid w:val="007F350B"/>
    <w:rsid w:val="00820BE4"/>
    <w:rsid w:val="008451E8"/>
    <w:rsid w:val="0090344E"/>
    <w:rsid w:val="00905872"/>
    <w:rsid w:val="00913B9C"/>
    <w:rsid w:val="00956E77"/>
    <w:rsid w:val="00AA390C"/>
    <w:rsid w:val="00AC55A5"/>
    <w:rsid w:val="00B0200A"/>
    <w:rsid w:val="00B574DB"/>
    <w:rsid w:val="00B826C2"/>
    <w:rsid w:val="00B8298E"/>
    <w:rsid w:val="00BD0723"/>
    <w:rsid w:val="00BD2518"/>
    <w:rsid w:val="00BF1D1C"/>
    <w:rsid w:val="00C20C59"/>
    <w:rsid w:val="00C55B1F"/>
    <w:rsid w:val="00CF1A67"/>
    <w:rsid w:val="00D2750E"/>
    <w:rsid w:val="00D62446"/>
    <w:rsid w:val="00DA4EA2"/>
    <w:rsid w:val="00DC3D3E"/>
    <w:rsid w:val="00DC69ED"/>
    <w:rsid w:val="00DE2C90"/>
    <w:rsid w:val="00DE3B24"/>
    <w:rsid w:val="00E06947"/>
    <w:rsid w:val="00E3592D"/>
    <w:rsid w:val="00E92DE8"/>
    <w:rsid w:val="00EA1B2B"/>
    <w:rsid w:val="00EB1212"/>
    <w:rsid w:val="00ED5650"/>
    <w:rsid w:val="00ED65AB"/>
    <w:rsid w:val="00F12850"/>
    <w:rsid w:val="00F33BF4"/>
    <w:rsid w:val="00F7105E"/>
    <w:rsid w:val="00F75F57"/>
    <w:rsid w:val="00F760EE"/>
    <w:rsid w:val="00F82FE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63E2E6E-BAFE-4D5E-B667-802B9BA02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TabletitleBR">
    <w:name w:val="Table_title_BR"/>
    <w:basedOn w:val="Normal"/>
    <w:next w:val="Tablehead"/>
    <w:rsid w:val="00AC55A5"/>
    <w:pPr>
      <w:keepNext/>
      <w:keepLines/>
      <w:tabs>
        <w:tab w:val="clear" w:pos="567"/>
        <w:tab w:val="clear" w:pos="1134"/>
        <w:tab w:val="clear" w:pos="1701"/>
        <w:tab w:val="clear" w:pos="2268"/>
        <w:tab w:val="clear" w:pos="2835"/>
        <w:tab w:val="left" w:pos="794"/>
        <w:tab w:val="left" w:pos="1191"/>
        <w:tab w:val="left" w:pos="1588"/>
        <w:tab w:val="left" w:pos="1985"/>
      </w:tabs>
      <w:spacing w:before="0" w:after="120"/>
      <w:jc w:val="center"/>
    </w:pPr>
    <w:rPr>
      <w:rFonts w:ascii="Times New Roman" w:hAnsi="Times New Roman"/>
      <w:b/>
    </w:rPr>
  </w:style>
  <w:style w:type="paragraph" w:customStyle="1" w:styleId="TableNoBR">
    <w:name w:val="Table_No_BR"/>
    <w:basedOn w:val="Normal"/>
    <w:next w:val="TabletitleBR"/>
    <w:rsid w:val="00AC55A5"/>
    <w:pPr>
      <w:keepNext/>
      <w:tabs>
        <w:tab w:val="clear" w:pos="567"/>
        <w:tab w:val="clear" w:pos="1134"/>
        <w:tab w:val="clear" w:pos="1701"/>
        <w:tab w:val="clear" w:pos="2268"/>
        <w:tab w:val="clear" w:pos="2835"/>
        <w:tab w:val="left" w:pos="794"/>
        <w:tab w:val="left" w:pos="1191"/>
        <w:tab w:val="left" w:pos="1588"/>
        <w:tab w:val="left" w:pos="1985"/>
      </w:tabs>
      <w:spacing w:before="560" w:after="120"/>
      <w:jc w:val="center"/>
    </w:pPr>
    <w:rPr>
      <w:rFonts w:ascii="Times New Roman" w:hAnsi="Times New Roman"/>
      <w:caps/>
    </w:rPr>
  </w:style>
  <w:style w:type="paragraph" w:customStyle="1" w:styleId="FiguretitleBR">
    <w:name w:val="Figure_title_BR"/>
    <w:basedOn w:val="TabletitleBR"/>
    <w:next w:val="Figurewithouttitle"/>
    <w:rsid w:val="00AC55A5"/>
    <w:pPr>
      <w:keepNext w:val="0"/>
      <w:spacing w:after="480"/>
    </w:pPr>
  </w:style>
  <w:style w:type="paragraph" w:customStyle="1" w:styleId="FigureNoBR">
    <w:name w:val="Figure_No_BR"/>
    <w:basedOn w:val="Normal"/>
    <w:next w:val="FiguretitleBR"/>
    <w:rsid w:val="00AC55A5"/>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ascii="Times New Roman" w:hAnsi="Times New Roman"/>
      <w:caps/>
    </w:rPr>
  </w:style>
  <w:style w:type="character" w:customStyle="1" w:styleId="FootnoteTextChar">
    <w:name w:val="Footnote Text Char"/>
    <w:basedOn w:val="DefaultParagraphFont"/>
    <w:link w:val="FootnoteText"/>
    <w:rsid w:val="00AC55A5"/>
    <w:rPr>
      <w:rFonts w:ascii="Calibri" w:hAnsi="Calibri"/>
      <w:sz w:val="24"/>
      <w:lang w:val="es-ES_tradnl" w:eastAsia="en-US"/>
    </w:rPr>
  </w:style>
  <w:style w:type="table" w:styleId="TableGrid">
    <w:name w:val="Table Grid"/>
    <w:basedOn w:val="TableNormal"/>
    <w:rsid w:val="00AC5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06-RRB.06.01-C-0003/es" TargetMode="External"/><Relationship Id="rId18" Type="http://schemas.openxmlformats.org/officeDocument/2006/relationships/hyperlink" Target="https://www.itu.int/md/R17-RRB17.1-C-0008/es" TargetMode="External"/><Relationship Id="rId26" Type="http://schemas.openxmlformats.org/officeDocument/2006/relationships/hyperlink" Target="https://www.itu.int/md/meetingdoc.asp?lang=en&amp;parent=S04-CL-C-0022" TargetMode="External"/><Relationship Id="rId39" Type="http://schemas.openxmlformats.org/officeDocument/2006/relationships/hyperlink" Target="https://www.itu.int/md/meetingdoc.asp?lang=en&amp;parent=S09-CL-C-0010" TargetMode="External"/><Relationship Id="rId21" Type="http://schemas.openxmlformats.org/officeDocument/2006/relationships/hyperlink" Target="https://www.itu.int/md/meetingdoc.asp?lang=en&amp;parent=S10-CL-C-0031" TargetMode="External"/><Relationship Id="rId34" Type="http://schemas.openxmlformats.org/officeDocument/2006/relationships/hyperlink" Target="https://www.itu.int/md/meetingdoc.asp?lang=en&amp;parent=S05-CL-C-0010" TargetMode="External"/><Relationship Id="rId42" Type="http://schemas.openxmlformats.org/officeDocument/2006/relationships/hyperlink" Target="https://www.itu.int/md/meetingdoc.asp?lang=en&amp;parent=S17-CL-C-0010" TargetMode="External"/><Relationship Id="rId47" Type="http://schemas.openxmlformats.org/officeDocument/2006/relationships/hyperlink" Target="https://www.itu.int/md/meetingdoc.asp?lang=en&amp;parent=S17-CL-C-0010" TargetMode="External"/><Relationship Id="rId50" Type="http://schemas.openxmlformats.org/officeDocument/2006/relationships/chart" Target="charts/chart3.xml"/><Relationship Id="rId55" Type="http://schemas.openxmlformats.org/officeDocument/2006/relationships/hyperlink" Target="https://www.itu.int/md/meetingdoc.asp?lang=en&amp;parent=R17-RRB17.1-C-0003"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R16-RRB16.1-C-0005/es" TargetMode="External"/><Relationship Id="rId29" Type="http://schemas.openxmlformats.org/officeDocument/2006/relationships/hyperlink" Target="https://www.itu.int/md/meetingdoc.asp?lang=en&amp;parent=S17-CL-C-00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7-CL-C-0010/es" TargetMode="External"/><Relationship Id="rId24" Type="http://schemas.openxmlformats.org/officeDocument/2006/relationships/hyperlink" Target="https://www.itu.int/md/meetingdoc.asp?lang=en&amp;parent=S02-CL-C-0013" TargetMode="External"/><Relationship Id="rId32" Type="http://schemas.openxmlformats.org/officeDocument/2006/relationships/chart" Target="charts/chart1.xml"/><Relationship Id="rId37" Type="http://schemas.openxmlformats.org/officeDocument/2006/relationships/hyperlink" Target="https://www.itu.int/md/meetingdoc.asp?lang=en&amp;parent=S07-CL-C-0010" TargetMode="External"/><Relationship Id="rId40" Type="http://schemas.openxmlformats.org/officeDocument/2006/relationships/hyperlink" Target="https://www.itu.int/md/meetingdoc.asp?lang=en&amp;parent=S17-CL-C-0010" TargetMode="External"/><Relationship Id="rId45" Type="http://schemas.openxmlformats.org/officeDocument/2006/relationships/hyperlink" Target="https://www.itu.int/md/meetingdoc.asp?lang=en&amp;parent=S17-CL-C-0010" TargetMode="External"/><Relationship Id="rId53" Type="http://schemas.openxmlformats.org/officeDocument/2006/relationships/hyperlink" Target="https://www.itu.int/md/meetingdoc.asp?lang=en&amp;parent=R15-RRB15.3-C-0004" TargetMode="External"/><Relationship Id="rId58" Type="http://schemas.openxmlformats.org/officeDocument/2006/relationships/hyperlink" Target="https://www.itu.int/md/meetingdoc.asp?lang=en&amp;parent=R06-RRB.06.01-C-0003"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R15-RRB15.3-C-0004/es" TargetMode="External"/><Relationship Id="rId23" Type="http://schemas.openxmlformats.org/officeDocument/2006/relationships/hyperlink" Target="https://www.itu.int/md/meetingdoc.asp?lang=en&amp;parent=S13-CL-C-0010" TargetMode="External"/><Relationship Id="rId28" Type="http://schemas.openxmlformats.org/officeDocument/2006/relationships/hyperlink" Target="https://www.itu.int/md/meetingdoc.asp?lang=en&amp;parent=S06-CL-C-0026" TargetMode="External"/><Relationship Id="rId36" Type="http://schemas.openxmlformats.org/officeDocument/2006/relationships/hyperlink" Target="https://www.itu.int/md/meetingdoc.asp?lang=en&amp;parent=S07-CL-C-0010" TargetMode="External"/><Relationship Id="rId49" Type="http://schemas.openxmlformats.org/officeDocument/2006/relationships/hyperlink" Target="https://www.itu.int/md/meetingdoc.asp?lang=en&amp;parent=S17-CL-C-0010" TargetMode="External"/><Relationship Id="rId57" Type="http://schemas.openxmlformats.org/officeDocument/2006/relationships/hyperlink" Target="https://www.itu.int/md/meetingdoc.asp?lang=en&amp;parent=R07-RRB.07.3-C-0002" TargetMode="External"/><Relationship Id="rId61" Type="http://schemas.openxmlformats.org/officeDocument/2006/relationships/chart" Target="charts/chart4.xml"/><Relationship Id="rId10" Type="http://schemas.openxmlformats.org/officeDocument/2006/relationships/hyperlink" Target="https://www.itu.int/dms_pub/itu-s/md/17/clcwgfhrm7/inf/S17-CLCWGFHRM7-INF-0003!!PDF-E.pdf" TargetMode="External"/><Relationship Id="rId19" Type="http://schemas.openxmlformats.org/officeDocument/2006/relationships/hyperlink" Target="https://www.itu.int/md/S17-CL-C-0010/es" TargetMode="External"/><Relationship Id="rId31" Type="http://schemas.openxmlformats.org/officeDocument/2006/relationships/hyperlink" Target="https://www.itu.int/md/meetingdoc.asp?lang=en&amp;parent=S17-CL-C-0010" TargetMode="External"/><Relationship Id="rId44" Type="http://schemas.openxmlformats.org/officeDocument/2006/relationships/hyperlink" Target="https://www.itu.int/md/meetingdoc.asp?lang=en&amp;parent=S17-CL-C-0010" TargetMode="External"/><Relationship Id="rId52" Type="http://schemas.openxmlformats.org/officeDocument/2006/relationships/hyperlink" Target="https://www.itu.int/dms_pub/itu-s/md/17/clcwgfhrm7/inf/S17-CLCWGFHRM7-INF-0003!!PDF-E.pdf" TargetMode="External"/><Relationship Id="rId60" Type="http://schemas.openxmlformats.org/officeDocument/2006/relationships/hyperlink" Target="https://www.itu.int/md/meetingdoc.asp?lang=en&amp;parent=R17-RRB17.1-C-0008"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15-CL-C-0105/es" TargetMode="External"/><Relationship Id="rId14" Type="http://schemas.openxmlformats.org/officeDocument/2006/relationships/hyperlink" Target="https://www.itu.int/md/R09-RRB.09-C-0001/en" TargetMode="External"/><Relationship Id="rId22" Type="http://schemas.openxmlformats.org/officeDocument/2006/relationships/hyperlink" Target="https://www.itu.int/itudoc/gs/council/c00/docs/11.html" TargetMode="External"/><Relationship Id="rId27" Type="http://schemas.openxmlformats.org/officeDocument/2006/relationships/hyperlink" Target="https://www.itu.int/md/meetingdoc.asp?lang=en&amp;parent=S17-CL-C-0010" TargetMode="External"/><Relationship Id="rId30" Type="http://schemas.openxmlformats.org/officeDocument/2006/relationships/hyperlink" Target="https://www.itu.int/md/meetingdoc.asp?lang=en&amp;parent=S08-CL-C-0007" TargetMode="External"/><Relationship Id="rId35" Type="http://schemas.openxmlformats.org/officeDocument/2006/relationships/hyperlink" Target="https://www.itu.int/md/meetingdoc.asp?lang=en&amp;parent=S05-CL-C-0010" TargetMode="External"/><Relationship Id="rId43" Type="http://schemas.openxmlformats.org/officeDocument/2006/relationships/hyperlink" Target="https://www.itu.int/md/meetingdoc.asp?lang=en&amp;parent=S17-CL-C-0010" TargetMode="External"/><Relationship Id="rId48" Type="http://schemas.openxmlformats.org/officeDocument/2006/relationships/hyperlink" Target="https://www.itu.int/md/meetingdoc.asp?lang=en&amp;parent=S17-CL-C-0010" TargetMode="External"/><Relationship Id="rId56" Type="http://schemas.openxmlformats.org/officeDocument/2006/relationships/hyperlink" Target="https://www.itu.int/ITU-R/go/space-statistics/en" TargetMode="External"/><Relationship Id="rId64"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s://www.itu.int/md/meetingdoc.asp?lang=en&amp;parent=S15-CL-C-0105" TargetMode="External"/><Relationship Id="rId3" Type="http://schemas.openxmlformats.org/officeDocument/2006/relationships/styles" Target="styles.xml"/><Relationship Id="rId12" Type="http://schemas.openxmlformats.org/officeDocument/2006/relationships/hyperlink" Target="https://www.itu.int/md/R07-RRB.07.3-C-0002/es" TargetMode="External"/><Relationship Id="rId17" Type="http://schemas.openxmlformats.org/officeDocument/2006/relationships/hyperlink" Target="https://www.itu.int/md/R17-RRB17.1-C-0003/es" TargetMode="External"/><Relationship Id="rId25" Type="http://schemas.openxmlformats.org/officeDocument/2006/relationships/hyperlink" Target="https://www.itu.int/md/meetingdoc.asp?lang=en&amp;parent=S15-CL-C-0010" TargetMode="External"/><Relationship Id="rId33" Type="http://schemas.openxmlformats.org/officeDocument/2006/relationships/chart" Target="charts/chart2.xml"/><Relationship Id="rId38" Type="http://schemas.openxmlformats.org/officeDocument/2006/relationships/hyperlink" Target="https://www.itu.int/md/meetingdoc.asp?lang=en&amp;parent=S09-CL-C-0010" TargetMode="External"/><Relationship Id="rId46" Type="http://schemas.openxmlformats.org/officeDocument/2006/relationships/hyperlink" Target="https://www.itu.int/md/meetingdoc.asp?lang=en&amp;parent=S17-CL-C-0010" TargetMode="External"/><Relationship Id="rId59" Type="http://schemas.openxmlformats.org/officeDocument/2006/relationships/hyperlink" Target="https://www.itu.int/md/meetingdoc.asp?lang=en&amp;parent=R09-RRB.09-C-0001" TargetMode="External"/><Relationship Id="rId67" Type="http://schemas.openxmlformats.org/officeDocument/2006/relationships/theme" Target="theme/theme1.xml"/><Relationship Id="rId20" Type="http://schemas.openxmlformats.org/officeDocument/2006/relationships/hyperlink" Target="https://www.itu.int/itudoc/gs/council/c00/docs/11.html" TargetMode="External"/><Relationship Id="rId41" Type="http://schemas.openxmlformats.org/officeDocument/2006/relationships/hyperlink" Target="https://www.itu.int/md/meetingdoc.asp?lang=en&amp;parent=S17-CL-C-0010" TargetMode="External"/><Relationship Id="rId54" Type="http://schemas.openxmlformats.org/officeDocument/2006/relationships/hyperlink" Target="https://www.itu.int/md/meetingdoc.asp?lang=en&amp;parent=R16-RRB16.1-C-0005" TargetMode="External"/><Relationship Id="rId62" Type="http://schemas.openxmlformats.org/officeDocument/2006/relationships/chart" Target="charts/chart5.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7.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Activities\Russia\&#1057;&#1086;&#1074;&#1077;&#1090;%20&#1052;&#1057;&#1069;\2017\Budget%20Analysis%20v4.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Activities\Russia\&#1057;&#1086;&#1074;&#1077;&#1090;%20&#1052;&#1057;&#1069;\2017\Satellite%20Filling%20Cost%20Recovery%20v4.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Activities\Russia\&#1057;&#1086;&#1074;&#1077;&#1090;%20&#1052;&#1057;&#1069;\2017\Treatment%20of%20satellite%20filling.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D:\Activities\Russia\&#1057;&#1086;&#1074;&#1077;&#1090;%20&#1052;&#1057;&#1069;\2017\Treatment%20of%20satellite%20filling.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Sheet1!$A$3</c:f>
              <c:strCache>
                <c:ptCount val="1"/>
                <c:pt idx="0">
                  <c:v>Pages</c:v>
                </c:pt>
              </c:strCache>
            </c:strRef>
          </c:tx>
          <c:invertIfNegative val="0"/>
          <c:cat>
            <c:strRef>
              <c:f>Sheet1!$B$1:$M$1</c:f>
              <c:strCache>
                <c:ptCount val="12"/>
                <c:pt idx="0">
                  <c:v>1996-1997</c:v>
                </c:pt>
                <c:pt idx="1">
                  <c:v>1998-1999</c:v>
                </c:pt>
                <c:pt idx="2">
                  <c:v>2000-2001</c:v>
                </c:pt>
                <c:pt idx="3">
                  <c:v>2002-2003</c:v>
                </c:pt>
                <c:pt idx="4">
                  <c:v>2004-2005</c:v>
                </c:pt>
                <c:pt idx="5">
                  <c:v>2006-2007</c:v>
                </c:pt>
                <c:pt idx="6">
                  <c:v>2008-2009</c:v>
                </c:pt>
                <c:pt idx="7">
                  <c:v>2010-2011</c:v>
                </c:pt>
                <c:pt idx="8">
                  <c:v>2012-2013</c:v>
                </c:pt>
                <c:pt idx="9">
                  <c:v>2014-2015</c:v>
                </c:pt>
                <c:pt idx="10">
                  <c:v>2016-2017</c:v>
                </c:pt>
                <c:pt idx="11">
                  <c:v>2018-2019</c:v>
                </c:pt>
              </c:strCache>
            </c:strRef>
          </c:cat>
          <c:val>
            <c:numRef>
              <c:f>Sheet1!$B$3:$M$3</c:f>
              <c:numCache>
                <c:formatCode>General</c:formatCode>
                <c:ptCount val="12"/>
                <c:pt idx="0">
                  <c:v>0</c:v>
                </c:pt>
                <c:pt idx="1">
                  <c:v>0</c:v>
                </c:pt>
                <c:pt idx="2">
                  <c:v>0</c:v>
                </c:pt>
                <c:pt idx="3">
                  <c:v>0</c:v>
                </c:pt>
                <c:pt idx="4">
                  <c:v>0</c:v>
                </c:pt>
                <c:pt idx="5">
                  <c:v>0</c:v>
                </c:pt>
                <c:pt idx="6">
                  <c:v>0</c:v>
                </c:pt>
                <c:pt idx="7">
                  <c:v>4</c:v>
                </c:pt>
                <c:pt idx="8">
                  <c:v>5</c:v>
                </c:pt>
                <c:pt idx="9">
                  <c:v>5</c:v>
                </c:pt>
                <c:pt idx="10">
                  <c:v>5</c:v>
                </c:pt>
                <c:pt idx="11">
                  <c:v>5</c:v>
                </c:pt>
              </c:numCache>
            </c:numRef>
          </c:val>
        </c:ser>
        <c:ser>
          <c:idx val="2"/>
          <c:order val="1"/>
          <c:tx>
            <c:strRef>
              <c:f>Sheet1!$A$5</c:f>
              <c:strCache>
                <c:ptCount val="1"/>
                <c:pt idx="0">
                  <c:v>ITU-R ×1000 CHF</c:v>
                </c:pt>
              </c:strCache>
            </c:strRef>
          </c:tx>
          <c:invertIfNegative val="0"/>
          <c:cat>
            <c:strRef>
              <c:f>Sheet1!$B$1:$M$1</c:f>
              <c:strCache>
                <c:ptCount val="12"/>
                <c:pt idx="0">
                  <c:v>1996-1997</c:v>
                </c:pt>
                <c:pt idx="1">
                  <c:v>1998-1999</c:v>
                </c:pt>
                <c:pt idx="2">
                  <c:v>2000-2001</c:v>
                </c:pt>
                <c:pt idx="3">
                  <c:v>2002-2003</c:v>
                </c:pt>
                <c:pt idx="4">
                  <c:v>2004-2005</c:v>
                </c:pt>
                <c:pt idx="5">
                  <c:v>2006-2007</c:v>
                </c:pt>
                <c:pt idx="6">
                  <c:v>2008-2009</c:v>
                </c:pt>
                <c:pt idx="7">
                  <c:v>2010-2011</c:v>
                </c:pt>
                <c:pt idx="8">
                  <c:v>2012-2013</c:v>
                </c:pt>
                <c:pt idx="9">
                  <c:v>2014-2015</c:v>
                </c:pt>
                <c:pt idx="10">
                  <c:v>2016-2017</c:v>
                </c:pt>
                <c:pt idx="11">
                  <c:v>2018-2019</c:v>
                </c:pt>
              </c:strCache>
            </c:strRef>
          </c:cat>
          <c:val>
            <c:numRef>
              <c:f>Sheet1!$B$5:$M$5</c:f>
              <c:numCache>
                <c:formatCode>General</c:formatCode>
                <c:ptCount val="12"/>
                <c:pt idx="0">
                  <c:v>62196</c:v>
                </c:pt>
                <c:pt idx="1">
                  <c:v>65206</c:v>
                </c:pt>
                <c:pt idx="2">
                  <c:v>67276</c:v>
                </c:pt>
                <c:pt idx="3">
                  <c:v>68708</c:v>
                </c:pt>
                <c:pt idx="4">
                  <c:v>71139</c:v>
                </c:pt>
                <c:pt idx="5">
                  <c:v>74698</c:v>
                </c:pt>
                <c:pt idx="6">
                  <c:v>66728</c:v>
                </c:pt>
                <c:pt idx="7">
                  <c:v>65772</c:v>
                </c:pt>
                <c:pt idx="8">
                  <c:v>61853</c:v>
                </c:pt>
                <c:pt idx="9">
                  <c:v>62202</c:v>
                </c:pt>
                <c:pt idx="10">
                  <c:v>57501</c:v>
                </c:pt>
                <c:pt idx="11">
                  <c:v>58586</c:v>
                </c:pt>
              </c:numCache>
            </c:numRef>
          </c:val>
        </c:ser>
        <c:dLbls>
          <c:showLegendKey val="0"/>
          <c:showVal val="0"/>
          <c:showCatName val="0"/>
          <c:showSerName val="0"/>
          <c:showPercent val="0"/>
          <c:showBubbleSize val="0"/>
        </c:dLbls>
        <c:gapWidth val="67"/>
        <c:overlap val="100"/>
        <c:axId val="371466992"/>
        <c:axId val="371465816"/>
      </c:barChart>
      <c:catAx>
        <c:axId val="371466992"/>
        <c:scaling>
          <c:orientation val="minMax"/>
        </c:scaling>
        <c:delete val="0"/>
        <c:axPos val="b"/>
        <c:numFmt formatCode="General" sourceLinked="0"/>
        <c:majorTickMark val="out"/>
        <c:minorTickMark val="none"/>
        <c:tickLblPos val="nextTo"/>
        <c:crossAx val="371465816"/>
        <c:crosses val="autoZero"/>
        <c:auto val="1"/>
        <c:lblAlgn val="ctr"/>
        <c:lblOffset val="100"/>
        <c:noMultiLvlLbl val="0"/>
      </c:catAx>
      <c:valAx>
        <c:axId val="371465816"/>
        <c:scaling>
          <c:orientation val="minMax"/>
          <c:min val="50000"/>
        </c:scaling>
        <c:delete val="0"/>
        <c:axPos val="l"/>
        <c:majorGridlines/>
        <c:numFmt formatCode="General" sourceLinked="1"/>
        <c:majorTickMark val="out"/>
        <c:minorTickMark val="none"/>
        <c:tickLblPos val="nextTo"/>
        <c:crossAx val="371466992"/>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300" b="1" i="0" baseline="0">
                <a:effectLst/>
              </a:rPr>
              <a:t>Recuperación de costes de la tramitación </a:t>
            </a:r>
            <a:br>
              <a:rPr lang="en-US" sz="1300" b="1" i="0" baseline="0">
                <a:effectLst/>
              </a:rPr>
            </a:br>
            <a:r>
              <a:rPr lang="en-US" sz="1300" b="1" i="0" baseline="0">
                <a:effectLst/>
              </a:rPr>
              <a:t>de notificaciones de satélites</a:t>
            </a:r>
            <a:endParaRPr lang="en-US" sz="1300">
              <a:effectLst/>
            </a:endParaRPr>
          </a:p>
        </c:rich>
      </c:tx>
      <c:layout/>
      <c:overlay val="0"/>
    </c:title>
    <c:autoTitleDeleted val="0"/>
    <c:plotArea>
      <c:layout/>
      <c:lineChart>
        <c:grouping val="standard"/>
        <c:varyColors val="0"/>
        <c:ser>
          <c:idx val="0"/>
          <c:order val="0"/>
          <c:tx>
            <c:strRef>
              <c:f>Sheet1!$A$4</c:f>
              <c:strCache>
                <c:ptCount val="1"/>
                <c:pt idx="0">
                  <c:v>Payment received</c:v>
                </c:pt>
              </c:strCache>
            </c:strRef>
          </c:tx>
          <c:dPt>
            <c:idx val="8"/>
            <c:marker>
              <c:spPr>
                <a:solidFill>
                  <a:srgbClr val="FF0000"/>
                </a:solidFill>
                <a:ln>
                  <a:solidFill>
                    <a:srgbClr val="FF0000"/>
                  </a:solidFill>
                </a:ln>
              </c:spPr>
            </c:marker>
            <c:bubble3D val="0"/>
          </c:dPt>
          <c:dPt>
            <c:idx val="9"/>
            <c:marker>
              <c:spPr>
                <a:solidFill>
                  <a:srgbClr val="FF0000"/>
                </a:solidFill>
                <a:ln>
                  <a:solidFill>
                    <a:srgbClr val="FF0000"/>
                  </a:solidFill>
                </a:ln>
              </c:spPr>
            </c:marker>
            <c:bubble3D val="0"/>
          </c:dPt>
          <c:cat>
            <c:strRef>
              <c:f>Sheet1!$B$1:$V$1</c:f>
              <c:strCache>
                <c:ptCount val="10"/>
                <c:pt idx="0">
                  <c:v>2000-2001</c:v>
                </c:pt>
                <c:pt idx="1">
                  <c:v>2002-2003</c:v>
                </c:pt>
                <c:pt idx="2">
                  <c:v>2004-2005</c:v>
                </c:pt>
                <c:pt idx="3">
                  <c:v>2006-2007</c:v>
                </c:pt>
                <c:pt idx="4">
                  <c:v>2008-2009</c:v>
                </c:pt>
                <c:pt idx="5">
                  <c:v>2010-2011</c:v>
                </c:pt>
                <c:pt idx="6">
                  <c:v>2012-2013</c:v>
                </c:pt>
                <c:pt idx="7">
                  <c:v>2014-2015</c:v>
                </c:pt>
                <c:pt idx="8">
                  <c:v>2016-2017</c:v>
                </c:pt>
                <c:pt idx="9">
                  <c:v>2018-2019</c:v>
                </c:pt>
              </c:strCache>
            </c:strRef>
          </c:cat>
          <c:val>
            <c:numRef>
              <c:f>Sheet1!$B$4:$K$4</c:f>
              <c:numCache>
                <c:formatCode>General</c:formatCode>
                <c:ptCount val="10"/>
                <c:pt idx="1">
                  <c:v>16868</c:v>
                </c:pt>
                <c:pt idx="2">
                  <c:v>16018</c:v>
                </c:pt>
                <c:pt idx="3">
                  <c:v>12510</c:v>
                </c:pt>
                <c:pt idx="4">
                  <c:v>10032</c:v>
                </c:pt>
                <c:pt idx="5">
                  <c:v>24127</c:v>
                </c:pt>
                <c:pt idx="6">
                  <c:v>25697</c:v>
                </c:pt>
                <c:pt idx="7">
                  <c:v>21979</c:v>
                </c:pt>
                <c:pt idx="8">
                  <c:v>26000</c:v>
                </c:pt>
                <c:pt idx="9">
                  <c:v>27400</c:v>
                </c:pt>
              </c:numCache>
            </c:numRef>
          </c:val>
          <c:smooth val="0"/>
        </c:ser>
        <c:dLbls>
          <c:showLegendKey val="0"/>
          <c:showVal val="0"/>
          <c:showCatName val="0"/>
          <c:showSerName val="0"/>
          <c:showPercent val="0"/>
          <c:showBubbleSize val="0"/>
        </c:dLbls>
        <c:marker val="1"/>
        <c:smooth val="0"/>
        <c:axId val="429317648"/>
        <c:axId val="429318824"/>
      </c:lineChart>
      <c:dateAx>
        <c:axId val="429317648"/>
        <c:scaling>
          <c:orientation val="minMax"/>
        </c:scaling>
        <c:delete val="0"/>
        <c:axPos val="b"/>
        <c:numFmt formatCode="General" sourceLinked="1"/>
        <c:majorTickMark val="out"/>
        <c:minorTickMark val="none"/>
        <c:tickLblPos val="nextTo"/>
        <c:crossAx val="429318824"/>
        <c:crosses val="autoZero"/>
        <c:auto val="0"/>
        <c:lblOffset val="100"/>
        <c:baseTimeUnit val="days"/>
      </c:dateAx>
      <c:valAx>
        <c:axId val="429318824"/>
        <c:scaling>
          <c:orientation val="minMax"/>
          <c:max val="29000"/>
          <c:min val="10000"/>
        </c:scaling>
        <c:delete val="0"/>
        <c:axPos val="l"/>
        <c:majorGridlines/>
        <c:numFmt formatCode="General" sourceLinked="1"/>
        <c:majorTickMark val="out"/>
        <c:minorTickMark val="none"/>
        <c:tickLblPos val="nextTo"/>
        <c:crossAx val="429317648"/>
        <c:crosses val="autoZero"/>
        <c:crossBetween val="midCat"/>
        <c:majorUnit val="2000"/>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1"/>
          <c:order val="0"/>
          <c:tx>
            <c:strRef>
              <c:f>Sheet1!$A$5</c:f>
              <c:strCache>
                <c:ptCount val="1"/>
                <c:pt idx="0">
                  <c:v>BR</c:v>
                </c:pt>
              </c:strCache>
            </c:strRef>
          </c:tx>
          <c:trendline>
            <c:trendlineType val="poly"/>
            <c:order val="2"/>
            <c:dispRSqr val="0"/>
            <c:dispEq val="0"/>
          </c:trendline>
          <c:cat>
            <c:numRef>
              <c:f>Sheet1!$C$1:$R$1</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Sheet1!$C$5:$R$5</c:f>
              <c:numCache>
                <c:formatCode>General</c:formatCode>
                <c:ptCount val="16"/>
                <c:pt idx="0">
                  <c:v>176</c:v>
                </c:pt>
                <c:pt idx="1">
                  <c:v>176</c:v>
                </c:pt>
                <c:pt idx="2">
                  <c:v>181</c:v>
                </c:pt>
                <c:pt idx="3">
                  <c:v>181</c:v>
                </c:pt>
                <c:pt idx="4">
                  <c:v>175</c:v>
                </c:pt>
                <c:pt idx="5">
                  <c:v>175</c:v>
                </c:pt>
                <c:pt idx="6">
                  <c:v>173</c:v>
                </c:pt>
                <c:pt idx="7">
                  <c:v>173</c:v>
                </c:pt>
                <c:pt idx="8">
                  <c:v>158</c:v>
                </c:pt>
                <c:pt idx="9">
                  <c:v>157</c:v>
                </c:pt>
                <c:pt idx="10">
                  <c:v>158</c:v>
                </c:pt>
                <c:pt idx="11">
                  <c:v>157</c:v>
                </c:pt>
                <c:pt idx="12">
                  <c:v>141</c:v>
                </c:pt>
                <c:pt idx="13">
                  <c:v>141</c:v>
                </c:pt>
                <c:pt idx="14">
                  <c:v>138</c:v>
                </c:pt>
                <c:pt idx="15">
                  <c:v>138</c:v>
                </c:pt>
              </c:numCache>
            </c:numRef>
          </c:val>
          <c:smooth val="0"/>
        </c:ser>
        <c:ser>
          <c:idx val="2"/>
          <c:order val="1"/>
          <c:tx>
            <c:strRef>
              <c:f>Sheet1!$A$6</c:f>
              <c:strCache>
                <c:ptCount val="1"/>
                <c:pt idx="0">
                  <c:v>BDT</c:v>
                </c:pt>
              </c:strCache>
            </c:strRef>
          </c:tx>
          <c:trendline>
            <c:trendlineType val="poly"/>
            <c:order val="2"/>
            <c:dispRSqr val="0"/>
            <c:dispEq val="0"/>
          </c:trendline>
          <c:cat>
            <c:numRef>
              <c:f>Sheet1!$C$1:$R$1</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Sheet1!$C$6:$R$6</c:f>
              <c:numCache>
                <c:formatCode>General</c:formatCode>
                <c:ptCount val="16"/>
                <c:pt idx="0">
                  <c:v>140</c:v>
                </c:pt>
                <c:pt idx="1">
                  <c:v>140</c:v>
                </c:pt>
                <c:pt idx="2">
                  <c:v>134</c:v>
                </c:pt>
                <c:pt idx="3">
                  <c:v>134</c:v>
                </c:pt>
                <c:pt idx="4">
                  <c:v>126</c:v>
                </c:pt>
                <c:pt idx="5">
                  <c:v>126</c:v>
                </c:pt>
                <c:pt idx="6">
                  <c:v>131</c:v>
                </c:pt>
                <c:pt idx="7">
                  <c:v>131</c:v>
                </c:pt>
                <c:pt idx="8">
                  <c:v>142</c:v>
                </c:pt>
                <c:pt idx="9">
                  <c:v>142</c:v>
                </c:pt>
                <c:pt idx="10">
                  <c:v>144</c:v>
                </c:pt>
                <c:pt idx="11">
                  <c:v>144</c:v>
                </c:pt>
                <c:pt idx="12">
                  <c:v>141</c:v>
                </c:pt>
                <c:pt idx="13">
                  <c:v>141</c:v>
                </c:pt>
                <c:pt idx="14">
                  <c:v>140</c:v>
                </c:pt>
                <c:pt idx="15">
                  <c:v>140</c:v>
                </c:pt>
              </c:numCache>
            </c:numRef>
          </c:val>
          <c:smooth val="0"/>
        </c:ser>
        <c:ser>
          <c:idx val="3"/>
          <c:order val="2"/>
          <c:tx>
            <c:strRef>
              <c:f>Sheet1!$A$7</c:f>
              <c:strCache>
                <c:ptCount val="1"/>
                <c:pt idx="0">
                  <c:v>TSB</c:v>
                </c:pt>
              </c:strCache>
            </c:strRef>
          </c:tx>
          <c:marker>
            <c:symbol val="diamond"/>
            <c:size val="7"/>
          </c:marker>
          <c:trendline>
            <c:trendlineType val="linear"/>
            <c:dispRSqr val="0"/>
            <c:dispEq val="0"/>
          </c:trendline>
          <c:cat>
            <c:numRef>
              <c:f>Sheet1!$C$1:$R$1</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Sheet1!$C$7:$R$7</c:f>
              <c:numCache>
                <c:formatCode>General</c:formatCode>
                <c:ptCount val="16"/>
                <c:pt idx="0">
                  <c:v>65</c:v>
                </c:pt>
                <c:pt idx="1">
                  <c:v>65</c:v>
                </c:pt>
                <c:pt idx="2">
                  <c:v>60</c:v>
                </c:pt>
                <c:pt idx="3">
                  <c:v>61</c:v>
                </c:pt>
                <c:pt idx="4">
                  <c:v>63</c:v>
                </c:pt>
                <c:pt idx="5">
                  <c:v>63</c:v>
                </c:pt>
                <c:pt idx="6">
                  <c:v>63</c:v>
                </c:pt>
                <c:pt idx="7">
                  <c:v>63</c:v>
                </c:pt>
                <c:pt idx="8">
                  <c:v>64</c:v>
                </c:pt>
                <c:pt idx="9">
                  <c:v>64</c:v>
                </c:pt>
                <c:pt idx="10">
                  <c:v>64</c:v>
                </c:pt>
                <c:pt idx="11">
                  <c:v>64</c:v>
                </c:pt>
                <c:pt idx="12">
                  <c:v>65</c:v>
                </c:pt>
                <c:pt idx="13">
                  <c:v>65</c:v>
                </c:pt>
                <c:pt idx="14">
                  <c:v>65</c:v>
                </c:pt>
                <c:pt idx="15">
                  <c:v>65</c:v>
                </c:pt>
              </c:numCache>
            </c:numRef>
          </c:val>
          <c:smooth val="0"/>
        </c:ser>
        <c:dLbls>
          <c:showLegendKey val="0"/>
          <c:showVal val="0"/>
          <c:showCatName val="0"/>
          <c:showSerName val="0"/>
          <c:showPercent val="0"/>
          <c:showBubbleSize val="0"/>
        </c:dLbls>
        <c:marker val="1"/>
        <c:smooth val="0"/>
        <c:axId val="306233992"/>
        <c:axId val="306234384"/>
      </c:lineChart>
      <c:catAx>
        <c:axId val="306233992"/>
        <c:scaling>
          <c:orientation val="minMax"/>
        </c:scaling>
        <c:delete val="0"/>
        <c:axPos val="b"/>
        <c:numFmt formatCode="General" sourceLinked="1"/>
        <c:majorTickMark val="out"/>
        <c:minorTickMark val="none"/>
        <c:tickLblPos val="nextTo"/>
        <c:crossAx val="306234384"/>
        <c:crosses val="autoZero"/>
        <c:auto val="1"/>
        <c:lblAlgn val="ctr"/>
        <c:lblOffset val="100"/>
        <c:noMultiLvlLbl val="0"/>
      </c:catAx>
      <c:valAx>
        <c:axId val="306234384"/>
        <c:scaling>
          <c:orientation val="minMax"/>
          <c:max val="190"/>
          <c:min val="40"/>
        </c:scaling>
        <c:delete val="0"/>
        <c:axPos val="l"/>
        <c:majorGridlines/>
        <c:numFmt formatCode="General" sourceLinked="1"/>
        <c:majorTickMark val="out"/>
        <c:minorTickMark val="none"/>
        <c:tickLblPos val="nextTo"/>
        <c:crossAx val="306233992"/>
        <c:crosses val="autoZero"/>
        <c:crossBetween val="midCat"/>
        <c:majorUnit val="10"/>
      </c:valAx>
    </c:plotArea>
    <c:legend>
      <c:legendPos val="r"/>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v>Art.9 CR/C</c:v>
          </c:tx>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Sheet1!$B$2:$AA$2</c:f>
              <c:numCache>
                <c:formatCode>General</c:formatCode>
                <c:ptCount val="26"/>
                <c:pt idx="0">
                  <c:v>4.5</c:v>
                </c:pt>
                <c:pt idx="1">
                  <c:v>3.4</c:v>
                </c:pt>
                <c:pt idx="2">
                  <c:v>3.9</c:v>
                </c:pt>
                <c:pt idx="3">
                  <c:v>4.8</c:v>
                </c:pt>
                <c:pt idx="4">
                  <c:v>5.5</c:v>
                </c:pt>
                <c:pt idx="5">
                  <c:v>6.4</c:v>
                </c:pt>
                <c:pt idx="6">
                  <c:v>6</c:v>
                </c:pt>
                <c:pt idx="7">
                  <c:v>5.4</c:v>
                </c:pt>
                <c:pt idx="8">
                  <c:v>3.8</c:v>
                </c:pt>
                <c:pt idx="9">
                  <c:v>2.5</c:v>
                </c:pt>
                <c:pt idx="10">
                  <c:v>3.4</c:v>
                </c:pt>
                <c:pt idx="11">
                  <c:v>3.9</c:v>
                </c:pt>
                <c:pt idx="12">
                  <c:v>4.0999999999999996</c:v>
                </c:pt>
                <c:pt idx="13">
                  <c:v>3.9</c:v>
                </c:pt>
                <c:pt idx="14">
                  <c:v>4.4000000000000004</c:v>
                </c:pt>
                <c:pt idx="15">
                  <c:v>5</c:v>
                </c:pt>
                <c:pt idx="16">
                  <c:v>5.9</c:v>
                </c:pt>
                <c:pt idx="17">
                  <c:v>6.9</c:v>
                </c:pt>
                <c:pt idx="18">
                  <c:v>7.1</c:v>
                </c:pt>
                <c:pt idx="19">
                  <c:v>7.2</c:v>
                </c:pt>
                <c:pt idx="20">
                  <c:v>6.1</c:v>
                </c:pt>
                <c:pt idx="21">
                  <c:v>5.9</c:v>
                </c:pt>
                <c:pt idx="22">
                  <c:v>6</c:v>
                </c:pt>
                <c:pt idx="23">
                  <c:v>6.8</c:v>
                </c:pt>
                <c:pt idx="24">
                  <c:v>6.5</c:v>
                </c:pt>
                <c:pt idx="25">
                  <c:v>7</c:v>
                </c:pt>
              </c:numCache>
            </c:numRef>
          </c:val>
          <c:smooth val="0"/>
        </c:ser>
        <c:ser>
          <c:idx val="1"/>
          <c:order val="1"/>
          <c:tx>
            <c:v>App.30/30A Art.4</c:v>
          </c:tx>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Sheet1!$B$3:$AA$3</c:f>
              <c:numCache>
                <c:formatCode>General</c:formatCode>
                <c:ptCount val="26"/>
                <c:pt idx="0">
                  <c:v>4.3</c:v>
                </c:pt>
                <c:pt idx="1">
                  <c:v>4.3</c:v>
                </c:pt>
                <c:pt idx="2">
                  <c:v>4.3</c:v>
                </c:pt>
                <c:pt idx="3">
                  <c:v>4.3</c:v>
                </c:pt>
                <c:pt idx="4">
                  <c:v>4.0999999999999996</c:v>
                </c:pt>
                <c:pt idx="5">
                  <c:v>4.7</c:v>
                </c:pt>
                <c:pt idx="6">
                  <c:v>5.2</c:v>
                </c:pt>
                <c:pt idx="7">
                  <c:v>5.2</c:v>
                </c:pt>
                <c:pt idx="8">
                  <c:v>5.2</c:v>
                </c:pt>
                <c:pt idx="9">
                  <c:v>4.9000000000000004</c:v>
                </c:pt>
                <c:pt idx="10">
                  <c:v>5.2</c:v>
                </c:pt>
                <c:pt idx="11">
                  <c:v>5.2</c:v>
                </c:pt>
                <c:pt idx="12">
                  <c:v>5.3</c:v>
                </c:pt>
                <c:pt idx="13">
                  <c:v>4.5999999999999996</c:v>
                </c:pt>
                <c:pt idx="14">
                  <c:v>5</c:v>
                </c:pt>
                <c:pt idx="15">
                  <c:v>5</c:v>
                </c:pt>
                <c:pt idx="16">
                  <c:v>6</c:v>
                </c:pt>
                <c:pt idx="17">
                  <c:v>6</c:v>
                </c:pt>
                <c:pt idx="18">
                  <c:v>5</c:v>
                </c:pt>
                <c:pt idx="19">
                  <c:v>5.8</c:v>
                </c:pt>
                <c:pt idx="20">
                  <c:v>5.8</c:v>
                </c:pt>
                <c:pt idx="21">
                  <c:v>6.8</c:v>
                </c:pt>
                <c:pt idx="22">
                  <c:v>7.6</c:v>
                </c:pt>
                <c:pt idx="23">
                  <c:v>8.3000000000000007</c:v>
                </c:pt>
                <c:pt idx="24">
                  <c:v>9.8000000000000007</c:v>
                </c:pt>
                <c:pt idx="25">
                  <c:v>9.5</c:v>
                </c:pt>
              </c:numCache>
            </c:numRef>
          </c:val>
          <c:smooth val="0"/>
        </c:ser>
        <c:ser>
          <c:idx val="2"/>
          <c:order val="2"/>
          <c:tx>
            <c:v>App.30B Art.6&amp;7</c:v>
          </c:tx>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Sheet1!$B$4:$AA$4</c:f>
              <c:numCache>
                <c:formatCode>General</c:formatCode>
                <c:ptCount val="26"/>
                <c:pt idx="0">
                  <c:v>4.8</c:v>
                </c:pt>
                <c:pt idx="1">
                  <c:v>4.8</c:v>
                </c:pt>
                <c:pt idx="2">
                  <c:v>5.9</c:v>
                </c:pt>
                <c:pt idx="3">
                  <c:v>4.0999999999999996</c:v>
                </c:pt>
                <c:pt idx="4">
                  <c:v>4.0999999999999996</c:v>
                </c:pt>
                <c:pt idx="5">
                  <c:v>3.7</c:v>
                </c:pt>
                <c:pt idx="6">
                  <c:v>3.7</c:v>
                </c:pt>
                <c:pt idx="7">
                  <c:v>4.0999999999999996</c:v>
                </c:pt>
                <c:pt idx="8">
                  <c:v>4.4000000000000004</c:v>
                </c:pt>
                <c:pt idx="9">
                  <c:v>4.4000000000000004</c:v>
                </c:pt>
                <c:pt idx="10">
                  <c:v>5.7</c:v>
                </c:pt>
                <c:pt idx="11">
                  <c:v>5.5</c:v>
                </c:pt>
                <c:pt idx="12">
                  <c:v>5</c:v>
                </c:pt>
                <c:pt idx="13">
                  <c:v>5.9</c:v>
                </c:pt>
                <c:pt idx="14">
                  <c:v>4.8</c:v>
                </c:pt>
                <c:pt idx="15">
                  <c:v>5.4</c:v>
                </c:pt>
                <c:pt idx="16">
                  <c:v>5.4</c:v>
                </c:pt>
                <c:pt idx="17">
                  <c:v>7.2</c:v>
                </c:pt>
                <c:pt idx="18">
                  <c:v>8</c:v>
                </c:pt>
                <c:pt idx="19">
                  <c:v>7.5</c:v>
                </c:pt>
                <c:pt idx="20">
                  <c:v>6.9</c:v>
                </c:pt>
                <c:pt idx="21">
                  <c:v>6.5</c:v>
                </c:pt>
                <c:pt idx="22">
                  <c:v>6.2</c:v>
                </c:pt>
                <c:pt idx="23">
                  <c:v>7.2</c:v>
                </c:pt>
                <c:pt idx="24">
                  <c:v>8</c:v>
                </c:pt>
                <c:pt idx="25">
                  <c:v>8</c:v>
                </c:pt>
              </c:numCache>
            </c:numRef>
          </c:val>
          <c:smooth val="0"/>
        </c:ser>
        <c:ser>
          <c:idx val="3"/>
          <c:order val="3"/>
          <c:tx>
            <c:v>RR No.9.38 Limit</c:v>
          </c:tx>
          <c:spPr>
            <a:ln>
              <a:prstDash val="sysDash"/>
            </a:ln>
          </c:spPr>
          <c:marker>
            <c:symbol val="none"/>
          </c:marker>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Sheet1!$B$5:$AA$5</c:f>
              <c:numCache>
                <c:formatCode>General</c:formatCode>
                <c:ptCount val="26"/>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4</c:v>
                </c:pt>
                <c:pt idx="15">
                  <c:v>4</c:v>
                </c:pt>
                <c:pt idx="16">
                  <c:v>4</c:v>
                </c:pt>
                <c:pt idx="17">
                  <c:v>4</c:v>
                </c:pt>
                <c:pt idx="18">
                  <c:v>4</c:v>
                </c:pt>
                <c:pt idx="19">
                  <c:v>4</c:v>
                </c:pt>
                <c:pt idx="20">
                  <c:v>4</c:v>
                </c:pt>
                <c:pt idx="21">
                  <c:v>4</c:v>
                </c:pt>
                <c:pt idx="22">
                  <c:v>4</c:v>
                </c:pt>
                <c:pt idx="23">
                  <c:v>4</c:v>
                </c:pt>
                <c:pt idx="24">
                  <c:v>4</c:v>
                </c:pt>
                <c:pt idx="25">
                  <c:v>4</c:v>
                </c:pt>
              </c:numCache>
            </c:numRef>
          </c:val>
          <c:smooth val="0"/>
        </c:ser>
        <c:dLbls>
          <c:showLegendKey val="0"/>
          <c:showVal val="0"/>
          <c:showCatName val="0"/>
          <c:showSerName val="0"/>
          <c:showPercent val="0"/>
          <c:showBubbleSize val="0"/>
        </c:dLbls>
        <c:marker val="1"/>
        <c:smooth val="0"/>
        <c:axId val="431947328"/>
        <c:axId val="425316808"/>
      </c:lineChart>
      <c:catAx>
        <c:axId val="431947328"/>
        <c:scaling>
          <c:orientation val="minMax"/>
        </c:scaling>
        <c:delete val="0"/>
        <c:axPos val="b"/>
        <c:numFmt formatCode="General" sourceLinked="0"/>
        <c:majorTickMark val="out"/>
        <c:minorTickMark val="none"/>
        <c:tickLblPos val="nextTo"/>
        <c:crossAx val="425316808"/>
        <c:crosses val="autoZero"/>
        <c:auto val="1"/>
        <c:lblAlgn val="ctr"/>
        <c:lblOffset val="100"/>
        <c:noMultiLvlLbl val="0"/>
      </c:catAx>
      <c:valAx>
        <c:axId val="425316808"/>
        <c:scaling>
          <c:orientation val="minMax"/>
          <c:max val="10"/>
          <c:min val="2"/>
        </c:scaling>
        <c:delete val="0"/>
        <c:axPos val="l"/>
        <c:majorGridlines/>
        <c:numFmt formatCode="General" sourceLinked="1"/>
        <c:majorTickMark val="out"/>
        <c:minorTickMark val="none"/>
        <c:tickLblPos val="nextTo"/>
        <c:crossAx val="431947328"/>
        <c:crosses val="autoZero"/>
        <c:crossBetween val="between"/>
        <c:majorUnit val="1"/>
      </c:valAx>
    </c:plotArea>
    <c:plotVisOnly val="1"/>
    <c:dispBlanksAs val="gap"/>
    <c:showDLblsOverMax val="0"/>
  </c:chart>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v>Art. 9 CR/C</c:v>
          </c:tx>
          <c:cat>
            <c:strRef>
              <c:f>Sheet2!$B$1:$Y$1</c:f>
              <c:strCache>
                <c:ptCount val="24"/>
                <c:pt idx="0">
                  <c:v>01.2007</c:v>
                </c:pt>
                <c:pt idx="1">
                  <c:v>02.2007</c:v>
                </c:pt>
                <c:pt idx="2">
                  <c:v>03.2007</c:v>
                </c:pt>
                <c:pt idx="3">
                  <c:v>04.2007</c:v>
                </c:pt>
                <c:pt idx="4">
                  <c:v>05.2007</c:v>
                </c:pt>
                <c:pt idx="5">
                  <c:v>06.2007</c:v>
                </c:pt>
                <c:pt idx="6">
                  <c:v>07.2007</c:v>
                </c:pt>
                <c:pt idx="7">
                  <c:v>08.2007</c:v>
                </c:pt>
                <c:pt idx="8">
                  <c:v>09.2007</c:v>
                </c:pt>
                <c:pt idx="9">
                  <c:v>10.2007</c:v>
                </c:pt>
                <c:pt idx="10">
                  <c:v>11.2007</c:v>
                </c:pt>
                <c:pt idx="11">
                  <c:v>12.2007</c:v>
                </c:pt>
                <c:pt idx="12">
                  <c:v>01.2008</c:v>
                </c:pt>
                <c:pt idx="13">
                  <c:v>02.2008</c:v>
                </c:pt>
                <c:pt idx="14">
                  <c:v>03.2008</c:v>
                </c:pt>
                <c:pt idx="15">
                  <c:v>04.2008</c:v>
                </c:pt>
                <c:pt idx="16">
                  <c:v>05.2008</c:v>
                </c:pt>
                <c:pt idx="17">
                  <c:v>06.2008</c:v>
                </c:pt>
                <c:pt idx="18">
                  <c:v>07.2008</c:v>
                </c:pt>
                <c:pt idx="19">
                  <c:v>08.2008</c:v>
                </c:pt>
                <c:pt idx="20">
                  <c:v>09.2008</c:v>
                </c:pt>
                <c:pt idx="21">
                  <c:v>10.2008</c:v>
                </c:pt>
                <c:pt idx="22">
                  <c:v>11.2008</c:v>
                </c:pt>
                <c:pt idx="23">
                  <c:v>12.2008</c:v>
                </c:pt>
              </c:strCache>
            </c:strRef>
          </c:cat>
          <c:val>
            <c:numRef>
              <c:f>Sheet2!$B$2:$Y$2</c:f>
              <c:numCache>
                <c:formatCode>General</c:formatCode>
                <c:ptCount val="24"/>
                <c:pt idx="0">
                  <c:v>4</c:v>
                </c:pt>
                <c:pt idx="1">
                  <c:v>4.2</c:v>
                </c:pt>
                <c:pt idx="2">
                  <c:v>3.7</c:v>
                </c:pt>
                <c:pt idx="3">
                  <c:v>3.7</c:v>
                </c:pt>
                <c:pt idx="4">
                  <c:v>3.6</c:v>
                </c:pt>
                <c:pt idx="5">
                  <c:v>3.8</c:v>
                </c:pt>
                <c:pt idx="6">
                  <c:v>4.0999999999999996</c:v>
                </c:pt>
                <c:pt idx="7">
                  <c:v>3.5</c:v>
                </c:pt>
                <c:pt idx="8">
                  <c:v>3.6</c:v>
                </c:pt>
                <c:pt idx="9">
                  <c:v>3.5</c:v>
                </c:pt>
                <c:pt idx="10">
                  <c:v>4.4000000000000004</c:v>
                </c:pt>
                <c:pt idx="11">
                  <c:v>3.7</c:v>
                </c:pt>
                <c:pt idx="12">
                  <c:v>4</c:v>
                </c:pt>
                <c:pt idx="13">
                  <c:v>4.2</c:v>
                </c:pt>
                <c:pt idx="14">
                  <c:v>3.7</c:v>
                </c:pt>
                <c:pt idx="15">
                  <c:v>4.2</c:v>
                </c:pt>
                <c:pt idx="16">
                  <c:v>3</c:v>
                </c:pt>
                <c:pt idx="17">
                  <c:v>2.2000000000000002</c:v>
                </c:pt>
                <c:pt idx="18">
                  <c:v>3.1</c:v>
                </c:pt>
                <c:pt idx="19">
                  <c:v>3.8</c:v>
                </c:pt>
                <c:pt idx="20">
                  <c:v>4</c:v>
                </c:pt>
                <c:pt idx="21">
                  <c:v>4.5</c:v>
                </c:pt>
                <c:pt idx="22">
                  <c:v>4.9000000000000004</c:v>
                </c:pt>
                <c:pt idx="23">
                  <c:v>4.5999999999999996</c:v>
                </c:pt>
              </c:numCache>
            </c:numRef>
          </c:val>
          <c:smooth val="0"/>
        </c:ser>
        <c:ser>
          <c:idx val="1"/>
          <c:order val="1"/>
          <c:tx>
            <c:v>App. 30/30A</c:v>
          </c:tx>
          <c:cat>
            <c:strRef>
              <c:f>Sheet2!$B$1:$Y$1</c:f>
              <c:strCache>
                <c:ptCount val="24"/>
                <c:pt idx="0">
                  <c:v>01.2007</c:v>
                </c:pt>
                <c:pt idx="1">
                  <c:v>02.2007</c:v>
                </c:pt>
                <c:pt idx="2">
                  <c:v>03.2007</c:v>
                </c:pt>
                <c:pt idx="3">
                  <c:v>04.2007</c:v>
                </c:pt>
                <c:pt idx="4">
                  <c:v>05.2007</c:v>
                </c:pt>
                <c:pt idx="5">
                  <c:v>06.2007</c:v>
                </c:pt>
                <c:pt idx="6">
                  <c:v>07.2007</c:v>
                </c:pt>
                <c:pt idx="7">
                  <c:v>08.2007</c:v>
                </c:pt>
                <c:pt idx="8">
                  <c:v>09.2007</c:v>
                </c:pt>
                <c:pt idx="9">
                  <c:v>10.2007</c:v>
                </c:pt>
                <c:pt idx="10">
                  <c:v>11.2007</c:v>
                </c:pt>
                <c:pt idx="11">
                  <c:v>12.2007</c:v>
                </c:pt>
                <c:pt idx="12">
                  <c:v>01.2008</c:v>
                </c:pt>
                <c:pt idx="13">
                  <c:v>02.2008</c:v>
                </c:pt>
                <c:pt idx="14">
                  <c:v>03.2008</c:v>
                </c:pt>
                <c:pt idx="15">
                  <c:v>04.2008</c:v>
                </c:pt>
                <c:pt idx="16">
                  <c:v>05.2008</c:v>
                </c:pt>
                <c:pt idx="17">
                  <c:v>06.2008</c:v>
                </c:pt>
                <c:pt idx="18">
                  <c:v>07.2008</c:v>
                </c:pt>
                <c:pt idx="19">
                  <c:v>08.2008</c:v>
                </c:pt>
                <c:pt idx="20">
                  <c:v>09.2008</c:v>
                </c:pt>
                <c:pt idx="21">
                  <c:v>10.2008</c:v>
                </c:pt>
                <c:pt idx="22">
                  <c:v>11.2008</c:v>
                </c:pt>
                <c:pt idx="23">
                  <c:v>12.2008</c:v>
                </c:pt>
              </c:strCache>
            </c:strRef>
          </c:cat>
          <c:val>
            <c:numRef>
              <c:f>Sheet2!$B$3:$Y$3</c:f>
              <c:numCache>
                <c:formatCode>General</c:formatCode>
                <c:ptCount val="24"/>
                <c:pt idx="0">
                  <c:v>3.5</c:v>
                </c:pt>
                <c:pt idx="1">
                  <c:v>4.4000000000000004</c:v>
                </c:pt>
                <c:pt idx="2">
                  <c:v>5</c:v>
                </c:pt>
                <c:pt idx="3">
                  <c:v>5</c:v>
                </c:pt>
                <c:pt idx="4">
                  <c:v>5</c:v>
                </c:pt>
                <c:pt idx="5">
                  <c:v>5.9</c:v>
                </c:pt>
                <c:pt idx="6">
                  <c:v>4.8</c:v>
                </c:pt>
                <c:pt idx="7">
                  <c:v>4.8</c:v>
                </c:pt>
                <c:pt idx="8">
                  <c:v>5.3</c:v>
                </c:pt>
                <c:pt idx="9">
                  <c:v>2.2999999999999998</c:v>
                </c:pt>
                <c:pt idx="10">
                  <c:v>2.8</c:v>
                </c:pt>
                <c:pt idx="11">
                  <c:v>2.2999999999999998</c:v>
                </c:pt>
                <c:pt idx="12">
                  <c:v>2.2999999999999998</c:v>
                </c:pt>
                <c:pt idx="13">
                  <c:v>3.7</c:v>
                </c:pt>
                <c:pt idx="14">
                  <c:v>3.7</c:v>
                </c:pt>
                <c:pt idx="15">
                  <c:v>3.7</c:v>
                </c:pt>
                <c:pt idx="16">
                  <c:v>3.4</c:v>
                </c:pt>
                <c:pt idx="17">
                  <c:v>3.4</c:v>
                </c:pt>
                <c:pt idx="18">
                  <c:v>3.6</c:v>
                </c:pt>
                <c:pt idx="19">
                  <c:v>4.8</c:v>
                </c:pt>
                <c:pt idx="20">
                  <c:v>5.8</c:v>
                </c:pt>
                <c:pt idx="21">
                  <c:v>5.8</c:v>
                </c:pt>
                <c:pt idx="22">
                  <c:v>5.9</c:v>
                </c:pt>
                <c:pt idx="23">
                  <c:v>5.9</c:v>
                </c:pt>
              </c:numCache>
            </c:numRef>
          </c:val>
          <c:smooth val="0"/>
        </c:ser>
        <c:ser>
          <c:idx val="3"/>
          <c:order val="2"/>
          <c:tx>
            <c:v>RR No.9.38 Limit</c:v>
          </c:tx>
          <c:spPr>
            <a:ln w="28575">
              <a:prstDash val="sysDash"/>
            </a:ln>
          </c:spPr>
          <c:marker>
            <c:symbol val="none"/>
          </c:marker>
          <c:cat>
            <c:strRef>
              <c:f>Sheet2!$B$1:$Y$1</c:f>
              <c:strCache>
                <c:ptCount val="24"/>
                <c:pt idx="0">
                  <c:v>01.2007</c:v>
                </c:pt>
                <c:pt idx="1">
                  <c:v>02.2007</c:v>
                </c:pt>
                <c:pt idx="2">
                  <c:v>03.2007</c:v>
                </c:pt>
                <c:pt idx="3">
                  <c:v>04.2007</c:v>
                </c:pt>
                <c:pt idx="4">
                  <c:v>05.2007</c:v>
                </c:pt>
                <c:pt idx="5">
                  <c:v>06.2007</c:v>
                </c:pt>
                <c:pt idx="6">
                  <c:v>07.2007</c:v>
                </c:pt>
                <c:pt idx="7">
                  <c:v>08.2007</c:v>
                </c:pt>
                <c:pt idx="8">
                  <c:v>09.2007</c:v>
                </c:pt>
                <c:pt idx="9">
                  <c:v>10.2007</c:v>
                </c:pt>
                <c:pt idx="10">
                  <c:v>11.2007</c:v>
                </c:pt>
                <c:pt idx="11">
                  <c:v>12.2007</c:v>
                </c:pt>
                <c:pt idx="12">
                  <c:v>01.2008</c:v>
                </c:pt>
                <c:pt idx="13">
                  <c:v>02.2008</c:v>
                </c:pt>
                <c:pt idx="14">
                  <c:v>03.2008</c:v>
                </c:pt>
                <c:pt idx="15">
                  <c:v>04.2008</c:v>
                </c:pt>
                <c:pt idx="16">
                  <c:v>05.2008</c:v>
                </c:pt>
                <c:pt idx="17">
                  <c:v>06.2008</c:v>
                </c:pt>
                <c:pt idx="18">
                  <c:v>07.2008</c:v>
                </c:pt>
                <c:pt idx="19">
                  <c:v>08.2008</c:v>
                </c:pt>
                <c:pt idx="20">
                  <c:v>09.2008</c:v>
                </c:pt>
                <c:pt idx="21">
                  <c:v>10.2008</c:v>
                </c:pt>
                <c:pt idx="22">
                  <c:v>11.2008</c:v>
                </c:pt>
                <c:pt idx="23">
                  <c:v>12.2008</c:v>
                </c:pt>
              </c:strCache>
            </c:strRef>
          </c:cat>
          <c:val>
            <c:numRef>
              <c:f>Sheet2!$B$5:$Y$5</c:f>
              <c:numCache>
                <c:formatCode>General</c:formatCode>
                <c:ptCount val="24"/>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4</c:v>
                </c:pt>
                <c:pt idx="15">
                  <c:v>4</c:v>
                </c:pt>
                <c:pt idx="16">
                  <c:v>4</c:v>
                </c:pt>
                <c:pt idx="17">
                  <c:v>4</c:v>
                </c:pt>
                <c:pt idx="18">
                  <c:v>4</c:v>
                </c:pt>
                <c:pt idx="19">
                  <c:v>4</c:v>
                </c:pt>
                <c:pt idx="20">
                  <c:v>4</c:v>
                </c:pt>
                <c:pt idx="21">
                  <c:v>4</c:v>
                </c:pt>
                <c:pt idx="22">
                  <c:v>4</c:v>
                </c:pt>
                <c:pt idx="23">
                  <c:v>4</c:v>
                </c:pt>
              </c:numCache>
            </c:numRef>
          </c:val>
          <c:smooth val="0"/>
        </c:ser>
        <c:dLbls>
          <c:showLegendKey val="0"/>
          <c:showVal val="0"/>
          <c:showCatName val="0"/>
          <c:showSerName val="0"/>
          <c:showPercent val="0"/>
          <c:showBubbleSize val="0"/>
        </c:dLbls>
        <c:marker val="1"/>
        <c:smooth val="0"/>
        <c:axId val="629560576"/>
        <c:axId val="430649376"/>
      </c:lineChart>
      <c:catAx>
        <c:axId val="629560576"/>
        <c:scaling>
          <c:orientation val="minMax"/>
        </c:scaling>
        <c:delete val="0"/>
        <c:axPos val="b"/>
        <c:numFmt formatCode="General" sourceLinked="0"/>
        <c:majorTickMark val="out"/>
        <c:minorTickMark val="none"/>
        <c:tickLblPos val="nextTo"/>
        <c:crossAx val="430649376"/>
        <c:crosses val="autoZero"/>
        <c:auto val="1"/>
        <c:lblAlgn val="ctr"/>
        <c:lblOffset val="100"/>
        <c:noMultiLvlLbl val="0"/>
      </c:catAx>
      <c:valAx>
        <c:axId val="430649376"/>
        <c:scaling>
          <c:orientation val="minMax"/>
          <c:max val="10"/>
          <c:min val="2"/>
        </c:scaling>
        <c:delete val="0"/>
        <c:axPos val="l"/>
        <c:majorGridlines/>
        <c:numFmt formatCode="General" sourceLinked="1"/>
        <c:majorTickMark val="out"/>
        <c:minorTickMark val="none"/>
        <c:tickLblPos val="nextTo"/>
        <c:crossAx val="629560576"/>
        <c:crosses val="autoZero"/>
        <c:crossBetween val="midCat"/>
        <c:majorUnit val="1"/>
      </c:valAx>
    </c:plotArea>
    <c:plotVisOnly val="1"/>
    <c:dispBlanksAs val="gap"/>
    <c:showDLblsOverMax val="0"/>
  </c:chart>
  <c:externalData r:id="rId2">
    <c:autoUpdate val="0"/>
  </c:externalData>
  <c:userShapes r:id="rId3"/>
</c:chartSpac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0.06875</cdr:x>
      <cdr:y>0.02367</cdr:y>
    </cdr:from>
    <cdr:to>
      <cdr:x>0.34528</cdr:x>
      <cdr:y>0.32541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19085" y="76199"/>
          <a:ext cx="1685727" cy="971437"/>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0.08638</cdr:x>
      <cdr:y>0.01529</cdr:y>
    </cdr:from>
    <cdr:to>
      <cdr:x>0.37206</cdr:x>
      <cdr:y>0.33635</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95300" y="47625"/>
          <a:ext cx="1638095" cy="100000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8085B-F3B2-469C-8967-D71691F97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PS_C17.dotx</Template>
  <TotalTime>1</TotalTime>
  <Pages>12</Pages>
  <Words>3116</Words>
  <Characters>20529</Characters>
  <Application>Microsoft Office Word</Application>
  <DocSecurity>0</DocSecurity>
  <Lines>171</Lines>
  <Paragraphs>47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23598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FHernández</dc:creator>
  <cp:keywords>C2010, C10</cp:keywords>
  <dc:description>Documento C17/-S  Para: _x000d_Fecha del documento: enero de 2017_x000d_Registrado por ITU51009317 a 15:32:38 el 06/04/2017</dc:description>
  <cp:lastModifiedBy>Janin</cp:lastModifiedBy>
  <cp:revision>3</cp:revision>
  <cp:lastPrinted>2017-05-12T17:07:00Z</cp:lastPrinted>
  <dcterms:created xsi:type="dcterms:W3CDTF">2017-05-26T12:28:00Z</dcterms:created>
  <dcterms:modified xsi:type="dcterms:W3CDTF">2017-05-26T12:29:00Z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