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1965F5" w:rsidRDefault="000E4FF0" w:rsidP="001965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1965F5">
              <w:rPr>
                <w:rFonts w:eastAsiaTheme="minorEastAsia" w:hint="cs"/>
                <w:b/>
                <w:bCs/>
                <w:rtl/>
                <w:lang w:eastAsia="zh-CN" w:bidi="ar-EG"/>
              </w:rPr>
              <w:t>بند جدول الأعمال:</w:t>
            </w:r>
            <w:r w:rsidR="001965F5" w:rsidRPr="001965F5">
              <w:rPr>
                <w:rFonts w:eastAsiaTheme="minorEastAsia" w:hint="cs"/>
                <w:b/>
                <w:bCs/>
                <w:rtl/>
                <w:lang w:eastAsia="zh-CN" w:bidi="ar-EG"/>
              </w:rPr>
              <w:t xml:space="preserve"> </w:t>
            </w:r>
            <w:r w:rsidR="001965F5" w:rsidRPr="001965F5">
              <w:rPr>
                <w:rFonts w:eastAsiaTheme="minorEastAsia"/>
                <w:b/>
                <w:bCs/>
                <w:lang w:eastAsia="zh-CN" w:bidi="ar-EG"/>
              </w:rPr>
              <w:t>ADM 1.1</w:t>
            </w:r>
          </w:p>
        </w:tc>
        <w:tc>
          <w:tcPr>
            <w:tcW w:w="3052" w:type="dxa"/>
            <w:vAlign w:val="center"/>
          </w:tcPr>
          <w:p w:rsidR="000E4FF0" w:rsidRPr="000E4FF0" w:rsidRDefault="001569C1" w:rsidP="0028018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sidR="00280183">
              <w:rPr>
                <w:rFonts w:eastAsiaTheme="minorEastAsia"/>
                <w:b/>
                <w:bCs/>
                <w:lang w:eastAsia="zh-CN" w:bidi="ar-EG"/>
              </w:rPr>
              <w:t>2</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1965F5">
              <w:rPr>
                <w:rFonts w:eastAsiaTheme="minorEastAsia"/>
                <w:b/>
                <w:bCs/>
                <w:lang w:eastAsia="zh-CN" w:bidi="ar-SY"/>
              </w:rPr>
              <w:t>82</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280183" w:rsidP="001569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25</w:t>
            </w:r>
            <w:r w:rsidR="000E4FF0" w:rsidRPr="000E4FF0">
              <w:rPr>
                <w:rFonts w:eastAsiaTheme="minorEastAsia" w:hint="cs"/>
                <w:b/>
                <w:bCs/>
                <w:rtl/>
                <w:lang w:eastAsia="zh-CN" w:bidi="ar-EG"/>
              </w:rPr>
              <w:t xml:space="preserve"> </w:t>
            </w:r>
            <w:r w:rsidR="001569C1">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1965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1965F5">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FF1BD7" w:rsidP="00900EA8">
            <w:pPr>
              <w:pStyle w:val="Source"/>
              <w:spacing w:after="0"/>
              <w:rPr>
                <w:rFonts w:eastAsiaTheme="minorEastAsia"/>
                <w:rtl/>
                <w:lang w:eastAsia="zh-CN"/>
              </w:rPr>
            </w:pPr>
            <w:r w:rsidRPr="00FF1BD7">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FF1BD7" w:rsidP="00DC089B">
            <w:pPr>
              <w:pStyle w:val="Title1"/>
              <w:spacing w:after="0"/>
              <w:rPr>
                <w:rFonts w:eastAsiaTheme="minorEastAsia"/>
                <w:rtl/>
                <w:lang w:eastAsia="zh-CN"/>
              </w:rPr>
            </w:pPr>
            <w:r w:rsidRPr="00FF1BD7">
              <w:rPr>
                <w:rFonts w:eastAsiaTheme="minorEastAsia" w:hint="cs"/>
                <w:rtl/>
                <w:lang w:eastAsia="zh-CN" w:bidi="ar-SA"/>
              </w:rPr>
              <w:t>مساهمة من الاتحاد الروسي</w:t>
            </w:r>
            <w:r w:rsidR="001569C1">
              <w:rPr>
                <w:rFonts w:eastAsiaTheme="minorEastAsia" w:hint="cs"/>
                <w:rtl/>
                <w:lang w:eastAsia="zh-CN"/>
              </w:rPr>
              <w:t xml:space="preserve"> وجمهورية أرمينيا وجمهورية بيلاروس</w:t>
            </w:r>
            <w:r w:rsidR="00280183">
              <w:rPr>
                <w:rFonts w:eastAsiaTheme="minorEastAsia" w:hint="cs"/>
                <w:rtl/>
                <w:lang w:eastAsia="zh-CN"/>
              </w:rPr>
              <w:t xml:space="preserve"> </w:t>
            </w:r>
            <w:r w:rsidR="00280183">
              <w:rPr>
                <w:rFonts w:eastAsiaTheme="minorEastAsia"/>
                <w:rtl/>
                <w:lang w:eastAsia="zh-CN"/>
              </w:rPr>
              <w:br/>
            </w:r>
            <w:r w:rsidR="00280183">
              <w:rPr>
                <w:rFonts w:eastAsiaTheme="minorEastAsia" w:hint="cs"/>
                <w:rtl/>
                <w:lang w:eastAsia="zh-CN"/>
              </w:rPr>
              <w:t>وجمهورية قيرغيزستان</w:t>
            </w:r>
          </w:p>
        </w:tc>
      </w:tr>
      <w:tr w:rsidR="000E4FF0" w:rsidRPr="000E4FF0" w:rsidTr="000E4FF0">
        <w:trPr>
          <w:cantSplit/>
          <w:jc w:val="center"/>
        </w:trPr>
        <w:tc>
          <w:tcPr>
            <w:tcW w:w="9672" w:type="dxa"/>
            <w:gridSpan w:val="2"/>
          </w:tcPr>
          <w:p w:rsidR="000E4FF0" w:rsidRPr="000E4FF0" w:rsidRDefault="00FF1BD7" w:rsidP="00FF1BD7">
            <w:pPr>
              <w:pStyle w:val="Title2"/>
              <w:rPr>
                <w:rFonts w:eastAsiaTheme="minorEastAsia"/>
                <w:w w:val="120"/>
                <w:rtl/>
                <w:lang w:eastAsia="zh-CN"/>
              </w:rPr>
            </w:pPr>
            <w:r w:rsidRPr="00FF1BD7">
              <w:rPr>
                <w:rFonts w:eastAsiaTheme="minorEastAsia" w:hint="cs"/>
                <w:w w:val="120"/>
                <w:rtl/>
                <w:lang w:eastAsia="zh-CN" w:bidi="ar-SA"/>
              </w:rPr>
              <w:t xml:space="preserve">مقترحات بشأن عرض البيانات في الوثيقتين </w:t>
            </w:r>
            <w:r w:rsidRPr="00FF1BD7">
              <w:rPr>
                <w:rFonts w:eastAsiaTheme="minorEastAsia"/>
                <w:w w:val="120"/>
                <w:lang w:eastAsia="zh-CN"/>
              </w:rPr>
              <w:t>C17/10</w:t>
            </w:r>
            <w:r w:rsidRPr="00FF1BD7">
              <w:rPr>
                <w:rFonts w:eastAsiaTheme="minorEastAsia" w:hint="cs"/>
                <w:w w:val="120"/>
                <w:rtl/>
                <w:lang w:eastAsia="zh-CN" w:bidi="ar-SA"/>
              </w:rPr>
              <w:t xml:space="preserve"> و</w:t>
            </w:r>
            <w:r w:rsidRPr="00FF1BD7">
              <w:rPr>
                <w:rFonts w:eastAsiaTheme="minorEastAsia"/>
                <w:w w:val="120"/>
                <w:lang w:eastAsia="zh-CN"/>
              </w:rPr>
              <w:t>C17/9</w:t>
            </w:r>
          </w:p>
        </w:tc>
      </w:tr>
    </w:tbl>
    <w:p w:rsidR="006157A3" w:rsidRDefault="00FF1BD7" w:rsidP="00DC089B">
      <w:pPr>
        <w:spacing w:before="360"/>
        <w:rPr>
          <w:rtl/>
        </w:rPr>
      </w:pPr>
      <w:r w:rsidRPr="00FF1BD7">
        <w:rPr>
          <w:rFonts w:hint="cs"/>
          <w:rtl/>
        </w:rPr>
        <w:t xml:space="preserve">يشرفني أن أحيل إلى الدول الأعضاء في المجلس مساهمة مقدمة من </w:t>
      </w:r>
      <w:r w:rsidRPr="00FF1BD7">
        <w:rPr>
          <w:rFonts w:hint="cs"/>
          <w:b/>
          <w:bCs/>
          <w:rtl/>
        </w:rPr>
        <w:t>الاتحاد الروسي</w:t>
      </w:r>
      <w:r w:rsidR="001569C1">
        <w:rPr>
          <w:rFonts w:hint="cs"/>
          <w:b/>
          <w:bCs/>
          <w:rtl/>
        </w:rPr>
        <w:t xml:space="preserve"> وجمهورية أرمينيا وجمهورية بيلاروس</w:t>
      </w:r>
      <w:r w:rsidR="00280183">
        <w:rPr>
          <w:rFonts w:hint="cs"/>
          <w:b/>
          <w:bCs/>
          <w:rtl/>
        </w:rPr>
        <w:t xml:space="preserve"> </w:t>
      </w:r>
      <w:r w:rsidR="00280183" w:rsidRPr="00280183">
        <w:rPr>
          <w:rFonts w:eastAsiaTheme="minorEastAsia" w:hint="cs"/>
          <w:b/>
          <w:bCs/>
          <w:rtl/>
          <w:lang w:eastAsia="zh-CN"/>
        </w:rPr>
        <w:t>وجمهورية</w:t>
      </w:r>
      <w:r w:rsidR="00DC089B">
        <w:rPr>
          <w:rFonts w:eastAsiaTheme="minorEastAsia" w:hint="eastAsia"/>
          <w:b/>
          <w:bCs/>
          <w:rtl/>
          <w:lang w:eastAsia="zh-CN"/>
        </w:rPr>
        <w:t> </w:t>
      </w:r>
      <w:bookmarkStart w:id="1" w:name="_GoBack"/>
      <w:bookmarkEnd w:id="1"/>
      <w:r w:rsidR="00280183" w:rsidRPr="00280183">
        <w:rPr>
          <w:rFonts w:eastAsiaTheme="minorEastAsia" w:hint="cs"/>
          <w:b/>
          <w:bCs/>
          <w:rtl/>
          <w:lang w:eastAsia="zh-CN"/>
        </w:rPr>
        <w:t>قيرغيزستان</w:t>
      </w:r>
      <w:r w:rsidRPr="00FF1BD7">
        <w:rPr>
          <w:rFonts w:hint="cs"/>
          <w:rtl/>
        </w:rPr>
        <w:t>.</w:t>
      </w:r>
    </w:p>
    <w:p w:rsidR="00FF1BD7" w:rsidRDefault="00FF1BD7" w:rsidP="00FF1BD7">
      <w:pPr>
        <w:spacing w:before="1440"/>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FF1BD7" w:rsidRDefault="00FF1BD7" w:rsidP="00FF1BD7">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8B5B5D" w:rsidRDefault="00FF1BD7" w:rsidP="00FF1BD7">
      <w:pPr>
        <w:pStyle w:val="Source"/>
        <w:rPr>
          <w:rtl/>
        </w:rPr>
      </w:pPr>
      <w:r w:rsidRPr="00FF1BD7">
        <w:rPr>
          <w:rFonts w:hint="cs"/>
          <w:rtl/>
        </w:rPr>
        <w:lastRenderedPageBreak/>
        <w:t>الاتحاد</w:t>
      </w:r>
      <w:r w:rsidRPr="00FF1BD7">
        <w:rPr>
          <w:rFonts w:hint="cs"/>
          <w:rtl/>
          <w:lang w:bidi="ar-SA"/>
        </w:rPr>
        <w:t xml:space="preserve"> الروسي</w:t>
      </w:r>
      <w:r w:rsidR="005B293F">
        <w:rPr>
          <w:rFonts w:hint="cs"/>
          <w:rtl/>
        </w:rPr>
        <w:t xml:space="preserve"> وجمهورية أرمينيا وجمهورية بيلاروس</w:t>
      </w:r>
      <w:r w:rsidR="00280183">
        <w:rPr>
          <w:rFonts w:hint="cs"/>
          <w:rtl/>
        </w:rPr>
        <w:t xml:space="preserve"> </w:t>
      </w:r>
      <w:r w:rsidR="00280183">
        <w:rPr>
          <w:rFonts w:eastAsiaTheme="minorEastAsia" w:hint="cs"/>
          <w:rtl/>
          <w:lang w:eastAsia="zh-CN"/>
        </w:rPr>
        <w:t>وجمهورية قيرغيزستان</w:t>
      </w:r>
    </w:p>
    <w:p w:rsidR="000E4FF0" w:rsidRDefault="00FF1BD7" w:rsidP="00FF1BD7">
      <w:pPr>
        <w:pStyle w:val="Title1"/>
        <w:rPr>
          <w:rtl/>
        </w:rPr>
      </w:pPr>
      <w:r w:rsidRPr="00FF1BD7">
        <w:rPr>
          <w:rFonts w:hint="cs"/>
          <w:rtl/>
        </w:rPr>
        <w:t xml:space="preserve">مقترحات بشأن عرض البيانات في الوثيقتين </w:t>
      </w:r>
      <w:r w:rsidRPr="00FF1BD7">
        <w:t>C17/10</w:t>
      </w:r>
      <w:r w:rsidRPr="00FF1BD7">
        <w:rPr>
          <w:rFonts w:hint="cs"/>
          <w:rtl/>
        </w:rPr>
        <w:t xml:space="preserve"> و</w:t>
      </w:r>
      <w:r w:rsidRPr="00FF1BD7">
        <w:t>C17/9</w:t>
      </w:r>
    </w:p>
    <w:p w:rsidR="00184EAC" w:rsidRPr="00184EAC" w:rsidRDefault="00184EAC" w:rsidP="00184EAC">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FF1BD7" w:rsidRPr="000E4FF0" w:rsidTr="00EB234F">
        <w:trPr>
          <w:jc w:val="center"/>
        </w:trPr>
        <w:tc>
          <w:tcPr>
            <w:tcW w:w="7230" w:type="dxa"/>
          </w:tcPr>
          <w:p w:rsidR="00FF1BD7" w:rsidRPr="000E4FF0" w:rsidRDefault="00FF1BD7"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FF1BD7" w:rsidRPr="000E4FF0" w:rsidRDefault="00FF1BD7" w:rsidP="00FF1BD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F1BD7">
              <w:rPr>
                <w:rFonts w:eastAsiaTheme="minorEastAsia" w:hint="cs"/>
                <w:rtl/>
                <w:lang w:eastAsia="zh-CN" w:bidi="ar-EG"/>
              </w:rPr>
              <w:t>تقدِّم هذه الوثيقة مقترحات من أجل زيادة وضوح وشفافية الوثيقتين الماليتين للاتحاد: مشروع الميزانية وا</w:t>
            </w:r>
            <w:r w:rsidR="008348F9">
              <w:rPr>
                <w:rFonts w:eastAsiaTheme="minorEastAsia" w:hint="cs"/>
                <w:rtl/>
                <w:lang w:eastAsia="zh-CN" w:bidi="ar-EG"/>
              </w:rPr>
              <w:t>لتقرير بشأن الإيرادات والنفقات.</w:t>
            </w:r>
          </w:p>
          <w:p w:rsidR="00FF1BD7" w:rsidRPr="000E4FF0" w:rsidRDefault="00FF1BD7"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FF1BD7" w:rsidRPr="000E4FF0" w:rsidRDefault="00FF1BD7" w:rsidP="0014085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F1BD7">
              <w:rPr>
                <w:rFonts w:eastAsiaTheme="minorEastAsia" w:hint="cs"/>
                <w:rtl/>
                <w:lang w:eastAsia="zh-CN" w:bidi="ar-EG"/>
              </w:rPr>
              <w:t>يُقترح أن تأخذ الأمانة العامة هذه المقترحات بعين الاعتبار عند استعراضها الخطط والميزانية للفترة</w:t>
            </w:r>
            <w:r w:rsidR="00140853">
              <w:rPr>
                <w:rFonts w:eastAsiaTheme="minorEastAsia" w:hint="eastAsia"/>
                <w:rtl/>
                <w:lang w:eastAsia="zh-CN" w:bidi="ar-EG"/>
              </w:rPr>
              <w:t> </w:t>
            </w:r>
            <w:r w:rsidRPr="00FF1BD7">
              <w:rPr>
                <w:rFonts w:eastAsiaTheme="minorEastAsia"/>
                <w:lang w:eastAsia="zh-CN" w:bidi="ar-SY"/>
              </w:rPr>
              <w:t>2019-2018</w:t>
            </w:r>
            <w:r w:rsidRPr="00FF1BD7">
              <w:rPr>
                <w:rFonts w:eastAsiaTheme="minorEastAsia" w:hint="cs"/>
                <w:rtl/>
                <w:lang w:eastAsia="zh-CN" w:bidi="ar-EG"/>
              </w:rPr>
              <w:t>.</w:t>
            </w:r>
          </w:p>
          <w:p w:rsidR="00FF1BD7" w:rsidRPr="000E4FF0" w:rsidRDefault="00FF1BD7"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FF1BD7" w:rsidRPr="000E4FF0" w:rsidRDefault="00FF1BD7"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FF1BD7" w:rsidRPr="000E4FF0" w:rsidRDefault="00FF1BD7" w:rsidP="00FF1BD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FF1BD7">
              <w:rPr>
                <w:rFonts w:eastAsiaTheme="minorEastAsia" w:hint="cs"/>
                <w:i/>
                <w:iCs/>
                <w:rtl/>
                <w:lang w:eastAsia="zh-CN"/>
              </w:rPr>
              <w:t xml:space="preserve">الوثائق </w:t>
            </w:r>
            <w:hyperlink r:id="rId11" w:history="1">
              <w:r w:rsidRPr="00FF1BD7">
                <w:rPr>
                  <w:rStyle w:val="Hyperlink"/>
                  <w:rFonts w:eastAsiaTheme="minorEastAsia"/>
                  <w:i/>
                  <w:iCs/>
                  <w:lang w:val="fr-FR" w:eastAsia="zh-CN" w:bidi="ar-SY"/>
                </w:rPr>
                <w:t>C17/10</w:t>
              </w:r>
            </w:hyperlink>
            <w:r w:rsidRPr="00FF1BD7">
              <w:rPr>
                <w:rFonts w:eastAsiaTheme="minorEastAsia" w:hint="cs"/>
                <w:i/>
                <w:iCs/>
                <w:rtl/>
                <w:lang w:eastAsia="zh-CN"/>
              </w:rPr>
              <w:t xml:space="preserve"> و</w:t>
            </w:r>
            <w:hyperlink r:id="rId12" w:history="1">
              <w:r w:rsidRPr="00FF1BD7">
                <w:rPr>
                  <w:rStyle w:val="Hyperlink"/>
                  <w:rFonts w:eastAsiaTheme="minorEastAsia"/>
                  <w:i/>
                  <w:iCs/>
                  <w:lang w:val="fr-FR" w:eastAsia="zh-CN" w:bidi="ar-SY"/>
                </w:rPr>
                <w:t>C17/9</w:t>
              </w:r>
            </w:hyperlink>
            <w:r w:rsidRPr="00FF1BD7">
              <w:rPr>
                <w:rFonts w:eastAsiaTheme="minorEastAsia" w:hint="cs"/>
                <w:i/>
                <w:iCs/>
                <w:rtl/>
                <w:lang w:eastAsia="zh-CN"/>
              </w:rPr>
              <w:t xml:space="preserve"> و</w:t>
            </w:r>
            <w:hyperlink r:id="rId13" w:history="1">
              <w:r w:rsidRPr="00FF1BD7">
                <w:rPr>
                  <w:rStyle w:val="Hyperlink"/>
                  <w:rFonts w:eastAsiaTheme="minorEastAsia"/>
                  <w:i/>
                  <w:iCs/>
                  <w:lang w:val="fr-FR" w:eastAsia="zh-CN" w:bidi="ar-SY"/>
                </w:rPr>
                <w:t>С16/9</w:t>
              </w:r>
            </w:hyperlink>
            <w:r w:rsidRPr="00FF1BD7">
              <w:rPr>
                <w:rFonts w:eastAsiaTheme="minorEastAsia" w:hint="cs"/>
                <w:i/>
                <w:iCs/>
                <w:rtl/>
                <w:lang w:eastAsia="zh-CN"/>
              </w:rPr>
              <w:t xml:space="preserve"> و</w:t>
            </w:r>
            <w:hyperlink r:id="rId14" w:history="1">
              <w:r w:rsidRPr="00FF1BD7">
                <w:rPr>
                  <w:rStyle w:val="Hyperlink"/>
                  <w:rFonts w:eastAsiaTheme="minorEastAsia"/>
                  <w:i/>
                  <w:iCs/>
                  <w:lang w:val="fr-FR" w:eastAsia="zh-CN" w:bidi="ar-SY"/>
                </w:rPr>
                <w:t>C17/64</w:t>
              </w:r>
            </w:hyperlink>
            <w:r w:rsidRPr="00FF1BD7">
              <w:rPr>
                <w:rFonts w:eastAsiaTheme="minorEastAsia" w:hint="cs"/>
                <w:i/>
                <w:iCs/>
                <w:rtl/>
                <w:lang w:eastAsia="zh-CN"/>
              </w:rPr>
              <w:t xml:space="preserve"> و</w:t>
            </w:r>
            <w:hyperlink r:id="rId15" w:history="1">
              <w:r w:rsidRPr="00FF1BD7">
                <w:rPr>
                  <w:rStyle w:val="Hyperlink"/>
                  <w:rFonts w:eastAsiaTheme="minorEastAsia"/>
                  <w:i/>
                  <w:iCs/>
                  <w:lang w:val="fr-FR" w:eastAsia="zh-CN" w:bidi="ar-SY"/>
                </w:rPr>
                <w:t>С17/67</w:t>
              </w:r>
            </w:hyperlink>
            <w:r w:rsidRPr="00FF1BD7">
              <w:rPr>
                <w:rFonts w:eastAsiaTheme="minorEastAsia" w:hint="cs"/>
                <w:i/>
                <w:iCs/>
                <w:rtl/>
                <w:lang w:eastAsia="zh-CN"/>
              </w:rPr>
              <w:t xml:space="preserve"> و</w:t>
            </w:r>
            <w:hyperlink r:id="rId16" w:history="1">
              <w:r w:rsidRPr="00FF1BD7">
                <w:rPr>
                  <w:rStyle w:val="Hyperlink"/>
                  <w:rFonts w:eastAsiaTheme="minorEastAsia"/>
                  <w:i/>
                  <w:iCs/>
                  <w:lang w:val="fr-FR" w:eastAsia="zh-CN" w:bidi="ar-SY"/>
                </w:rPr>
                <w:t>С17/74</w:t>
              </w:r>
            </w:hyperlink>
          </w:p>
        </w:tc>
      </w:tr>
    </w:tbl>
    <w:p w:rsidR="00FF1BD7" w:rsidRPr="00FF1BD7" w:rsidRDefault="00FF1BD7" w:rsidP="00FF1BD7">
      <w:pPr>
        <w:pStyle w:val="Heading1"/>
        <w:rPr>
          <w:rtl/>
        </w:rPr>
      </w:pPr>
      <w:r w:rsidRPr="00FF1BD7">
        <w:t>1</w:t>
      </w:r>
      <w:r w:rsidRPr="00FF1BD7">
        <w:rPr>
          <w:rtl/>
        </w:rPr>
        <w:tab/>
      </w:r>
      <w:r w:rsidRPr="00FF1BD7">
        <w:rPr>
          <w:rFonts w:hint="cs"/>
          <w:rtl/>
        </w:rPr>
        <w:t>تحليل</w:t>
      </w:r>
    </w:p>
    <w:p w:rsidR="00FF1BD7" w:rsidRPr="00FF1BD7" w:rsidRDefault="00FF1BD7" w:rsidP="00FF1BD7">
      <w:pPr>
        <w:rPr>
          <w:rtl/>
          <w:lang w:bidi="ar-EG"/>
        </w:rPr>
      </w:pPr>
      <w:r w:rsidRPr="00FF1BD7">
        <w:rPr>
          <w:rFonts w:hint="cs"/>
          <w:rtl/>
          <w:lang w:bidi="ar-EG"/>
        </w:rPr>
        <w:t xml:space="preserve">إن الوثيقة </w:t>
      </w:r>
      <w:r w:rsidRPr="00FF1BD7">
        <w:rPr>
          <w:lang w:bidi="ar-EG"/>
        </w:rPr>
        <w:t>C17/10</w:t>
      </w:r>
      <w:r w:rsidRPr="00FF1BD7">
        <w:rPr>
          <w:rFonts w:hint="cs"/>
          <w:rtl/>
          <w:lang w:bidi="ar-EG"/>
        </w:rPr>
        <w:t xml:space="preserve"> "تقرير من الأمين العام: مشروع ميزانية الاتحاد للفترة </w:t>
      </w:r>
      <w:r w:rsidRPr="00FF1BD7">
        <w:rPr>
          <w:lang w:val="fr-CH" w:bidi="ar-EG"/>
        </w:rPr>
        <w:t>2019-2018</w:t>
      </w:r>
      <w:r w:rsidRPr="00FF1BD7">
        <w:rPr>
          <w:rFonts w:hint="cs"/>
          <w:rtl/>
          <w:lang w:bidi="ar-EG"/>
        </w:rPr>
        <w:t xml:space="preserve">"، والتي تتكون نسختها الإنكليزية من </w:t>
      </w:r>
      <w:r w:rsidRPr="00FF1BD7">
        <w:rPr>
          <w:lang w:val="fr-CH" w:bidi="ar-EG"/>
        </w:rPr>
        <w:t>45</w:t>
      </w:r>
      <w:r>
        <w:rPr>
          <w:rFonts w:hint="eastAsia"/>
          <w:rtl/>
          <w:lang w:bidi="ar-EG"/>
        </w:rPr>
        <w:t> </w:t>
      </w:r>
      <w:r w:rsidRPr="00FF1BD7">
        <w:rPr>
          <w:rFonts w:hint="cs"/>
          <w:rtl/>
          <w:lang w:bidi="ar-EG"/>
        </w:rPr>
        <w:t xml:space="preserve">صفحة ترد بها جداول وشروح عديدة، والوثيقة </w:t>
      </w:r>
      <w:r w:rsidRPr="00FF1BD7">
        <w:rPr>
          <w:lang w:bidi="ar-EG"/>
        </w:rPr>
        <w:t>C17/9</w:t>
      </w:r>
      <w:r w:rsidRPr="00FF1BD7">
        <w:rPr>
          <w:rFonts w:hint="cs"/>
          <w:rtl/>
          <w:lang w:bidi="ar-EG"/>
        </w:rPr>
        <w:t xml:space="preserve"> "تقرير من الأمين العام: الاستعراض السنوي للإيرادات والنفقات"، تتألفان من قدر هائل من البيانات التي يتعين تحليلها مجتمعةً. بيد أنه من اللازم عند تحليل ميزانية الاتحاد استعراض وثائق مماثلة عُرضت على دورات مجلس الاتحاد السابقة، من قبيل الوثيقة </w:t>
      </w:r>
      <w:r w:rsidRPr="00FF1BD7">
        <w:rPr>
          <w:lang w:bidi="ar-EG"/>
        </w:rPr>
        <w:t>C16/9</w:t>
      </w:r>
      <w:r w:rsidR="00F34EBD">
        <w:rPr>
          <w:rFonts w:hint="cs"/>
          <w:rtl/>
          <w:lang w:bidi="ar-EG"/>
        </w:rPr>
        <w:t xml:space="preserve"> وغيرها.</w:t>
      </w:r>
    </w:p>
    <w:p w:rsidR="00FF1BD7" w:rsidRPr="00FF1BD7" w:rsidRDefault="00FF1BD7" w:rsidP="00FF1BD7">
      <w:pPr>
        <w:rPr>
          <w:rtl/>
          <w:lang w:bidi="ar-EG"/>
        </w:rPr>
      </w:pPr>
      <w:r w:rsidRPr="00FF1BD7">
        <w:rPr>
          <w:rFonts w:hint="cs"/>
          <w:rtl/>
          <w:lang w:bidi="ar-EG"/>
        </w:rPr>
        <w:t>وفضلاً عن ذلك، عادة ما تَعرِض الوثائقُ ذات المحتوى المماثل جداول ذات أنساق مختلفة. مثلاً، تُعرض "إيرادات الفوائد" و"إيرادات أخرى" في</w:t>
      </w:r>
      <w:r>
        <w:rPr>
          <w:rFonts w:hint="eastAsia"/>
          <w:rtl/>
          <w:lang w:bidi="ar-EG"/>
        </w:rPr>
        <w:t> </w:t>
      </w:r>
      <w:r w:rsidRPr="00FF1BD7">
        <w:rPr>
          <w:rFonts w:hint="cs"/>
          <w:rtl/>
          <w:lang w:bidi="ar-EG"/>
        </w:rPr>
        <w:t>الجدول</w:t>
      </w:r>
      <w:r>
        <w:rPr>
          <w:rFonts w:hint="eastAsia"/>
          <w:rtl/>
          <w:lang w:bidi="ar-EG"/>
        </w:rPr>
        <w:t> </w:t>
      </w:r>
      <w:r w:rsidRPr="00FF1BD7">
        <w:rPr>
          <w:lang w:val="fr-CH" w:bidi="ar-EG"/>
        </w:rPr>
        <w:t>1</w:t>
      </w:r>
      <w:r w:rsidRPr="00FF1BD7">
        <w:rPr>
          <w:rFonts w:hint="cs"/>
          <w:rtl/>
          <w:lang w:bidi="ar-EG"/>
        </w:rPr>
        <w:t xml:space="preserve"> بالوثيقة</w:t>
      </w:r>
      <w:r>
        <w:rPr>
          <w:rFonts w:hint="eastAsia"/>
          <w:rtl/>
          <w:lang w:bidi="ar-EG"/>
        </w:rPr>
        <w:t> </w:t>
      </w:r>
      <w:r w:rsidRPr="00FF1BD7">
        <w:rPr>
          <w:lang w:bidi="ar-EG"/>
        </w:rPr>
        <w:t>C16/9</w:t>
      </w:r>
      <w:r w:rsidRPr="00FF1BD7">
        <w:rPr>
          <w:rFonts w:hint="cs"/>
          <w:rtl/>
          <w:lang w:bidi="ar-EG"/>
        </w:rPr>
        <w:t xml:space="preserve"> في سطرين منفصلين، بينما يُدمج هذين البندين في سطر واحد في نظيره بالوثيقة</w:t>
      </w:r>
      <w:r>
        <w:rPr>
          <w:rFonts w:hint="eastAsia"/>
          <w:rtl/>
          <w:lang w:bidi="ar-EG"/>
        </w:rPr>
        <w:t> </w:t>
      </w:r>
      <w:r w:rsidRPr="00FF1BD7">
        <w:rPr>
          <w:lang w:bidi="ar-EG"/>
        </w:rPr>
        <w:t>C17/9</w:t>
      </w:r>
      <w:r w:rsidRPr="00FF1BD7">
        <w:rPr>
          <w:rFonts w:hint="cs"/>
          <w:rtl/>
          <w:lang w:bidi="ar-EG"/>
        </w:rPr>
        <w:t>. وفي</w:t>
      </w:r>
      <w:r>
        <w:rPr>
          <w:rFonts w:hint="eastAsia"/>
          <w:rtl/>
          <w:lang w:bidi="ar-EG"/>
        </w:rPr>
        <w:t> </w:t>
      </w:r>
      <w:r w:rsidRPr="00FF1BD7">
        <w:rPr>
          <w:rFonts w:hint="cs"/>
          <w:rtl/>
          <w:lang w:bidi="ar-EG"/>
        </w:rPr>
        <w:t>الوثيقة</w:t>
      </w:r>
      <w:r>
        <w:rPr>
          <w:rFonts w:hint="eastAsia"/>
          <w:rtl/>
          <w:lang w:bidi="ar-EG"/>
        </w:rPr>
        <w:t> </w:t>
      </w:r>
      <w:r w:rsidRPr="00FF1BD7">
        <w:rPr>
          <w:lang w:bidi="ar-EG"/>
        </w:rPr>
        <w:t>C17/10</w:t>
      </w:r>
      <w:r w:rsidRPr="00FF1BD7">
        <w:rPr>
          <w:rFonts w:hint="cs"/>
          <w:rtl/>
          <w:lang w:bidi="ar-EG"/>
        </w:rPr>
        <w:t xml:space="preserve">، تميَّز بعض الأعمدة بحروف (الجداول من </w:t>
      </w:r>
      <w:r w:rsidRPr="00FF1BD7">
        <w:rPr>
          <w:lang w:val="fr-CH" w:bidi="ar-EG"/>
        </w:rPr>
        <w:t>1</w:t>
      </w:r>
      <w:r w:rsidRPr="00FF1BD7">
        <w:rPr>
          <w:rFonts w:hint="cs"/>
          <w:rtl/>
          <w:lang w:bidi="ar-EG"/>
        </w:rPr>
        <w:t xml:space="preserve"> إلى </w:t>
      </w:r>
      <w:r w:rsidRPr="00FF1BD7">
        <w:rPr>
          <w:lang w:val="fr-CH" w:bidi="ar-EG"/>
        </w:rPr>
        <w:t>9</w:t>
      </w:r>
      <w:r w:rsidR="00BD0CDE">
        <w:rPr>
          <w:rFonts w:hint="cs"/>
          <w:rtl/>
          <w:lang w:bidi="ar-EG"/>
        </w:rPr>
        <w:t>)، بينما لا</w:t>
      </w:r>
      <w:r w:rsidR="00BD0CDE">
        <w:rPr>
          <w:rFonts w:hint="eastAsia"/>
          <w:rtl/>
          <w:lang w:bidi="ar-EG"/>
        </w:rPr>
        <w:t> </w:t>
      </w:r>
      <w:r w:rsidRPr="00FF1BD7">
        <w:rPr>
          <w:rFonts w:hint="cs"/>
          <w:rtl/>
          <w:lang w:bidi="ar-EG"/>
        </w:rPr>
        <w:t xml:space="preserve">ينطبق ذلك على جداول أخرى، مما يجعل من الصعب إعداد مادة تحليلية (انظر الجداول </w:t>
      </w:r>
      <w:r w:rsidRPr="00FF1BD7">
        <w:rPr>
          <w:lang w:val="fr-CH" w:bidi="ar-EG"/>
        </w:rPr>
        <w:t>10</w:t>
      </w:r>
      <w:r w:rsidRPr="00FF1BD7">
        <w:rPr>
          <w:rFonts w:hint="cs"/>
          <w:rtl/>
          <w:lang w:bidi="ar-EG"/>
        </w:rPr>
        <w:t xml:space="preserve"> و</w:t>
      </w:r>
      <w:r w:rsidRPr="00FF1BD7">
        <w:rPr>
          <w:lang w:val="fr-CH" w:bidi="ar-EG"/>
        </w:rPr>
        <w:t>18</w:t>
      </w:r>
      <w:r w:rsidRPr="00FF1BD7">
        <w:rPr>
          <w:rFonts w:hint="cs"/>
          <w:rtl/>
          <w:lang w:bidi="ar-EG"/>
        </w:rPr>
        <w:t xml:space="preserve"> و</w:t>
      </w:r>
      <w:r w:rsidRPr="00FF1BD7">
        <w:rPr>
          <w:lang w:val="fr-CH" w:bidi="ar-EG"/>
        </w:rPr>
        <w:t>19</w:t>
      </w:r>
      <w:r w:rsidRPr="00FF1BD7">
        <w:rPr>
          <w:rFonts w:hint="cs"/>
          <w:rtl/>
          <w:lang w:bidi="ar-EG"/>
        </w:rPr>
        <w:t xml:space="preserve"> و</w:t>
      </w:r>
      <w:r w:rsidRPr="00FF1BD7">
        <w:rPr>
          <w:lang w:val="fr-CH" w:bidi="ar-EG"/>
        </w:rPr>
        <w:t>20</w:t>
      </w:r>
      <w:r w:rsidRPr="00FF1BD7">
        <w:rPr>
          <w:rFonts w:hint="cs"/>
          <w:rtl/>
          <w:lang w:bidi="ar-EG"/>
        </w:rPr>
        <w:t xml:space="preserve"> وغيرها) للوثيقتين المقدمتين. وفي بعض الأحيان، تميَّز بعض الأعمدة الواردة في نفس الوثيقة بحروف كبيرة وفي البعض الآخر بحروف صغيرة، </w:t>
      </w:r>
      <w:r>
        <w:rPr>
          <w:rFonts w:hint="cs"/>
          <w:rtl/>
          <w:lang w:bidi="ar-EG"/>
        </w:rPr>
        <w:t>في </w:t>
      </w:r>
      <w:r w:rsidRPr="00FF1BD7">
        <w:rPr>
          <w:rFonts w:hint="cs"/>
          <w:rtl/>
          <w:lang w:bidi="ar-EG"/>
        </w:rPr>
        <w:t xml:space="preserve">الجدول </w:t>
      </w:r>
      <w:r w:rsidRPr="00FF1BD7">
        <w:rPr>
          <w:lang w:val="fr-CH" w:bidi="ar-EG"/>
        </w:rPr>
        <w:t>11</w:t>
      </w:r>
      <w:r w:rsidRPr="00FF1BD7">
        <w:rPr>
          <w:rFonts w:hint="cs"/>
          <w:rtl/>
          <w:lang w:bidi="ar-EG"/>
        </w:rPr>
        <w:t xml:space="preserve"> بالوثيقة </w:t>
      </w:r>
      <w:r w:rsidRPr="00FF1BD7">
        <w:rPr>
          <w:lang w:bidi="ar-EG"/>
        </w:rPr>
        <w:t>C17/10</w:t>
      </w:r>
      <w:r>
        <w:rPr>
          <w:rFonts w:hint="cs"/>
          <w:rtl/>
          <w:lang w:bidi="ar-EG"/>
        </w:rPr>
        <w:t xml:space="preserve"> </w:t>
      </w:r>
      <w:r w:rsidRPr="00FF1BD7">
        <w:rPr>
          <w:rFonts w:hint="cs"/>
          <w:rtl/>
          <w:lang w:bidi="ar-EG"/>
        </w:rPr>
        <w:t>مثلاً.</w:t>
      </w:r>
    </w:p>
    <w:p w:rsidR="00FF1BD7" w:rsidRPr="00FF1BD7" w:rsidRDefault="00FF1BD7" w:rsidP="00FF1BD7">
      <w:pPr>
        <w:rPr>
          <w:rtl/>
          <w:lang w:bidi="ar-EG"/>
        </w:rPr>
      </w:pPr>
      <w:r w:rsidRPr="00FF1BD7">
        <w:rPr>
          <w:rFonts w:hint="cs"/>
          <w:rtl/>
          <w:lang w:bidi="ar-EG"/>
        </w:rPr>
        <w:t xml:space="preserve">والبيانات المعروضة بالوثيقة </w:t>
      </w:r>
      <w:r w:rsidRPr="00FF1BD7">
        <w:rPr>
          <w:lang w:bidi="ar-EG"/>
        </w:rPr>
        <w:t>C17/9</w:t>
      </w:r>
      <w:r w:rsidRPr="00FF1BD7">
        <w:rPr>
          <w:rFonts w:hint="cs"/>
          <w:rtl/>
          <w:lang w:bidi="ar-EG"/>
        </w:rPr>
        <w:t xml:space="preserve"> هي بيانات </w:t>
      </w:r>
      <w:r>
        <w:rPr>
          <w:rFonts w:hint="cs"/>
          <w:rtl/>
          <w:lang w:bidi="ar-EG"/>
        </w:rPr>
        <w:t>تتعلق ب</w:t>
      </w:r>
      <w:r w:rsidRPr="00FF1BD7">
        <w:rPr>
          <w:rFonts w:hint="cs"/>
          <w:rtl/>
          <w:lang w:bidi="ar-EG"/>
        </w:rPr>
        <w:t>تاريخ معين (</w:t>
      </w:r>
      <w:r w:rsidRPr="00FF1BD7">
        <w:rPr>
          <w:lang w:val="fr-CH" w:bidi="ar-EG"/>
        </w:rPr>
        <w:t>7</w:t>
      </w:r>
      <w:r w:rsidRPr="00FF1BD7">
        <w:rPr>
          <w:rFonts w:hint="cs"/>
          <w:rtl/>
          <w:lang w:bidi="ar-EG"/>
        </w:rPr>
        <w:t xml:space="preserve"> فبراير </w:t>
      </w:r>
      <w:r w:rsidRPr="00FF1BD7">
        <w:rPr>
          <w:lang w:val="fr-CH" w:bidi="ar-EG"/>
        </w:rPr>
        <w:t>2017</w:t>
      </w:r>
      <w:r w:rsidRPr="00FF1BD7">
        <w:rPr>
          <w:rFonts w:hint="cs"/>
          <w:rtl/>
          <w:lang w:bidi="ar-EG"/>
        </w:rPr>
        <w:t xml:space="preserve">)، بينما البيانات المقابلة المعروضة لأغراض المقارنة والتحليل بالوثيقة </w:t>
      </w:r>
      <w:r w:rsidRPr="00FF1BD7">
        <w:rPr>
          <w:lang w:bidi="ar-EG"/>
        </w:rPr>
        <w:t>C17/10</w:t>
      </w:r>
      <w:r w:rsidRPr="00FF1BD7">
        <w:rPr>
          <w:rFonts w:hint="cs"/>
          <w:rtl/>
          <w:lang w:bidi="ar-EG"/>
        </w:rPr>
        <w:t xml:space="preserve"> تخص تاريخاً مختلفاً (</w:t>
      </w:r>
      <w:r w:rsidRPr="00FF1BD7">
        <w:rPr>
          <w:lang w:val="fr-CH" w:bidi="ar-EG"/>
        </w:rPr>
        <w:t>17</w:t>
      </w:r>
      <w:r w:rsidRPr="00FF1BD7">
        <w:rPr>
          <w:rFonts w:hint="cs"/>
          <w:rtl/>
          <w:lang w:bidi="ar-EG"/>
        </w:rPr>
        <w:t xml:space="preserve"> فبراير </w:t>
      </w:r>
      <w:r w:rsidRPr="00FF1BD7">
        <w:rPr>
          <w:lang w:val="fr-CH" w:bidi="ar-EG"/>
        </w:rPr>
        <w:t>2017</w:t>
      </w:r>
      <w:r w:rsidRPr="00FF1BD7">
        <w:rPr>
          <w:rFonts w:hint="cs"/>
          <w:rtl/>
          <w:lang w:bidi="ar-EG"/>
        </w:rPr>
        <w:t>).</w:t>
      </w:r>
    </w:p>
    <w:p w:rsidR="00FF1BD7" w:rsidRPr="00FF1BD7" w:rsidRDefault="00FF1BD7" w:rsidP="00FF1BD7">
      <w:pPr>
        <w:rPr>
          <w:rtl/>
          <w:lang w:bidi="ar-EG"/>
        </w:rPr>
      </w:pPr>
      <w:r w:rsidRPr="00FF1BD7">
        <w:rPr>
          <w:rFonts w:hint="cs"/>
          <w:rtl/>
          <w:lang w:bidi="ar-EG"/>
        </w:rPr>
        <w:t xml:space="preserve">وفي الوثيقة </w:t>
      </w:r>
      <w:r w:rsidRPr="00FF1BD7">
        <w:rPr>
          <w:lang w:bidi="ar-EG"/>
        </w:rPr>
        <w:t>C17/10</w:t>
      </w:r>
      <w:r w:rsidRPr="00FF1BD7">
        <w:rPr>
          <w:rFonts w:hint="cs"/>
          <w:rtl/>
          <w:lang w:bidi="ar-EG"/>
        </w:rPr>
        <w:t xml:space="preserve">، في الجدول </w:t>
      </w:r>
      <w:r w:rsidRPr="00FF1BD7">
        <w:rPr>
          <w:lang w:val="fr-CH" w:bidi="ar-EG"/>
        </w:rPr>
        <w:t>5</w:t>
      </w:r>
      <w:r>
        <w:rPr>
          <w:rFonts w:hint="cs"/>
          <w:rtl/>
          <w:lang w:val="fr-CH" w:bidi="ar-EG"/>
        </w:rPr>
        <w:t xml:space="preserve"> </w:t>
      </w:r>
      <w:r w:rsidRPr="00FF1BD7">
        <w:rPr>
          <w:rFonts w:hint="cs"/>
          <w:rtl/>
          <w:lang w:bidi="ar-EG"/>
        </w:rPr>
        <w:t>مثلاً، يتسبب وجود أو غياب الفاصلة بين الأرقام في أخطاء عندما تنقل البيانات إلى جدا</w:t>
      </w:r>
      <w:r w:rsidR="00F06E45">
        <w:rPr>
          <w:rFonts w:hint="cs"/>
          <w:rtl/>
          <w:lang w:bidi="ar-EG"/>
        </w:rPr>
        <w:t xml:space="preserve">ول </w:t>
      </w:r>
      <w:proofErr w:type="spellStart"/>
      <w:r w:rsidR="00F06E45">
        <w:rPr>
          <w:rFonts w:hint="cs"/>
          <w:rtl/>
          <w:lang w:bidi="ar-EG"/>
        </w:rPr>
        <w:t>إ</w:t>
      </w:r>
      <w:r w:rsidRPr="00FF1BD7">
        <w:rPr>
          <w:rFonts w:hint="cs"/>
          <w:rtl/>
          <w:lang w:bidi="ar-EG"/>
        </w:rPr>
        <w:t>كسل</w:t>
      </w:r>
      <w:proofErr w:type="spellEnd"/>
      <w:r w:rsidR="00F06E45">
        <w:rPr>
          <w:rFonts w:hint="eastAsia"/>
          <w:rtl/>
          <w:lang w:bidi="ar-EG"/>
        </w:rPr>
        <w:t> </w:t>
      </w:r>
      <w:r w:rsidR="00F06E45">
        <w:rPr>
          <w:lang w:bidi="ar-EG"/>
        </w:rPr>
        <w:t>(Excel)</w:t>
      </w:r>
      <w:r w:rsidRPr="00FF1BD7">
        <w:rPr>
          <w:rFonts w:hint="cs"/>
          <w:rtl/>
          <w:lang w:bidi="ar-EG"/>
        </w:rPr>
        <w:t xml:space="preserve">. ولذا، فإن الوثيقة </w:t>
      </w:r>
      <w:r w:rsidRPr="00FF1BD7">
        <w:rPr>
          <w:lang w:bidi="ar-EG"/>
        </w:rPr>
        <w:t>C17/9</w:t>
      </w:r>
      <w:r w:rsidR="00BD0CDE">
        <w:rPr>
          <w:rFonts w:hint="cs"/>
          <w:rtl/>
          <w:lang w:bidi="ar-EG"/>
        </w:rPr>
        <w:t xml:space="preserve"> أسهل استعمالاً.</w:t>
      </w:r>
    </w:p>
    <w:p w:rsidR="00FF1BD7" w:rsidRPr="00FF1BD7" w:rsidRDefault="00FF1BD7" w:rsidP="00F06E45">
      <w:pPr>
        <w:keepNext/>
        <w:spacing w:after="120"/>
        <w:rPr>
          <w:rtl/>
          <w:lang w:bidi="ar-EG"/>
        </w:rPr>
      </w:pPr>
      <w:r w:rsidRPr="00FF1BD7">
        <w:rPr>
          <w:rFonts w:hint="cs"/>
          <w:rtl/>
          <w:lang w:bidi="ar-EG"/>
        </w:rPr>
        <w:lastRenderedPageBreak/>
        <w:t xml:space="preserve">مقتطف من الوثيقة </w:t>
      </w:r>
      <w:r w:rsidRPr="00FF1BD7">
        <w:rPr>
          <w:lang w:bidi="ar-EG"/>
        </w:rPr>
        <w:t>C17/10</w:t>
      </w:r>
      <w:r w:rsidRPr="00FF1BD7">
        <w:rPr>
          <w:rFonts w:hint="cs"/>
          <w:rtl/>
          <w:lang w:bidi="ar-EG"/>
        </w:rPr>
        <w:t>:</w:t>
      </w:r>
    </w:p>
    <w:tbl>
      <w:tblPr>
        <w:bidiVisual/>
        <w:tblW w:w="5000" w:type="pct"/>
        <w:shd w:val="clear" w:color="auto" w:fill="DCE6F1"/>
        <w:tblLayout w:type="fixed"/>
        <w:tblCellMar>
          <w:left w:w="70" w:type="dxa"/>
          <w:right w:w="70" w:type="dxa"/>
        </w:tblCellMar>
        <w:tblLook w:val="04A0" w:firstRow="1" w:lastRow="0" w:firstColumn="1" w:lastColumn="0" w:noHBand="0" w:noVBand="1"/>
      </w:tblPr>
      <w:tblGrid>
        <w:gridCol w:w="9639"/>
      </w:tblGrid>
      <w:tr w:rsidR="00FF1BD7" w:rsidRPr="00FF1BD7" w:rsidTr="00FF1BD7">
        <w:trPr>
          <w:trHeight w:val="20"/>
        </w:trPr>
        <w:tc>
          <w:tcPr>
            <w:tcW w:w="5000" w:type="pct"/>
            <w:tcBorders>
              <w:top w:val="nil"/>
              <w:left w:val="nil"/>
              <w:bottom w:val="nil"/>
              <w:right w:val="nil"/>
            </w:tcBorders>
            <w:shd w:val="clear" w:color="auto" w:fill="DCE6F1"/>
            <w:vAlign w:val="center"/>
          </w:tcPr>
          <w:p w:rsidR="00FF1BD7" w:rsidRPr="00FF1BD7" w:rsidRDefault="00FF1BD7" w:rsidP="00F06E45">
            <w:pPr>
              <w:keepNext/>
              <w:keepLines/>
              <w:spacing w:before="60" w:after="60" w:line="300" w:lineRule="exact"/>
              <w:jc w:val="center"/>
              <w:rPr>
                <w:b/>
                <w:bCs/>
                <w:lang w:bidi="ar-EG"/>
              </w:rPr>
            </w:pPr>
            <w:r w:rsidRPr="00FF1BD7">
              <w:rPr>
                <w:rFonts w:hint="cs"/>
                <w:b/>
                <w:bCs/>
                <w:rtl/>
              </w:rPr>
              <w:t>ميزانية</w:t>
            </w:r>
            <w:r w:rsidRPr="00FF1BD7">
              <w:rPr>
                <w:b/>
                <w:bCs/>
                <w:lang w:bidi="ar-EG"/>
              </w:rPr>
              <w:br/>
              <w:t>2017-2016</w:t>
            </w:r>
            <w:r>
              <w:rPr>
                <w:rFonts w:hint="cs"/>
                <w:b/>
                <w:bCs/>
                <w:rtl/>
                <w:lang w:bidi="ar-EG"/>
              </w:rPr>
              <w:t xml:space="preserve"> بآلاف الفرنكات السويسرية</w:t>
            </w:r>
          </w:p>
        </w:tc>
      </w:tr>
      <w:tr w:rsidR="00FF1BD7" w:rsidRPr="00FF1BD7" w:rsidTr="00FF1BD7">
        <w:trPr>
          <w:trHeight w:val="20"/>
        </w:trPr>
        <w:tc>
          <w:tcPr>
            <w:tcW w:w="5000" w:type="pct"/>
            <w:tcBorders>
              <w:top w:val="nil"/>
              <w:left w:val="nil"/>
              <w:bottom w:val="single" w:sz="4" w:space="0" w:color="auto"/>
              <w:right w:val="nil"/>
            </w:tcBorders>
            <w:shd w:val="clear" w:color="auto" w:fill="DCE6F1"/>
            <w:vAlign w:val="center"/>
          </w:tcPr>
          <w:p w:rsidR="00FF1BD7" w:rsidRPr="00FF1BD7" w:rsidRDefault="00FF1BD7" w:rsidP="00F06E45">
            <w:pPr>
              <w:keepNext/>
              <w:keepLines/>
              <w:spacing w:before="60" w:after="60" w:line="300" w:lineRule="exact"/>
              <w:jc w:val="center"/>
              <w:rPr>
                <w:b/>
                <w:bCs/>
                <w:rtl/>
                <w:lang w:bidi="ar-EG"/>
              </w:rPr>
            </w:pPr>
            <w:r w:rsidRPr="00FF1BD7">
              <w:rPr>
                <w:rFonts w:hint="cs"/>
                <w:b/>
                <w:bCs/>
                <w:rtl/>
              </w:rPr>
              <w:t>ج</w:t>
            </w:r>
          </w:p>
        </w:tc>
      </w:tr>
      <w:tr w:rsidR="00FF1BD7" w:rsidRPr="00FF1BD7" w:rsidTr="00FF1BD7">
        <w:trPr>
          <w:trHeight w:val="20"/>
        </w:trPr>
        <w:tc>
          <w:tcPr>
            <w:tcW w:w="5000" w:type="pct"/>
            <w:tcBorders>
              <w:top w:val="nil"/>
              <w:left w:val="nil"/>
              <w:bottom w:val="nil"/>
              <w:right w:val="nil"/>
            </w:tcBorders>
            <w:shd w:val="clear" w:color="auto" w:fill="DCE6F1"/>
            <w:noWrap/>
            <w:vAlign w:val="bottom"/>
          </w:tcPr>
          <w:p w:rsidR="00FF1BD7" w:rsidRPr="00FF1BD7" w:rsidRDefault="00FF1BD7" w:rsidP="00F06E45">
            <w:pPr>
              <w:keepNext/>
              <w:keepLines/>
              <w:spacing w:before="60" w:after="60" w:line="300" w:lineRule="exact"/>
              <w:rPr>
                <w:lang w:bidi="ar-EG"/>
              </w:rPr>
            </w:pPr>
            <w:r w:rsidRPr="00FF1BD7">
              <w:rPr>
                <w:lang w:bidi="ar-EG"/>
              </w:rPr>
              <w:t>248 802</w:t>
            </w:r>
          </w:p>
        </w:tc>
      </w:tr>
      <w:tr w:rsidR="00FF1BD7" w:rsidRPr="00FF1BD7" w:rsidTr="00FF1BD7">
        <w:trPr>
          <w:trHeight w:val="20"/>
        </w:trPr>
        <w:tc>
          <w:tcPr>
            <w:tcW w:w="5000" w:type="pct"/>
            <w:tcBorders>
              <w:top w:val="nil"/>
              <w:left w:val="nil"/>
              <w:bottom w:val="nil"/>
              <w:right w:val="nil"/>
            </w:tcBorders>
            <w:shd w:val="clear" w:color="auto" w:fill="DCE6F1"/>
            <w:noWrap/>
            <w:vAlign w:val="bottom"/>
          </w:tcPr>
          <w:p w:rsidR="00FF1BD7" w:rsidRPr="00FF1BD7" w:rsidRDefault="00FF1BD7" w:rsidP="00F06E45">
            <w:pPr>
              <w:keepNext/>
              <w:keepLines/>
              <w:spacing w:before="60" w:after="60" w:line="300" w:lineRule="exact"/>
              <w:rPr>
                <w:lang w:bidi="ar-EG"/>
              </w:rPr>
            </w:pPr>
            <w:r w:rsidRPr="00FF1BD7">
              <w:rPr>
                <w:lang w:bidi="ar-EG"/>
              </w:rPr>
              <w:t>69 250</w:t>
            </w:r>
          </w:p>
        </w:tc>
      </w:tr>
      <w:tr w:rsidR="00FF1BD7" w:rsidRPr="00FF1BD7" w:rsidTr="00FF1BD7">
        <w:trPr>
          <w:trHeight w:val="20"/>
        </w:trPr>
        <w:tc>
          <w:tcPr>
            <w:tcW w:w="5000" w:type="pct"/>
            <w:tcBorders>
              <w:top w:val="nil"/>
              <w:left w:val="nil"/>
              <w:bottom w:val="nil"/>
              <w:right w:val="nil"/>
            </w:tcBorders>
            <w:shd w:val="clear" w:color="auto" w:fill="DCE6F1"/>
            <w:noWrap/>
            <w:vAlign w:val="bottom"/>
          </w:tcPr>
          <w:p w:rsidR="00FF1BD7" w:rsidRPr="007720E3" w:rsidRDefault="00FF1BD7" w:rsidP="00F06E45">
            <w:pPr>
              <w:keepNext/>
              <w:keepLines/>
              <w:spacing w:before="60" w:after="60" w:line="300" w:lineRule="exact"/>
              <w:rPr>
                <w:u w:val="single"/>
                <w:lang w:bidi="ar-EG"/>
              </w:rPr>
            </w:pPr>
            <w:r w:rsidRPr="007720E3">
              <w:rPr>
                <w:u w:val="single"/>
                <w:lang w:bidi="ar-EG"/>
              </w:rPr>
              <w:t>800</w:t>
            </w:r>
          </w:p>
        </w:tc>
      </w:tr>
      <w:tr w:rsidR="00FF1BD7" w:rsidRPr="00FF1BD7" w:rsidTr="00FF1BD7">
        <w:trPr>
          <w:trHeight w:val="20"/>
        </w:trPr>
        <w:tc>
          <w:tcPr>
            <w:tcW w:w="5000" w:type="pct"/>
            <w:tcBorders>
              <w:top w:val="nil"/>
              <w:left w:val="nil"/>
              <w:bottom w:val="nil"/>
              <w:right w:val="nil"/>
            </w:tcBorders>
            <w:shd w:val="clear" w:color="auto" w:fill="DCE6F1"/>
            <w:noWrap/>
            <w:vAlign w:val="bottom"/>
          </w:tcPr>
          <w:p w:rsidR="00FF1BD7" w:rsidRPr="00FF1BD7" w:rsidRDefault="00FF1BD7" w:rsidP="00F06E45">
            <w:pPr>
              <w:keepNext/>
              <w:keepLines/>
              <w:spacing w:before="60" w:after="60" w:line="300" w:lineRule="exact"/>
              <w:rPr>
                <w:lang w:bidi="ar-EG"/>
              </w:rPr>
            </w:pPr>
            <w:r w:rsidRPr="00FF1BD7">
              <w:rPr>
                <w:lang w:bidi="ar-EG"/>
              </w:rPr>
              <w:t>2 451</w:t>
            </w:r>
          </w:p>
        </w:tc>
      </w:tr>
      <w:tr w:rsidR="00FF1BD7" w:rsidRPr="00FF1BD7" w:rsidTr="00FF1BD7">
        <w:trPr>
          <w:trHeight w:val="20"/>
        </w:trPr>
        <w:tc>
          <w:tcPr>
            <w:tcW w:w="5000" w:type="pct"/>
            <w:tcBorders>
              <w:top w:val="single" w:sz="4" w:space="0" w:color="auto"/>
              <w:left w:val="nil"/>
              <w:bottom w:val="single" w:sz="4" w:space="0" w:color="auto"/>
              <w:right w:val="nil"/>
            </w:tcBorders>
            <w:shd w:val="clear" w:color="auto" w:fill="DCE6F1"/>
            <w:noWrap/>
            <w:vAlign w:val="center"/>
          </w:tcPr>
          <w:p w:rsidR="00FF1BD7" w:rsidRPr="00FF1BD7" w:rsidRDefault="00FF1BD7" w:rsidP="00F06E45">
            <w:pPr>
              <w:keepNext/>
              <w:keepLines/>
              <w:spacing w:before="60" w:after="60" w:line="300" w:lineRule="exact"/>
              <w:rPr>
                <w:b/>
                <w:bCs/>
                <w:lang w:bidi="ar-EG"/>
              </w:rPr>
            </w:pPr>
            <w:r w:rsidRPr="00FF1BD7">
              <w:rPr>
                <w:b/>
                <w:bCs/>
                <w:lang w:bidi="ar-EG"/>
              </w:rPr>
              <w:t>321 303</w:t>
            </w:r>
          </w:p>
        </w:tc>
      </w:tr>
    </w:tbl>
    <w:p w:rsidR="00FF1BD7" w:rsidRPr="00FF1BD7" w:rsidRDefault="00F06E45" w:rsidP="00A82FAA">
      <w:pPr>
        <w:spacing w:before="240"/>
        <w:rPr>
          <w:rtl/>
          <w:lang w:bidi="ar-EG"/>
        </w:rPr>
      </w:pPr>
      <w:r>
        <w:rPr>
          <w:rFonts w:hint="cs"/>
          <w:rtl/>
          <w:lang w:bidi="ar-EG"/>
        </w:rPr>
        <w:t>كما أ</w:t>
      </w:r>
      <w:r w:rsidR="007720E3">
        <w:rPr>
          <w:rFonts w:hint="cs"/>
          <w:rtl/>
          <w:lang w:bidi="ar-EG"/>
        </w:rPr>
        <w:t>ن عناوين الجداول لا</w:t>
      </w:r>
      <w:r w:rsidR="007720E3">
        <w:rPr>
          <w:rFonts w:hint="eastAsia"/>
          <w:rtl/>
          <w:lang w:bidi="ar-EG"/>
        </w:rPr>
        <w:t> </w:t>
      </w:r>
      <w:r w:rsidR="00FF1BD7" w:rsidRPr="00FF1BD7">
        <w:rPr>
          <w:rFonts w:hint="cs"/>
          <w:rtl/>
          <w:lang w:bidi="ar-EG"/>
        </w:rPr>
        <w:t xml:space="preserve">تتفق دوماً مع المحتوى. مثلاً يحتوي الجدول </w:t>
      </w:r>
      <w:r w:rsidR="00FF1BD7" w:rsidRPr="00FF1BD7">
        <w:rPr>
          <w:lang w:bidi="ar-EG"/>
        </w:rPr>
        <w:t>2</w:t>
      </w:r>
      <w:r w:rsidR="00FF1BD7" w:rsidRPr="00FF1BD7">
        <w:rPr>
          <w:rFonts w:hint="cs"/>
          <w:rtl/>
          <w:lang w:bidi="ar-EG"/>
        </w:rPr>
        <w:t xml:space="preserve"> بالوثيقة </w:t>
      </w:r>
      <w:r w:rsidR="00FF1BD7" w:rsidRPr="00FF1BD7">
        <w:rPr>
          <w:lang w:bidi="ar-EG"/>
        </w:rPr>
        <w:t>C17/10</w:t>
      </w:r>
      <w:r w:rsidR="007720E3">
        <w:rPr>
          <w:rFonts w:hint="cs"/>
          <w:rtl/>
          <w:lang w:bidi="ar-EG"/>
        </w:rPr>
        <w:t xml:space="preserve"> "</w:t>
      </w:r>
      <w:r w:rsidR="00FF1BD7" w:rsidRPr="00FF1BD7">
        <w:rPr>
          <w:rFonts w:hint="cs"/>
          <w:rtl/>
          <w:lang w:bidi="ar-EG"/>
        </w:rPr>
        <w:t>تقديرات الإيرادات والنفقات للفترة</w:t>
      </w:r>
      <w:r w:rsidR="00FF1BD7">
        <w:rPr>
          <w:rFonts w:hint="eastAsia"/>
          <w:rtl/>
          <w:lang w:bidi="ar-EG"/>
        </w:rPr>
        <w:t> </w:t>
      </w:r>
      <w:r w:rsidR="00FF1BD7" w:rsidRPr="00FF1BD7">
        <w:rPr>
          <w:lang w:val="fr-CH" w:bidi="ar-EG"/>
        </w:rPr>
        <w:t>2019-2018</w:t>
      </w:r>
      <w:r w:rsidR="00FF1BD7" w:rsidRPr="00FF1BD7">
        <w:rPr>
          <w:rFonts w:hint="cs"/>
          <w:rtl/>
          <w:lang w:bidi="ar-EG"/>
        </w:rPr>
        <w:t xml:space="preserve"> حسب كل قطاع" على بيانات من </w:t>
      </w:r>
      <w:r w:rsidR="00FF1BD7" w:rsidRPr="00FF1BD7">
        <w:rPr>
          <w:lang w:val="fr-CH" w:bidi="ar-EG"/>
        </w:rPr>
        <w:t>2014</w:t>
      </w:r>
      <w:r w:rsidR="00FF1BD7" w:rsidRPr="00FF1BD7">
        <w:rPr>
          <w:rFonts w:hint="cs"/>
          <w:rtl/>
          <w:lang w:bidi="ar-EG"/>
        </w:rPr>
        <w:t xml:space="preserve"> (المي</w:t>
      </w:r>
      <w:r w:rsidR="00A82FAA">
        <w:rPr>
          <w:rFonts w:hint="cs"/>
          <w:rtl/>
          <w:lang w:bidi="ar-EG"/>
        </w:rPr>
        <w:t>زانية والمبالغ الفعلية)، وهي لا</w:t>
      </w:r>
      <w:r w:rsidR="00A82FAA">
        <w:rPr>
          <w:rFonts w:hint="eastAsia"/>
          <w:rtl/>
          <w:lang w:bidi="ar-EG"/>
        </w:rPr>
        <w:t> </w:t>
      </w:r>
      <w:r w:rsidR="00FF1BD7" w:rsidRPr="00FF1BD7">
        <w:rPr>
          <w:rFonts w:hint="cs"/>
          <w:rtl/>
          <w:lang w:bidi="ar-EG"/>
        </w:rPr>
        <w:t>علاقة لها بعام</w:t>
      </w:r>
      <w:r w:rsidR="00A82FAA">
        <w:rPr>
          <w:rFonts w:hint="eastAsia"/>
          <w:rtl/>
          <w:lang w:bidi="ar-EG"/>
        </w:rPr>
        <w:t> </w:t>
      </w:r>
      <w:r w:rsidR="00FF1BD7" w:rsidRPr="00FF1BD7">
        <w:rPr>
          <w:lang w:val="fr-CH" w:bidi="ar-EG"/>
        </w:rPr>
        <w:t>2017</w:t>
      </w:r>
      <w:r w:rsidR="00FF1BD7" w:rsidRPr="00FF1BD7">
        <w:rPr>
          <w:rFonts w:hint="cs"/>
          <w:rtl/>
          <w:lang w:bidi="ar-EG"/>
        </w:rPr>
        <w:t xml:space="preserve">، </w:t>
      </w:r>
      <w:r w:rsidR="00A82FAA">
        <w:rPr>
          <w:rFonts w:hint="cs"/>
          <w:rtl/>
          <w:lang w:bidi="ar-EG"/>
        </w:rPr>
        <w:t>الذي يفتقر لبيانات متوقعة تخصه.</w:t>
      </w:r>
    </w:p>
    <w:p w:rsidR="00FF1BD7" w:rsidRPr="00FF1BD7" w:rsidRDefault="00FF1BD7" w:rsidP="00FF1BD7">
      <w:pPr>
        <w:rPr>
          <w:rtl/>
          <w:lang w:bidi="ar-EG"/>
        </w:rPr>
      </w:pPr>
      <w:r w:rsidRPr="00FF1BD7">
        <w:rPr>
          <w:rFonts w:hint="cs"/>
          <w:rtl/>
          <w:lang w:bidi="ar-EG"/>
        </w:rPr>
        <w:t>وثمة أم</w:t>
      </w:r>
      <w:r w:rsidR="000D2036">
        <w:rPr>
          <w:rFonts w:hint="cs"/>
          <w:rtl/>
          <w:lang w:bidi="ar-EG"/>
        </w:rPr>
        <w:t>ثلة أخرى يمكن إعطاؤها.</w:t>
      </w:r>
    </w:p>
    <w:p w:rsidR="00FF1BD7" w:rsidRPr="00FF1BD7" w:rsidRDefault="00FF1BD7" w:rsidP="00FF1BD7">
      <w:pPr>
        <w:pStyle w:val="Heading1"/>
        <w:rPr>
          <w:rtl/>
        </w:rPr>
      </w:pPr>
      <w:r w:rsidRPr="00FF1BD7">
        <w:rPr>
          <w:lang w:val="fr-CH"/>
        </w:rPr>
        <w:t>2</w:t>
      </w:r>
      <w:r>
        <w:rPr>
          <w:rtl/>
        </w:rPr>
        <w:tab/>
      </w:r>
      <w:r w:rsidRPr="00FF1BD7">
        <w:rPr>
          <w:rFonts w:hint="cs"/>
          <w:rtl/>
        </w:rPr>
        <w:t>مقترحات إلى الأمانة العامة</w:t>
      </w:r>
    </w:p>
    <w:p w:rsidR="00FF1BD7" w:rsidRPr="00FF1BD7" w:rsidRDefault="00FF1BD7" w:rsidP="00F06E45">
      <w:pPr>
        <w:rPr>
          <w:lang w:val="fr-CH" w:bidi="ar-EG"/>
        </w:rPr>
      </w:pPr>
      <w:r>
        <w:rPr>
          <w:lang w:bidi="ar-EG"/>
        </w:rPr>
        <w:t>1</w:t>
      </w:r>
      <w:r>
        <w:rPr>
          <w:lang w:bidi="ar-EG"/>
        </w:rPr>
        <w:tab/>
      </w:r>
      <w:r w:rsidRPr="00FF1BD7">
        <w:rPr>
          <w:rFonts w:hint="cs"/>
          <w:rtl/>
          <w:lang w:bidi="ar-EG"/>
        </w:rPr>
        <w:t xml:space="preserve">ينبغي، خلال فترة الأربعة أعوام، </w:t>
      </w:r>
      <w:r w:rsidR="00F06E45">
        <w:rPr>
          <w:rFonts w:hint="cs"/>
          <w:rtl/>
          <w:lang w:bidi="ar-EG"/>
        </w:rPr>
        <w:t xml:space="preserve">عدم </w:t>
      </w:r>
      <w:r w:rsidRPr="00FF1BD7">
        <w:rPr>
          <w:rFonts w:hint="cs"/>
          <w:rtl/>
          <w:lang w:bidi="ar-EG"/>
        </w:rPr>
        <w:t>تغيير هيكل الجداول والترتيب ا</w:t>
      </w:r>
      <w:r w:rsidR="00874932">
        <w:rPr>
          <w:rFonts w:hint="cs"/>
          <w:rtl/>
          <w:lang w:bidi="ar-EG"/>
        </w:rPr>
        <w:t>لذي ترد به البنود في الجداول في</w:t>
      </w:r>
      <w:r w:rsidR="00874932">
        <w:rPr>
          <w:rFonts w:hint="eastAsia"/>
          <w:rtl/>
          <w:lang w:bidi="ar-EG"/>
        </w:rPr>
        <w:t> </w:t>
      </w:r>
      <w:r w:rsidRPr="00FF1BD7">
        <w:rPr>
          <w:rFonts w:hint="cs"/>
          <w:rtl/>
          <w:lang w:bidi="ar-EG"/>
        </w:rPr>
        <w:t>الوثيقتين الماليتين المشار إليهما أعلاه وفي والوثائق الأخرى، الأمر الذي يسهل على الأعضاء تحليل البيانات المعروضة لأغراض المقارنة وزيادة شفافية تقديم التقارير. وينبغي عند الاقتضاء الاستعاضة عن الو</w:t>
      </w:r>
      <w:r w:rsidR="006F571B">
        <w:rPr>
          <w:rFonts w:hint="cs"/>
          <w:rtl/>
          <w:lang w:bidi="ar-EG"/>
        </w:rPr>
        <w:t>صف السردي بجداول.</w:t>
      </w:r>
    </w:p>
    <w:p w:rsidR="00FF1BD7" w:rsidRPr="00FF1BD7" w:rsidRDefault="00FF1BD7" w:rsidP="001420B4">
      <w:pPr>
        <w:rPr>
          <w:lang w:val="fr-CH" w:bidi="ar-EG"/>
        </w:rPr>
      </w:pPr>
      <w:r>
        <w:rPr>
          <w:lang w:bidi="ar-EG"/>
        </w:rPr>
        <w:t>2</w:t>
      </w:r>
      <w:r>
        <w:rPr>
          <w:lang w:bidi="ar-EG"/>
        </w:rPr>
        <w:tab/>
      </w:r>
      <w:r w:rsidRPr="00FF1BD7">
        <w:rPr>
          <w:rFonts w:hint="cs"/>
          <w:rtl/>
          <w:lang w:bidi="ar-EG"/>
        </w:rPr>
        <w:t>ينبغي أن تجمع كل الوثائق المالية المتصلة بفترة مالية منتهية والتوقعات لفترات مستقبلية وتنسب لنفس التاريخ المفاد</w:t>
      </w:r>
      <w:r w:rsidR="00DD3D14">
        <w:rPr>
          <w:rFonts w:hint="eastAsia"/>
          <w:rtl/>
          <w:lang w:bidi="ar-EG"/>
        </w:rPr>
        <w:t> </w:t>
      </w:r>
      <w:r w:rsidRPr="00FF1BD7">
        <w:rPr>
          <w:rFonts w:hint="cs"/>
          <w:rtl/>
          <w:lang w:bidi="ar-EG"/>
        </w:rPr>
        <w:t xml:space="preserve">عنه. ومن المستحسن، فيما يخص الوثيقتين </w:t>
      </w:r>
      <w:r w:rsidRPr="00FF1BD7">
        <w:rPr>
          <w:lang w:bidi="ar-EG"/>
        </w:rPr>
        <w:t>C17/</w:t>
      </w:r>
      <w:r w:rsidR="00F94565">
        <w:rPr>
          <w:lang w:bidi="ar-EG"/>
        </w:rPr>
        <w:t>10</w:t>
      </w:r>
      <w:r w:rsidRPr="00FF1BD7">
        <w:rPr>
          <w:rFonts w:hint="cs"/>
          <w:rtl/>
          <w:lang w:bidi="ar-EG"/>
        </w:rPr>
        <w:t xml:space="preserve"> و</w:t>
      </w:r>
      <w:r w:rsidRPr="00FF1BD7">
        <w:rPr>
          <w:lang w:bidi="ar-EG"/>
        </w:rPr>
        <w:t>C17/</w:t>
      </w:r>
      <w:r w:rsidR="00F94565">
        <w:rPr>
          <w:lang w:bidi="ar-EG"/>
        </w:rPr>
        <w:t>9</w:t>
      </w:r>
      <w:r w:rsidRPr="00FF1BD7">
        <w:rPr>
          <w:rFonts w:hint="cs"/>
          <w:rtl/>
          <w:lang w:bidi="ar-EG"/>
        </w:rPr>
        <w:t xml:space="preserve"> أن تُنسب التقديرات لعام </w:t>
      </w:r>
      <w:r w:rsidRPr="00FF1BD7">
        <w:rPr>
          <w:lang w:val="fr-CH" w:bidi="ar-EG"/>
        </w:rPr>
        <w:t>2017</w:t>
      </w:r>
      <w:r w:rsidRPr="00FF1BD7">
        <w:rPr>
          <w:rFonts w:hint="cs"/>
          <w:rtl/>
          <w:lang w:bidi="ar-EG"/>
        </w:rPr>
        <w:t xml:space="preserve"> والبيانات الفعلية لعام</w:t>
      </w:r>
      <w:r w:rsidR="001420B4">
        <w:rPr>
          <w:rFonts w:hint="eastAsia"/>
          <w:rtl/>
          <w:lang w:bidi="ar-EG"/>
        </w:rPr>
        <w:t> </w:t>
      </w:r>
      <w:r w:rsidRPr="00FF1BD7">
        <w:rPr>
          <w:lang w:val="fr-CH" w:bidi="ar-EG"/>
        </w:rPr>
        <w:t>2016</w:t>
      </w:r>
      <w:r w:rsidRPr="00FF1BD7">
        <w:rPr>
          <w:rFonts w:hint="cs"/>
          <w:rtl/>
          <w:lang w:bidi="ar-EG"/>
        </w:rPr>
        <w:t xml:space="preserve"> لنفس التاريخ، مثلاً نهاية فبراير، والأ</w:t>
      </w:r>
      <w:r w:rsidR="00E37B5F">
        <w:rPr>
          <w:rFonts w:hint="cs"/>
          <w:rtl/>
          <w:lang w:bidi="ar-EG"/>
        </w:rPr>
        <w:t>فضل نهاية الربع الأول من العام.</w:t>
      </w:r>
    </w:p>
    <w:p w:rsidR="00FF1BD7" w:rsidRPr="00FF1BD7" w:rsidRDefault="00FF1BD7" w:rsidP="00604928">
      <w:pPr>
        <w:rPr>
          <w:lang w:val="fr-CH" w:bidi="ar-EG"/>
        </w:rPr>
      </w:pPr>
      <w:r>
        <w:rPr>
          <w:lang w:bidi="ar-EG"/>
        </w:rPr>
        <w:t>3</w:t>
      </w:r>
      <w:r>
        <w:rPr>
          <w:lang w:bidi="ar-EG"/>
        </w:rPr>
        <w:tab/>
      </w:r>
      <w:r w:rsidRPr="00FF1BD7">
        <w:rPr>
          <w:rFonts w:hint="cs"/>
          <w:rtl/>
          <w:lang w:bidi="ar-EG"/>
        </w:rPr>
        <w:t xml:space="preserve">ينبغي أن يضاف عند الاقتضاء عمود "التوقعات (التقديرات) لعام </w:t>
      </w:r>
      <w:r w:rsidRPr="00FF1BD7">
        <w:rPr>
          <w:lang w:val="fr-CH" w:bidi="ar-EG"/>
        </w:rPr>
        <w:t>2017</w:t>
      </w:r>
      <w:r w:rsidRPr="00FF1BD7">
        <w:rPr>
          <w:rFonts w:hint="cs"/>
          <w:rtl/>
          <w:lang w:bidi="ar-EG"/>
        </w:rPr>
        <w:t xml:space="preserve">" إلى الوثيقة </w:t>
      </w:r>
      <w:r w:rsidRPr="00FF1BD7">
        <w:rPr>
          <w:lang w:val="fr-CH" w:bidi="ar-EG"/>
        </w:rPr>
        <w:t>C17/10</w:t>
      </w:r>
      <w:r w:rsidRPr="00FF1BD7">
        <w:rPr>
          <w:rFonts w:hint="cs"/>
          <w:rtl/>
          <w:lang w:bidi="ar-EG"/>
        </w:rPr>
        <w:t xml:space="preserve"> في الجداول</w:t>
      </w:r>
      <w:r w:rsidR="00041E9F">
        <w:rPr>
          <w:rFonts w:hint="eastAsia"/>
          <w:rtl/>
          <w:lang w:bidi="ar-EG"/>
        </w:rPr>
        <w:t> </w:t>
      </w:r>
      <w:r w:rsidRPr="00FF1BD7">
        <w:rPr>
          <w:lang w:val="fr-CH" w:bidi="ar-EG"/>
        </w:rPr>
        <w:t>2</w:t>
      </w:r>
      <w:r w:rsidRPr="00FF1BD7">
        <w:rPr>
          <w:rFonts w:hint="cs"/>
          <w:rtl/>
          <w:lang w:bidi="ar-EG"/>
        </w:rPr>
        <w:t>، و</w:t>
      </w:r>
      <w:r w:rsidRPr="00FF1BD7">
        <w:rPr>
          <w:lang w:val="fr-CH" w:bidi="ar-EG"/>
        </w:rPr>
        <w:t>5</w:t>
      </w:r>
      <w:r w:rsidRPr="00FF1BD7">
        <w:rPr>
          <w:rFonts w:hint="cs"/>
          <w:rtl/>
          <w:lang w:bidi="ar-EG"/>
        </w:rPr>
        <w:t xml:space="preserve"> (الإيرادات حسب المصدر)، و</w:t>
      </w:r>
      <w:r w:rsidRPr="00FF1BD7">
        <w:rPr>
          <w:lang w:bidi="ar-EG"/>
        </w:rPr>
        <w:t>6</w:t>
      </w:r>
      <w:r w:rsidRPr="00FF1BD7">
        <w:rPr>
          <w:rFonts w:hint="cs"/>
          <w:rtl/>
          <w:lang w:bidi="ar-EG"/>
        </w:rPr>
        <w:t>، و</w:t>
      </w:r>
      <w:r w:rsidRPr="00FF1BD7">
        <w:rPr>
          <w:lang w:val="fr-CH" w:bidi="ar-EG"/>
        </w:rPr>
        <w:t>7</w:t>
      </w:r>
      <w:r w:rsidRPr="00FF1BD7">
        <w:rPr>
          <w:rFonts w:hint="cs"/>
          <w:rtl/>
          <w:lang w:bidi="ar-EG"/>
        </w:rPr>
        <w:t xml:space="preserve"> (عدد وحدات المساهمة)، و</w:t>
      </w:r>
      <w:r w:rsidRPr="00FF1BD7">
        <w:rPr>
          <w:lang w:val="fr-CH" w:bidi="ar-EG"/>
        </w:rPr>
        <w:t>8</w:t>
      </w:r>
      <w:r w:rsidRPr="00FF1BD7">
        <w:rPr>
          <w:rFonts w:hint="cs"/>
          <w:rtl/>
          <w:lang w:bidi="ar-EG"/>
        </w:rPr>
        <w:t xml:space="preserve"> "الإيرادات من استرداد التكاليف"، و</w:t>
      </w:r>
      <w:r w:rsidRPr="00FF1BD7">
        <w:rPr>
          <w:lang w:val="fr-CH" w:bidi="ar-EG"/>
        </w:rPr>
        <w:t>9</w:t>
      </w:r>
      <w:r w:rsidRPr="00FF1BD7">
        <w:rPr>
          <w:rFonts w:hint="cs"/>
          <w:rtl/>
          <w:lang w:bidi="ar-EG"/>
        </w:rPr>
        <w:t xml:space="preserve"> "الإيرادات الأخرى"، والجداول الأخرى، إذ إن من الضروري القيام بذلك حتى يمكن فهم الاتجاهات الناشئة وتقليص مخاطر اتخاذ قرارات غير</w:t>
      </w:r>
      <w:r w:rsidR="00041E9F">
        <w:rPr>
          <w:rFonts w:hint="eastAsia"/>
          <w:rtl/>
          <w:lang w:bidi="ar-EG"/>
        </w:rPr>
        <w:t> </w:t>
      </w:r>
      <w:r w:rsidRPr="00FF1BD7">
        <w:rPr>
          <w:rFonts w:hint="cs"/>
          <w:rtl/>
          <w:lang w:bidi="ar-EG"/>
        </w:rPr>
        <w:t>مدروسة عند استعراض الوثيقة</w:t>
      </w:r>
      <w:r w:rsidR="00604928">
        <w:rPr>
          <w:rFonts w:hint="eastAsia"/>
          <w:rtl/>
          <w:lang w:bidi="ar-EG"/>
        </w:rPr>
        <w:t> </w:t>
      </w:r>
      <w:r w:rsidRPr="00FF1BD7">
        <w:rPr>
          <w:lang w:bidi="ar-EG"/>
        </w:rPr>
        <w:t>C17/10</w:t>
      </w:r>
      <w:r w:rsidRPr="00FF1BD7">
        <w:rPr>
          <w:rFonts w:hint="cs"/>
          <w:rtl/>
          <w:lang w:bidi="ar-EG"/>
        </w:rPr>
        <w:t>.</w:t>
      </w:r>
    </w:p>
    <w:p w:rsidR="00FF1BD7" w:rsidRPr="00FF1BD7" w:rsidRDefault="00FF1BD7" w:rsidP="00F06E45">
      <w:pPr>
        <w:rPr>
          <w:rtl/>
          <w:lang w:val="fr-CH" w:bidi="ar-EG"/>
        </w:rPr>
      </w:pPr>
      <w:r>
        <w:rPr>
          <w:lang w:bidi="ar-EG"/>
        </w:rPr>
        <w:t>4</w:t>
      </w:r>
      <w:r>
        <w:rPr>
          <w:lang w:bidi="ar-EG"/>
        </w:rPr>
        <w:tab/>
      </w:r>
      <w:r w:rsidRPr="00FF1BD7">
        <w:rPr>
          <w:rFonts w:hint="cs"/>
          <w:rtl/>
          <w:lang w:bidi="ar-EG"/>
        </w:rPr>
        <w:t xml:space="preserve">وفي الجدول </w:t>
      </w:r>
      <w:r w:rsidRPr="00FF1BD7">
        <w:rPr>
          <w:lang w:val="fr-CH" w:bidi="ar-EG"/>
        </w:rPr>
        <w:t>10</w:t>
      </w:r>
      <w:r w:rsidRPr="00FF1BD7">
        <w:rPr>
          <w:rFonts w:hint="cs"/>
          <w:rtl/>
          <w:lang w:bidi="ar-EG"/>
        </w:rPr>
        <w:t xml:space="preserve"> من الوثيقة </w:t>
      </w:r>
      <w:r w:rsidRPr="00FF1BD7">
        <w:rPr>
          <w:lang w:bidi="ar-EG"/>
        </w:rPr>
        <w:t>C17/10</w:t>
      </w:r>
      <w:r w:rsidRPr="00FF1BD7">
        <w:rPr>
          <w:rFonts w:hint="cs"/>
          <w:rtl/>
          <w:lang w:bidi="ar-EG"/>
        </w:rPr>
        <w:t xml:space="preserve">، من الضروري أن يُبيَّن الوضع الفعلي (المتوقع) في عام </w:t>
      </w:r>
      <w:r w:rsidRPr="00FF1BD7">
        <w:rPr>
          <w:lang w:val="fr-CH" w:bidi="ar-EG"/>
        </w:rPr>
        <w:t>2017</w:t>
      </w:r>
      <w:r w:rsidRPr="00FF1BD7">
        <w:rPr>
          <w:rFonts w:hint="cs"/>
          <w:rtl/>
          <w:lang w:bidi="ar-EG"/>
        </w:rPr>
        <w:t xml:space="preserve"> فيما</w:t>
      </w:r>
      <w:r w:rsidR="00F06E45">
        <w:rPr>
          <w:rFonts w:hint="eastAsia"/>
          <w:rtl/>
          <w:lang w:bidi="ar-EG"/>
        </w:rPr>
        <w:t> </w:t>
      </w:r>
      <w:r w:rsidRPr="00FF1BD7">
        <w:rPr>
          <w:rFonts w:hint="cs"/>
          <w:rtl/>
          <w:lang w:bidi="ar-EG"/>
        </w:rPr>
        <w:t>يخص الصندوقين (الاحتياطي والتأمين الصحي بعد انتهاء مدة الخدمة) وافتراضات الميزانية حتى عام</w:t>
      </w:r>
      <w:r w:rsidRPr="00FF1BD7">
        <w:rPr>
          <w:b/>
          <w:bCs/>
          <w:rtl/>
          <w:lang w:bidi="ar-SY"/>
        </w:rPr>
        <w:t xml:space="preserve"> </w:t>
      </w:r>
      <w:r w:rsidRPr="00FF1BD7">
        <w:rPr>
          <w:lang w:bidi="ar-EG"/>
        </w:rPr>
        <w:t>2019</w:t>
      </w:r>
      <w:r w:rsidRPr="00FF1BD7">
        <w:rPr>
          <w:rFonts w:hint="cs"/>
          <w:rtl/>
          <w:lang w:bidi="ar-EG"/>
        </w:rPr>
        <w:t>، وتيسير مقارنة البيانات مع الوثيقة</w:t>
      </w:r>
      <w:r w:rsidR="00F06E45">
        <w:rPr>
          <w:rFonts w:hint="eastAsia"/>
          <w:rtl/>
          <w:lang w:bidi="ar-EG"/>
        </w:rPr>
        <w:t> </w:t>
      </w:r>
      <w:r w:rsidRPr="00FF1BD7">
        <w:rPr>
          <w:lang w:bidi="ar-EG"/>
        </w:rPr>
        <w:t>C17/9</w:t>
      </w:r>
      <w:r w:rsidRPr="00FF1BD7">
        <w:rPr>
          <w:rFonts w:hint="cs"/>
          <w:rtl/>
          <w:lang w:bidi="ar-EG"/>
        </w:rPr>
        <w:t xml:space="preserve"> (الجدول </w:t>
      </w:r>
      <w:r w:rsidRPr="00FF1BD7">
        <w:rPr>
          <w:lang w:val="fr-CH" w:bidi="ar-EG"/>
        </w:rPr>
        <w:t>1</w:t>
      </w:r>
      <w:r w:rsidRPr="00FF1BD7">
        <w:rPr>
          <w:rFonts w:hint="cs"/>
          <w:rtl/>
          <w:lang w:bidi="ar-EG"/>
        </w:rPr>
        <w:t xml:space="preserve"> </w:t>
      </w:r>
      <w:r w:rsidRPr="00FF1BD7">
        <w:rPr>
          <w:rtl/>
          <w:lang w:bidi="ar-EG"/>
        </w:rPr>
        <w:t>–</w:t>
      </w:r>
      <w:r w:rsidRPr="00FF1BD7">
        <w:rPr>
          <w:rFonts w:hint="cs"/>
          <w:rtl/>
          <w:lang w:bidi="ar-EG"/>
        </w:rPr>
        <w:t xml:space="preserve"> تنفيذ الميزانية بموجب القرار </w:t>
      </w:r>
      <w:r w:rsidRPr="00FF1BD7">
        <w:rPr>
          <w:lang w:val="fr-CH" w:bidi="ar-EG"/>
        </w:rPr>
        <w:t>1375</w:t>
      </w:r>
      <w:r w:rsidRPr="00FF1BD7">
        <w:rPr>
          <w:rFonts w:hint="cs"/>
          <w:rtl/>
          <w:lang w:bidi="ar-EG"/>
        </w:rPr>
        <w:t>) ومع الوثائق الأخرى التي ت</w:t>
      </w:r>
      <w:r w:rsidR="00F06E45">
        <w:rPr>
          <w:rFonts w:hint="cs"/>
          <w:rtl/>
          <w:lang w:bidi="ar-EG"/>
        </w:rPr>
        <w:t>تضمن معلومات عن هذين الصندوقين.</w:t>
      </w:r>
    </w:p>
    <w:p w:rsidR="00FF1BD7" w:rsidRPr="00FF1BD7" w:rsidRDefault="00FF1BD7" w:rsidP="0057761B">
      <w:pPr>
        <w:rPr>
          <w:lang w:val="fr-CH" w:bidi="ar-EG"/>
        </w:rPr>
      </w:pPr>
      <w:r>
        <w:rPr>
          <w:lang w:bidi="ar-EG"/>
        </w:rPr>
        <w:t>5</w:t>
      </w:r>
      <w:r>
        <w:rPr>
          <w:lang w:bidi="ar-EG"/>
        </w:rPr>
        <w:tab/>
      </w:r>
      <w:r w:rsidRPr="00FF1BD7">
        <w:rPr>
          <w:rFonts w:hint="cs"/>
          <w:rtl/>
          <w:lang w:bidi="ar-EG"/>
        </w:rPr>
        <w:t xml:space="preserve">ينبغي ألا تستخدم الفواصل </w:t>
      </w:r>
      <w:r w:rsidR="00F06E45">
        <w:rPr>
          <w:lang w:bidi="ar-EG"/>
        </w:rPr>
        <w:t>(,)</w:t>
      </w:r>
      <w:r w:rsidRPr="00FF1BD7">
        <w:rPr>
          <w:rFonts w:hint="cs"/>
          <w:rtl/>
          <w:lang w:bidi="ar-EG"/>
        </w:rPr>
        <w:t xml:space="preserve"> أو الفواصل العليا </w:t>
      </w:r>
      <w:r w:rsidR="00F06E45">
        <w:rPr>
          <w:lang w:bidi="ar-EG"/>
        </w:rPr>
        <w:t>(')</w:t>
      </w:r>
      <w:r w:rsidRPr="00FF1BD7">
        <w:rPr>
          <w:rFonts w:hint="cs"/>
          <w:rtl/>
          <w:lang w:bidi="ar-EG"/>
        </w:rPr>
        <w:t xml:space="preserve"> أو النقاط </w:t>
      </w:r>
      <w:r w:rsidR="00F06E45">
        <w:rPr>
          <w:lang w:bidi="ar-EG"/>
        </w:rPr>
        <w:t>(.)</w:t>
      </w:r>
      <w:r w:rsidRPr="00FF1BD7">
        <w:rPr>
          <w:rFonts w:hint="cs"/>
          <w:rtl/>
          <w:lang w:bidi="ar-EG"/>
        </w:rPr>
        <w:t xml:space="preserve"> كفواصل بين الأرقام في البيانات الرقمية. وحتى يمكن الفصل بين الأرقام، من الأفضل استخدام مسافة مرئية باستخدام إعدادات </w:t>
      </w:r>
      <w:proofErr w:type="spellStart"/>
      <w:r w:rsidRPr="00FF1BD7">
        <w:rPr>
          <w:rFonts w:hint="cs"/>
          <w:rtl/>
          <w:lang w:bidi="ar-EG"/>
        </w:rPr>
        <w:t>إكسل</w:t>
      </w:r>
      <w:proofErr w:type="spellEnd"/>
      <w:r w:rsidR="0057761B">
        <w:rPr>
          <w:rFonts w:hint="eastAsia"/>
          <w:rtl/>
          <w:lang w:bidi="ar-EG"/>
        </w:rPr>
        <w:t> </w:t>
      </w:r>
      <w:r w:rsidR="0057761B">
        <w:rPr>
          <w:lang w:bidi="ar-EG"/>
        </w:rPr>
        <w:t>(Excel)</w:t>
      </w:r>
      <w:r w:rsidRPr="00FF1BD7">
        <w:rPr>
          <w:rFonts w:hint="cs"/>
          <w:rtl/>
          <w:lang w:bidi="ar-EG"/>
        </w:rPr>
        <w:t xml:space="preserve"> أو يدوياً (بترك مسافة) في</w:t>
      </w:r>
      <w:r w:rsidR="00F06E45">
        <w:rPr>
          <w:rFonts w:hint="eastAsia"/>
          <w:rtl/>
          <w:lang w:bidi="ar-EG"/>
        </w:rPr>
        <w:t> </w:t>
      </w:r>
      <w:r w:rsidRPr="00FF1BD7">
        <w:rPr>
          <w:rFonts w:hint="cs"/>
          <w:rtl/>
          <w:lang w:bidi="ar-EG"/>
        </w:rPr>
        <w:t>وثيقة</w:t>
      </w:r>
      <w:r w:rsidR="00F06E45">
        <w:rPr>
          <w:rFonts w:hint="eastAsia"/>
          <w:rtl/>
          <w:lang w:bidi="ar-EG"/>
        </w:rPr>
        <w:t> </w:t>
      </w:r>
      <w:r w:rsidRPr="00FF1BD7">
        <w:rPr>
          <w:lang w:val="fr-CH" w:bidi="ar-EG"/>
        </w:rPr>
        <w:t>Word</w:t>
      </w:r>
      <w:r w:rsidRPr="00FF1BD7">
        <w:rPr>
          <w:rFonts w:hint="cs"/>
          <w:rtl/>
          <w:lang w:bidi="ar-EG"/>
        </w:rPr>
        <w:t xml:space="preserve">. إن استخدام الفواصل </w:t>
      </w:r>
      <w:r w:rsidR="00F06E45">
        <w:rPr>
          <w:lang w:bidi="ar-EG"/>
        </w:rPr>
        <w:t>(,)</w:t>
      </w:r>
      <w:r w:rsidRPr="00FF1BD7">
        <w:rPr>
          <w:rFonts w:hint="cs"/>
          <w:rtl/>
          <w:lang w:bidi="ar-EG"/>
        </w:rPr>
        <w:t xml:space="preserve"> (</w:t>
      </w:r>
      <w:r w:rsidR="00F06E45">
        <w:rPr>
          <w:rFonts w:hint="cs"/>
          <w:rtl/>
          <w:lang w:bidi="ar-EG"/>
        </w:rPr>
        <w:t xml:space="preserve">أو </w:t>
      </w:r>
      <w:r w:rsidRPr="00FF1BD7">
        <w:rPr>
          <w:rFonts w:hint="cs"/>
          <w:rtl/>
          <w:lang w:bidi="ar-EG"/>
        </w:rPr>
        <w:t xml:space="preserve">النقاط) كفواصل ربما يفهم خطأً (إما أرقام </w:t>
      </w:r>
      <w:r w:rsidR="00F06E45">
        <w:rPr>
          <w:rFonts w:hint="cs"/>
          <w:rtl/>
          <w:lang w:bidi="ar-EG"/>
        </w:rPr>
        <w:t>صحيحة</w:t>
      </w:r>
      <w:r w:rsidRPr="00FF1BD7">
        <w:rPr>
          <w:rFonts w:hint="cs"/>
          <w:rtl/>
          <w:lang w:bidi="ar-EG"/>
        </w:rPr>
        <w:t xml:space="preserve"> أو </w:t>
      </w:r>
      <w:r w:rsidR="00F06E45">
        <w:rPr>
          <w:rFonts w:hint="cs"/>
          <w:rtl/>
          <w:lang w:bidi="ar-EG"/>
        </w:rPr>
        <w:t>كسور</w:t>
      </w:r>
      <w:r w:rsidRPr="00FF1BD7">
        <w:rPr>
          <w:rFonts w:hint="cs"/>
          <w:rtl/>
          <w:lang w:bidi="ar-EG"/>
        </w:rPr>
        <w:t xml:space="preserve"> عش</w:t>
      </w:r>
      <w:r w:rsidR="00041E9F">
        <w:rPr>
          <w:rFonts w:hint="cs"/>
          <w:rtl/>
          <w:lang w:bidi="ar-EG"/>
        </w:rPr>
        <w:t>رية) في تحليل البيانات</w:t>
      </w:r>
      <w:r w:rsidR="0057761B">
        <w:rPr>
          <w:rFonts w:hint="eastAsia"/>
          <w:rtl/>
          <w:lang w:bidi="ar-EG"/>
        </w:rPr>
        <w:t> </w:t>
      </w:r>
      <w:r w:rsidR="00041E9F">
        <w:rPr>
          <w:rFonts w:hint="cs"/>
          <w:rtl/>
          <w:lang w:bidi="ar-EG"/>
        </w:rPr>
        <w:t>الرقمية.</w:t>
      </w:r>
    </w:p>
    <w:p w:rsidR="00FF1BD7" w:rsidRPr="00FF1BD7" w:rsidRDefault="00FF1BD7" w:rsidP="00F06E45">
      <w:pPr>
        <w:rPr>
          <w:lang w:val="fr-CH" w:bidi="ar-EG"/>
        </w:rPr>
      </w:pPr>
      <w:r>
        <w:rPr>
          <w:lang w:bidi="ar-EG"/>
        </w:rPr>
        <w:t>6</w:t>
      </w:r>
      <w:r>
        <w:rPr>
          <w:lang w:bidi="ar-EG"/>
        </w:rPr>
        <w:tab/>
      </w:r>
      <w:r w:rsidRPr="00FF1BD7">
        <w:rPr>
          <w:rFonts w:hint="cs"/>
          <w:rtl/>
          <w:lang w:bidi="ar-EG"/>
        </w:rPr>
        <w:t>ينبغي التنسيق بين البيانات المتعلقة ب</w:t>
      </w:r>
      <w:r w:rsidR="00F06E45">
        <w:rPr>
          <w:rFonts w:hint="cs"/>
          <w:rtl/>
          <w:lang w:bidi="ar-EG"/>
        </w:rPr>
        <w:t>ال</w:t>
      </w:r>
      <w:r w:rsidRPr="00FF1BD7">
        <w:rPr>
          <w:rFonts w:hint="cs"/>
          <w:rtl/>
          <w:lang w:bidi="ar-EG"/>
        </w:rPr>
        <w:t xml:space="preserve">مواضيع </w:t>
      </w:r>
      <w:r w:rsidR="00F06E45">
        <w:rPr>
          <w:rFonts w:hint="cs"/>
          <w:rtl/>
          <w:lang w:bidi="ar-EG"/>
        </w:rPr>
        <w:t xml:space="preserve">ذاتها </w:t>
      </w:r>
      <w:r w:rsidRPr="00FF1BD7">
        <w:rPr>
          <w:rFonts w:hint="cs"/>
          <w:rtl/>
          <w:lang w:bidi="ar-EG"/>
        </w:rPr>
        <w:t xml:space="preserve">الواردة في وثائق مختلفة تكون قد أعدّتها أطراف </w:t>
      </w:r>
      <w:r w:rsidR="00F06E45">
        <w:rPr>
          <w:rFonts w:hint="cs"/>
          <w:rtl/>
          <w:lang w:bidi="ar-EG"/>
        </w:rPr>
        <w:t>مختلفة</w:t>
      </w:r>
      <w:r w:rsidR="00041E9F">
        <w:rPr>
          <w:rFonts w:hint="cs"/>
          <w:rtl/>
          <w:lang w:bidi="ar-EG"/>
        </w:rPr>
        <w:t>.</w:t>
      </w:r>
    </w:p>
    <w:p w:rsidR="00FF1BD7" w:rsidRPr="00FF1BD7" w:rsidRDefault="00FF1BD7" w:rsidP="00F06E45">
      <w:pPr>
        <w:rPr>
          <w:rtl/>
          <w:lang w:val="fr-CH" w:bidi="ar-EG"/>
        </w:rPr>
      </w:pPr>
      <w:r>
        <w:rPr>
          <w:lang w:bidi="ar-EG"/>
        </w:rPr>
        <w:lastRenderedPageBreak/>
        <w:t>7</w:t>
      </w:r>
      <w:r>
        <w:rPr>
          <w:lang w:bidi="ar-EG"/>
        </w:rPr>
        <w:tab/>
      </w:r>
      <w:r w:rsidRPr="00FF1BD7">
        <w:rPr>
          <w:rFonts w:hint="cs"/>
          <w:rtl/>
          <w:lang w:bidi="ar-EG"/>
        </w:rPr>
        <w:t xml:space="preserve">ينبغي التقليل من تكرار البيانات بلا داعي بين الوثائق من عام إلى آخر، بغية تقليص حجم التقارير وأيضاً تكاليف الترجمة وتحضير أعضاء </w:t>
      </w:r>
      <w:r w:rsidR="00F06E45">
        <w:rPr>
          <w:rFonts w:hint="cs"/>
          <w:rtl/>
          <w:lang w:bidi="ar-EG"/>
        </w:rPr>
        <w:t xml:space="preserve">المجلس </w:t>
      </w:r>
      <w:r w:rsidRPr="00FF1BD7">
        <w:rPr>
          <w:rFonts w:hint="cs"/>
          <w:rtl/>
          <w:lang w:bidi="ar-EG"/>
        </w:rPr>
        <w:t xml:space="preserve">للوثائق </w:t>
      </w:r>
      <w:r w:rsidR="00F06E45">
        <w:rPr>
          <w:rFonts w:hint="cs"/>
          <w:rtl/>
          <w:lang w:bidi="ar-EG"/>
        </w:rPr>
        <w:t xml:space="preserve">التحليلية </w:t>
      </w:r>
      <w:r w:rsidRPr="00FF1BD7">
        <w:rPr>
          <w:rFonts w:hint="cs"/>
          <w:rtl/>
          <w:lang w:bidi="ar-EG"/>
        </w:rPr>
        <w:t>التي ينبغي العمل عليها في دورات المجلس. ويكفي إتاحة إحالة إلى الوثائق التي تتضمن البيانا</w:t>
      </w:r>
      <w:r w:rsidR="00041E9F">
        <w:rPr>
          <w:rFonts w:hint="cs"/>
          <w:rtl/>
          <w:lang w:bidi="ar-EG"/>
        </w:rPr>
        <w:t>ت ذات الصلة من الأعوام السابقة.</w:t>
      </w:r>
    </w:p>
    <w:p w:rsidR="00FF1BD7" w:rsidRDefault="00F06E45" w:rsidP="00F06E45">
      <w:pPr>
        <w:rPr>
          <w:rtl/>
          <w:lang w:bidi="ar-EG"/>
        </w:rPr>
      </w:pPr>
      <w:r>
        <w:rPr>
          <w:lang w:bidi="ar-EG"/>
        </w:rPr>
        <w:t>8</w:t>
      </w:r>
      <w:r>
        <w:rPr>
          <w:lang w:bidi="ar-EG"/>
        </w:rPr>
        <w:tab/>
      </w:r>
      <w:r w:rsidR="00FF1BD7" w:rsidRPr="00FF1BD7">
        <w:rPr>
          <w:rFonts w:hint="cs"/>
          <w:rtl/>
          <w:lang w:bidi="ar-EG"/>
        </w:rPr>
        <w:t xml:space="preserve">ينبغي وضع قواعد عامة فيما يخص عرض </w:t>
      </w:r>
      <w:r>
        <w:rPr>
          <w:rFonts w:hint="cs"/>
          <w:rtl/>
          <w:lang w:bidi="ar-EG"/>
        </w:rPr>
        <w:t xml:space="preserve">أقسام </w:t>
      </w:r>
      <w:r w:rsidR="00FF1BD7" w:rsidRPr="00FF1BD7">
        <w:rPr>
          <w:rFonts w:hint="cs"/>
          <w:rtl/>
          <w:lang w:bidi="ar-EG"/>
        </w:rPr>
        <w:t xml:space="preserve">الوثائق </w:t>
      </w:r>
      <w:r>
        <w:rPr>
          <w:rFonts w:hint="cs"/>
          <w:rtl/>
          <w:lang w:bidi="ar-EG"/>
        </w:rPr>
        <w:t xml:space="preserve">وجداولها </w:t>
      </w:r>
      <w:r w:rsidR="00FF1BD7" w:rsidRPr="00FF1BD7">
        <w:rPr>
          <w:rFonts w:hint="cs"/>
          <w:rtl/>
          <w:lang w:bidi="ar-EG"/>
        </w:rPr>
        <w:t xml:space="preserve">لإتاحتها لأعضاء </w:t>
      </w:r>
      <w:r>
        <w:rPr>
          <w:rFonts w:hint="cs"/>
          <w:rtl/>
          <w:lang w:bidi="ar-EG"/>
        </w:rPr>
        <w:t xml:space="preserve">المجلس </w:t>
      </w:r>
      <w:r w:rsidR="00FF1BD7" w:rsidRPr="00FF1BD7">
        <w:rPr>
          <w:rFonts w:hint="cs"/>
          <w:rtl/>
          <w:lang w:bidi="ar-EG"/>
        </w:rPr>
        <w:t xml:space="preserve">الذين يتناولون الخطط والتقارير بشأن </w:t>
      </w:r>
      <w:r>
        <w:rPr>
          <w:rFonts w:hint="cs"/>
          <w:rtl/>
          <w:lang w:bidi="ar-EG"/>
        </w:rPr>
        <w:t xml:space="preserve">عملية إعداد </w:t>
      </w:r>
      <w:r w:rsidRPr="00FF1BD7">
        <w:rPr>
          <w:rFonts w:hint="cs"/>
          <w:rtl/>
          <w:lang w:bidi="ar-EG"/>
        </w:rPr>
        <w:t>الميز</w:t>
      </w:r>
      <w:r>
        <w:rPr>
          <w:rFonts w:hint="cs"/>
          <w:rtl/>
          <w:lang w:bidi="ar-EG"/>
        </w:rPr>
        <w:t>ا</w:t>
      </w:r>
      <w:r w:rsidRPr="00FF1BD7">
        <w:rPr>
          <w:rFonts w:hint="cs"/>
          <w:rtl/>
          <w:lang w:bidi="ar-EG"/>
        </w:rPr>
        <w:t>ني</w:t>
      </w:r>
      <w:r w:rsidRPr="00FF1BD7">
        <w:rPr>
          <w:rFonts w:hint="eastAsia"/>
          <w:rtl/>
          <w:lang w:bidi="ar-EG"/>
        </w:rPr>
        <w:t>ة</w:t>
      </w:r>
      <w:r w:rsidR="00FF1BD7" w:rsidRPr="00FF1BD7">
        <w:rPr>
          <w:rFonts w:hint="cs"/>
          <w:rtl/>
          <w:lang w:bidi="ar-EG"/>
        </w:rPr>
        <w:t>، والعمليات المالية، وتقييم الإنتاجية، وغيرها من المواضيع، وبالتالي ضمان قابلية المقارنة بين الوثائق عند إخضاعها للتحليل وض</w:t>
      </w:r>
      <w:r>
        <w:rPr>
          <w:rFonts w:hint="cs"/>
          <w:rtl/>
          <w:lang w:bidi="ar-EG"/>
        </w:rPr>
        <w:t>مان شفافيتها وسهولة العمل عليها.</w:t>
      </w:r>
    </w:p>
    <w:p w:rsidR="00F06E45" w:rsidRPr="00FF1BD7" w:rsidRDefault="00F06E45" w:rsidP="00F06E45">
      <w:pPr>
        <w:spacing w:before="600"/>
        <w:jc w:val="center"/>
        <w:rPr>
          <w:rtl/>
          <w:lang w:val="fr-CH" w:bidi="ar-EG"/>
        </w:rPr>
      </w:pPr>
      <w:r>
        <w:rPr>
          <w:rFonts w:hint="cs"/>
          <w:rtl/>
          <w:lang w:bidi="ar-EG"/>
        </w:rPr>
        <w:t>___________</w:t>
      </w:r>
    </w:p>
    <w:sectPr w:rsidR="00F06E45" w:rsidRPr="00FF1BD7"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F5" w:rsidRDefault="001965F5" w:rsidP="00E07379">
      <w:pPr>
        <w:spacing w:before="0" w:line="240" w:lineRule="auto"/>
      </w:pPr>
      <w:r>
        <w:separator/>
      </w:r>
    </w:p>
  </w:endnote>
  <w:endnote w:type="continuationSeparator" w:id="0">
    <w:p w:rsidR="001965F5" w:rsidRDefault="001965F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F1BD7" w:rsidRDefault="000E4FF0" w:rsidP="00280183">
    <w:pPr>
      <w:pStyle w:val="Footer"/>
      <w:tabs>
        <w:tab w:val="clear" w:pos="5812"/>
        <w:tab w:val="right" w:pos="5670"/>
      </w:tabs>
      <w:rPr>
        <w:lang w:val="fr-CH"/>
      </w:rPr>
    </w:pPr>
    <w:r>
      <w:fldChar w:fldCharType="begin"/>
    </w:r>
    <w:r w:rsidRPr="00FF1BD7">
      <w:rPr>
        <w:lang w:val="fr-CH"/>
      </w:rPr>
      <w:instrText xml:space="preserve"> FILENAME \p \* MERGEFORMAT </w:instrText>
    </w:r>
    <w:r>
      <w:fldChar w:fldCharType="separate"/>
    </w:r>
    <w:r w:rsidR="00280183">
      <w:rPr>
        <w:noProof/>
        <w:lang w:val="fr-CH"/>
      </w:rPr>
      <w:t>P:\ARA\SG\CONSEIL\C17\000\082REV2A.docx</w:t>
    </w:r>
    <w:r>
      <w:rPr>
        <w:noProof/>
      </w:rPr>
      <w:fldChar w:fldCharType="end"/>
    </w:r>
    <w:r w:rsidR="00900EA8">
      <w:rPr>
        <w:lang w:val="fr-CH"/>
      </w:rPr>
      <w:t>   </w:t>
    </w:r>
    <w:r w:rsidR="00BD0C50" w:rsidRPr="00FF1BD7">
      <w:rPr>
        <w:lang w:val="fr-CH"/>
      </w:rPr>
      <w:t>(</w:t>
    </w:r>
    <w:r w:rsidR="00280183">
      <w:rPr>
        <w:lang w:val="fr-CH"/>
      </w:rPr>
      <w:t>419376</w:t>
    </w:r>
    <w:r w:rsidR="00BD0C50" w:rsidRPr="00FF1BD7">
      <w:rPr>
        <w:lang w:val="fr-CH"/>
      </w:rPr>
      <w:t>)</w:t>
    </w:r>
    <w:r w:rsidR="00BD0C50" w:rsidRPr="00FF1BD7">
      <w:rPr>
        <w:lang w:val="fr-CH"/>
      </w:rPr>
      <w:tab/>
    </w:r>
    <w:r w:rsidR="00BD0C50" w:rsidRPr="00665956">
      <w:fldChar w:fldCharType="begin"/>
    </w:r>
    <w:r w:rsidR="00BD0C50" w:rsidRPr="00665956">
      <w:instrText xml:space="preserve"> savedate \@ dd.MM.yy </w:instrText>
    </w:r>
    <w:r w:rsidR="00BD0C50" w:rsidRPr="00665956">
      <w:fldChar w:fldCharType="separate"/>
    </w:r>
    <w:r w:rsidR="00DC089B">
      <w:rPr>
        <w:noProof/>
      </w:rPr>
      <w:t>29.05.17</w:t>
    </w:r>
    <w:r w:rsidR="00BD0C50" w:rsidRPr="00665956">
      <w:fldChar w:fldCharType="end"/>
    </w:r>
    <w:r w:rsidR="00BD0C50" w:rsidRPr="00FF1BD7">
      <w:rPr>
        <w:lang w:val="fr-CH"/>
      </w:rPr>
      <w:tab/>
    </w:r>
    <w:r w:rsidR="00BD0C50" w:rsidRPr="00665956">
      <w:fldChar w:fldCharType="begin"/>
    </w:r>
    <w:r w:rsidR="00BD0C50" w:rsidRPr="00665956">
      <w:instrText xml:space="preserve"> printdate \@ dd.MM.yy </w:instrText>
    </w:r>
    <w:r w:rsidR="00BD0C50" w:rsidRPr="00665956">
      <w:fldChar w:fldCharType="separate"/>
    </w:r>
    <w:r w:rsidR="001569C1">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280183">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280183">
      <w:rPr>
        <w:rFonts w:cs="Calibri"/>
        <w:noProof/>
        <w:vanish/>
        <w:lang w:val="fr-FR"/>
      </w:rPr>
      <w:t>P:\ARA\SG\CONSEIL\C17\000\082REV2A.docx</w:t>
    </w:r>
    <w:r w:rsidRPr="00C66157">
      <w:rPr>
        <w:rFonts w:cs="Calibri"/>
        <w:vanish/>
      </w:rPr>
      <w:fldChar w:fldCharType="end"/>
    </w:r>
    <w:r w:rsidR="00900EA8">
      <w:rPr>
        <w:rFonts w:cs="Calibri"/>
        <w:vanish/>
        <w:lang w:val="fr-CH"/>
      </w:rPr>
      <w:t>   </w:t>
    </w:r>
    <w:r w:rsidRPr="00C66157">
      <w:rPr>
        <w:rFonts w:cs="Calibri"/>
        <w:vanish/>
        <w:lang w:val="fr-FR"/>
      </w:rPr>
      <w:t>(</w:t>
    </w:r>
    <w:r w:rsidR="00280183">
      <w:rPr>
        <w:rFonts w:cs="Calibri"/>
        <w:vanish/>
        <w:lang w:val="fr-FR"/>
      </w:rPr>
      <w:t>419376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C089B">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1569C1">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F5" w:rsidRDefault="001965F5" w:rsidP="00E07379">
      <w:pPr>
        <w:spacing w:before="0" w:line="240" w:lineRule="auto"/>
      </w:pPr>
      <w:r>
        <w:separator/>
      </w:r>
    </w:p>
  </w:footnote>
  <w:footnote w:type="continuationSeparator" w:id="0">
    <w:p w:rsidR="001965F5" w:rsidRDefault="001965F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C089B" w:rsidP="00280183">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FF1BD7">
          <w:rPr>
            <w:rFonts w:eastAsiaTheme="minorEastAsia" w:cs="Calibri"/>
            <w:noProof/>
            <w:sz w:val="20"/>
            <w:szCs w:val="20"/>
            <w:lang w:eastAsia="zh-CN"/>
          </w:rPr>
          <w:t>82</w:t>
        </w:r>
        <w:r w:rsidR="001569C1">
          <w:rPr>
            <w:rFonts w:eastAsiaTheme="minorEastAsia" w:cs="Calibri"/>
            <w:noProof/>
            <w:sz w:val="20"/>
            <w:szCs w:val="20"/>
            <w:lang w:eastAsia="zh-CN"/>
          </w:rPr>
          <w:t>(Rev.</w:t>
        </w:r>
        <w:r w:rsidR="00280183">
          <w:rPr>
            <w:rFonts w:eastAsiaTheme="minorEastAsia" w:cs="Calibri"/>
            <w:noProof/>
            <w:sz w:val="20"/>
            <w:szCs w:val="20"/>
            <w:lang w:eastAsia="zh-CN"/>
          </w:rPr>
          <w:t>2</w:t>
        </w:r>
        <w:r w:rsidR="001569C1">
          <w:rPr>
            <w:rFonts w:eastAsiaTheme="minorEastAsia" w:cs="Calibri"/>
            <w:noProof/>
            <w:sz w:val="20"/>
            <w:szCs w:val="20"/>
            <w:lang w:eastAsia="zh-CN"/>
          </w:rPr>
          <w:t>)</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2F3593"/>
    <w:multiLevelType w:val="hybridMultilevel"/>
    <w:tmpl w:val="5A2A9328"/>
    <w:lvl w:ilvl="0" w:tplc="BC163B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F5"/>
    <w:rsid w:val="000124CC"/>
    <w:rsid w:val="000276ED"/>
    <w:rsid w:val="00041E9F"/>
    <w:rsid w:val="00041F8B"/>
    <w:rsid w:val="00046444"/>
    <w:rsid w:val="0006023B"/>
    <w:rsid w:val="0008638B"/>
    <w:rsid w:val="00090574"/>
    <w:rsid w:val="00092FC2"/>
    <w:rsid w:val="000A1677"/>
    <w:rsid w:val="000B407F"/>
    <w:rsid w:val="000C13C2"/>
    <w:rsid w:val="000D2036"/>
    <w:rsid w:val="000D4C64"/>
    <w:rsid w:val="000E4FF0"/>
    <w:rsid w:val="000F0B1C"/>
    <w:rsid w:val="000F1D42"/>
    <w:rsid w:val="000F4D07"/>
    <w:rsid w:val="00102A03"/>
    <w:rsid w:val="001040A3"/>
    <w:rsid w:val="00123857"/>
    <w:rsid w:val="00140853"/>
    <w:rsid w:val="001420B4"/>
    <w:rsid w:val="001569C1"/>
    <w:rsid w:val="00173915"/>
    <w:rsid w:val="00184EAC"/>
    <w:rsid w:val="001965F5"/>
    <w:rsid w:val="0022345D"/>
    <w:rsid w:val="00225854"/>
    <w:rsid w:val="0023283D"/>
    <w:rsid w:val="00252E0C"/>
    <w:rsid w:val="00276881"/>
    <w:rsid w:val="00280183"/>
    <w:rsid w:val="002916BE"/>
    <w:rsid w:val="002978F4"/>
    <w:rsid w:val="002B028D"/>
    <w:rsid w:val="002B435E"/>
    <w:rsid w:val="002B5362"/>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27FCE"/>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7761B"/>
    <w:rsid w:val="0059285F"/>
    <w:rsid w:val="005A24B1"/>
    <w:rsid w:val="005B293F"/>
    <w:rsid w:val="005B7B8A"/>
    <w:rsid w:val="005D6476"/>
    <w:rsid w:val="005D6C0D"/>
    <w:rsid w:val="005E5283"/>
    <w:rsid w:val="005E58F5"/>
    <w:rsid w:val="00604928"/>
    <w:rsid w:val="00606660"/>
    <w:rsid w:val="006157A3"/>
    <w:rsid w:val="00620E60"/>
    <w:rsid w:val="0063315A"/>
    <w:rsid w:val="0065591D"/>
    <w:rsid w:val="00662C5A"/>
    <w:rsid w:val="00670AF5"/>
    <w:rsid w:val="006C1556"/>
    <w:rsid w:val="006F267F"/>
    <w:rsid w:val="006F571B"/>
    <w:rsid w:val="006F63F7"/>
    <w:rsid w:val="006F6F03"/>
    <w:rsid w:val="00706D7A"/>
    <w:rsid w:val="00726AEC"/>
    <w:rsid w:val="007530CA"/>
    <w:rsid w:val="007720E3"/>
    <w:rsid w:val="0079553D"/>
    <w:rsid w:val="007B01CC"/>
    <w:rsid w:val="007D4F32"/>
    <w:rsid w:val="007E7C6C"/>
    <w:rsid w:val="007F6238"/>
    <w:rsid w:val="007F646C"/>
    <w:rsid w:val="00801FCD"/>
    <w:rsid w:val="00803D7E"/>
    <w:rsid w:val="00803F08"/>
    <w:rsid w:val="008235CD"/>
    <w:rsid w:val="00823A07"/>
    <w:rsid w:val="008348F9"/>
    <w:rsid w:val="00835FEC"/>
    <w:rsid w:val="008513CB"/>
    <w:rsid w:val="00874932"/>
    <w:rsid w:val="00874D9C"/>
    <w:rsid w:val="008A1810"/>
    <w:rsid w:val="008B5B5D"/>
    <w:rsid w:val="00900EA8"/>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82FAA"/>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0CDE"/>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089B"/>
    <w:rsid w:val="00DC24B4"/>
    <w:rsid w:val="00DD3D14"/>
    <w:rsid w:val="00DD7A05"/>
    <w:rsid w:val="00DF16DC"/>
    <w:rsid w:val="00DF5361"/>
    <w:rsid w:val="00E009A1"/>
    <w:rsid w:val="00E00D15"/>
    <w:rsid w:val="00E071BE"/>
    <w:rsid w:val="00E07379"/>
    <w:rsid w:val="00E14494"/>
    <w:rsid w:val="00E17033"/>
    <w:rsid w:val="00E22744"/>
    <w:rsid w:val="00E32189"/>
    <w:rsid w:val="00E37B5F"/>
    <w:rsid w:val="00E45211"/>
    <w:rsid w:val="00E7380C"/>
    <w:rsid w:val="00E74BE7"/>
    <w:rsid w:val="00E86CC9"/>
    <w:rsid w:val="00E96624"/>
    <w:rsid w:val="00EA26BE"/>
    <w:rsid w:val="00F06E45"/>
    <w:rsid w:val="00F126F1"/>
    <w:rsid w:val="00F2106A"/>
    <w:rsid w:val="00F34EBD"/>
    <w:rsid w:val="00F36D8B"/>
    <w:rsid w:val="00F401D0"/>
    <w:rsid w:val="00F45F2B"/>
    <w:rsid w:val="00F57AE4"/>
    <w:rsid w:val="00F67150"/>
    <w:rsid w:val="00F84366"/>
    <w:rsid w:val="00F85089"/>
    <w:rsid w:val="00F85564"/>
    <w:rsid w:val="00F86CFA"/>
    <w:rsid w:val="00F94565"/>
    <w:rsid w:val="00FD2867"/>
    <w:rsid w:val="00FD58BD"/>
    <w:rsid w:val="00FF1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F55EB82-60A1-4EF2-828F-0889384A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009/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7-CL-C-0009/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7-CL-C-007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10/en" TargetMode="External"/><Relationship Id="rId5" Type="http://schemas.openxmlformats.org/officeDocument/2006/relationships/styles" Target="styles.xml"/><Relationship Id="rId15" Type="http://schemas.openxmlformats.org/officeDocument/2006/relationships/hyperlink" Target="https://www.itu.int/md/S17-CL-C-0067/e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6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openxmlformats.org/package/2006/metadata/core-properties"/>
    <ds:schemaRef ds:uri="http://purl.org/dc/elements/1.1/"/>
    <ds:schemaRef ds:uri="de10a323-94a9-4e93-88b4-ea964576960d"/>
    <ds:schemaRef ds:uri="http://schemas.microsoft.com/office/infopath/2007/PartnerControls"/>
    <ds:schemaRef ds:uri="http://schemas.microsoft.com/office/2006/documentManagement/types"/>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2499A-4BCD-4571-940E-F79CED32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2</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4</cp:revision>
  <cp:lastPrinted>2016-06-07T13:25:00Z</cp:lastPrinted>
  <dcterms:created xsi:type="dcterms:W3CDTF">2017-05-29T12:55:00Z</dcterms:created>
  <dcterms:modified xsi:type="dcterms:W3CDTF">2017-05-29T14:30:00Z</dcterms:modified>
  <cp:category>Conference document</cp:category>
</cp:coreProperties>
</file>