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C267B6">
        <w:trPr>
          <w:cantSplit/>
        </w:trPr>
        <w:tc>
          <w:tcPr>
            <w:tcW w:w="6912" w:type="dxa"/>
          </w:tcPr>
          <w:p w:rsidR="00520F36" w:rsidRPr="00C267B6" w:rsidRDefault="00520F36" w:rsidP="000F6EEF">
            <w:pPr>
              <w:spacing w:before="360"/>
            </w:pPr>
            <w:bookmarkStart w:id="0" w:name="dc06"/>
            <w:bookmarkEnd w:id="0"/>
            <w:r w:rsidRPr="00C267B6">
              <w:rPr>
                <w:b/>
                <w:bCs/>
                <w:sz w:val="30"/>
                <w:szCs w:val="30"/>
              </w:rPr>
              <w:t>Conseil 2017</w:t>
            </w:r>
            <w:r w:rsidRPr="00C267B6">
              <w:rPr>
                <w:rFonts w:ascii="Verdana" w:hAnsi="Verdana"/>
                <w:b/>
                <w:bCs/>
                <w:sz w:val="26"/>
                <w:szCs w:val="26"/>
              </w:rPr>
              <w:br/>
            </w:r>
            <w:r w:rsidRPr="00C267B6">
              <w:rPr>
                <w:b/>
                <w:bCs/>
                <w:szCs w:val="24"/>
              </w:rPr>
              <w:t>Genève, 15-25 mai 2017</w:t>
            </w:r>
          </w:p>
        </w:tc>
        <w:tc>
          <w:tcPr>
            <w:tcW w:w="3261" w:type="dxa"/>
          </w:tcPr>
          <w:p w:rsidR="00520F36" w:rsidRPr="00C267B6" w:rsidRDefault="00520F36" w:rsidP="000F6EEF">
            <w:pPr>
              <w:spacing w:before="0"/>
              <w:jc w:val="right"/>
            </w:pPr>
            <w:bookmarkStart w:id="1" w:name="ditulogo"/>
            <w:bookmarkEnd w:id="1"/>
            <w:r w:rsidRPr="00C267B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C267B6" w:rsidTr="00EF41DD">
        <w:trPr>
          <w:cantSplit/>
          <w:trHeight w:val="20"/>
        </w:trPr>
        <w:tc>
          <w:tcPr>
            <w:tcW w:w="6912" w:type="dxa"/>
            <w:tcBorders>
              <w:bottom w:val="single" w:sz="12" w:space="0" w:color="auto"/>
            </w:tcBorders>
            <w:vAlign w:val="center"/>
          </w:tcPr>
          <w:p w:rsidR="00520F36" w:rsidRPr="00C267B6" w:rsidRDefault="00520F36" w:rsidP="000F6EEF">
            <w:pPr>
              <w:spacing w:before="0"/>
              <w:rPr>
                <w:b/>
                <w:bCs/>
                <w:sz w:val="26"/>
                <w:szCs w:val="26"/>
              </w:rPr>
            </w:pPr>
            <w:bookmarkStart w:id="2" w:name="_GoBack"/>
            <w:bookmarkEnd w:id="2"/>
          </w:p>
        </w:tc>
        <w:tc>
          <w:tcPr>
            <w:tcW w:w="3261" w:type="dxa"/>
            <w:tcBorders>
              <w:bottom w:val="single" w:sz="12" w:space="0" w:color="auto"/>
            </w:tcBorders>
          </w:tcPr>
          <w:p w:rsidR="00520F36" w:rsidRPr="00C267B6" w:rsidRDefault="00520F36" w:rsidP="000F6EEF">
            <w:pPr>
              <w:spacing w:before="0"/>
              <w:rPr>
                <w:b/>
                <w:bCs/>
              </w:rPr>
            </w:pPr>
          </w:p>
        </w:tc>
      </w:tr>
      <w:tr w:rsidR="00520F36" w:rsidRPr="00C267B6">
        <w:trPr>
          <w:cantSplit/>
          <w:trHeight w:val="20"/>
        </w:trPr>
        <w:tc>
          <w:tcPr>
            <w:tcW w:w="6912" w:type="dxa"/>
            <w:tcBorders>
              <w:top w:val="single" w:sz="12" w:space="0" w:color="auto"/>
            </w:tcBorders>
          </w:tcPr>
          <w:p w:rsidR="00520F36" w:rsidRPr="00C267B6" w:rsidRDefault="00520F36" w:rsidP="000F6EEF">
            <w:pPr>
              <w:spacing w:before="0"/>
              <w:rPr>
                <w:smallCaps/>
                <w:sz w:val="22"/>
              </w:rPr>
            </w:pPr>
          </w:p>
        </w:tc>
        <w:tc>
          <w:tcPr>
            <w:tcW w:w="3261" w:type="dxa"/>
            <w:tcBorders>
              <w:top w:val="single" w:sz="12" w:space="0" w:color="auto"/>
            </w:tcBorders>
          </w:tcPr>
          <w:p w:rsidR="00520F36" w:rsidRPr="00C267B6" w:rsidRDefault="00520F36" w:rsidP="000F6EEF">
            <w:pPr>
              <w:spacing w:before="0"/>
              <w:rPr>
                <w:b/>
                <w:bCs/>
              </w:rPr>
            </w:pPr>
          </w:p>
        </w:tc>
      </w:tr>
      <w:tr w:rsidR="00520F36" w:rsidRPr="00C267B6">
        <w:trPr>
          <w:cantSplit/>
          <w:trHeight w:val="20"/>
        </w:trPr>
        <w:tc>
          <w:tcPr>
            <w:tcW w:w="6912" w:type="dxa"/>
            <w:vMerge w:val="restart"/>
          </w:tcPr>
          <w:p w:rsidR="00520F36" w:rsidRPr="00C267B6" w:rsidRDefault="00615A83" w:rsidP="000F6EEF">
            <w:pPr>
              <w:spacing w:before="0"/>
              <w:rPr>
                <w:rFonts w:cs="Times"/>
                <w:b/>
                <w:bCs/>
                <w:szCs w:val="24"/>
              </w:rPr>
            </w:pPr>
            <w:bookmarkStart w:id="3" w:name="dnum" w:colFirst="1" w:colLast="1"/>
            <w:bookmarkStart w:id="4" w:name="dmeeting" w:colFirst="0" w:colLast="0"/>
            <w:r w:rsidRPr="00C267B6">
              <w:rPr>
                <w:rFonts w:cs="Times"/>
                <w:b/>
                <w:bCs/>
                <w:szCs w:val="24"/>
              </w:rPr>
              <w:t>Point de l'ordre du jour: ADM 1.1</w:t>
            </w:r>
          </w:p>
        </w:tc>
        <w:tc>
          <w:tcPr>
            <w:tcW w:w="3261" w:type="dxa"/>
          </w:tcPr>
          <w:p w:rsidR="00520F36" w:rsidRPr="00C267B6" w:rsidRDefault="00415EC7" w:rsidP="00E17C90">
            <w:pPr>
              <w:spacing w:before="0"/>
              <w:rPr>
                <w:b/>
                <w:bCs/>
              </w:rPr>
            </w:pPr>
            <w:r>
              <w:rPr>
                <w:b/>
                <w:bCs/>
              </w:rPr>
              <w:t xml:space="preserve">Révision </w:t>
            </w:r>
            <w:r w:rsidR="00E17C90">
              <w:rPr>
                <w:b/>
                <w:bCs/>
              </w:rPr>
              <w:t>2</w:t>
            </w:r>
            <w:r>
              <w:rPr>
                <w:b/>
                <w:bCs/>
              </w:rPr>
              <w:t xml:space="preserve"> au</w:t>
            </w:r>
            <w:r>
              <w:rPr>
                <w:b/>
                <w:bCs/>
              </w:rPr>
              <w:br/>
            </w:r>
            <w:r w:rsidR="00520F36" w:rsidRPr="00C267B6">
              <w:rPr>
                <w:b/>
                <w:bCs/>
              </w:rPr>
              <w:t>Document C17/</w:t>
            </w:r>
            <w:r w:rsidR="00615A83" w:rsidRPr="00C267B6">
              <w:rPr>
                <w:b/>
                <w:bCs/>
              </w:rPr>
              <w:t>82</w:t>
            </w:r>
            <w:r w:rsidR="00520F36" w:rsidRPr="00C267B6">
              <w:rPr>
                <w:b/>
                <w:bCs/>
              </w:rPr>
              <w:t>-F</w:t>
            </w:r>
          </w:p>
        </w:tc>
      </w:tr>
      <w:tr w:rsidR="00520F36" w:rsidRPr="00C267B6">
        <w:trPr>
          <w:cantSplit/>
          <w:trHeight w:val="20"/>
        </w:trPr>
        <w:tc>
          <w:tcPr>
            <w:tcW w:w="6912" w:type="dxa"/>
            <w:vMerge/>
          </w:tcPr>
          <w:p w:rsidR="00520F36" w:rsidRPr="00C267B6" w:rsidRDefault="00520F36" w:rsidP="000F6EEF">
            <w:pPr>
              <w:shd w:val="solid" w:color="FFFFFF" w:fill="FFFFFF"/>
              <w:spacing w:before="180"/>
              <w:rPr>
                <w:smallCaps/>
              </w:rPr>
            </w:pPr>
            <w:bookmarkStart w:id="5" w:name="ddate" w:colFirst="1" w:colLast="1"/>
            <w:bookmarkEnd w:id="3"/>
            <w:bookmarkEnd w:id="4"/>
          </w:p>
        </w:tc>
        <w:tc>
          <w:tcPr>
            <w:tcW w:w="3261" w:type="dxa"/>
          </w:tcPr>
          <w:p w:rsidR="00520F36" w:rsidRPr="00C267B6" w:rsidRDefault="00615A83" w:rsidP="00415EC7">
            <w:pPr>
              <w:spacing w:before="0"/>
              <w:rPr>
                <w:b/>
                <w:bCs/>
              </w:rPr>
            </w:pPr>
            <w:r w:rsidRPr="00C267B6">
              <w:rPr>
                <w:b/>
                <w:bCs/>
              </w:rPr>
              <w:t>2</w:t>
            </w:r>
            <w:r w:rsidR="00E17C90">
              <w:rPr>
                <w:b/>
                <w:bCs/>
              </w:rPr>
              <w:t>5</w:t>
            </w:r>
            <w:r w:rsidR="00415EC7">
              <w:rPr>
                <w:b/>
                <w:bCs/>
              </w:rPr>
              <w:t xml:space="preserve"> mai</w:t>
            </w:r>
            <w:r w:rsidR="00520F36" w:rsidRPr="00C267B6">
              <w:rPr>
                <w:b/>
                <w:bCs/>
              </w:rPr>
              <w:t xml:space="preserve"> 2017</w:t>
            </w:r>
          </w:p>
        </w:tc>
      </w:tr>
      <w:tr w:rsidR="00520F36" w:rsidRPr="00C267B6">
        <w:trPr>
          <w:cantSplit/>
          <w:trHeight w:val="20"/>
        </w:trPr>
        <w:tc>
          <w:tcPr>
            <w:tcW w:w="6912" w:type="dxa"/>
            <w:vMerge/>
          </w:tcPr>
          <w:p w:rsidR="00520F36" w:rsidRPr="00C267B6" w:rsidRDefault="00520F36" w:rsidP="000F6EEF">
            <w:pPr>
              <w:shd w:val="solid" w:color="FFFFFF" w:fill="FFFFFF"/>
              <w:spacing w:before="180"/>
              <w:rPr>
                <w:smallCaps/>
              </w:rPr>
            </w:pPr>
            <w:bookmarkStart w:id="6" w:name="dorlang" w:colFirst="1" w:colLast="1"/>
            <w:bookmarkEnd w:id="5"/>
          </w:p>
        </w:tc>
        <w:tc>
          <w:tcPr>
            <w:tcW w:w="3261" w:type="dxa"/>
          </w:tcPr>
          <w:p w:rsidR="00520F36" w:rsidRPr="00C267B6" w:rsidRDefault="00520F36" w:rsidP="000F6EEF">
            <w:pPr>
              <w:spacing w:before="0"/>
              <w:rPr>
                <w:b/>
                <w:bCs/>
              </w:rPr>
            </w:pPr>
            <w:r w:rsidRPr="00C267B6">
              <w:rPr>
                <w:b/>
                <w:bCs/>
              </w:rPr>
              <w:t xml:space="preserve">Original: </w:t>
            </w:r>
            <w:r w:rsidR="00615A83" w:rsidRPr="00C267B6">
              <w:rPr>
                <w:b/>
                <w:bCs/>
              </w:rPr>
              <w:t>russe</w:t>
            </w:r>
          </w:p>
        </w:tc>
      </w:tr>
      <w:tr w:rsidR="00520F36" w:rsidRPr="00C267B6">
        <w:trPr>
          <w:cantSplit/>
        </w:trPr>
        <w:tc>
          <w:tcPr>
            <w:tcW w:w="10173" w:type="dxa"/>
            <w:gridSpan w:val="2"/>
          </w:tcPr>
          <w:p w:rsidR="00520F36" w:rsidRPr="00C267B6" w:rsidRDefault="00615A83" w:rsidP="000F6EEF">
            <w:pPr>
              <w:pStyle w:val="Source"/>
            </w:pPr>
            <w:bookmarkStart w:id="7" w:name="dsource" w:colFirst="0" w:colLast="0"/>
            <w:bookmarkEnd w:id="6"/>
            <w:r w:rsidRPr="00C267B6">
              <w:t>Note du Secrétaire général</w:t>
            </w:r>
          </w:p>
        </w:tc>
      </w:tr>
      <w:tr w:rsidR="00520F36" w:rsidRPr="00C267B6">
        <w:trPr>
          <w:cantSplit/>
        </w:trPr>
        <w:tc>
          <w:tcPr>
            <w:tcW w:w="10173" w:type="dxa"/>
            <w:gridSpan w:val="2"/>
          </w:tcPr>
          <w:p w:rsidR="00520F36" w:rsidRPr="00C267B6" w:rsidRDefault="00615A83" w:rsidP="00E17C90">
            <w:pPr>
              <w:pStyle w:val="Title1"/>
            </w:pPr>
            <w:bookmarkStart w:id="8" w:name="dtitle1" w:colFirst="0" w:colLast="0"/>
            <w:bookmarkEnd w:id="7"/>
            <w:r w:rsidRPr="00C267B6">
              <w:t>CONTRIBUTION DE LA FéDéRATION DE RUSSIE</w:t>
            </w:r>
            <w:r w:rsidR="00415EC7">
              <w:t>, LA REPUBLIQUE D’ARMENIE</w:t>
            </w:r>
            <w:r w:rsidR="00E17C90">
              <w:t>,</w:t>
            </w:r>
            <w:r w:rsidR="00415EC7">
              <w:t xml:space="preserve"> LA REPUBLIC DU BELARUS</w:t>
            </w:r>
            <w:r w:rsidR="00E17C90">
              <w:t xml:space="preserve"> ET LA RÉPUBLIQUE KIRGHIZE</w:t>
            </w:r>
          </w:p>
          <w:p w:rsidR="00615A83" w:rsidRPr="00C267B6" w:rsidRDefault="00615A83" w:rsidP="000F6EEF">
            <w:pPr>
              <w:pStyle w:val="Title2"/>
            </w:pPr>
            <w:r w:rsidRPr="00C267B6">
              <w:t>PROPOSI</w:t>
            </w:r>
            <w:r w:rsidR="000F6EEF" w:rsidRPr="00C267B6">
              <w:t>T</w:t>
            </w:r>
            <w:r w:rsidRPr="00C267B6">
              <w:t xml:space="preserve">IONS CONCERNANT LA PRéSENTATION DES DONNéES </w:t>
            </w:r>
            <w:r w:rsidR="000F6EEF" w:rsidRPr="00C267B6">
              <w:br/>
            </w:r>
            <w:r w:rsidRPr="00C267B6">
              <w:t>DANS LES DOCUMENTS C17/10 ET C17/9</w:t>
            </w:r>
          </w:p>
        </w:tc>
      </w:tr>
    </w:tbl>
    <w:bookmarkEnd w:id="8"/>
    <w:p w:rsidR="00615A83" w:rsidRPr="00C267B6" w:rsidRDefault="00615A83" w:rsidP="00E17C90">
      <w:pPr>
        <w:spacing w:before="840"/>
      </w:pPr>
      <w:r w:rsidRPr="00C267B6">
        <w:t>J'ai l'honneur de transmettre aux Etats Membres du Conse</w:t>
      </w:r>
      <w:r w:rsidR="00AA4154">
        <w:t>il une contribution reçue de la </w:t>
      </w:r>
      <w:r w:rsidRPr="00C267B6">
        <w:rPr>
          <w:b/>
          <w:bCs/>
        </w:rPr>
        <w:t>Fédération de Russie</w:t>
      </w:r>
      <w:r w:rsidR="00415EC7">
        <w:rPr>
          <w:b/>
          <w:bCs/>
        </w:rPr>
        <w:t>, la Répu</w:t>
      </w:r>
      <w:r w:rsidR="00415EC7" w:rsidRPr="00415EC7">
        <w:rPr>
          <w:b/>
          <w:bCs/>
        </w:rPr>
        <w:t>blique d’Arménie</w:t>
      </w:r>
      <w:r w:rsidR="00E17C90">
        <w:rPr>
          <w:b/>
          <w:bCs/>
        </w:rPr>
        <w:t>,</w:t>
      </w:r>
      <w:r w:rsidR="00415EC7" w:rsidRPr="00415EC7">
        <w:rPr>
          <w:b/>
          <w:bCs/>
        </w:rPr>
        <w:t xml:space="preserve"> la République du </w:t>
      </w:r>
      <w:proofErr w:type="spellStart"/>
      <w:r w:rsidR="00415EC7" w:rsidRPr="00415EC7">
        <w:rPr>
          <w:b/>
          <w:bCs/>
        </w:rPr>
        <w:t>Bélarus</w:t>
      </w:r>
      <w:proofErr w:type="spellEnd"/>
      <w:r w:rsidR="00E17C90">
        <w:rPr>
          <w:b/>
          <w:bCs/>
        </w:rPr>
        <w:t xml:space="preserve"> et la République Kirghize</w:t>
      </w:r>
      <w:r w:rsidR="00415EC7" w:rsidRPr="00415EC7">
        <w:rPr>
          <w:b/>
          <w:bCs/>
        </w:rPr>
        <w:t>.</w:t>
      </w:r>
    </w:p>
    <w:p w:rsidR="00615A83" w:rsidRPr="00C267B6" w:rsidRDefault="00615A83" w:rsidP="00AA4154">
      <w:pPr>
        <w:tabs>
          <w:tab w:val="center" w:pos="7088"/>
        </w:tabs>
        <w:spacing w:before="840"/>
      </w:pPr>
      <w:r w:rsidRPr="00C267B6">
        <w:tab/>
      </w:r>
      <w:r w:rsidRPr="00C267B6">
        <w:tab/>
      </w:r>
      <w:r w:rsidRPr="00C267B6">
        <w:tab/>
      </w:r>
      <w:r w:rsidRPr="00C267B6">
        <w:tab/>
      </w:r>
      <w:r w:rsidRPr="00C267B6">
        <w:tab/>
      </w:r>
      <w:r w:rsidRPr="00C267B6">
        <w:tab/>
        <w:t>Houlin ZHAO</w:t>
      </w:r>
      <w:r w:rsidRPr="00C267B6">
        <w:br/>
      </w:r>
      <w:r w:rsidRPr="00C267B6">
        <w:tab/>
      </w:r>
      <w:r w:rsidRPr="00C267B6">
        <w:tab/>
      </w:r>
      <w:r w:rsidRPr="00C267B6">
        <w:tab/>
      </w:r>
      <w:r w:rsidRPr="00C267B6">
        <w:tab/>
      </w:r>
      <w:r w:rsidRPr="00C267B6">
        <w:tab/>
      </w:r>
      <w:r w:rsidRPr="00C267B6">
        <w:tab/>
        <w:t>Secrétaire général</w:t>
      </w:r>
    </w:p>
    <w:p w:rsidR="00615A83" w:rsidRPr="00C267B6" w:rsidRDefault="00615A83" w:rsidP="000F6EEF">
      <w:pPr>
        <w:tabs>
          <w:tab w:val="clear" w:pos="567"/>
          <w:tab w:val="clear" w:pos="1134"/>
          <w:tab w:val="clear" w:pos="1701"/>
          <w:tab w:val="clear" w:pos="2268"/>
          <w:tab w:val="clear" w:pos="2835"/>
        </w:tabs>
        <w:overflowPunct/>
        <w:autoSpaceDE/>
        <w:autoSpaceDN/>
        <w:adjustRightInd/>
        <w:spacing w:before="0"/>
        <w:textAlignment w:val="auto"/>
      </w:pPr>
      <w:r w:rsidRPr="00C267B6">
        <w:br w:type="page"/>
      </w:r>
    </w:p>
    <w:p w:rsidR="00615A83" w:rsidRPr="00C267B6" w:rsidRDefault="00615A83" w:rsidP="00E17C90">
      <w:pPr>
        <w:pStyle w:val="Source"/>
      </w:pPr>
      <w:r w:rsidRPr="00C267B6">
        <w:lastRenderedPageBreak/>
        <w:t>Fédération de Russie</w:t>
      </w:r>
      <w:r w:rsidR="00415EC7">
        <w:t>, République d’Arménie</w:t>
      </w:r>
      <w:r w:rsidR="00E17C90">
        <w:t>,</w:t>
      </w:r>
      <w:r w:rsidR="00415EC7">
        <w:t xml:space="preserve"> République du </w:t>
      </w:r>
      <w:proofErr w:type="spellStart"/>
      <w:r w:rsidR="00415EC7">
        <w:t>Bélarus</w:t>
      </w:r>
      <w:proofErr w:type="spellEnd"/>
      <w:r w:rsidR="00E17C90">
        <w:t>, République Kirghize</w:t>
      </w:r>
    </w:p>
    <w:p w:rsidR="00615A83" w:rsidRPr="00C267B6" w:rsidRDefault="00615A83" w:rsidP="00AA4154">
      <w:pPr>
        <w:pStyle w:val="Title2"/>
        <w:spacing w:after="240"/>
        <w:rPr>
          <w:lang w:eastAsia="zh-CN"/>
        </w:rPr>
      </w:pPr>
      <w:r w:rsidRPr="00C267B6">
        <w:rPr>
          <w:lang w:eastAsia="zh-CN"/>
        </w:rPr>
        <w:t xml:space="preserve">PROPOSITIONS CONCERNANT LA PRÉSENTATION DES DONNÉES </w:t>
      </w:r>
      <w:r w:rsidR="00AA4154">
        <w:rPr>
          <w:lang w:eastAsia="zh-CN"/>
        </w:rPr>
        <w:br/>
      </w:r>
      <w:r w:rsidRPr="00C267B6">
        <w:rPr>
          <w:lang w:eastAsia="zh-CN"/>
        </w:rPr>
        <w:t>DANS LES DOCUMENTS C17/10 ET C17/9</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15A83" w:rsidRPr="00C267B6" w:rsidTr="00093386">
        <w:trPr>
          <w:trHeight w:val="3372"/>
        </w:trPr>
        <w:tc>
          <w:tcPr>
            <w:tcW w:w="8080" w:type="dxa"/>
            <w:tcBorders>
              <w:top w:val="single" w:sz="12" w:space="0" w:color="auto"/>
              <w:left w:val="single" w:sz="12" w:space="0" w:color="auto"/>
              <w:bottom w:val="single" w:sz="12" w:space="0" w:color="auto"/>
              <w:right w:val="single" w:sz="12" w:space="0" w:color="auto"/>
            </w:tcBorders>
          </w:tcPr>
          <w:p w:rsidR="00615A83" w:rsidRPr="00C267B6" w:rsidRDefault="00615A83" w:rsidP="000F6EEF">
            <w:pPr>
              <w:keepNext/>
              <w:keepLines/>
              <w:tabs>
                <w:tab w:val="left" w:pos="794"/>
                <w:tab w:val="left" w:pos="2127"/>
                <w:tab w:val="left" w:pos="2410"/>
                <w:tab w:val="left" w:pos="2921"/>
                <w:tab w:val="left" w:pos="3261"/>
              </w:tabs>
              <w:spacing w:before="160"/>
              <w:rPr>
                <w:b/>
              </w:rPr>
            </w:pPr>
            <w:r w:rsidRPr="00C267B6">
              <w:rPr>
                <w:b/>
              </w:rPr>
              <w:t>Résumé</w:t>
            </w:r>
          </w:p>
          <w:p w:rsidR="00615A83" w:rsidRPr="00C267B6" w:rsidRDefault="00615A83" w:rsidP="000F6EEF">
            <w:pPr>
              <w:tabs>
                <w:tab w:val="left" w:pos="794"/>
                <w:tab w:val="left" w:pos="1191"/>
                <w:tab w:val="left" w:pos="1588"/>
                <w:tab w:val="left" w:pos="1985"/>
              </w:tabs>
            </w:pPr>
            <w:r w:rsidRPr="00C267B6">
              <w:t>Le présent document contient des propositions visant à améliorer la clarté et la transparence des documents financiers de l</w:t>
            </w:r>
            <w:r w:rsidR="000F6EEF" w:rsidRPr="00C267B6">
              <w:t>'</w:t>
            </w:r>
            <w:r w:rsidR="00F22ED4">
              <w:t>UIT</w:t>
            </w:r>
            <w:r w:rsidRPr="00C267B6">
              <w:t>: le projet de budget et le rapport sur les produits et les charges.</w:t>
            </w:r>
          </w:p>
          <w:p w:rsidR="00615A83" w:rsidRPr="00C267B6" w:rsidRDefault="00615A83" w:rsidP="000F6EEF">
            <w:pPr>
              <w:keepNext/>
              <w:keepLines/>
              <w:tabs>
                <w:tab w:val="left" w:pos="794"/>
                <w:tab w:val="left" w:pos="2127"/>
                <w:tab w:val="left" w:pos="2410"/>
                <w:tab w:val="left" w:pos="2921"/>
                <w:tab w:val="left" w:pos="3261"/>
              </w:tabs>
              <w:spacing w:before="160"/>
              <w:rPr>
                <w:b/>
              </w:rPr>
            </w:pPr>
            <w:r w:rsidRPr="00C267B6">
              <w:rPr>
                <w:b/>
              </w:rPr>
              <w:t>Suite à donner</w:t>
            </w:r>
          </w:p>
          <w:p w:rsidR="00615A83" w:rsidRPr="00C267B6" w:rsidRDefault="00615A83" w:rsidP="000F6EEF">
            <w:pPr>
              <w:tabs>
                <w:tab w:val="left" w:pos="794"/>
                <w:tab w:val="left" w:pos="1191"/>
                <w:tab w:val="left" w:pos="1588"/>
                <w:tab w:val="left" w:pos="1985"/>
              </w:tabs>
            </w:pPr>
            <w:r w:rsidRPr="00C267B6">
              <w:t>Il est proposé que le Secrétariat général prenne ces propositions en considération au moment d</w:t>
            </w:r>
            <w:r w:rsidR="000F6EEF" w:rsidRPr="00C267B6">
              <w:t>'</w:t>
            </w:r>
            <w:r w:rsidRPr="00C267B6">
              <w:t xml:space="preserve">examiner les plans et le budget pour </w:t>
            </w:r>
            <w:r w:rsidR="00AA4154">
              <w:t>la période </w:t>
            </w:r>
            <w:r w:rsidRPr="00C267B6">
              <w:t>2018-2019.</w:t>
            </w:r>
          </w:p>
          <w:p w:rsidR="00615A83" w:rsidRPr="00C267B6" w:rsidRDefault="00615A83" w:rsidP="000F6EEF">
            <w:pPr>
              <w:tabs>
                <w:tab w:val="left" w:pos="794"/>
                <w:tab w:val="left" w:pos="1191"/>
                <w:tab w:val="left" w:pos="1588"/>
                <w:tab w:val="left" w:pos="1985"/>
              </w:tabs>
              <w:jc w:val="center"/>
              <w:rPr>
                <w:caps/>
              </w:rPr>
            </w:pPr>
            <w:r w:rsidRPr="00C267B6">
              <w:rPr>
                <w:caps/>
              </w:rPr>
              <w:t>____________</w:t>
            </w:r>
          </w:p>
          <w:p w:rsidR="00615A83" w:rsidRPr="00C267B6" w:rsidRDefault="00615A83" w:rsidP="000F6EEF">
            <w:pPr>
              <w:keepNext/>
              <w:keepLines/>
              <w:tabs>
                <w:tab w:val="left" w:pos="794"/>
                <w:tab w:val="left" w:pos="2127"/>
                <w:tab w:val="left" w:pos="2410"/>
                <w:tab w:val="left" w:pos="2921"/>
                <w:tab w:val="left" w:pos="3261"/>
              </w:tabs>
              <w:spacing w:before="160"/>
              <w:rPr>
                <w:b/>
              </w:rPr>
            </w:pPr>
            <w:r w:rsidRPr="00C267B6">
              <w:rPr>
                <w:b/>
              </w:rPr>
              <w:t>Références</w:t>
            </w:r>
          </w:p>
          <w:p w:rsidR="00615A83" w:rsidRPr="00C267B6" w:rsidRDefault="000F6EEF" w:rsidP="000F6EEF">
            <w:pPr>
              <w:tabs>
                <w:tab w:val="left" w:pos="794"/>
                <w:tab w:val="left" w:pos="1191"/>
                <w:tab w:val="left" w:pos="1588"/>
                <w:tab w:val="left" w:pos="1985"/>
              </w:tabs>
              <w:spacing w:after="120"/>
              <w:rPr>
                <w:i/>
                <w:iCs/>
                <w:u w:val="single"/>
              </w:rPr>
            </w:pPr>
            <w:bookmarkStart w:id="9" w:name="lt_pId023"/>
            <w:r w:rsidRPr="00C267B6">
              <w:rPr>
                <w:rStyle w:val="Hyperlink"/>
                <w:i/>
                <w:iCs/>
              </w:rPr>
              <w:t xml:space="preserve">Document </w:t>
            </w:r>
            <w:hyperlink r:id="rId7" w:history="1">
              <w:r w:rsidRPr="00C267B6">
                <w:rPr>
                  <w:rStyle w:val="Hyperlink"/>
                  <w:i/>
                  <w:iCs/>
                </w:rPr>
                <w:t>C17</w:t>
              </w:r>
            </w:hyperlink>
            <w:r w:rsidRPr="00C267B6">
              <w:rPr>
                <w:rStyle w:val="Hyperlink"/>
                <w:i/>
                <w:iCs/>
              </w:rPr>
              <w:t>/10</w:t>
            </w:r>
            <w:r w:rsidR="00C267B6" w:rsidRPr="00C267B6">
              <w:t xml:space="preserve">; </w:t>
            </w:r>
            <w:hyperlink r:id="rId8" w:history="1">
              <w:r w:rsidRPr="00C267B6">
                <w:rPr>
                  <w:rStyle w:val="Hyperlink"/>
                  <w:i/>
                  <w:iCs/>
                </w:rPr>
                <w:t>Document</w:t>
              </w:r>
            </w:hyperlink>
            <w:r w:rsidRPr="00C267B6">
              <w:rPr>
                <w:rStyle w:val="Hyperlink"/>
                <w:i/>
                <w:iCs/>
              </w:rPr>
              <w:t xml:space="preserve"> </w:t>
            </w:r>
            <w:hyperlink r:id="rId9" w:history="1">
              <w:r w:rsidRPr="00C267B6">
                <w:rPr>
                  <w:rStyle w:val="Hyperlink"/>
                  <w:i/>
                  <w:iCs/>
                </w:rPr>
                <w:t>C17</w:t>
              </w:r>
            </w:hyperlink>
            <w:r w:rsidRPr="00C267B6">
              <w:rPr>
                <w:rStyle w:val="Hyperlink"/>
                <w:i/>
                <w:iCs/>
              </w:rPr>
              <w:t>/9</w:t>
            </w:r>
            <w:r w:rsidR="00615A83" w:rsidRPr="00C267B6">
              <w:t xml:space="preserve">; </w:t>
            </w:r>
            <w:hyperlink r:id="rId10" w:history="1">
              <w:r w:rsidR="00615A83" w:rsidRPr="00C267B6">
                <w:rPr>
                  <w:rStyle w:val="Hyperlink"/>
                  <w:i/>
                  <w:iCs/>
                </w:rPr>
                <w:t>Document С16/9</w:t>
              </w:r>
            </w:hyperlink>
            <w:r w:rsidR="00C267B6" w:rsidRPr="00C267B6">
              <w:t xml:space="preserve">; </w:t>
            </w:r>
            <w:hyperlink r:id="rId11" w:history="1">
              <w:r w:rsidR="00615A83" w:rsidRPr="00C267B6">
                <w:rPr>
                  <w:rStyle w:val="Hyperlink"/>
                  <w:i/>
                  <w:iCs/>
                </w:rPr>
                <w:t>Document C17/64</w:t>
              </w:r>
            </w:hyperlink>
            <w:r w:rsidR="00C267B6" w:rsidRPr="00C267B6">
              <w:t xml:space="preserve">; </w:t>
            </w:r>
            <w:hyperlink r:id="rId12" w:history="1">
              <w:r w:rsidR="00615A83" w:rsidRPr="00C267B6">
                <w:rPr>
                  <w:rStyle w:val="Hyperlink"/>
                  <w:i/>
                  <w:iCs/>
                </w:rPr>
                <w:t>Document С17/67</w:t>
              </w:r>
            </w:hyperlink>
            <w:r w:rsidR="00C267B6" w:rsidRPr="00C267B6">
              <w:t xml:space="preserve">; </w:t>
            </w:r>
            <w:hyperlink r:id="rId13" w:history="1">
              <w:r w:rsidR="00615A83" w:rsidRPr="00C267B6">
                <w:rPr>
                  <w:rStyle w:val="Hyperlink"/>
                  <w:i/>
                  <w:iCs/>
                </w:rPr>
                <w:t>Document С17/74</w:t>
              </w:r>
            </w:hyperlink>
            <w:bookmarkEnd w:id="9"/>
          </w:p>
        </w:tc>
      </w:tr>
    </w:tbl>
    <w:p w:rsidR="00615A83" w:rsidRPr="00C267B6" w:rsidRDefault="000F6EEF" w:rsidP="000F6EEF">
      <w:pPr>
        <w:pStyle w:val="Heading1"/>
      </w:pPr>
      <w:r w:rsidRPr="00C267B6">
        <w:t>1</w:t>
      </w:r>
      <w:r w:rsidRPr="00C267B6">
        <w:tab/>
        <w:t>Analyse</w:t>
      </w:r>
    </w:p>
    <w:p w:rsidR="00615A83" w:rsidRPr="00C267B6" w:rsidRDefault="00615A83" w:rsidP="00C267B6">
      <w:r w:rsidRPr="00C267B6">
        <w:t xml:space="preserve">Le document C17/10, intitulé </w:t>
      </w:r>
      <w:r w:rsidR="00C267B6" w:rsidRPr="00C267B6">
        <w:t>"</w:t>
      </w:r>
      <w:r w:rsidR="00C267B6">
        <w:t>Rapport du Secrétaire général</w:t>
      </w:r>
      <w:r w:rsidRPr="00C267B6">
        <w:t>: Projet de b</w:t>
      </w:r>
      <w:r w:rsidR="00AA4154">
        <w:t>udget de l'Union pour </w:t>
      </w:r>
      <w:r w:rsidR="00C267B6">
        <w:t>2018-2019</w:t>
      </w:r>
      <w:r w:rsidR="00C267B6" w:rsidRPr="00C267B6">
        <w:t>"</w:t>
      </w:r>
      <w:r w:rsidRPr="00C267B6">
        <w:t>, dont la version anglaise comporte 45 pages de tableaux et d</w:t>
      </w:r>
      <w:r w:rsidR="000F6EEF" w:rsidRPr="00C267B6">
        <w:t>'</w:t>
      </w:r>
      <w:r w:rsidR="00E10BEB">
        <w:t>explications, et le D</w:t>
      </w:r>
      <w:r w:rsidRPr="00C267B6">
        <w:t xml:space="preserve">ocument C17/9, intitulé </w:t>
      </w:r>
      <w:r w:rsidR="00C267B6" w:rsidRPr="00C267B6">
        <w:t>"</w:t>
      </w:r>
      <w:r w:rsidRPr="00C267B6">
        <w:t>Rapport du Secrétaire général: Examen annuel des produits et des charges</w:t>
      </w:r>
      <w:r w:rsidR="00C267B6" w:rsidRPr="00C267B6">
        <w:t>"</w:t>
      </w:r>
      <w:r w:rsidRPr="00C267B6">
        <w:t>, contiennent une grande quantité de données qui doivent être analysées ensemble. De plus, pour analyser le budget de l</w:t>
      </w:r>
      <w:r w:rsidR="000F6EEF" w:rsidRPr="00C267B6">
        <w:t>'</w:t>
      </w:r>
      <w:r w:rsidRPr="00C267B6">
        <w:t>UIT, il est nécessaire d</w:t>
      </w:r>
      <w:r w:rsidR="000F6EEF" w:rsidRPr="00C267B6">
        <w:t>'</w:t>
      </w:r>
      <w:r w:rsidRPr="00C267B6">
        <w:t>examiner des documents analogues présentés lors de sessions précédentes du Conseil de l</w:t>
      </w:r>
      <w:r w:rsidR="000F6EEF" w:rsidRPr="00C267B6">
        <w:t>'</w:t>
      </w:r>
      <w:r w:rsidR="00AA4154">
        <w:t>UIT, par exemple le D</w:t>
      </w:r>
      <w:r w:rsidRPr="00C267B6">
        <w:t>ocument C16/9.</w:t>
      </w:r>
    </w:p>
    <w:p w:rsidR="00615A83" w:rsidRPr="00C267B6" w:rsidRDefault="00615A83" w:rsidP="00E10BEB">
      <w:r w:rsidRPr="00C267B6">
        <w:t>En outre, les tableaux de certains documents aux contenus similaires sont souvent présentés sous des formes différentes. Par</w:t>
      </w:r>
      <w:r w:rsidR="00AA4154">
        <w:t xml:space="preserve"> exemple, dans le Tableau 1 du D</w:t>
      </w:r>
      <w:r w:rsidRPr="00C267B6">
        <w:t xml:space="preserve">ocument C16/9, les </w:t>
      </w:r>
      <w:r w:rsidR="00C267B6" w:rsidRPr="00C267B6">
        <w:t>"</w:t>
      </w:r>
      <w:r w:rsidR="00C267B6">
        <w:t>Produits provenant des intérêts</w:t>
      </w:r>
      <w:r w:rsidR="00C267B6" w:rsidRPr="00C267B6">
        <w:t>"</w:t>
      </w:r>
      <w:r w:rsidRPr="00C267B6">
        <w:t xml:space="preserve"> et les </w:t>
      </w:r>
      <w:r w:rsidR="00C267B6" w:rsidRPr="00C267B6">
        <w:t>"</w:t>
      </w:r>
      <w:r w:rsidRPr="00C267B6">
        <w:t>Autres produits</w:t>
      </w:r>
      <w:r w:rsidR="00C267B6" w:rsidRPr="00C267B6">
        <w:t>"</w:t>
      </w:r>
      <w:r w:rsidRPr="00C267B6">
        <w:t xml:space="preserve"> se trouvent sur des lignes </w:t>
      </w:r>
      <w:r w:rsidR="00E656CC">
        <w:t>distinctes, tandis que dans le T</w:t>
      </w:r>
      <w:r w:rsidRPr="00C267B6">
        <w:t>ableau</w:t>
      </w:r>
      <w:r w:rsidR="000F6EEF" w:rsidRPr="00C267B6">
        <w:t xml:space="preserve"> 1</w:t>
      </w:r>
      <w:r w:rsidR="00E656CC">
        <w:t xml:space="preserve"> correspondant du D</w:t>
      </w:r>
      <w:r w:rsidRPr="00C267B6">
        <w:t xml:space="preserve">ocument C17/9, ces postes sont rassemblés sur la même </w:t>
      </w:r>
      <w:r w:rsidR="00E656CC">
        <w:rPr>
          <w:spacing w:val="2"/>
        </w:rPr>
        <w:t>ligne. Dans le D</w:t>
      </w:r>
      <w:r w:rsidRPr="0041253E">
        <w:rPr>
          <w:spacing w:val="2"/>
        </w:rPr>
        <w:t xml:space="preserve">ocument C17/10, les colonnes sont associées à des lettres dans certains tableaux </w:t>
      </w:r>
      <w:r w:rsidRPr="0041253E">
        <w:t xml:space="preserve">(1 à 9), mais pas </w:t>
      </w:r>
      <w:r w:rsidR="000F6EEF" w:rsidRPr="0041253E">
        <w:t>dans d'</w:t>
      </w:r>
      <w:r w:rsidRPr="0041253E">
        <w:t>autres, ce qui complique l</w:t>
      </w:r>
      <w:r w:rsidR="000F6EEF" w:rsidRPr="0041253E">
        <w:t>'</w:t>
      </w:r>
      <w:r w:rsidRPr="0041253E">
        <w:t>élaboration de matériels analytiques (voir</w:t>
      </w:r>
      <w:r w:rsidRPr="00C267B6">
        <w:t xml:space="preserve"> notamment les tableaux 10, 18, 19 et 20) à partir des documents soumis. Parfois, au sein d</w:t>
      </w:r>
      <w:r w:rsidR="000F6EEF" w:rsidRPr="00C267B6">
        <w:t>'</w:t>
      </w:r>
      <w:r w:rsidRPr="00C267B6">
        <w:t>un même tableau, certaines des colonnes sont identifiées par des lettres majuscules et d</w:t>
      </w:r>
      <w:r w:rsidR="000F6EEF" w:rsidRPr="00C267B6">
        <w:t>'</w:t>
      </w:r>
      <w:r w:rsidRPr="00C267B6">
        <w:t>autres par des lettres minuscules, comme c</w:t>
      </w:r>
      <w:r w:rsidR="000F6EEF" w:rsidRPr="00C267B6">
        <w:t>'</w:t>
      </w:r>
      <w:r w:rsidR="00E656CC">
        <w:t>est le cas dans le Tableau 11 du D</w:t>
      </w:r>
      <w:r w:rsidRPr="00C267B6">
        <w:t>ocument C17/10.</w:t>
      </w:r>
    </w:p>
    <w:p w:rsidR="00615A83" w:rsidRPr="00C267B6" w:rsidRDefault="00E656CC" w:rsidP="000F6EEF">
      <w:r>
        <w:t>Les données du D</w:t>
      </w:r>
      <w:r w:rsidR="00615A83" w:rsidRPr="00C267B6">
        <w:t xml:space="preserve">ocument C17/9 sont présentées pour une date (le 7 février 2017), tandis que les données correspondantes figurant dans </w:t>
      </w:r>
      <w:r w:rsidR="00E10BEB">
        <w:t>le D</w:t>
      </w:r>
      <w:r w:rsidR="00615A83" w:rsidRPr="00C267B6">
        <w:t>ocument C17/10, nécessaires à des fins de comparaison et d</w:t>
      </w:r>
      <w:r w:rsidR="000F6EEF" w:rsidRPr="00C267B6">
        <w:t>'</w:t>
      </w:r>
      <w:r w:rsidR="00615A83" w:rsidRPr="00C267B6">
        <w:t>analyse, sont présentées pour une autre date (le 17 février 2017).</w:t>
      </w:r>
    </w:p>
    <w:p w:rsidR="00E656CC" w:rsidRDefault="00E656CC" w:rsidP="000F6EEF">
      <w:pPr>
        <w:spacing w:before="240"/>
        <w:rPr>
          <w:szCs w:val="24"/>
        </w:rPr>
      </w:pPr>
      <w:r>
        <w:rPr>
          <w:szCs w:val="24"/>
        </w:rPr>
        <w:br w:type="page"/>
      </w:r>
    </w:p>
    <w:p w:rsidR="00615A83" w:rsidRPr="00C267B6" w:rsidRDefault="00E656CC" w:rsidP="000F6EEF">
      <w:pPr>
        <w:spacing w:before="240"/>
        <w:rPr>
          <w:szCs w:val="24"/>
        </w:rPr>
      </w:pPr>
      <w:r>
        <w:rPr>
          <w:szCs w:val="24"/>
        </w:rPr>
        <w:lastRenderedPageBreak/>
        <w:t>Dans le D</w:t>
      </w:r>
      <w:r w:rsidR="00615A83" w:rsidRPr="00C267B6">
        <w:rPr>
          <w:szCs w:val="24"/>
        </w:rPr>
        <w:t>ocume</w:t>
      </w:r>
      <w:r w:rsidR="00E10BEB">
        <w:rPr>
          <w:szCs w:val="24"/>
        </w:rPr>
        <w:t>nt C17/10, par exemple dans le T</w:t>
      </w:r>
      <w:r w:rsidR="00615A83" w:rsidRPr="00C267B6">
        <w:rPr>
          <w:szCs w:val="24"/>
        </w:rPr>
        <w:t>ableau 5, la présence de virgules entre les chiffres (ou l</w:t>
      </w:r>
      <w:r w:rsidR="000F6EEF" w:rsidRPr="00C267B6">
        <w:rPr>
          <w:szCs w:val="24"/>
        </w:rPr>
        <w:t>'</w:t>
      </w:r>
      <w:r w:rsidR="00615A83" w:rsidRPr="00C267B6">
        <w:rPr>
          <w:szCs w:val="24"/>
        </w:rPr>
        <w:t xml:space="preserve">absence de celles-ci) au sein des nombres </w:t>
      </w:r>
      <w:r w:rsidR="000F6EEF" w:rsidRPr="00C267B6">
        <w:rPr>
          <w:szCs w:val="24"/>
        </w:rPr>
        <w:t xml:space="preserve">dans la version anglaise </w:t>
      </w:r>
      <w:r w:rsidR="00615A83" w:rsidRPr="00C267B6">
        <w:rPr>
          <w:szCs w:val="24"/>
        </w:rPr>
        <w:t>provoque des erreurs lorsque les données sont transférées dans des t</w:t>
      </w:r>
      <w:r w:rsidR="00E10BEB">
        <w:rPr>
          <w:szCs w:val="24"/>
        </w:rPr>
        <w:t>ableaux Excel. Sur ce plan, le Document </w:t>
      </w:r>
      <w:r w:rsidR="00615A83" w:rsidRPr="00C267B6">
        <w:rPr>
          <w:szCs w:val="24"/>
        </w:rPr>
        <w:t>C17/9 est plus facile à utiliser.</w:t>
      </w:r>
    </w:p>
    <w:p w:rsidR="00615A83" w:rsidRPr="00C267B6" w:rsidRDefault="00615A83" w:rsidP="00E10BEB">
      <w:pPr>
        <w:spacing w:before="240" w:after="240"/>
        <w:rPr>
          <w:szCs w:val="24"/>
        </w:rPr>
      </w:pPr>
      <w:r w:rsidRPr="00C267B6">
        <w:rPr>
          <w:szCs w:val="24"/>
        </w:rPr>
        <w:t>Extrait du Document С17/10:</w:t>
      </w:r>
    </w:p>
    <w:tbl>
      <w:tblPr>
        <w:tblW w:w="4943" w:type="pct"/>
        <w:tblInd w:w="108" w:type="dxa"/>
        <w:tblLook w:val="04A0" w:firstRow="1" w:lastRow="0" w:firstColumn="1" w:lastColumn="0" w:noHBand="0" w:noVBand="1"/>
      </w:tblPr>
      <w:tblGrid>
        <w:gridCol w:w="9529"/>
      </w:tblGrid>
      <w:tr w:rsidR="00615A83" w:rsidRPr="00C267B6" w:rsidTr="00093386">
        <w:trPr>
          <w:trHeight w:val="20"/>
        </w:trPr>
        <w:tc>
          <w:tcPr>
            <w:tcW w:w="5000" w:type="pct"/>
            <w:tcBorders>
              <w:top w:val="nil"/>
              <w:left w:val="nil"/>
              <w:bottom w:val="nil"/>
              <w:right w:val="nil"/>
            </w:tcBorders>
            <w:shd w:val="clear" w:color="000000" w:fill="DCE6F1"/>
            <w:vAlign w:val="center"/>
            <w:hideMark/>
          </w:tcPr>
          <w:p w:rsidR="00615A83" w:rsidRPr="00E10BEB" w:rsidRDefault="00615A83" w:rsidP="000F6EEF">
            <w:pPr>
              <w:ind w:firstLine="709"/>
              <w:jc w:val="center"/>
              <w:rPr>
                <w:b/>
                <w:bCs/>
                <w:lang w:eastAsia="zh-CN"/>
              </w:rPr>
            </w:pPr>
            <w:r w:rsidRPr="00E10BEB">
              <w:rPr>
                <w:b/>
                <w:bCs/>
                <w:lang w:eastAsia="zh-CN"/>
              </w:rPr>
              <w:t>Budget</w:t>
            </w:r>
            <w:r w:rsidRPr="00E10BEB">
              <w:rPr>
                <w:b/>
                <w:bCs/>
                <w:lang w:eastAsia="zh-CN"/>
              </w:rPr>
              <w:br/>
              <w:t>2016-2017 en milliers de francs suisses</w:t>
            </w:r>
          </w:p>
        </w:tc>
      </w:tr>
      <w:tr w:rsidR="00615A83" w:rsidRPr="00C267B6" w:rsidTr="00093386">
        <w:trPr>
          <w:trHeight w:val="20"/>
        </w:trPr>
        <w:tc>
          <w:tcPr>
            <w:tcW w:w="5000" w:type="pct"/>
            <w:tcBorders>
              <w:top w:val="nil"/>
              <w:left w:val="nil"/>
              <w:bottom w:val="single" w:sz="4" w:space="0" w:color="auto"/>
              <w:right w:val="nil"/>
            </w:tcBorders>
            <w:shd w:val="clear" w:color="000000" w:fill="DCE6F1"/>
            <w:vAlign w:val="center"/>
            <w:hideMark/>
          </w:tcPr>
          <w:p w:rsidR="00615A83" w:rsidRPr="00E10BEB" w:rsidRDefault="00615A83" w:rsidP="000F6EEF">
            <w:pPr>
              <w:ind w:firstLine="709"/>
              <w:jc w:val="center"/>
              <w:rPr>
                <w:b/>
                <w:bCs/>
                <w:lang w:eastAsia="zh-CN"/>
              </w:rPr>
            </w:pPr>
            <w:r w:rsidRPr="00E10BEB">
              <w:rPr>
                <w:b/>
                <w:bCs/>
                <w:lang w:eastAsia="zh-CN"/>
              </w:rPr>
              <w:t>c</w:t>
            </w:r>
          </w:p>
        </w:tc>
      </w:tr>
      <w:tr w:rsidR="00615A83" w:rsidRPr="00C267B6" w:rsidTr="00093386">
        <w:trPr>
          <w:trHeight w:val="20"/>
        </w:trPr>
        <w:tc>
          <w:tcPr>
            <w:tcW w:w="5000" w:type="pct"/>
            <w:tcBorders>
              <w:top w:val="nil"/>
              <w:left w:val="nil"/>
              <w:bottom w:val="nil"/>
              <w:right w:val="nil"/>
            </w:tcBorders>
            <w:shd w:val="clear" w:color="000000" w:fill="DCE6F1"/>
            <w:noWrap/>
            <w:vAlign w:val="bottom"/>
            <w:hideMark/>
          </w:tcPr>
          <w:p w:rsidR="00615A83" w:rsidRPr="00E10BEB" w:rsidRDefault="00615A83" w:rsidP="000F6EEF">
            <w:pPr>
              <w:ind w:firstLine="709"/>
              <w:jc w:val="right"/>
              <w:rPr>
                <w:lang w:eastAsia="zh-CN"/>
              </w:rPr>
            </w:pPr>
            <w:r w:rsidRPr="00E10BEB">
              <w:rPr>
                <w:lang w:eastAsia="zh-CN"/>
              </w:rPr>
              <w:t>248 802</w:t>
            </w:r>
          </w:p>
        </w:tc>
      </w:tr>
      <w:tr w:rsidR="00615A83" w:rsidRPr="00C267B6" w:rsidTr="00093386">
        <w:trPr>
          <w:trHeight w:val="20"/>
        </w:trPr>
        <w:tc>
          <w:tcPr>
            <w:tcW w:w="5000" w:type="pct"/>
            <w:tcBorders>
              <w:top w:val="nil"/>
              <w:left w:val="nil"/>
              <w:bottom w:val="nil"/>
              <w:right w:val="nil"/>
            </w:tcBorders>
            <w:shd w:val="clear" w:color="000000" w:fill="DCE6F1"/>
            <w:noWrap/>
            <w:vAlign w:val="bottom"/>
            <w:hideMark/>
          </w:tcPr>
          <w:p w:rsidR="00615A83" w:rsidRPr="00E10BEB" w:rsidRDefault="00615A83" w:rsidP="000F6EEF">
            <w:pPr>
              <w:ind w:firstLine="709"/>
              <w:jc w:val="right"/>
              <w:rPr>
                <w:lang w:eastAsia="zh-CN"/>
              </w:rPr>
            </w:pPr>
            <w:r w:rsidRPr="00E10BEB">
              <w:rPr>
                <w:lang w:eastAsia="zh-CN"/>
              </w:rPr>
              <w:t>69 250</w:t>
            </w:r>
          </w:p>
        </w:tc>
      </w:tr>
      <w:tr w:rsidR="00615A83" w:rsidRPr="00C267B6" w:rsidTr="00093386">
        <w:trPr>
          <w:trHeight w:val="20"/>
        </w:trPr>
        <w:tc>
          <w:tcPr>
            <w:tcW w:w="5000" w:type="pct"/>
            <w:tcBorders>
              <w:top w:val="nil"/>
              <w:left w:val="nil"/>
              <w:bottom w:val="nil"/>
              <w:right w:val="nil"/>
            </w:tcBorders>
            <w:shd w:val="clear" w:color="000000" w:fill="DCE6F1"/>
            <w:noWrap/>
            <w:vAlign w:val="bottom"/>
            <w:hideMark/>
          </w:tcPr>
          <w:p w:rsidR="00615A83" w:rsidRPr="00E10BEB" w:rsidRDefault="00615A83" w:rsidP="000F6EEF">
            <w:pPr>
              <w:ind w:firstLine="709"/>
              <w:jc w:val="right"/>
              <w:rPr>
                <w:u w:val="single"/>
                <w:lang w:eastAsia="zh-CN"/>
              </w:rPr>
            </w:pPr>
            <w:r w:rsidRPr="00E10BEB">
              <w:rPr>
                <w:u w:val="single"/>
                <w:lang w:eastAsia="zh-CN"/>
              </w:rPr>
              <w:t>800</w:t>
            </w:r>
          </w:p>
        </w:tc>
      </w:tr>
      <w:tr w:rsidR="00615A83" w:rsidRPr="00C267B6" w:rsidTr="00093386">
        <w:trPr>
          <w:trHeight w:val="20"/>
        </w:trPr>
        <w:tc>
          <w:tcPr>
            <w:tcW w:w="5000" w:type="pct"/>
            <w:tcBorders>
              <w:top w:val="nil"/>
              <w:left w:val="nil"/>
              <w:bottom w:val="nil"/>
              <w:right w:val="nil"/>
            </w:tcBorders>
            <w:shd w:val="clear" w:color="000000" w:fill="DCE6F1"/>
            <w:noWrap/>
            <w:vAlign w:val="bottom"/>
            <w:hideMark/>
          </w:tcPr>
          <w:p w:rsidR="00615A83" w:rsidRPr="00E10BEB" w:rsidRDefault="00615A83" w:rsidP="000F6EEF">
            <w:pPr>
              <w:ind w:firstLine="709"/>
              <w:jc w:val="right"/>
              <w:rPr>
                <w:lang w:eastAsia="zh-CN"/>
              </w:rPr>
            </w:pPr>
            <w:r w:rsidRPr="00E10BEB">
              <w:rPr>
                <w:lang w:eastAsia="zh-CN"/>
              </w:rPr>
              <w:t>2 451</w:t>
            </w:r>
          </w:p>
        </w:tc>
      </w:tr>
      <w:tr w:rsidR="00615A83" w:rsidRPr="00C267B6" w:rsidTr="00093386">
        <w:trPr>
          <w:trHeight w:val="20"/>
        </w:trPr>
        <w:tc>
          <w:tcPr>
            <w:tcW w:w="5000" w:type="pct"/>
            <w:tcBorders>
              <w:top w:val="single" w:sz="4" w:space="0" w:color="auto"/>
              <w:left w:val="nil"/>
              <w:bottom w:val="single" w:sz="4" w:space="0" w:color="auto"/>
              <w:right w:val="nil"/>
            </w:tcBorders>
            <w:shd w:val="clear" w:color="000000" w:fill="DCE6F1"/>
            <w:noWrap/>
            <w:vAlign w:val="center"/>
            <w:hideMark/>
          </w:tcPr>
          <w:p w:rsidR="00615A83" w:rsidRPr="00E10BEB" w:rsidRDefault="00615A83" w:rsidP="000F6EEF">
            <w:pPr>
              <w:ind w:firstLine="709"/>
              <w:jc w:val="right"/>
              <w:rPr>
                <w:b/>
                <w:bCs/>
                <w:sz w:val="16"/>
                <w:szCs w:val="16"/>
                <w:lang w:eastAsia="zh-CN"/>
              </w:rPr>
            </w:pPr>
            <w:r w:rsidRPr="00E10BEB">
              <w:rPr>
                <w:b/>
                <w:bCs/>
                <w:szCs w:val="24"/>
                <w:lang w:eastAsia="zh-CN"/>
              </w:rPr>
              <w:t>321 303</w:t>
            </w:r>
          </w:p>
        </w:tc>
      </w:tr>
    </w:tbl>
    <w:p w:rsidR="00615A83" w:rsidRPr="00C267B6" w:rsidRDefault="00615A83" w:rsidP="00E10BEB">
      <w:pPr>
        <w:spacing w:before="360"/>
      </w:pPr>
      <w:r w:rsidRPr="00C267B6">
        <w:t>Les titres des tableaux ne correspondent pas toujours à</w:t>
      </w:r>
      <w:r w:rsidR="00E656CC">
        <w:t xml:space="preserve"> leur contenu. Par exemple, le Tableau 2 du D</w:t>
      </w:r>
      <w:r w:rsidRPr="00C267B6">
        <w:t xml:space="preserve">ocument C17/10, intitulé </w:t>
      </w:r>
      <w:r w:rsidR="00C267B6" w:rsidRPr="00C267B6">
        <w:t>"</w:t>
      </w:r>
      <w:r w:rsidRPr="00C267B6">
        <w:t>Estimations concernant les produits et les charges pour l'</w:t>
      </w:r>
      <w:r w:rsidR="00E656CC">
        <w:t>exercice </w:t>
      </w:r>
      <w:r w:rsidR="00B34901">
        <w:t>2018-2019, par Secteur</w:t>
      </w:r>
      <w:r w:rsidR="00C267B6" w:rsidRPr="00C267B6">
        <w:t>"</w:t>
      </w:r>
      <w:r w:rsidRPr="00C267B6">
        <w:t>, contient des données de 2014 (budget et montants effectifs), qui ne sont pas pertinentes en ce qui concerne l</w:t>
      </w:r>
      <w:r w:rsidR="000F6EEF" w:rsidRPr="00C267B6">
        <w:t>'</w:t>
      </w:r>
      <w:r w:rsidRPr="00C267B6">
        <w:t>année 2017, pour laquelle aucune estimation n</w:t>
      </w:r>
      <w:r w:rsidR="000F6EEF" w:rsidRPr="00C267B6">
        <w:t>'</w:t>
      </w:r>
      <w:r w:rsidRPr="00C267B6">
        <w:t>est donnée.</w:t>
      </w:r>
    </w:p>
    <w:p w:rsidR="00615A83" w:rsidRPr="00C267B6" w:rsidRDefault="00615A83" w:rsidP="00F22ED4">
      <w:r w:rsidRPr="00C267B6">
        <w:t>D</w:t>
      </w:r>
      <w:r w:rsidR="000F6EEF" w:rsidRPr="00C267B6">
        <w:t>'</w:t>
      </w:r>
      <w:r w:rsidRPr="00C267B6">
        <w:t>autres exemples pourraient être cités.</w:t>
      </w:r>
    </w:p>
    <w:p w:rsidR="00615A83" w:rsidRPr="00C267B6" w:rsidRDefault="00615A83" w:rsidP="000F6EEF">
      <w:pPr>
        <w:pStyle w:val="Heading1"/>
      </w:pPr>
      <w:r w:rsidRPr="00C267B6">
        <w:t>2</w:t>
      </w:r>
      <w:r w:rsidRPr="00C267B6">
        <w:tab/>
        <w:t>Propositions à l</w:t>
      </w:r>
      <w:r w:rsidR="000F6EEF" w:rsidRPr="00C267B6">
        <w:t>'</w:t>
      </w:r>
      <w:r w:rsidRPr="00C267B6">
        <w:t>intention du Secrétariat général</w:t>
      </w:r>
    </w:p>
    <w:p w:rsidR="00615A83" w:rsidRPr="00C267B6" w:rsidRDefault="00615A83" w:rsidP="00E10BEB">
      <w:r w:rsidRPr="00C267B6">
        <w:t>1</w:t>
      </w:r>
      <w:r w:rsidRPr="00C267B6">
        <w:tab/>
        <w:t>Pour une période de quatre ans, la structure des tableaux et l</w:t>
      </w:r>
      <w:r w:rsidR="000F6EEF" w:rsidRPr="00C267B6">
        <w:t>'</w:t>
      </w:r>
      <w:r w:rsidRPr="00C267B6">
        <w:t>ordre dans lequel figurent leurs éléments dans les documents financiers évoqués précédemment, ainsi que dans d</w:t>
      </w:r>
      <w:r w:rsidR="000F6EEF" w:rsidRPr="00C267B6">
        <w:t>'</w:t>
      </w:r>
      <w:r w:rsidRPr="00C267B6">
        <w:t xml:space="preserve">autres documents, </w:t>
      </w:r>
      <w:r w:rsidR="00C267B6" w:rsidRPr="00C267B6">
        <w:t>ne devraient pas être modifiés</w:t>
      </w:r>
      <w:r w:rsidRPr="00C267B6">
        <w:t xml:space="preserve">; cela faciliterait pour les conseillers </w:t>
      </w:r>
      <w:r w:rsidR="000F6EEF" w:rsidRPr="00C267B6">
        <w:t>l'analyse d</w:t>
      </w:r>
      <w:r w:rsidRPr="00C267B6">
        <w:t>es données dans des conditions comparables et améliorerait la transparence des rapports. S</w:t>
      </w:r>
      <w:r w:rsidR="000F6EEF" w:rsidRPr="00C267B6">
        <w:t>'</w:t>
      </w:r>
      <w:r w:rsidRPr="00C267B6">
        <w:t>il y a lieu, certaines descriptions narratives devraient être remplacées par des tableaux.</w:t>
      </w:r>
    </w:p>
    <w:p w:rsidR="00615A83" w:rsidRPr="00C267B6" w:rsidRDefault="00615A83" w:rsidP="00E10BEB">
      <w:r w:rsidRPr="00C267B6">
        <w:t>2</w:t>
      </w:r>
      <w:r w:rsidRPr="00C267B6">
        <w:tab/>
        <w:t>Tous les documents financiers relatifs à la clôture d</w:t>
      </w:r>
      <w:r w:rsidR="000F6EEF" w:rsidRPr="00C267B6">
        <w:t>'</w:t>
      </w:r>
      <w:r w:rsidRPr="00C267B6">
        <w:t>une période financière ainsi que les projections pour les périodes à venir devraient ê</w:t>
      </w:r>
      <w:r w:rsidR="000F6EEF" w:rsidRPr="00C267B6">
        <w:t>tre élaborés pour une même date</w:t>
      </w:r>
      <w:r w:rsidR="00E656CC">
        <w:t>. Dans les D</w:t>
      </w:r>
      <w:r w:rsidRPr="00C267B6">
        <w:t>ocuments C17/10 et C17/9, il serait souhaitable que les estimations pour 2017 et les données effectives pour 2016 correspondent à la même date, par exemple à la fin du mois de février ou, mieux encore, à la fin du premier trimestre.</w:t>
      </w:r>
    </w:p>
    <w:p w:rsidR="00615A83" w:rsidRPr="00C267B6" w:rsidRDefault="00E656CC" w:rsidP="00E10BEB">
      <w:r>
        <w:t>3</w:t>
      </w:r>
      <w:r>
        <w:tab/>
        <w:t>Dans le Document C17/10, dans les T</w:t>
      </w:r>
      <w:r w:rsidR="00615A83" w:rsidRPr="00C267B6">
        <w:t>ableaux 2, 5 (Produits par source), 6, 7 (Nombre d</w:t>
      </w:r>
      <w:r w:rsidR="000F6EEF" w:rsidRPr="00C267B6">
        <w:t>'</w:t>
      </w:r>
      <w:r w:rsidR="00615A83" w:rsidRPr="00C267B6">
        <w:t xml:space="preserve">unités contributives), 8 (Produits provenant du recouvrement des coûts), 9 (Autres produits) et </w:t>
      </w:r>
      <w:r w:rsidR="000F6EEF" w:rsidRPr="00C267B6">
        <w:t>d'</w:t>
      </w:r>
      <w:r w:rsidR="00615A83" w:rsidRPr="00C267B6">
        <w:t>autres</w:t>
      </w:r>
      <w:r w:rsidR="000F6EEF" w:rsidRPr="00C267B6">
        <w:t xml:space="preserve"> tableaux</w:t>
      </w:r>
      <w:r w:rsidR="00615A83" w:rsidRPr="00C267B6">
        <w:t>, s</w:t>
      </w:r>
      <w:r w:rsidR="000F6EEF" w:rsidRPr="00C267B6">
        <w:t>'</w:t>
      </w:r>
      <w:r w:rsidR="00615A83" w:rsidRPr="00C267B6">
        <w:t xml:space="preserve">il y a lieu, il faudrait ajouter une colonne </w:t>
      </w:r>
      <w:r w:rsidR="00C267B6" w:rsidRPr="00C267B6">
        <w:t>"</w:t>
      </w:r>
      <w:r w:rsidR="00615A83" w:rsidRPr="00C267B6">
        <w:t>Prévisions (estimations) pour 2017</w:t>
      </w:r>
      <w:r w:rsidR="00C267B6" w:rsidRPr="00C267B6">
        <w:t>"</w:t>
      </w:r>
      <w:r w:rsidR="00615A83" w:rsidRPr="00C267B6">
        <w:t>, nécessaire pour comprendre les nouvelles tendances et réduire le risque de prendre des décisions mal éclairées lors de l</w:t>
      </w:r>
      <w:r w:rsidR="000F6EEF" w:rsidRPr="00C267B6">
        <w:t>'</w:t>
      </w:r>
      <w:r w:rsidR="00E10BEB">
        <w:t>examen du D</w:t>
      </w:r>
      <w:r w:rsidR="00615A83" w:rsidRPr="00C267B6">
        <w:t>ocument C17/10.</w:t>
      </w:r>
    </w:p>
    <w:p w:rsidR="00E10BEB" w:rsidRDefault="00E10BEB" w:rsidP="00E10BEB">
      <w:r>
        <w:br w:type="page"/>
      </w:r>
    </w:p>
    <w:p w:rsidR="00615A83" w:rsidRPr="00C267B6" w:rsidRDefault="00E10BEB" w:rsidP="00E10BEB">
      <w:r>
        <w:lastRenderedPageBreak/>
        <w:t>4</w:t>
      </w:r>
      <w:r>
        <w:tab/>
        <w:t>Dans le Tableau 10 du D</w:t>
      </w:r>
      <w:r w:rsidR="00615A83" w:rsidRPr="00C267B6">
        <w:t>ocument C17/10, il est nécessaire d</w:t>
      </w:r>
      <w:r w:rsidR="000F6EEF" w:rsidRPr="00C267B6">
        <w:t>'</w:t>
      </w:r>
      <w:r>
        <w:t>indiquer, pour chaque fonds (le </w:t>
      </w:r>
      <w:r w:rsidR="00615A83" w:rsidRPr="00C267B6">
        <w:t>Fonds de réserve et le Fonds ASHI), l</w:t>
      </w:r>
      <w:r w:rsidR="000F6EEF" w:rsidRPr="00C267B6">
        <w:t>'</w:t>
      </w:r>
      <w:r w:rsidR="00615A83" w:rsidRPr="00C267B6">
        <w:t>état effectif (attendu) pour 2017 et les hypothèses budgétaires jusqu</w:t>
      </w:r>
      <w:r w:rsidR="000F6EEF" w:rsidRPr="00C267B6">
        <w:t>'</w:t>
      </w:r>
      <w:r w:rsidR="00615A83" w:rsidRPr="00C267B6">
        <w:t xml:space="preserve">à 2019, et de permettre la comparaison de ces données avec celles du </w:t>
      </w:r>
      <w:r>
        <w:t>Document C17/9 (T</w:t>
      </w:r>
      <w:r w:rsidR="00615A83" w:rsidRPr="00C267B6">
        <w:t xml:space="preserve">ableau 1 – Mise en </w:t>
      </w:r>
      <w:proofErr w:type="spellStart"/>
      <w:r>
        <w:t>oe</w:t>
      </w:r>
      <w:r w:rsidR="00615A83" w:rsidRPr="00C267B6">
        <w:t>uvre</w:t>
      </w:r>
      <w:proofErr w:type="spellEnd"/>
      <w:r w:rsidR="00615A83" w:rsidRPr="00C267B6">
        <w:t xml:space="preserve"> de la Résolution 1375 relative au budget) ainsi que celles d</w:t>
      </w:r>
      <w:r w:rsidR="000F6EEF" w:rsidRPr="00C267B6">
        <w:t>'</w:t>
      </w:r>
      <w:r w:rsidR="00615A83" w:rsidRPr="00C267B6">
        <w:t>autres documents contenant des informations sur ces fonds.</w:t>
      </w:r>
    </w:p>
    <w:p w:rsidR="00615A83" w:rsidRPr="00C267B6" w:rsidRDefault="00615A83" w:rsidP="00E10BEB">
      <w:r w:rsidRPr="00C267B6">
        <w:t>5</w:t>
      </w:r>
      <w:r w:rsidRPr="00C267B6">
        <w:tab/>
        <w:t>Les virgules, les apostrophes ou les points ne devraient pas être utilis</w:t>
      </w:r>
      <w:r w:rsidR="000F6EEF" w:rsidRPr="00C267B6">
        <w:t>és pour séparer les chiffres dans les</w:t>
      </w:r>
      <w:r w:rsidRPr="00C267B6">
        <w:t xml:space="preserve"> données numériques. Pour créer ces séparations, il est préférable d</w:t>
      </w:r>
      <w:r w:rsidR="000F6EEF" w:rsidRPr="00C267B6">
        <w:t>'</w:t>
      </w:r>
      <w:r w:rsidRPr="00C267B6">
        <w:t xml:space="preserve">insérer </w:t>
      </w:r>
      <w:r w:rsidR="000F6EEF" w:rsidRPr="00C267B6">
        <w:t>un</w:t>
      </w:r>
      <w:r w:rsidR="00E656CC">
        <w:t xml:space="preserve"> espace visuel</w:t>
      </w:r>
      <w:r w:rsidRPr="00C267B6">
        <w:t>, grâce aux paramètres d</w:t>
      </w:r>
      <w:r w:rsidR="000F6EEF" w:rsidRPr="00C267B6">
        <w:t>'</w:t>
      </w:r>
      <w:r w:rsidRPr="00C267B6">
        <w:t>Excel ou manuellement (symbole de l</w:t>
      </w:r>
      <w:r w:rsidR="000F6EEF" w:rsidRPr="00C267B6">
        <w:t>'</w:t>
      </w:r>
      <w:r w:rsidRPr="00C267B6">
        <w:t>espace) dans Word. L</w:t>
      </w:r>
      <w:r w:rsidR="000F6EEF" w:rsidRPr="00C267B6">
        <w:t>'</w:t>
      </w:r>
      <w:r w:rsidRPr="00C267B6">
        <w:t>utilisation de virgules (ou de points) pour séparer les chiffres peut être mal interprétée (nombres entiers ou parties décimales) lors de l</w:t>
      </w:r>
      <w:r w:rsidR="000F6EEF" w:rsidRPr="00C267B6">
        <w:t>'</w:t>
      </w:r>
      <w:r w:rsidRPr="00C267B6">
        <w:t>analyse de données numériques.</w:t>
      </w:r>
    </w:p>
    <w:p w:rsidR="00615A83" w:rsidRPr="00C267B6" w:rsidRDefault="00615A83" w:rsidP="00E10BEB">
      <w:r w:rsidRPr="00C267B6">
        <w:t>6</w:t>
      </w:r>
      <w:r w:rsidRPr="00C267B6">
        <w:tab/>
        <w:t>Les données relatives aux mêmes sujets qui apparaissent dans des documents différents, établis par des collaborateurs différents, devraient être harmonisées.</w:t>
      </w:r>
    </w:p>
    <w:p w:rsidR="00615A83" w:rsidRPr="00C267B6" w:rsidRDefault="00615A83" w:rsidP="00E10BEB">
      <w:r w:rsidRPr="00C267B6">
        <w:t>7</w:t>
      </w:r>
      <w:r w:rsidRPr="00C267B6">
        <w:tab/>
        <w:t>La répétition inutile de certaines données dans les documents d</w:t>
      </w:r>
      <w:r w:rsidR="000F6EEF" w:rsidRPr="00C267B6">
        <w:t>'</w:t>
      </w:r>
      <w:r w:rsidRPr="00C267B6">
        <w:t>une année sur l</w:t>
      </w:r>
      <w:r w:rsidR="000F6EEF" w:rsidRPr="00C267B6">
        <w:t>'</w:t>
      </w:r>
      <w:r w:rsidRPr="00C267B6">
        <w:t>autre devrait être limitée pour réduire le volume des rapports, ainsi que les coûts de traduction et de préparation de documents analytiques par les conseillers en vue des travaux des sessions du Conseil. Il est suffisant de fournir une référence aux documents des années précédentes contenant les données pertinentes.</w:t>
      </w:r>
    </w:p>
    <w:p w:rsidR="00615A83" w:rsidRPr="00C267B6" w:rsidRDefault="00615A83" w:rsidP="00E10BEB">
      <w:pPr>
        <w:rPr>
          <w:highlight w:val="cyan"/>
        </w:rPr>
      </w:pPr>
      <w:r w:rsidRPr="00C267B6">
        <w:t>8</w:t>
      </w:r>
      <w:r w:rsidRPr="00C267B6">
        <w:tab/>
        <w:t xml:space="preserve">Des règles générales devraient être définies concernant la </w:t>
      </w:r>
      <w:r w:rsidR="00C267B6" w:rsidRPr="00C267B6">
        <w:t>présentation</w:t>
      </w:r>
      <w:r w:rsidRPr="00C267B6">
        <w:t xml:space="preserve"> des sections et des tableaux pour l</w:t>
      </w:r>
      <w:r w:rsidR="000F6EEF" w:rsidRPr="00C267B6">
        <w:t>'</w:t>
      </w:r>
      <w:r w:rsidRPr="00C267B6">
        <w:t>élaboration des documents, et mises à la disposition des conseillers chargés des plans et des rapports sur le processus budgétaire, les opérations financières, les évaluations de la productivité, etc., afin de garantir que les documents soient comparables, transparents et aussi faciles que possible à utiliser, en vue de leur analyse.</w:t>
      </w:r>
    </w:p>
    <w:p w:rsidR="00615A83" w:rsidRPr="00C267B6" w:rsidRDefault="00615A83" w:rsidP="000F6EEF"/>
    <w:p w:rsidR="00571EEA" w:rsidRPr="00C267B6" w:rsidRDefault="000F6EEF" w:rsidP="000F6EEF">
      <w:pPr>
        <w:jc w:val="center"/>
      </w:pPr>
      <w:r w:rsidRPr="00C267B6">
        <w:t>______________</w:t>
      </w:r>
    </w:p>
    <w:sectPr w:rsidR="00571EEA" w:rsidRPr="00C267B6"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A83" w:rsidRDefault="00615A83">
      <w:r>
        <w:separator/>
      </w:r>
    </w:p>
  </w:endnote>
  <w:endnote w:type="continuationSeparator" w:id="0">
    <w:p w:rsidR="00615A83" w:rsidRDefault="0061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17C90">
    <w:pPr>
      <w:pStyle w:val="Footer"/>
    </w:pPr>
    <w:r>
      <w:fldChar w:fldCharType="begin"/>
    </w:r>
    <w:r>
      <w:instrText xml:space="preserve"> FILENAME \p \* MERGEFORMAT </w:instrText>
    </w:r>
    <w:r>
      <w:fldChar w:fldCharType="separate"/>
    </w:r>
    <w:r w:rsidR="00F22ED4">
      <w:t>P:\FRA\SG\CONSEIL\C17\000\082F.docx</w:t>
    </w:r>
    <w:r>
      <w:fldChar w:fldCharType="end"/>
    </w:r>
    <w:r w:rsidR="00732045">
      <w:tab/>
    </w:r>
    <w:r w:rsidR="002F1B76">
      <w:fldChar w:fldCharType="begin"/>
    </w:r>
    <w:r w:rsidR="00732045">
      <w:instrText xml:space="preserve"> savedate \@ dd.MM.yy </w:instrText>
    </w:r>
    <w:r w:rsidR="002F1B76">
      <w:fldChar w:fldCharType="separate"/>
    </w:r>
    <w:r w:rsidR="00841F56">
      <w:t>12.05.17</w:t>
    </w:r>
    <w:r w:rsidR="002F1B76">
      <w:fldChar w:fldCharType="end"/>
    </w:r>
    <w:r w:rsidR="00732045">
      <w:tab/>
    </w:r>
    <w:r w:rsidR="002F1B76">
      <w:fldChar w:fldCharType="begin"/>
    </w:r>
    <w:r w:rsidR="00732045">
      <w:instrText xml:space="preserve"> printdate \@ dd.MM.yy </w:instrText>
    </w:r>
    <w:r w:rsidR="002F1B76">
      <w:fldChar w:fldCharType="separate"/>
    </w:r>
    <w:r w:rsidR="00F22ED4">
      <w:t>11.05.17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17C90">
    <w:pPr>
      <w:pStyle w:val="Footer"/>
    </w:pPr>
    <w:r>
      <w:fldChar w:fldCharType="begin"/>
    </w:r>
    <w:r>
      <w:instrText xml:space="preserve"> FILENAME \p \* MERGEFORMAT </w:instrText>
    </w:r>
    <w:r>
      <w:fldChar w:fldCharType="separate"/>
    </w:r>
    <w:r w:rsidR="00F22ED4">
      <w:t>P:\FRA\SG\CONSEIL\C17\000\082F.docx</w:t>
    </w:r>
    <w:r>
      <w:fldChar w:fldCharType="end"/>
    </w:r>
    <w:r w:rsidR="000F6EEF">
      <w:t xml:space="preserve"> (417455)</w:t>
    </w:r>
    <w:r w:rsidR="00732045">
      <w:tab/>
    </w:r>
    <w:r w:rsidR="002F1B76">
      <w:fldChar w:fldCharType="begin"/>
    </w:r>
    <w:r w:rsidR="00732045">
      <w:instrText xml:space="preserve"> savedate \@ dd.MM.yy </w:instrText>
    </w:r>
    <w:r w:rsidR="002F1B76">
      <w:fldChar w:fldCharType="separate"/>
    </w:r>
    <w:r w:rsidR="00841F56">
      <w:t>12.05.17</w:t>
    </w:r>
    <w:r w:rsidR="002F1B76">
      <w:fldChar w:fldCharType="end"/>
    </w:r>
    <w:r w:rsidR="00732045">
      <w:tab/>
    </w:r>
    <w:r w:rsidR="002F1B76">
      <w:fldChar w:fldCharType="begin"/>
    </w:r>
    <w:r w:rsidR="00732045">
      <w:instrText xml:space="preserve"> printdate \@ dd.MM.yy </w:instrText>
    </w:r>
    <w:r w:rsidR="002F1B76">
      <w:fldChar w:fldCharType="separate"/>
    </w:r>
    <w:r w:rsidR="00F22ED4">
      <w:t>11.05.17</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E17C90">
    <w:pPr>
      <w:pStyle w:val="Footer"/>
    </w:pPr>
    <w:r>
      <w:fldChar w:fldCharType="begin"/>
    </w:r>
    <w:r>
      <w:instrText xml:space="preserve"> FILENAME \p \* MERGEFORMAT </w:instrText>
    </w:r>
    <w:r>
      <w:fldChar w:fldCharType="separate"/>
    </w:r>
    <w:r w:rsidR="00F22ED4">
      <w:t>P:\FRA\SG\CONSEIL\C17\000\082F.docx</w:t>
    </w:r>
    <w:r>
      <w:fldChar w:fldCharType="end"/>
    </w:r>
    <w:r w:rsidR="000F6EEF">
      <w:t xml:space="preserve"> (417455)</w:t>
    </w:r>
    <w:r w:rsidR="00732045">
      <w:tab/>
    </w:r>
    <w:r w:rsidR="002F1B76">
      <w:fldChar w:fldCharType="begin"/>
    </w:r>
    <w:r w:rsidR="00732045">
      <w:instrText xml:space="preserve"> savedate \@ dd.MM.yy </w:instrText>
    </w:r>
    <w:r w:rsidR="002F1B76">
      <w:fldChar w:fldCharType="separate"/>
    </w:r>
    <w:r w:rsidR="00841F56">
      <w:t>12.05.17</w:t>
    </w:r>
    <w:r w:rsidR="002F1B76">
      <w:fldChar w:fldCharType="end"/>
    </w:r>
    <w:r w:rsidR="00732045">
      <w:tab/>
    </w:r>
    <w:r w:rsidR="002F1B76">
      <w:fldChar w:fldCharType="begin"/>
    </w:r>
    <w:r w:rsidR="00732045">
      <w:instrText xml:space="preserve"> printdate \@ dd.MM.yy </w:instrText>
    </w:r>
    <w:r w:rsidR="002F1B76">
      <w:fldChar w:fldCharType="separate"/>
    </w:r>
    <w:r w:rsidR="00F22ED4">
      <w:t>11.05.17</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A83" w:rsidRDefault="00615A83">
      <w:r>
        <w:t>____________________</w:t>
      </w:r>
    </w:p>
  </w:footnote>
  <w:footnote w:type="continuationSeparator" w:id="0">
    <w:p w:rsidR="00615A83" w:rsidRDefault="0061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E17C90">
      <w:rPr>
        <w:noProof/>
      </w:rPr>
      <w:t>2</w:t>
    </w:r>
    <w:r>
      <w:rPr>
        <w:noProof/>
      </w:rPr>
      <w:fldChar w:fldCharType="end"/>
    </w:r>
  </w:p>
  <w:p w:rsidR="00732045" w:rsidRDefault="00732045" w:rsidP="00E17C90">
    <w:pPr>
      <w:pStyle w:val="Header"/>
    </w:pPr>
    <w:r>
      <w:t>C1</w:t>
    </w:r>
    <w:r w:rsidR="0093234A">
      <w:t>7</w:t>
    </w:r>
    <w:r w:rsidR="000F6EEF">
      <w:t>/82</w:t>
    </w:r>
    <w:r w:rsidR="00415EC7">
      <w:t>(Rév.</w:t>
    </w:r>
    <w:r w:rsidR="00E17C90">
      <w:t>2</w:t>
    </w:r>
    <w:r w:rsidR="00415EC7">
      <w:t>)-</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83"/>
    <w:rsid w:val="00003581"/>
    <w:rsid w:val="000D0D0A"/>
    <w:rsid w:val="000F6EEF"/>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55FF5"/>
    <w:rsid w:val="00361350"/>
    <w:rsid w:val="004038CB"/>
    <w:rsid w:val="0040546F"/>
    <w:rsid w:val="0041253E"/>
    <w:rsid w:val="00415EC7"/>
    <w:rsid w:val="0042404A"/>
    <w:rsid w:val="0044618F"/>
    <w:rsid w:val="0046769A"/>
    <w:rsid w:val="00475FB3"/>
    <w:rsid w:val="004C37A9"/>
    <w:rsid w:val="004F259E"/>
    <w:rsid w:val="00511F1D"/>
    <w:rsid w:val="00520F36"/>
    <w:rsid w:val="00540615"/>
    <w:rsid w:val="00540A6D"/>
    <w:rsid w:val="00571EEA"/>
    <w:rsid w:val="00575417"/>
    <w:rsid w:val="005768E1"/>
    <w:rsid w:val="005931B5"/>
    <w:rsid w:val="005C3890"/>
    <w:rsid w:val="005F7BFE"/>
    <w:rsid w:val="00600017"/>
    <w:rsid w:val="00615A83"/>
    <w:rsid w:val="006235CA"/>
    <w:rsid w:val="006643AB"/>
    <w:rsid w:val="007210CD"/>
    <w:rsid w:val="00732045"/>
    <w:rsid w:val="007369DB"/>
    <w:rsid w:val="007956C2"/>
    <w:rsid w:val="007A187E"/>
    <w:rsid w:val="007C72C2"/>
    <w:rsid w:val="007D4436"/>
    <w:rsid w:val="007F257A"/>
    <w:rsid w:val="007F3665"/>
    <w:rsid w:val="00800037"/>
    <w:rsid w:val="00841F56"/>
    <w:rsid w:val="00861D73"/>
    <w:rsid w:val="008A4E87"/>
    <w:rsid w:val="008D76E6"/>
    <w:rsid w:val="0092392D"/>
    <w:rsid w:val="0093234A"/>
    <w:rsid w:val="009C307F"/>
    <w:rsid w:val="00A2113E"/>
    <w:rsid w:val="00A23A51"/>
    <w:rsid w:val="00A24607"/>
    <w:rsid w:val="00A25CD3"/>
    <w:rsid w:val="00A82767"/>
    <w:rsid w:val="00AA332F"/>
    <w:rsid w:val="00AA4154"/>
    <w:rsid w:val="00AA7BBB"/>
    <w:rsid w:val="00AB64A8"/>
    <w:rsid w:val="00AC0266"/>
    <w:rsid w:val="00AD24EC"/>
    <w:rsid w:val="00B309F9"/>
    <w:rsid w:val="00B32B60"/>
    <w:rsid w:val="00B34901"/>
    <w:rsid w:val="00B40C32"/>
    <w:rsid w:val="00B61619"/>
    <w:rsid w:val="00B62EC0"/>
    <w:rsid w:val="00BB4545"/>
    <w:rsid w:val="00BD5873"/>
    <w:rsid w:val="00C04BE3"/>
    <w:rsid w:val="00C25D29"/>
    <w:rsid w:val="00C267B6"/>
    <w:rsid w:val="00C27A7C"/>
    <w:rsid w:val="00CA08ED"/>
    <w:rsid w:val="00CF183B"/>
    <w:rsid w:val="00D375CD"/>
    <w:rsid w:val="00D553A2"/>
    <w:rsid w:val="00D774D3"/>
    <w:rsid w:val="00D904E8"/>
    <w:rsid w:val="00DA08C3"/>
    <w:rsid w:val="00DB5A3E"/>
    <w:rsid w:val="00DC22AA"/>
    <w:rsid w:val="00DF74DD"/>
    <w:rsid w:val="00E10BEB"/>
    <w:rsid w:val="00E17C90"/>
    <w:rsid w:val="00E25AD0"/>
    <w:rsid w:val="00E656CC"/>
    <w:rsid w:val="00EB6350"/>
    <w:rsid w:val="00F15B57"/>
    <w:rsid w:val="00F22ED4"/>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F5195B5-99FE-49EE-8CED-F821EEE4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615A83"/>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09/fr" TargetMode="External"/><Relationship Id="rId13" Type="http://schemas.openxmlformats.org/officeDocument/2006/relationships/hyperlink" Target="https://www.itu.int/md/S17-CL-C-0074/fr" TargetMode="Externa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md/S17-CL-C-0010/fr" TargetMode="External"/><Relationship Id="rId12" Type="http://schemas.openxmlformats.org/officeDocument/2006/relationships/hyperlink" Target="https://www.itu.int/md/S17-CL-C-0067/fr"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C-0064/fr"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itu.int/md/S16-CL-C-0009/fr"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17-CL-C-0009/f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5</TotalTime>
  <Pages>4</Pages>
  <Words>1076</Words>
  <Characters>6401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7463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Bontemps, Johann</dc:creator>
  <cp:keywords>C2010, C10</cp:keywords>
  <dc:description>Document C17/-F  Pour: _x000d_Date du document: janvier 2017_x000d_Enregistré par ITU51009317 à 15:30:24 le 06/04/2017</dc:description>
  <cp:lastModifiedBy>Janin</cp:lastModifiedBy>
  <cp:revision>3</cp:revision>
  <cp:lastPrinted>2017-05-11T08:25:00Z</cp:lastPrinted>
  <dcterms:created xsi:type="dcterms:W3CDTF">2017-05-26T12:37:00Z</dcterms:created>
  <dcterms:modified xsi:type="dcterms:W3CDTF">2017-05-26T12:43:00Z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