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D91CF1" w:rsidRDefault="000E4FF0" w:rsidP="0027604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D91CF1">
              <w:rPr>
                <w:rFonts w:eastAsiaTheme="minorEastAsia" w:hint="cs"/>
                <w:b/>
                <w:bCs/>
                <w:rtl/>
                <w:lang w:eastAsia="zh-CN" w:bidi="ar-EG"/>
              </w:rPr>
              <w:t xml:space="preserve">بند جدول الأعمال: </w:t>
            </w:r>
            <w:r w:rsidR="00D91CF1" w:rsidRPr="00D91CF1">
              <w:rPr>
                <w:rFonts w:eastAsiaTheme="minorEastAsia"/>
                <w:b/>
                <w:bCs/>
                <w:lang w:eastAsia="zh-CN" w:bidi="ar-EG"/>
              </w:rPr>
              <w:t>PL</w:t>
            </w:r>
            <w:r w:rsidR="00276041">
              <w:rPr>
                <w:rFonts w:eastAsiaTheme="minorEastAsia"/>
                <w:b/>
                <w:bCs/>
                <w:lang w:eastAsia="zh-CN" w:bidi="ar-EG"/>
              </w:rPr>
              <w:t> </w:t>
            </w:r>
            <w:r w:rsidR="00D91CF1" w:rsidRPr="00D91CF1">
              <w:rPr>
                <w:rFonts w:eastAsiaTheme="minorEastAsia"/>
                <w:b/>
                <w:bCs/>
                <w:lang w:eastAsia="zh-CN" w:bidi="ar-EG"/>
              </w:rPr>
              <w:t>1.16</w:t>
            </w:r>
          </w:p>
        </w:tc>
        <w:tc>
          <w:tcPr>
            <w:tcW w:w="3052" w:type="dxa"/>
            <w:vAlign w:val="center"/>
          </w:tcPr>
          <w:p w:rsidR="000E4FF0" w:rsidRPr="000E4FF0" w:rsidRDefault="008F0EF4" w:rsidP="000A4E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sidR="000A4E73">
              <w:rPr>
                <w:rFonts w:eastAsiaTheme="minorEastAsia"/>
                <w:b/>
                <w:bCs/>
                <w:lang w:eastAsia="zh-CN" w:bidi="ar-EG"/>
              </w:rPr>
              <w:t>2</w:t>
            </w:r>
            <w:r w:rsidR="000A4E73">
              <w:rPr>
                <w:rFonts w:eastAsiaTheme="minorEastAsia"/>
                <w:b/>
                <w:bCs/>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D91CF1">
              <w:rPr>
                <w:rFonts w:eastAsiaTheme="minorEastAsia"/>
                <w:b/>
                <w:bCs/>
                <w:lang w:eastAsia="zh-CN" w:bidi="ar-SY"/>
              </w:rPr>
              <w:t>83</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0A4E73" w:rsidP="008F0EF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25</w:t>
            </w:r>
            <w:r w:rsidR="00D91CF1" w:rsidRPr="00D91CF1">
              <w:rPr>
                <w:rFonts w:eastAsiaTheme="minorEastAsia" w:hint="cs"/>
                <w:b/>
                <w:bCs/>
                <w:rtl/>
                <w:lang w:eastAsia="zh-CN" w:bidi="ar-EG"/>
              </w:rPr>
              <w:t xml:space="preserve"> </w:t>
            </w:r>
            <w:r w:rsidR="008F0EF4">
              <w:rPr>
                <w:rFonts w:eastAsiaTheme="minorEastAsia" w:hint="cs"/>
                <w:b/>
                <w:bCs/>
                <w:rtl/>
                <w:lang w:eastAsia="zh-CN" w:bidi="ar-EG"/>
              </w:rPr>
              <w:t>مايو</w:t>
            </w:r>
            <w:r w:rsidR="00D91CF1" w:rsidRPr="00D91CF1">
              <w:rPr>
                <w:rFonts w:eastAsiaTheme="minorEastAsia" w:hint="cs"/>
                <w:b/>
                <w:bCs/>
                <w:rtl/>
                <w:lang w:eastAsia="zh-CN" w:bidi="ar-EG"/>
              </w:rPr>
              <w:t xml:space="preserve"> </w:t>
            </w:r>
            <w:r w:rsidR="00D91CF1" w:rsidRPr="00D91CF1">
              <w:rPr>
                <w:rFonts w:eastAsiaTheme="minorEastAsia"/>
                <w:b/>
                <w:bCs/>
                <w:lang w:eastAsia="zh-CN" w:bidi="ar-SY"/>
              </w:rPr>
              <w:t>2017</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D91CF1" w:rsidP="00D91C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D91CF1">
              <w:rPr>
                <w:rFonts w:eastAsiaTheme="minorEastAsia"/>
                <w:b/>
                <w:bCs/>
                <w:rtl/>
                <w:lang w:eastAsia="zh-CN" w:bidi="ar-EG"/>
              </w:rPr>
              <w:t xml:space="preserve">الأصل: </w:t>
            </w:r>
            <w:r w:rsidRPr="00D91CF1">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D91CF1" w:rsidP="00276041">
            <w:pPr>
              <w:pStyle w:val="Source"/>
              <w:spacing w:after="0"/>
              <w:rPr>
                <w:rFonts w:eastAsiaTheme="minorEastAsia"/>
                <w:rtl/>
                <w:lang w:eastAsia="zh-CN"/>
              </w:rPr>
            </w:pPr>
            <w:r w:rsidRPr="00D91CF1">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D91CF1" w:rsidP="00E1192D">
            <w:pPr>
              <w:pStyle w:val="Title1"/>
              <w:spacing w:after="0"/>
              <w:rPr>
                <w:rFonts w:eastAsiaTheme="minorEastAsia"/>
                <w:rtl/>
                <w:lang w:eastAsia="zh-CN"/>
              </w:rPr>
            </w:pPr>
            <w:r w:rsidRPr="00D91CF1">
              <w:rPr>
                <w:rFonts w:eastAsiaTheme="minorEastAsia" w:hint="cs"/>
                <w:rtl/>
                <w:lang w:eastAsia="zh-CN" w:bidi="ar-SA"/>
              </w:rPr>
              <w:t>مساهمة من الاتحاد الروسي</w:t>
            </w:r>
            <w:r w:rsidR="008F0EF4">
              <w:rPr>
                <w:rFonts w:eastAsiaTheme="minorEastAsia" w:hint="cs"/>
                <w:rtl/>
                <w:lang w:eastAsia="zh-CN"/>
              </w:rPr>
              <w:t xml:space="preserve"> وجمهورية أرمينيا وجمهورية بيلاروس</w:t>
            </w:r>
            <w:r w:rsidR="000A4E73">
              <w:rPr>
                <w:rFonts w:eastAsiaTheme="minorEastAsia" w:hint="cs"/>
                <w:rtl/>
                <w:lang w:eastAsia="zh-CN"/>
              </w:rPr>
              <w:t xml:space="preserve"> </w:t>
            </w:r>
            <w:r w:rsidR="000A4E73">
              <w:rPr>
                <w:rFonts w:eastAsiaTheme="minorEastAsia"/>
                <w:rtl/>
                <w:lang w:eastAsia="zh-CN"/>
              </w:rPr>
              <w:br/>
            </w:r>
            <w:r w:rsidR="000A4E73">
              <w:rPr>
                <w:rFonts w:eastAsiaTheme="minorEastAsia" w:hint="cs"/>
                <w:rtl/>
                <w:lang w:eastAsia="zh-CN"/>
              </w:rPr>
              <w:t>وجمهورية قيرغيزستان</w:t>
            </w:r>
          </w:p>
        </w:tc>
      </w:tr>
      <w:tr w:rsidR="000E4FF0" w:rsidRPr="000E4FF0" w:rsidTr="000E4FF0">
        <w:trPr>
          <w:cantSplit/>
          <w:jc w:val="center"/>
        </w:trPr>
        <w:tc>
          <w:tcPr>
            <w:tcW w:w="9672" w:type="dxa"/>
            <w:gridSpan w:val="2"/>
          </w:tcPr>
          <w:p w:rsidR="000E4FF0" w:rsidRPr="000E4FF0" w:rsidRDefault="00D91CF1" w:rsidP="00D91CF1">
            <w:pPr>
              <w:pStyle w:val="Title2"/>
              <w:rPr>
                <w:rFonts w:eastAsiaTheme="minorEastAsia"/>
                <w:w w:val="120"/>
                <w:rtl/>
                <w:lang w:eastAsia="zh-CN"/>
              </w:rPr>
            </w:pPr>
            <w:r w:rsidRPr="00D91CF1">
              <w:rPr>
                <w:rFonts w:eastAsiaTheme="minorEastAsia" w:hint="cs"/>
                <w:w w:val="120"/>
                <w:rtl/>
                <w:lang w:eastAsia="zh-CN" w:bidi="ar-SA"/>
              </w:rPr>
              <w:t>مقترحات بشأن تحسين الخطط والإبلاغ عن أنشطة الاتحاد الحالية</w:t>
            </w:r>
          </w:p>
        </w:tc>
      </w:tr>
    </w:tbl>
    <w:p w:rsidR="00D91CF1" w:rsidRDefault="00D91CF1" w:rsidP="00E1192D">
      <w:pPr>
        <w:pStyle w:val="Normalaftertitle"/>
        <w:rPr>
          <w:rtl/>
        </w:rPr>
      </w:pPr>
      <w:r>
        <w:rPr>
          <w:rFonts w:hint="cs"/>
          <w:rtl/>
        </w:rPr>
        <w:t xml:space="preserve">يشرفني أن أحيل إلى الدول الأعضاء في المجلس المساهمة المرفقة المقدمة من </w:t>
      </w:r>
      <w:r>
        <w:rPr>
          <w:rFonts w:hint="cs"/>
          <w:b/>
          <w:bCs/>
          <w:rtl/>
        </w:rPr>
        <w:t>الاتحاد الروسي</w:t>
      </w:r>
      <w:r w:rsidR="008F0EF4">
        <w:rPr>
          <w:rFonts w:hint="cs"/>
          <w:b/>
          <w:bCs/>
          <w:rtl/>
        </w:rPr>
        <w:t xml:space="preserve"> وجمهورية أرمينيا وجمهورية بيلاروس</w:t>
      </w:r>
      <w:r w:rsidR="000A4E73">
        <w:rPr>
          <w:rFonts w:hint="cs"/>
          <w:b/>
          <w:bCs/>
          <w:rtl/>
        </w:rPr>
        <w:t xml:space="preserve"> </w:t>
      </w:r>
      <w:r w:rsidR="000A4E73" w:rsidRPr="000A4E73">
        <w:rPr>
          <w:rFonts w:eastAsiaTheme="minorEastAsia" w:hint="cs"/>
          <w:b/>
          <w:bCs/>
          <w:rtl/>
          <w:lang w:eastAsia="zh-CN"/>
        </w:rPr>
        <w:t>وجمهورية</w:t>
      </w:r>
      <w:r w:rsidR="00E1192D">
        <w:rPr>
          <w:rFonts w:eastAsiaTheme="minorEastAsia" w:hint="eastAsia"/>
          <w:b/>
          <w:bCs/>
          <w:rtl/>
          <w:lang w:eastAsia="zh-CN"/>
        </w:rPr>
        <w:t> </w:t>
      </w:r>
      <w:r w:rsidR="000A4E73" w:rsidRPr="000A4E73">
        <w:rPr>
          <w:rFonts w:eastAsiaTheme="minorEastAsia" w:hint="cs"/>
          <w:b/>
          <w:bCs/>
          <w:rtl/>
          <w:lang w:eastAsia="zh-CN"/>
        </w:rPr>
        <w:t>قيرغيزستان</w:t>
      </w:r>
      <w:r>
        <w:rPr>
          <w:rFonts w:hint="cs"/>
          <w:rtl/>
        </w:rPr>
        <w:t>.</w:t>
      </w:r>
    </w:p>
    <w:p w:rsidR="00D91CF1" w:rsidRDefault="00D91CF1" w:rsidP="00D91CF1">
      <w:pPr>
        <w:spacing w:before="1440"/>
        <w:ind w:left="5103"/>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D91CF1" w:rsidRDefault="00D91CF1" w:rsidP="00D91CF1">
      <w:pPr>
        <w:rPr>
          <w:rtl/>
          <w:lang w:bidi="ar-SY"/>
        </w:rPr>
      </w:pPr>
      <w:r>
        <w:rPr>
          <w:rtl/>
          <w:lang w:bidi="ar-SY"/>
        </w:rPr>
        <w:br w:type="page"/>
      </w:r>
    </w:p>
    <w:p w:rsidR="002E4F0D" w:rsidRPr="004308CB" w:rsidRDefault="002E4F0D" w:rsidP="002E4F0D">
      <w:pPr>
        <w:pStyle w:val="Source"/>
        <w:rPr>
          <w:rtl/>
          <w:lang w:bidi="ar-SY"/>
        </w:rPr>
      </w:pPr>
      <w:r>
        <w:rPr>
          <w:rFonts w:hint="cs"/>
          <w:rtl/>
          <w:lang w:bidi="ar-SY"/>
        </w:rPr>
        <w:lastRenderedPageBreak/>
        <w:t>الاتحاد الروسي</w:t>
      </w:r>
      <w:r w:rsidR="005212A2">
        <w:rPr>
          <w:rFonts w:hint="cs"/>
          <w:rtl/>
          <w:lang w:bidi="ar-SY"/>
        </w:rPr>
        <w:t xml:space="preserve"> وجمهورية أرمينيا وجمهورية بيلاروس</w:t>
      </w:r>
      <w:r w:rsidR="000A4E73">
        <w:rPr>
          <w:rFonts w:hint="cs"/>
          <w:rtl/>
          <w:lang w:bidi="ar-SY"/>
        </w:rPr>
        <w:t xml:space="preserve"> </w:t>
      </w:r>
      <w:r w:rsidR="000A4E73">
        <w:rPr>
          <w:rFonts w:eastAsiaTheme="minorEastAsia" w:hint="cs"/>
          <w:rtl/>
          <w:lang w:eastAsia="zh-CN"/>
        </w:rPr>
        <w:t>وجمهورية قيرغيزستان</w:t>
      </w:r>
    </w:p>
    <w:p w:rsidR="002E4F0D" w:rsidRDefault="002E4F0D" w:rsidP="002E4F0D">
      <w:pPr>
        <w:pStyle w:val="Title1"/>
        <w:rPr>
          <w:w w:val="110"/>
          <w:rtl/>
        </w:rPr>
      </w:pPr>
      <w:r>
        <w:rPr>
          <w:rFonts w:hint="cs"/>
          <w:w w:val="110"/>
          <w:rtl/>
        </w:rPr>
        <w:t>مقترحات بشأن تحسين الخطط والإبلاغ عن أنشطة الاتحاد الحالية</w:t>
      </w:r>
    </w:p>
    <w:p w:rsidR="00B129BD" w:rsidRPr="00B129BD" w:rsidRDefault="00B129BD" w:rsidP="00B129BD">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2E4F0D" w:rsidP="002E4F0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E4F0D">
              <w:rPr>
                <w:rFonts w:eastAsiaTheme="minorEastAsia" w:hint="cs"/>
                <w:rtl/>
                <w:lang w:eastAsia="zh-CN" w:bidi="ar-EG"/>
              </w:rPr>
              <w:t>تقدم هذه الوثيقة مجموعة من المقترحات المتعلقة بتحسين إبلاغ الاتحاد عن الأنشطة الحالية للقطاعات والأمانة العامة.</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2E4F0D" w:rsidP="00120B2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E4F0D">
              <w:rPr>
                <w:rFonts w:eastAsiaTheme="minorEastAsia" w:hint="cs"/>
                <w:rtl/>
                <w:lang w:eastAsia="zh-CN"/>
              </w:rPr>
              <w:t>يُطلب من المجلس أن</w:t>
            </w:r>
            <w:r w:rsidRPr="002E4F0D">
              <w:rPr>
                <w:rFonts w:eastAsiaTheme="minorEastAsia" w:hint="cs"/>
                <w:b/>
                <w:bCs/>
                <w:rtl/>
                <w:lang w:eastAsia="zh-CN"/>
              </w:rPr>
              <w:t xml:space="preserve"> </w:t>
            </w:r>
            <w:r w:rsidRPr="002E4F0D">
              <w:rPr>
                <w:rFonts w:eastAsiaTheme="minorEastAsia" w:hint="cs"/>
                <w:rtl/>
                <w:lang w:eastAsia="zh-CN"/>
              </w:rPr>
              <w:t xml:space="preserve">يأخذ هذه المقترحات بعين الاعتبار عند النظر في خططه وفي ميزانية </w:t>
            </w:r>
            <w:r w:rsidR="006B5ADD">
              <w:rPr>
                <w:rFonts w:eastAsiaTheme="minorEastAsia" w:hint="cs"/>
                <w:rtl/>
                <w:lang w:eastAsia="zh-CN"/>
              </w:rPr>
              <w:t>ال</w:t>
            </w:r>
            <w:r w:rsidRPr="002E4F0D">
              <w:rPr>
                <w:rFonts w:eastAsiaTheme="minorEastAsia" w:hint="cs"/>
                <w:rtl/>
                <w:lang w:eastAsia="zh-CN"/>
              </w:rPr>
              <w:t>فترة</w:t>
            </w:r>
            <w:r w:rsidR="00120B20">
              <w:rPr>
                <w:rFonts w:eastAsiaTheme="minorEastAsia" w:hint="eastAsia"/>
                <w:rtl/>
                <w:lang w:eastAsia="zh-CN"/>
              </w:rPr>
              <w:t> </w:t>
            </w:r>
            <w:r w:rsidRPr="002E4F0D">
              <w:rPr>
                <w:rFonts w:eastAsiaTheme="minorEastAsia"/>
                <w:lang w:eastAsia="zh-CN" w:bidi="ar-SY"/>
              </w:rPr>
              <w:t>2019-2018</w:t>
            </w:r>
            <w:r w:rsidRPr="002E4F0D">
              <w:rPr>
                <w:rFonts w:eastAsiaTheme="minorEastAsia" w:hint="cs"/>
                <w:rtl/>
                <w:lang w:eastAsia="zh-CN"/>
              </w:rPr>
              <w:t>.</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792FF1" w:rsidRDefault="002E4F0D" w:rsidP="00210841">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spacing w:val="4"/>
                <w:rtl/>
                <w:lang w:eastAsia="zh-CN" w:bidi="ar-SY"/>
              </w:rPr>
            </w:pPr>
            <w:r w:rsidRPr="00792FF1">
              <w:rPr>
                <w:rFonts w:eastAsiaTheme="minorEastAsia" w:hint="cs"/>
                <w:i/>
                <w:iCs/>
                <w:spacing w:val="4"/>
                <w:rtl/>
                <w:lang w:eastAsia="zh-CN" w:bidi="ar-SY"/>
              </w:rPr>
              <w:t xml:space="preserve">المساهمات المقدمة من الدول الأعضاء لدورتي مجلس الاتحاد لعامي </w:t>
            </w:r>
            <w:r w:rsidRPr="00792FF1">
              <w:rPr>
                <w:rFonts w:eastAsiaTheme="minorEastAsia"/>
                <w:i/>
                <w:iCs/>
                <w:spacing w:val="4"/>
                <w:lang w:eastAsia="zh-CN" w:bidi="ar-SY"/>
              </w:rPr>
              <w:t>2015</w:t>
            </w:r>
            <w:r w:rsidRPr="00792FF1">
              <w:rPr>
                <w:rFonts w:eastAsiaTheme="minorEastAsia" w:hint="cs"/>
                <w:i/>
                <w:iCs/>
                <w:spacing w:val="4"/>
                <w:rtl/>
                <w:lang w:eastAsia="zh-CN" w:bidi="ar-SY"/>
              </w:rPr>
              <w:t xml:space="preserve"> و</w:t>
            </w:r>
            <w:r w:rsidRPr="00792FF1">
              <w:rPr>
                <w:rFonts w:eastAsiaTheme="minorEastAsia"/>
                <w:i/>
                <w:iCs/>
                <w:spacing w:val="4"/>
                <w:lang w:eastAsia="zh-CN" w:bidi="ar-SY"/>
              </w:rPr>
              <w:t>2016</w:t>
            </w:r>
            <w:r w:rsidRPr="00792FF1">
              <w:rPr>
                <w:rFonts w:eastAsiaTheme="minorEastAsia" w:hint="cs"/>
                <w:i/>
                <w:iCs/>
                <w:spacing w:val="4"/>
                <w:rtl/>
                <w:lang w:eastAsia="zh-CN" w:bidi="ar-EG"/>
              </w:rPr>
              <w:t>؛ الوثائق</w:t>
            </w:r>
            <w:r w:rsidR="002353A1" w:rsidRPr="00792FF1">
              <w:rPr>
                <w:rFonts w:eastAsiaTheme="minorEastAsia" w:hint="eastAsia"/>
                <w:i/>
                <w:iCs/>
                <w:spacing w:val="4"/>
                <w:rtl/>
                <w:lang w:eastAsia="zh-CN" w:bidi="ar-EG"/>
              </w:rPr>
              <w:t> </w:t>
            </w:r>
            <w:hyperlink r:id="rId11" w:history="1">
              <w:r w:rsidR="00792FF1" w:rsidRPr="00792FF1">
                <w:rPr>
                  <w:rStyle w:val="Hyperlink"/>
                  <w:rFonts w:eastAsiaTheme="minorEastAsia"/>
                  <w:i/>
                  <w:iCs/>
                  <w:spacing w:val="4"/>
                  <w:lang w:eastAsia="zh-CN" w:bidi="ar-SY"/>
                </w:rPr>
                <w:t>C16/35 </w:t>
              </w:r>
              <w:r w:rsidRPr="00792FF1">
                <w:rPr>
                  <w:rStyle w:val="Hyperlink"/>
                  <w:rFonts w:eastAsiaTheme="minorEastAsia"/>
                  <w:i/>
                  <w:iCs/>
                  <w:spacing w:val="4"/>
                  <w:lang w:eastAsia="zh-CN" w:bidi="ar-SY"/>
                </w:rPr>
                <w:t>(Rev.1)</w:t>
              </w:r>
            </w:hyperlink>
            <w:r w:rsidRPr="00792FF1">
              <w:rPr>
                <w:rFonts w:eastAsiaTheme="minorEastAsia" w:hint="cs"/>
                <w:i/>
                <w:iCs/>
                <w:spacing w:val="4"/>
                <w:rtl/>
                <w:lang w:eastAsia="zh-CN" w:bidi="ar-EG"/>
              </w:rPr>
              <w:t xml:space="preserve">؛ </w:t>
            </w:r>
            <w:hyperlink r:id="rId12"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16/28</w:t>
              </w:r>
            </w:hyperlink>
            <w:r w:rsidRPr="00792FF1">
              <w:rPr>
                <w:rFonts w:eastAsiaTheme="minorEastAsia" w:hint="cs"/>
                <w:i/>
                <w:iCs/>
                <w:spacing w:val="4"/>
                <w:rtl/>
                <w:lang w:eastAsia="zh-CN" w:bidi="ar-EG"/>
              </w:rPr>
              <w:t xml:space="preserve"> - </w:t>
            </w:r>
            <w:hyperlink r:id="rId13"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16/31</w:t>
              </w:r>
            </w:hyperlink>
            <w:r w:rsidRPr="00792FF1">
              <w:rPr>
                <w:rFonts w:eastAsiaTheme="minorEastAsia" w:hint="cs"/>
                <w:i/>
                <w:iCs/>
                <w:spacing w:val="4"/>
                <w:rtl/>
                <w:lang w:eastAsia="zh-CN" w:bidi="ar-EG"/>
              </w:rPr>
              <w:t xml:space="preserve">؛ </w:t>
            </w:r>
            <w:hyperlink r:id="rId14"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15/28</w:t>
              </w:r>
            </w:hyperlink>
            <w:r w:rsidRPr="00792FF1">
              <w:rPr>
                <w:rFonts w:eastAsiaTheme="minorEastAsia" w:hint="cs"/>
                <w:i/>
                <w:iCs/>
                <w:spacing w:val="4"/>
                <w:rtl/>
                <w:lang w:eastAsia="zh-CN" w:bidi="ar-EG"/>
              </w:rPr>
              <w:t xml:space="preserve"> - </w:t>
            </w:r>
            <w:hyperlink r:id="rId15" w:history="1">
              <w:r w:rsidRPr="00792FF1">
                <w:rPr>
                  <w:rStyle w:val="Hyperlink"/>
                  <w:rFonts w:eastAsiaTheme="minorEastAsia"/>
                  <w:i/>
                  <w:iCs/>
                  <w:spacing w:val="4"/>
                  <w:lang w:eastAsia="zh-CN" w:bidi="ar-SY"/>
                </w:rPr>
                <w:t>C15/31</w:t>
              </w:r>
            </w:hyperlink>
            <w:r w:rsidRPr="00792FF1">
              <w:rPr>
                <w:rFonts w:eastAsiaTheme="minorEastAsia" w:hint="cs"/>
                <w:i/>
                <w:iCs/>
                <w:spacing w:val="4"/>
                <w:rtl/>
                <w:lang w:eastAsia="zh-CN" w:bidi="ar-EG"/>
              </w:rPr>
              <w:t xml:space="preserve">؛ </w:t>
            </w:r>
            <w:hyperlink r:id="rId16"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15/35</w:t>
              </w:r>
            </w:hyperlink>
            <w:r w:rsidRPr="00792FF1">
              <w:rPr>
                <w:rFonts w:eastAsiaTheme="minorEastAsia" w:hint="cs"/>
                <w:i/>
                <w:iCs/>
                <w:spacing w:val="4"/>
                <w:rtl/>
                <w:lang w:eastAsia="zh-CN" w:bidi="ar-EG"/>
              </w:rPr>
              <w:t>؛</w:t>
            </w:r>
            <w:hyperlink r:id="rId17" w:history="1">
              <w:r w:rsidRPr="00792FF1">
                <w:rPr>
                  <w:rStyle w:val="Hyperlink"/>
                  <w:rFonts w:eastAsiaTheme="minorEastAsia" w:hint="cs"/>
                  <w:i/>
                  <w:iCs/>
                  <w:spacing w:val="4"/>
                  <w:rtl/>
                  <w:lang w:eastAsia="zh-CN" w:bidi="ar-EG"/>
                </w:rPr>
                <w:t xml:space="preserve"> القرار</w:t>
              </w:r>
              <w:r w:rsidR="00210841">
                <w:rPr>
                  <w:rStyle w:val="Hyperlink"/>
                  <w:rFonts w:eastAsiaTheme="minorEastAsia" w:hint="eastAsia"/>
                  <w:i/>
                  <w:iCs/>
                  <w:spacing w:val="4"/>
                  <w:rtl/>
                  <w:lang w:eastAsia="zh-CN" w:bidi="ar-EG"/>
                </w:rPr>
                <w:t> </w:t>
              </w:r>
              <w:r w:rsidRPr="00792FF1">
                <w:rPr>
                  <w:rStyle w:val="Hyperlink"/>
                  <w:rFonts w:eastAsiaTheme="minorEastAsia"/>
                  <w:i/>
                  <w:iCs/>
                  <w:spacing w:val="4"/>
                  <w:lang w:eastAsia="zh-CN" w:bidi="ar-SY"/>
                </w:rPr>
                <w:t>71</w:t>
              </w:r>
              <w:r w:rsidRPr="00792FF1">
                <w:rPr>
                  <w:rStyle w:val="Hyperlink"/>
                  <w:rFonts w:eastAsiaTheme="minorEastAsia" w:hint="cs"/>
                  <w:i/>
                  <w:iCs/>
                  <w:spacing w:val="4"/>
                  <w:rtl/>
                  <w:lang w:eastAsia="zh-CN" w:bidi="ar-EG"/>
                </w:rPr>
                <w:t xml:space="preserve"> (المراج</w:t>
              </w:r>
              <w:r w:rsidR="006A568F">
                <w:rPr>
                  <w:rStyle w:val="Hyperlink"/>
                  <w:rFonts w:eastAsiaTheme="minorEastAsia" w:hint="cs"/>
                  <w:i/>
                  <w:iCs/>
                  <w:spacing w:val="4"/>
                  <w:rtl/>
                  <w:lang w:eastAsia="zh-CN" w:bidi="ar-EG"/>
                </w:rPr>
                <w:t>َ</w:t>
              </w:r>
              <w:r w:rsidRPr="00792FF1">
                <w:rPr>
                  <w:rStyle w:val="Hyperlink"/>
                  <w:rFonts w:eastAsiaTheme="minorEastAsia" w:hint="cs"/>
                  <w:i/>
                  <w:iCs/>
                  <w:spacing w:val="4"/>
                  <w:rtl/>
                  <w:lang w:eastAsia="zh-CN" w:bidi="ar-EG"/>
                </w:rPr>
                <w:t xml:space="preserve">ع في بوسان، </w:t>
              </w:r>
              <w:r w:rsidRPr="00792FF1">
                <w:rPr>
                  <w:rStyle w:val="Hyperlink"/>
                  <w:rFonts w:eastAsiaTheme="minorEastAsia"/>
                  <w:i/>
                  <w:iCs/>
                  <w:spacing w:val="4"/>
                  <w:lang w:eastAsia="zh-CN" w:bidi="ar-SY"/>
                </w:rPr>
                <w:t>2014</w:t>
              </w:r>
              <w:r w:rsidRPr="00792FF1">
                <w:rPr>
                  <w:rStyle w:val="Hyperlink"/>
                  <w:rFonts w:eastAsiaTheme="minorEastAsia" w:hint="cs"/>
                  <w:i/>
                  <w:iCs/>
                  <w:spacing w:val="4"/>
                  <w:rtl/>
                  <w:lang w:eastAsia="zh-CN" w:bidi="ar-EG"/>
                </w:rPr>
                <w:t>)</w:t>
              </w:r>
            </w:hyperlink>
            <w:r w:rsidRPr="00792FF1">
              <w:rPr>
                <w:rFonts w:eastAsiaTheme="minorEastAsia" w:hint="cs"/>
                <w:i/>
                <w:iCs/>
                <w:spacing w:val="4"/>
                <w:rtl/>
                <w:lang w:eastAsia="zh-CN" w:bidi="ar-EG"/>
              </w:rPr>
              <w:t>؛</w:t>
            </w:r>
            <w:hyperlink r:id="rId18" w:history="1">
              <w:r w:rsidRPr="00792FF1">
                <w:rPr>
                  <w:rStyle w:val="Hyperlink"/>
                  <w:rFonts w:eastAsiaTheme="minorEastAsia" w:hint="cs"/>
                  <w:i/>
                  <w:iCs/>
                  <w:spacing w:val="4"/>
                  <w:rtl/>
                  <w:lang w:eastAsia="zh-CN" w:bidi="ar-EG"/>
                </w:rPr>
                <w:t xml:space="preserve"> القرار </w:t>
              </w:r>
              <w:r w:rsidRPr="00792FF1">
                <w:rPr>
                  <w:rStyle w:val="Hyperlink"/>
                  <w:rFonts w:eastAsiaTheme="minorEastAsia"/>
                  <w:i/>
                  <w:iCs/>
                  <w:spacing w:val="4"/>
                  <w:lang w:eastAsia="zh-CN" w:bidi="ar-SY"/>
                </w:rPr>
                <w:t>72</w:t>
              </w:r>
              <w:r w:rsidRPr="00792FF1">
                <w:rPr>
                  <w:rStyle w:val="Hyperlink"/>
                  <w:rFonts w:eastAsiaTheme="minorEastAsia" w:hint="cs"/>
                  <w:i/>
                  <w:iCs/>
                  <w:spacing w:val="4"/>
                  <w:rtl/>
                  <w:lang w:eastAsia="zh-CN" w:bidi="ar-EG"/>
                </w:rPr>
                <w:t xml:space="preserve"> (</w:t>
              </w:r>
              <w:r w:rsidRPr="004F0FC1">
                <w:rPr>
                  <w:rStyle w:val="Hyperlink"/>
                  <w:rFonts w:eastAsiaTheme="minorEastAsia" w:hint="cs"/>
                  <w:i/>
                  <w:iCs/>
                  <w:spacing w:val="4"/>
                  <w:rtl/>
                  <w:lang w:eastAsia="zh-CN" w:bidi="ar-EG"/>
                </w:rPr>
                <w:t>المراج</w:t>
              </w:r>
              <w:r w:rsidR="00E525DF" w:rsidRPr="004F0FC1">
                <w:rPr>
                  <w:rStyle w:val="Hyperlink"/>
                  <w:rFonts w:eastAsiaTheme="minorEastAsia" w:hint="cs"/>
                  <w:i/>
                  <w:iCs/>
                  <w:spacing w:val="4"/>
                  <w:rtl/>
                  <w:lang w:eastAsia="zh-CN" w:bidi="ar-EG"/>
                </w:rPr>
                <w:t>َ</w:t>
              </w:r>
              <w:r w:rsidRPr="004F0FC1">
                <w:rPr>
                  <w:rStyle w:val="Hyperlink"/>
                  <w:rFonts w:eastAsiaTheme="minorEastAsia" w:hint="cs"/>
                  <w:i/>
                  <w:iCs/>
                  <w:spacing w:val="4"/>
                  <w:rtl/>
                  <w:lang w:eastAsia="zh-CN" w:bidi="ar-EG"/>
                </w:rPr>
                <w:t>ع</w:t>
              </w:r>
              <w:r w:rsidRPr="00792FF1">
                <w:rPr>
                  <w:rStyle w:val="Hyperlink"/>
                  <w:rFonts w:eastAsiaTheme="minorEastAsia" w:hint="cs"/>
                  <w:i/>
                  <w:iCs/>
                  <w:spacing w:val="4"/>
                  <w:rtl/>
                  <w:lang w:eastAsia="zh-CN" w:bidi="ar-EG"/>
                </w:rPr>
                <w:t xml:space="preserve"> في بوسان، </w:t>
              </w:r>
              <w:r w:rsidRPr="00792FF1">
                <w:rPr>
                  <w:rStyle w:val="Hyperlink"/>
                  <w:rFonts w:eastAsiaTheme="minorEastAsia"/>
                  <w:i/>
                  <w:iCs/>
                  <w:spacing w:val="4"/>
                  <w:lang w:eastAsia="zh-CN" w:bidi="ar-SY"/>
                </w:rPr>
                <w:t>2014</w:t>
              </w:r>
              <w:r w:rsidRPr="00792FF1">
                <w:rPr>
                  <w:rStyle w:val="Hyperlink"/>
                  <w:rFonts w:eastAsiaTheme="minorEastAsia" w:hint="cs"/>
                  <w:i/>
                  <w:iCs/>
                  <w:spacing w:val="4"/>
                  <w:rtl/>
                  <w:lang w:eastAsia="zh-CN" w:bidi="ar-EG"/>
                </w:rPr>
                <w:t>)</w:t>
              </w:r>
            </w:hyperlink>
          </w:p>
        </w:tc>
      </w:tr>
    </w:tbl>
    <w:p w:rsidR="002E4F0D" w:rsidRPr="002E4F0D" w:rsidRDefault="002E4F0D" w:rsidP="00253C35">
      <w:pPr>
        <w:pStyle w:val="Heading1"/>
        <w:rPr>
          <w:rFonts w:eastAsiaTheme="minorEastAsia"/>
          <w:rtl/>
          <w:lang w:eastAsia="zh-CN"/>
        </w:rPr>
      </w:pPr>
      <w:r w:rsidRPr="002E4F0D">
        <w:rPr>
          <w:rFonts w:eastAsiaTheme="minorEastAsia"/>
          <w:lang w:eastAsia="zh-CN" w:bidi="ar-SY"/>
        </w:rPr>
        <w:t>1</w:t>
      </w:r>
      <w:r w:rsidRPr="002E4F0D">
        <w:rPr>
          <w:rFonts w:eastAsiaTheme="minorEastAsia"/>
          <w:rtl/>
          <w:lang w:eastAsia="zh-CN"/>
        </w:rPr>
        <w:tab/>
      </w:r>
      <w:r w:rsidRPr="002E4F0D">
        <w:rPr>
          <w:rFonts w:eastAsiaTheme="minorEastAsia" w:hint="cs"/>
          <w:rtl/>
          <w:lang w:eastAsia="zh-CN"/>
        </w:rPr>
        <w:t>مقدمة</w:t>
      </w:r>
    </w:p>
    <w:p w:rsidR="002E4F0D" w:rsidRPr="002E4F0D" w:rsidRDefault="002E4F0D" w:rsidP="00A526C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lang w:eastAsia="zh-CN" w:bidi="ar-SY"/>
        </w:rPr>
        <w:t>1.1</w:t>
      </w:r>
      <w:r w:rsidRPr="002E4F0D">
        <w:rPr>
          <w:rFonts w:eastAsiaTheme="minorEastAsia"/>
          <w:rtl/>
          <w:lang w:eastAsia="zh-CN" w:bidi="ar-EG"/>
        </w:rPr>
        <w:tab/>
      </w:r>
      <w:r w:rsidRPr="002E4F0D">
        <w:rPr>
          <w:rFonts w:eastAsiaTheme="minorEastAsia" w:hint="cs"/>
          <w:rtl/>
          <w:lang w:eastAsia="zh-CN" w:bidi="ar-EG"/>
        </w:rPr>
        <w:t xml:space="preserve">مؤتمر المندوبين المفوضين </w:t>
      </w:r>
      <w:r w:rsidRPr="002E4F0D">
        <w:rPr>
          <w:rFonts w:eastAsiaTheme="minorEastAsia"/>
          <w:lang w:eastAsia="zh-CN" w:bidi="ar-SY"/>
        </w:rPr>
        <w:t>(PP)</w:t>
      </w:r>
      <w:r w:rsidRPr="002E4F0D">
        <w:rPr>
          <w:rFonts w:eastAsiaTheme="minorEastAsia" w:hint="cs"/>
          <w:rtl/>
          <w:lang w:eastAsia="zh-CN" w:bidi="ar-EG"/>
        </w:rPr>
        <w:t xml:space="preserve"> هو الهيئة العليا للاتحاد (الفقرة </w:t>
      </w:r>
      <w:r w:rsidRPr="002E4F0D">
        <w:rPr>
          <w:rFonts w:eastAsiaTheme="minorEastAsia"/>
          <w:lang w:eastAsia="zh-CN" w:bidi="ar-SY"/>
        </w:rPr>
        <w:t>40</w:t>
      </w:r>
      <w:r w:rsidRPr="002E4F0D">
        <w:rPr>
          <w:rFonts w:eastAsiaTheme="minorEastAsia" w:hint="cs"/>
          <w:rtl/>
          <w:lang w:eastAsia="zh-CN" w:bidi="ar-EG"/>
        </w:rPr>
        <w:t xml:space="preserve"> أ)) وفقاً للمادة </w:t>
      </w:r>
      <w:r w:rsidRPr="002E4F0D">
        <w:rPr>
          <w:rFonts w:eastAsiaTheme="minorEastAsia"/>
          <w:lang w:eastAsia="zh-CN" w:bidi="ar-SY"/>
        </w:rPr>
        <w:t>7</w:t>
      </w:r>
      <w:r w:rsidRPr="002E4F0D">
        <w:rPr>
          <w:rFonts w:eastAsiaTheme="minorEastAsia" w:hint="cs"/>
          <w:rtl/>
          <w:lang w:eastAsia="zh-CN" w:bidi="ar-EG"/>
        </w:rPr>
        <w:t xml:space="preserve"> من دستور الاتحاد. ويحدد مؤتمر المندوبين المفوضين، بالإضافة إلى مهامه الهامة الأخرى، سياسة تطوير الاتحاد لمدة أربع سنوات، وهذا ما تنص عليه قرارات مؤتمر المندوبين المفوضين ومقرراته. وينظر في تقارير المجلس بشأن أنشطة الاتحاد منذ المؤتمر السابق ويضع الحدود المالية لتمويل أنشطة الاتحاد (انظر المادة </w:t>
      </w:r>
      <w:r w:rsidRPr="002E4F0D">
        <w:rPr>
          <w:rFonts w:eastAsiaTheme="minorEastAsia"/>
          <w:lang w:eastAsia="zh-CN" w:bidi="ar-SY"/>
        </w:rPr>
        <w:t>8</w:t>
      </w:r>
      <w:r w:rsidRPr="002E4F0D">
        <w:rPr>
          <w:rFonts w:eastAsiaTheme="minorEastAsia" w:hint="cs"/>
          <w:rtl/>
          <w:lang w:eastAsia="zh-CN" w:bidi="ar-EG"/>
        </w:rPr>
        <w:t xml:space="preserve"> من دستور الاتحاد). وهكذا، فإن قرارات مؤتمرات المندوبين المفوضين ومقرراتها تضع الأهداف والأنشطة التي يجب تنفيذها لضمان اتساق النتائج المتوقعة لأنشطة الاتحاد بما فيها تلك التي تنظمها أمانته العامة ومكاتب القطاعات والمجلس مع القرارات والتعليمات الواردة في قرارات مؤتمرات المندوبين المفوضين ومقرراتها. وفي الوقت نفسه، من الضروري أيضاً ضمان أن تكون النتائج الفعلية للأنشطة المنصوص عليها في الخطط الحالية للقطاعات والأمانة</w:t>
      </w:r>
      <w:r w:rsidR="00EC66F7">
        <w:rPr>
          <w:rFonts w:eastAsiaTheme="minorEastAsia" w:hint="cs"/>
          <w:rtl/>
          <w:lang w:eastAsia="zh-CN" w:bidi="ar-EG"/>
        </w:rPr>
        <w:t xml:space="preserve"> العامة</w:t>
      </w:r>
      <w:r w:rsidRPr="002E4F0D">
        <w:rPr>
          <w:rFonts w:eastAsiaTheme="minorEastAsia" w:hint="cs"/>
          <w:rtl/>
          <w:lang w:eastAsia="zh-CN" w:bidi="ar-EG"/>
        </w:rPr>
        <w:t xml:space="preserve"> مرتبطة ليس فقط بالقرارين</w:t>
      </w:r>
      <w:r w:rsidR="00A526C8">
        <w:rPr>
          <w:rFonts w:eastAsiaTheme="minorEastAsia" w:hint="eastAsia"/>
          <w:rtl/>
          <w:lang w:eastAsia="zh-CN" w:bidi="ar-EG"/>
        </w:rPr>
        <w:t> </w:t>
      </w:r>
      <w:r w:rsidRPr="002E4F0D">
        <w:rPr>
          <w:rFonts w:eastAsiaTheme="minorEastAsia"/>
          <w:lang w:eastAsia="zh-CN" w:bidi="ar-SY"/>
        </w:rPr>
        <w:t>71</w:t>
      </w:r>
      <w:r w:rsidRPr="002E4F0D">
        <w:rPr>
          <w:rFonts w:eastAsiaTheme="minorEastAsia" w:hint="cs"/>
          <w:rtl/>
          <w:lang w:eastAsia="zh-CN" w:bidi="ar-EG"/>
        </w:rPr>
        <w:t xml:space="preserve"> و</w:t>
      </w:r>
      <w:r w:rsidRPr="002E4F0D">
        <w:rPr>
          <w:rFonts w:eastAsiaTheme="minorEastAsia"/>
          <w:lang w:eastAsia="zh-CN" w:bidi="ar-SY"/>
        </w:rPr>
        <w:t>72</w:t>
      </w:r>
      <w:r w:rsidRPr="002E4F0D">
        <w:rPr>
          <w:rFonts w:eastAsiaTheme="minorEastAsia" w:hint="cs"/>
          <w:rtl/>
          <w:lang w:eastAsia="zh-CN" w:bidi="ar-EG"/>
        </w:rPr>
        <w:t xml:space="preserve"> وإنما أيضاً بجميع القرارات والمقررات الأخرى لمؤتمرات المندوبين المفوضين ولا سيما بتلك التي تتعلق بمصالح أغلبية الدول الأعضاء.</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lang w:eastAsia="zh-CN" w:bidi="ar-SY"/>
        </w:rPr>
        <w:t>2.1</w:t>
      </w:r>
      <w:r w:rsidRPr="002E4F0D">
        <w:rPr>
          <w:rFonts w:eastAsiaTheme="minorEastAsia"/>
          <w:rtl/>
          <w:lang w:eastAsia="zh-CN" w:bidi="ar-EG"/>
        </w:rPr>
        <w:tab/>
      </w:r>
      <w:r w:rsidRPr="002E4F0D">
        <w:rPr>
          <w:rFonts w:eastAsiaTheme="minorEastAsia" w:hint="cs"/>
          <w:rtl/>
          <w:lang w:eastAsia="zh-CN" w:bidi="ar-EG"/>
        </w:rPr>
        <w:t xml:space="preserve">ينص القرار </w:t>
      </w:r>
      <w:r w:rsidRPr="002E4F0D">
        <w:rPr>
          <w:rFonts w:eastAsiaTheme="minorEastAsia"/>
          <w:lang w:eastAsia="zh-CN" w:bidi="ar-SY"/>
        </w:rPr>
        <w:t>72</w:t>
      </w:r>
      <w:r w:rsidRPr="002E4F0D">
        <w:rPr>
          <w:rFonts w:eastAsiaTheme="minorEastAsia" w:hint="cs"/>
          <w:rtl/>
          <w:lang w:eastAsia="zh-CN" w:bidi="ar-EG"/>
        </w:rPr>
        <w:t xml:space="preserve"> على ما يلي:</w:t>
      </w:r>
    </w:p>
    <w:p w:rsidR="002E4F0D" w:rsidRPr="002E4F0D" w:rsidRDefault="002E4F0D" w:rsidP="00253C35">
      <w:pPr>
        <w:pStyle w:val="Call"/>
        <w:rPr>
          <w:rFonts w:eastAsiaTheme="minorEastAsia"/>
          <w:rtl/>
          <w:lang w:eastAsia="zh-CN" w:bidi="ar-EG"/>
        </w:rPr>
      </w:pPr>
      <w:r w:rsidRPr="002E4F0D">
        <w:rPr>
          <w:rFonts w:eastAsiaTheme="minorEastAsia" w:hint="cs"/>
          <w:rtl/>
          <w:lang w:eastAsia="zh-CN" w:bidi="ar-EG"/>
        </w:rPr>
        <w:t>"</w:t>
      </w:r>
      <w:r w:rsidRPr="002E4F0D">
        <w:rPr>
          <w:rFonts w:eastAsiaTheme="minorEastAsia" w:hint="eastAsia"/>
          <w:rtl/>
          <w:lang w:eastAsia="zh-CN" w:bidi="ar-EG"/>
        </w:rPr>
        <w:t> </w:t>
      </w:r>
      <w:r w:rsidRPr="002E4F0D">
        <w:rPr>
          <w:rFonts w:eastAsiaTheme="minorEastAsia" w:hint="cs"/>
          <w:rtl/>
          <w:lang w:eastAsia="zh-CN" w:bidi="ar-EG"/>
        </w:rPr>
        <w:t>إذ يضع في اعتباره</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rtl/>
          <w:lang w:eastAsia="zh-CN"/>
        </w:rPr>
        <w:t>أن التقدم المحرز في تحقيق غايات الاتحاد وأهدافه من الممكن قياسه وتحسينه كثيراً عن طريق عملية التنسيق والربط بين الخطط الاستراتيجية والمالية والتشغيلية التي تحدد الأنشطة المخطط لها خلال الفترة التي تغطيها هذه الخطط،</w:t>
      </w:r>
    </w:p>
    <w:p w:rsidR="002E4F0D" w:rsidRPr="002E4F0D" w:rsidRDefault="002E4F0D" w:rsidP="00253C35">
      <w:pPr>
        <w:pStyle w:val="Call"/>
        <w:rPr>
          <w:rFonts w:eastAsiaTheme="minorEastAsia"/>
          <w:rtl/>
          <w:lang w:eastAsia="zh-CN"/>
        </w:rPr>
      </w:pPr>
      <w:r w:rsidRPr="002E4F0D">
        <w:rPr>
          <w:rFonts w:eastAsiaTheme="minorEastAsia" w:hint="cs"/>
          <w:rtl/>
          <w:lang w:eastAsia="zh-CN"/>
        </w:rPr>
        <w:lastRenderedPageBreak/>
        <w:t>وإذ يقر</w:t>
      </w:r>
    </w:p>
    <w:p w:rsidR="002E4F0D" w:rsidRPr="002E4F0D" w:rsidRDefault="002E4F0D" w:rsidP="00253C35">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hint="cs"/>
          <w:rtl/>
          <w:lang w:eastAsia="zh-CN"/>
        </w:rPr>
        <w:t>...</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i/>
          <w:iCs/>
          <w:rtl/>
          <w:lang w:eastAsia="zh-CN"/>
        </w:rPr>
        <w:t>ﺏ)</w:t>
      </w:r>
      <w:r w:rsidRPr="002E4F0D">
        <w:rPr>
          <w:rFonts w:eastAsiaTheme="minorEastAsia"/>
          <w:rtl/>
          <w:lang w:eastAsia="zh-CN"/>
        </w:rPr>
        <w:tab/>
      </w:r>
      <w:r w:rsidRPr="002E4F0D">
        <w:rPr>
          <w:rFonts w:eastAsiaTheme="minorEastAsia" w:hint="cs"/>
          <w:rtl/>
          <w:lang w:eastAsia="zh-CN"/>
        </w:rPr>
        <w:t>ب</w:t>
      </w:r>
      <w:r w:rsidRPr="002E4F0D">
        <w:rPr>
          <w:rFonts w:eastAsiaTheme="minorEastAsia"/>
          <w:rtl/>
          <w:lang w:eastAsia="zh-CN"/>
        </w:rPr>
        <w:t xml:space="preserve">أن </w:t>
      </w:r>
      <w:r w:rsidRPr="002E4F0D">
        <w:rPr>
          <w:rFonts w:eastAsiaTheme="minorEastAsia" w:hint="cs"/>
          <w:rtl/>
          <w:lang w:eastAsia="zh-CN"/>
        </w:rPr>
        <w:t xml:space="preserve">التنفيذ الجاري للتخطيط </w:t>
      </w:r>
      <w:r w:rsidRPr="002E4F0D">
        <w:rPr>
          <w:rFonts w:eastAsiaTheme="minorEastAsia"/>
          <w:rtl/>
          <w:lang w:eastAsia="zh-CN"/>
        </w:rPr>
        <w:t>التشغيلي</w:t>
      </w:r>
      <w:r w:rsidRPr="002E4F0D">
        <w:rPr>
          <w:rFonts w:eastAsiaTheme="minorEastAsia" w:hint="cs"/>
          <w:rtl/>
          <w:lang w:eastAsia="zh-CN"/>
        </w:rPr>
        <w:t xml:space="preserve"> بالتنسيق على نحو فعّال مع</w:t>
      </w:r>
      <w:r w:rsidRPr="002E4F0D">
        <w:rPr>
          <w:rFonts w:eastAsiaTheme="minorEastAsia"/>
          <w:rtl/>
          <w:lang w:eastAsia="zh-CN"/>
        </w:rPr>
        <w:t xml:space="preserve"> التخطيط الاستراتيجي والمالي قد</w:t>
      </w:r>
      <w:r w:rsidRPr="002E4F0D">
        <w:rPr>
          <w:rFonts w:eastAsiaTheme="minorEastAsia" w:hint="cs"/>
          <w:rtl/>
          <w:lang w:eastAsia="zh-CN"/>
        </w:rPr>
        <w:t xml:space="preserve"> يستدعي إدخال</w:t>
      </w:r>
      <w:r w:rsidRPr="002E4F0D">
        <w:rPr>
          <w:rFonts w:eastAsiaTheme="minorEastAsia"/>
          <w:rtl/>
          <w:lang w:eastAsia="zh-CN"/>
        </w:rPr>
        <w:t xml:space="preserve"> تغييرات</w:t>
      </w:r>
      <w:r w:rsidRPr="002E4F0D">
        <w:rPr>
          <w:rFonts w:eastAsiaTheme="minorEastAsia" w:hint="cs"/>
          <w:rtl/>
          <w:lang w:eastAsia="zh-CN"/>
        </w:rPr>
        <w:t xml:space="preserve"> </w:t>
      </w:r>
      <w:r w:rsidRPr="002E4F0D">
        <w:rPr>
          <w:rFonts w:eastAsiaTheme="minorEastAsia"/>
          <w:rtl/>
          <w:lang w:eastAsia="zh-CN"/>
        </w:rPr>
        <w:t xml:space="preserve">في اللوائح المالية من أجل </w:t>
      </w:r>
      <w:r w:rsidRPr="002E4F0D">
        <w:rPr>
          <w:rFonts w:eastAsiaTheme="minorEastAsia" w:hint="cs"/>
          <w:rtl/>
          <w:lang w:eastAsia="zh-CN"/>
        </w:rPr>
        <w:t>تحديد</w:t>
      </w:r>
      <w:r w:rsidRPr="002E4F0D">
        <w:rPr>
          <w:rFonts w:eastAsiaTheme="minorEastAsia"/>
          <w:rtl/>
          <w:lang w:eastAsia="zh-CN"/>
        </w:rPr>
        <w:t xml:space="preserve"> العلاقات بين الوثائق المناظرة وتنسيق عرض المعلومات التي</w:t>
      </w:r>
      <w:r w:rsidRPr="002E4F0D">
        <w:rPr>
          <w:rFonts w:eastAsiaTheme="minorEastAsia" w:hint="cs"/>
          <w:rtl/>
          <w:lang w:eastAsia="zh-CN"/>
        </w:rPr>
        <w:t> </w:t>
      </w:r>
      <w:r w:rsidRPr="002E4F0D">
        <w:rPr>
          <w:rFonts w:eastAsiaTheme="minorEastAsia"/>
          <w:rtl/>
          <w:lang w:eastAsia="zh-CN"/>
        </w:rPr>
        <w:t>تحتويها؛</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hint="cs"/>
          <w:i/>
          <w:iCs/>
          <w:rtl/>
          <w:lang w:eastAsia="zh-CN"/>
        </w:rPr>
        <w:t>ج</w:t>
      </w:r>
      <w:r w:rsidRPr="002E4F0D">
        <w:rPr>
          <w:rFonts w:eastAsiaTheme="minorEastAsia"/>
          <w:i/>
          <w:iCs/>
          <w:rtl/>
          <w:lang w:eastAsia="zh-CN"/>
        </w:rPr>
        <w:t>)</w:t>
      </w:r>
      <w:r w:rsidRPr="002E4F0D">
        <w:rPr>
          <w:rFonts w:eastAsiaTheme="minorEastAsia"/>
          <w:rtl/>
          <w:lang w:eastAsia="zh-CN"/>
        </w:rPr>
        <w:tab/>
      </w:r>
      <w:r w:rsidRPr="002E4F0D">
        <w:rPr>
          <w:rFonts w:eastAsiaTheme="minorEastAsia" w:hint="cs"/>
          <w:rtl/>
          <w:lang w:eastAsia="zh-CN"/>
        </w:rPr>
        <w:t>بأن الحاجة تقوم إلى إنشاء</w:t>
      </w:r>
      <w:r w:rsidRPr="002E4F0D">
        <w:rPr>
          <w:rFonts w:eastAsiaTheme="minorEastAsia"/>
          <w:rtl/>
          <w:lang w:eastAsia="zh-CN"/>
        </w:rPr>
        <w:t xml:space="preserve"> </w:t>
      </w:r>
      <w:r w:rsidRPr="002E4F0D">
        <w:rPr>
          <w:rFonts w:eastAsiaTheme="minorEastAsia" w:hint="cs"/>
          <w:rtl/>
          <w:lang w:eastAsia="zh-CN"/>
        </w:rPr>
        <w:t xml:space="preserve">آليات </w:t>
      </w:r>
      <w:r w:rsidRPr="002E4F0D">
        <w:rPr>
          <w:rFonts w:eastAsiaTheme="minorEastAsia"/>
          <w:rtl/>
          <w:lang w:eastAsia="zh-CN"/>
        </w:rPr>
        <w:t>مراقبة فع</w:t>
      </w:r>
      <w:r w:rsidRPr="002E4F0D">
        <w:rPr>
          <w:rFonts w:eastAsiaTheme="minorEastAsia" w:hint="cs"/>
          <w:rtl/>
          <w:lang w:eastAsia="zh-CN"/>
        </w:rPr>
        <w:t>ّ</w:t>
      </w:r>
      <w:r w:rsidRPr="002E4F0D">
        <w:rPr>
          <w:rFonts w:eastAsiaTheme="minorEastAsia"/>
          <w:rtl/>
          <w:lang w:eastAsia="zh-CN"/>
        </w:rPr>
        <w:t xml:space="preserve">الة </w:t>
      </w:r>
      <w:r w:rsidRPr="002E4F0D">
        <w:rPr>
          <w:rFonts w:eastAsiaTheme="minorEastAsia" w:hint="cs"/>
          <w:rtl/>
          <w:lang w:eastAsia="zh-CN"/>
        </w:rPr>
        <w:t>ومخصصة لتمكين</w:t>
      </w:r>
      <w:r w:rsidRPr="002E4F0D">
        <w:rPr>
          <w:rFonts w:eastAsiaTheme="minorEastAsia"/>
          <w:rtl/>
          <w:lang w:eastAsia="zh-CN"/>
        </w:rPr>
        <w:t xml:space="preserve"> </w:t>
      </w:r>
      <w:r w:rsidRPr="002E4F0D">
        <w:rPr>
          <w:rFonts w:eastAsiaTheme="minorEastAsia" w:hint="cs"/>
          <w:rtl/>
          <w:lang w:eastAsia="zh-CN"/>
        </w:rPr>
        <w:t>مجلس الاتحاد</w:t>
      </w:r>
      <w:r w:rsidRPr="002E4F0D">
        <w:rPr>
          <w:rFonts w:eastAsiaTheme="minorEastAsia"/>
          <w:rtl/>
          <w:lang w:eastAsia="zh-CN"/>
        </w:rPr>
        <w:t xml:space="preserve"> من إجراء </w:t>
      </w:r>
      <w:r w:rsidRPr="002E4F0D">
        <w:rPr>
          <w:rFonts w:eastAsiaTheme="minorEastAsia" w:hint="cs"/>
          <w:rtl/>
          <w:lang w:eastAsia="zh-CN"/>
        </w:rPr>
        <w:t>ما يلزم من فحص</w:t>
      </w:r>
      <w:r w:rsidRPr="002E4F0D">
        <w:rPr>
          <w:rFonts w:eastAsiaTheme="minorEastAsia"/>
          <w:rtl/>
          <w:lang w:eastAsia="zh-CN"/>
        </w:rPr>
        <w:t xml:space="preserve"> للتقدم في </w:t>
      </w:r>
      <w:r w:rsidRPr="002E4F0D">
        <w:rPr>
          <w:rFonts w:eastAsiaTheme="minorEastAsia" w:hint="cs"/>
          <w:rtl/>
          <w:lang w:eastAsia="zh-CN"/>
        </w:rPr>
        <w:t>تنسيق</w:t>
      </w:r>
      <w:r w:rsidRPr="002E4F0D">
        <w:rPr>
          <w:rFonts w:eastAsiaTheme="minorEastAsia"/>
          <w:rtl/>
          <w:lang w:eastAsia="zh-CN"/>
        </w:rPr>
        <w:t xml:space="preserve"> الوظائف الاستراتيجية والتشغيلية والمالية وتقييم تنفيذ الخطط</w:t>
      </w:r>
      <w:r w:rsidRPr="002E4F0D">
        <w:rPr>
          <w:rFonts w:eastAsiaTheme="minorEastAsia" w:hint="cs"/>
          <w:rtl/>
          <w:lang w:eastAsia="zh-CN"/>
        </w:rPr>
        <w:t> </w:t>
      </w:r>
      <w:r w:rsidRPr="002E4F0D">
        <w:rPr>
          <w:rFonts w:eastAsiaTheme="minorEastAsia"/>
          <w:rtl/>
          <w:lang w:eastAsia="zh-CN"/>
        </w:rPr>
        <w:t>التشغيلية</w:t>
      </w:r>
      <w:r w:rsidRPr="002E4F0D">
        <w:rPr>
          <w:rFonts w:eastAsiaTheme="minorEastAsia" w:hint="cs"/>
          <w:rtl/>
          <w:lang w:eastAsia="zh-CN"/>
        </w:rPr>
        <w:t>؛</w:t>
      </w:r>
    </w:p>
    <w:p w:rsidR="002E4F0D" w:rsidRPr="002E4F0D" w:rsidRDefault="002E4F0D" w:rsidP="00A526C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hint="cs"/>
          <w:rtl/>
          <w:lang w:eastAsia="zh-CN"/>
        </w:rPr>
        <w:t>ويوحي ذلك بأنه قد يكون من المناسب أن يُدرج في مشاريع وثائق التخطيط الرباعية الحالية وتقارير القطاعات المرتبطة بها بشأن الأنشطة الحالية، معلومات بشأن التقدم المحرز والنتائج المحققة فيما</w:t>
      </w:r>
      <w:r w:rsidR="00A526C8">
        <w:rPr>
          <w:rFonts w:eastAsiaTheme="minorEastAsia" w:hint="eastAsia"/>
          <w:rtl/>
          <w:lang w:eastAsia="zh-CN"/>
        </w:rPr>
        <w:t> </w:t>
      </w:r>
      <w:r w:rsidRPr="002E4F0D">
        <w:rPr>
          <w:rFonts w:eastAsiaTheme="minorEastAsia" w:hint="cs"/>
          <w:rtl/>
          <w:lang w:eastAsia="zh-CN"/>
        </w:rPr>
        <w:t>يتعلق بتنفيذ قرارات مؤتمرات المندوبين المفوضين ومقرراته المتصلة بالأهداف والغايات المحددة المذكورة.</w:t>
      </w:r>
    </w:p>
    <w:p w:rsidR="002E4F0D" w:rsidRPr="002E4F0D" w:rsidRDefault="002E4F0D" w:rsidP="00267D3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rPr>
        <w:t>ويمكن للعلاقة بين الموارد المخصصة في ميزانية الاتحاد وميزانيات القطاعات للأهداف الناشئة عن قرارات ومقررات مؤتمرات المندوبين المفوضين الأساس لتخصيص أكثر فعالية للموارد مقارنة</w:t>
      </w:r>
      <w:r w:rsidR="00A526C8">
        <w:rPr>
          <w:rFonts w:eastAsiaTheme="minorEastAsia" w:hint="cs"/>
          <w:rtl/>
          <w:lang w:eastAsia="zh-CN"/>
        </w:rPr>
        <w:t>ً</w:t>
      </w:r>
      <w:r w:rsidRPr="002E4F0D">
        <w:rPr>
          <w:rFonts w:eastAsiaTheme="minorEastAsia" w:hint="cs"/>
          <w:rtl/>
          <w:lang w:eastAsia="zh-CN"/>
        </w:rPr>
        <w:t xml:space="preserve"> بما يجري حالياً، علماً أن تنفيذ القرارات المختلفة لمؤتمرات المندوبين المفوضين تقتضي تدابير مختلفة على النحو المبين في نتائج التحليل المقتضب (أدناه) للمساهمات المقدمة من الدول الأعضاء لدورتي مجلس الاتحاد اللتين </w:t>
      </w:r>
      <w:r w:rsidR="00267D33">
        <w:rPr>
          <w:rFonts w:eastAsiaTheme="minorEastAsia" w:hint="cs"/>
          <w:rtl/>
          <w:lang w:eastAsia="zh-CN"/>
        </w:rPr>
        <w:t>تم عقدهما</w:t>
      </w:r>
      <w:r w:rsidRPr="002E4F0D">
        <w:rPr>
          <w:rFonts w:eastAsiaTheme="minorEastAsia" w:hint="cs"/>
          <w:rtl/>
          <w:lang w:eastAsia="zh-CN"/>
        </w:rPr>
        <w:t xml:space="preserve"> بعد مؤتمر المندوبين المفوضين لعام </w:t>
      </w:r>
      <w:r w:rsidRPr="002E4F0D">
        <w:rPr>
          <w:rFonts w:eastAsiaTheme="minorEastAsia"/>
          <w:lang w:eastAsia="zh-CN" w:bidi="ar-SY"/>
        </w:rPr>
        <w:t>2014</w:t>
      </w:r>
      <w:r w:rsidRPr="002E4F0D">
        <w:rPr>
          <w:rFonts w:eastAsiaTheme="minorEastAsia" w:hint="cs"/>
          <w:rtl/>
          <w:lang w:eastAsia="zh-CN" w:bidi="ar-EG"/>
        </w:rPr>
        <w:t>.</w:t>
      </w:r>
    </w:p>
    <w:p w:rsidR="002E4F0D" w:rsidRPr="002E4F0D" w:rsidRDefault="002E4F0D" w:rsidP="00253C35">
      <w:pPr>
        <w:pStyle w:val="Heading1"/>
        <w:rPr>
          <w:rFonts w:eastAsiaTheme="minorEastAsia"/>
          <w:rtl/>
          <w:lang w:eastAsia="zh-CN"/>
        </w:rPr>
      </w:pPr>
      <w:r w:rsidRPr="002E4F0D">
        <w:rPr>
          <w:rFonts w:eastAsiaTheme="minorEastAsia"/>
          <w:lang w:eastAsia="zh-CN" w:bidi="ar-SY"/>
        </w:rPr>
        <w:t>2</w:t>
      </w:r>
      <w:r w:rsidRPr="002E4F0D">
        <w:rPr>
          <w:rFonts w:eastAsiaTheme="minorEastAsia"/>
          <w:rtl/>
          <w:lang w:eastAsia="zh-CN"/>
        </w:rPr>
        <w:tab/>
      </w:r>
      <w:r w:rsidRPr="002E4F0D">
        <w:rPr>
          <w:rFonts w:eastAsiaTheme="minorEastAsia" w:hint="cs"/>
          <w:rtl/>
          <w:lang w:eastAsia="zh-CN"/>
        </w:rPr>
        <w:t>التحليل</w:t>
      </w:r>
    </w:p>
    <w:p w:rsidR="002E4F0D" w:rsidRPr="002E4F0D" w:rsidRDefault="002E4F0D" w:rsidP="00253C35">
      <w:pPr>
        <w:pStyle w:val="Heading2"/>
        <w:rPr>
          <w:rFonts w:eastAsiaTheme="minorEastAsia"/>
          <w:rtl/>
          <w:lang w:eastAsia="zh-CN"/>
        </w:rPr>
      </w:pPr>
      <w:r w:rsidRPr="002E4F0D">
        <w:rPr>
          <w:rFonts w:eastAsiaTheme="minorEastAsia"/>
          <w:lang w:eastAsia="zh-CN" w:bidi="ar-SY"/>
        </w:rPr>
        <w:t>1.2</w:t>
      </w:r>
      <w:r w:rsidRPr="002E4F0D">
        <w:rPr>
          <w:rFonts w:eastAsiaTheme="minorEastAsia"/>
          <w:rtl/>
          <w:lang w:eastAsia="zh-CN"/>
        </w:rPr>
        <w:tab/>
      </w:r>
      <w:r w:rsidRPr="002E4F0D">
        <w:rPr>
          <w:rFonts w:eastAsiaTheme="minorEastAsia" w:hint="cs"/>
          <w:rtl/>
          <w:lang w:eastAsia="zh-CN"/>
        </w:rPr>
        <w:t>إحالات الدول الأعضاء إلى قرارات مؤتمرات المندوبين المفوضين</w:t>
      </w:r>
    </w:p>
    <w:p w:rsidR="002E4F0D" w:rsidRPr="002E4F0D" w:rsidRDefault="002E4F0D" w:rsidP="00E1192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 xml:space="preserve">تحيل الدول الأعضاء إلى قرارات مؤتمرات المندوبين المفوضين لدى إعداد مساهماتها غير أن مجموعة القرارات المشار إليها محدودة </w:t>
      </w:r>
      <w:r w:rsidR="00253C35">
        <w:rPr>
          <w:rFonts w:eastAsiaTheme="minorEastAsia" w:hint="cs"/>
          <w:rtl/>
          <w:lang w:eastAsia="zh-CN" w:bidi="ar-EG"/>
        </w:rPr>
        <w:t>في</w:t>
      </w:r>
      <w:r w:rsidR="00253C35">
        <w:rPr>
          <w:rFonts w:eastAsiaTheme="minorEastAsia" w:hint="eastAsia"/>
          <w:rtl/>
          <w:lang w:eastAsia="zh-CN" w:bidi="ar-EG"/>
        </w:rPr>
        <w:t> </w:t>
      </w:r>
      <w:r w:rsidRPr="002E4F0D">
        <w:rPr>
          <w:rFonts w:eastAsiaTheme="minorEastAsia" w:hint="cs"/>
          <w:rtl/>
          <w:lang w:eastAsia="zh-CN" w:bidi="ar-EG"/>
        </w:rPr>
        <w:t>الواقع (انظر الجدول</w:t>
      </w:r>
      <w:r w:rsidR="00E1192D">
        <w:rPr>
          <w:rFonts w:eastAsiaTheme="minorEastAsia" w:hint="eastAsia"/>
          <w:rtl/>
          <w:lang w:eastAsia="zh-CN" w:bidi="ar-EG"/>
        </w:rPr>
        <w:t> </w:t>
      </w:r>
      <w:r w:rsidRPr="002E4F0D">
        <w:rPr>
          <w:rFonts w:eastAsiaTheme="minorEastAsia"/>
          <w:lang w:eastAsia="zh-CN" w:bidi="ar-SY"/>
        </w:rPr>
        <w:t>1</w:t>
      </w:r>
      <w:r w:rsidRPr="002E4F0D">
        <w:rPr>
          <w:rFonts w:eastAsiaTheme="minorEastAsia" w:hint="cs"/>
          <w:rtl/>
          <w:lang w:eastAsia="zh-CN" w:bidi="ar-EG"/>
        </w:rPr>
        <w:t>).</w:t>
      </w:r>
    </w:p>
    <w:p w:rsidR="002E4F0D" w:rsidRPr="002E4F0D" w:rsidRDefault="002E4F0D" w:rsidP="002056C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 xml:space="preserve">ويبين تحليل البيانات الوارد في الجدول </w:t>
      </w:r>
      <w:r w:rsidRPr="002E4F0D">
        <w:rPr>
          <w:rFonts w:eastAsiaTheme="minorEastAsia"/>
          <w:lang w:eastAsia="zh-CN" w:bidi="ar-SY"/>
        </w:rPr>
        <w:t>1</w:t>
      </w:r>
      <w:r w:rsidRPr="002E4F0D">
        <w:rPr>
          <w:rFonts w:eastAsiaTheme="minorEastAsia" w:hint="cs"/>
          <w:rtl/>
          <w:lang w:eastAsia="zh-CN" w:bidi="ar-EG"/>
        </w:rPr>
        <w:t xml:space="preserve"> أن الإحالات إلى قرارات مؤتمرات المندوبين المفوضين في مساهمات الدول الأعضاء تجسد إلى حد ما طريقة تناول القرارات المعنية والقضايا المثارة فيها لمصالح الدول الأعضاء. ومن بين قرارات ومقررات مؤتمر المندوبين المفوضين لعام </w:t>
      </w:r>
      <w:r w:rsidRPr="002E4F0D">
        <w:rPr>
          <w:rFonts w:eastAsiaTheme="minorEastAsia"/>
          <w:lang w:eastAsia="zh-CN" w:bidi="ar-SY"/>
        </w:rPr>
        <w:t>2014</w:t>
      </w:r>
      <w:r w:rsidRPr="002E4F0D">
        <w:rPr>
          <w:rFonts w:eastAsiaTheme="minorEastAsia" w:hint="cs"/>
          <w:rtl/>
          <w:lang w:eastAsia="zh-CN" w:bidi="ar-EG"/>
        </w:rPr>
        <w:t xml:space="preserve"> البالغ عددها </w:t>
      </w:r>
      <w:r w:rsidRPr="002E4F0D">
        <w:rPr>
          <w:rFonts w:eastAsiaTheme="minorEastAsia"/>
          <w:lang w:eastAsia="zh-CN" w:bidi="ar-SY"/>
        </w:rPr>
        <w:t>27</w:t>
      </w:r>
      <w:r w:rsidRPr="002E4F0D">
        <w:rPr>
          <w:rFonts w:eastAsiaTheme="minorEastAsia" w:hint="cs"/>
          <w:rtl/>
          <w:lang w:eastAsia="zh-CN" w:bidi="ar-EG"/>
        </w:rPr>
        <w:t xml:space="preserve"> قراراً ومقرراً المشار إليها في المساهمات المقدمة إلى دورتي المجلس لعامي</w:t>
      </w:r>
      <w:r w:rsidR="002056CC">
        <w:rPr>
          <w:rFonts w:eastAsiaTheme="minorEastAsia" w:hint="eastAsia"/>
          <w:rtl/>
          <w:lang w:eastAsia="zh-CN" w:bidi="ar-EG"/>
        </w:rPr>
        <w:t> </w:t>
      </w:r>
      <w:r w:rsidRPr="002E4F0D">
        <w:rPr>
          <w:rFonts w:eastAsiaTheme="minorEastAsia"/>
          <w:lang w:eastAsia="zh-CN" w:bidi="ar-SY"/>
        </w:rPr>
        <w:t>2015</w:t>
      </w:r>
      <w:r w:rsidRPr="002E4F0D">
        <w:rPr>
          <w:rFonts w:eastAsiaTheme="minorEastAsia" w:hint="cs"/>
          <w:rtl/>
          <w:lang w:eastAsia="zh-CN" w:bidi="ar-EG"/>
        </w:rPr>
        <w:t xml:space="preserve"> و</w:t>
      </w:r>
      <w:r w:rsidRPr="002E4F0D">
        <w:rPr>
          <w:rFonts w:eastAsiaTheme="minorEastAsia"/>
          <w:lang w:eastAsia="zh-CN" w:bidi="ar-SY"/>
        </w:rPr>
        <w:t>2016</w:t>
      </w:r>
      <w:r w:rsidR="00C50041">
        <w:rPr>
          <w:rFonts w:eastAsiaTheme="minorEastAsia" w:hint="cs"/>
          <w:rtl/>
          <w:lang w:eastAsia="zh-CN" w:bidi="ar-EG"/>
        </w:rPr>
        <w:t>، أربعة</w:t>
      </w:r>
      <w:r w:rsidR="00C50041">
        <w:rPr>
          <w:rFonts w:eastAsiaTheme="minorEastAsia" w:hint="eastAsia"/>
          <w:rtl/>
          <w:lang w:eastAsia="zh-CN" w:bidi="ar-EG"/>
        </w:rPr>
        <w:t> </w:t>
      </w:r>
      <w:r w:rsidRPr="002E4F0D">
        <w:rPr>
          <w:rFonts w:eastAsiaTheme="minorEastAsia" w:hint="cs"/>
          <w:rtl/>
          <w:lang w:eastAsia="zh-CN" w:bidi="ar-EG"/>
        </w:rPr>
        <w:t>قرارات ومقرر واحد فقط حظيت بأقصى اهتمام (</w:t>
      </w:r>
      <w:r w:rsidRPr="002E4F0D">
        <w:rPr>
          <w:rFonts w:eastAsiaTheme="minorEastAsia"/>
          <w:lang w:eastAsia="zh-CN" w:bidi="ar-SY"/>
        </w:rPr>
        <w:t>6</w:t>
      </w:r>
      <w:r w:rsidRPr="002E4F0D">
        <w:rPr>
          <w:rFonts w:eastAsiaTheme="minorEastAsia" w:hint="cs"/>
          <w:rtl/>
          <w:lang w:eastAsia="zh-CN" w:bidi="ar-EG"/>
        </w:rPr>
        <w:t xml:space="preserve"> و</w:t>
      </w:r>
      <w:r w:rsidRPr="002E4F0D">
        <w:rPr>
          <w:rFonts w:eastAsiaTheme="minorEastAsia"/>
          <w:lang w:eastAsia="zh-CN" w:bidi="ar-SY"/>
        </w:rPr>
        <w:t>7</w:t>
      </w:r>
      <w:r w:rsidRPr="002E4F0D">
        <w:rPr>
          <w:rFonts w:eastAsiaTheme="minorEastAsia" w:hint="cs"/>
          <w:rtl/>
          <w:lang w:eastAsia="zh-CN" w:bidi="ar-EG"/>
        </w:rPr>
        <w:t xml:space="preserve"> إشارات على التوالي). وكان هناك أربع إشارات لكل من القرارات الثلاثة خلال دورتي المجلس. ومن جهة أخرى ذُكر القرار </w:t>
      </w:r>
      <w:r w:rsidRPr="002E4F0D">
        <w:rPr>
          <w:rFonts w:eastAsiaTheme="minorEastAsia"/>
          <w:lang w:eastAsia="zh-CN" w:bidi="ar-SY"/>
        </w:rPr>
        <w:t>72</w:t>
      </w:r>
      <w:r w:rsidRPr="002E4F0D">
        <w:rPr>
          <w:rFonts w:eastAsiaTheme="minorEastAsia" w:hint="cs"/>
          <w:rtl/>
          <w:lang w:eastAsia="zh-CN" w:bidi="ar-EG"/>
        </w:rPr>
        <w:t xml:space="preserve"> مرة واحدة فقط.</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ويمكن تفسير هذا الأمر بعدد من الطرق الممكنة:</w:t>
      </w:r>
    </w:p>
    <w:p w:rsidR="002E4F0D" w:rsidRPr="002E4F0D" w:rsidRDefault="00204C6C" w:rsidP="00253C35">
      <w:pPr>
        <w:pStyle w:val="enumlev1"/>
        <w:rPr>
          <w:rFonts w:eastAsiaTheme="minorEastAsia"/>
          <w:rtl/>
          <w:lang w:eastAsia="zh-CN" w:bidi="ar-EG"/>
        </w:rPr>
      </w:pPr>
      <w:r>
        <w:rPr>
          <w:rFonts w:eastAsiaTheme="minorEastAsia"/>
          <w:lang w:eastAsia="zh-CN" w:bidi="ar-SY"/>
        </w:rPr>
        <w:t>(</w:t>
      </w:r>
      <w:r w:rsidR="002E4F0D" w:rsidRPr="002E4F0D">
        <w:rPr>
          <w:rFonts w:eastAsiaTheme="minorEastAsia"/>
          <w:lang w:eastAsia="zh-CN" w:bidi="ar-SY"/>
        </w:rPr>
        <w:t>1</w:t>
      </w:r>
      <w:r w:rsidR="002E4F0D" w:rsidRPr="002E4F0D">
        <w:rPr>
          <w:rFonts w:eastAsiaTheme="minorEastAsia"/>
          <w:rtl/>
          <w:lang w:eastAsia="zh-CN" w:bidi="ar-EG"/>
        </w:rPr>
        <w:tab/>
      </w:r>
      <w:r w:rsidR="002E4F0D" w:rsidRPr="002E4F0D">
        <w:rPr>
          <w:rFonts w:eastAsiaTheme="minorEastAsia" w:hint="cs"/>
          <w:rtl/>
          <w:lang w:eastAsia="zh-CN" w:bidi="ar-EG"/>
        </w:rPr>
        <w:t>تشير الدول الأعضاء إلى القرارات الأكثر أهمية من حيث المصالح الوطنية الخاصة بها.</w:t>
      </w:r>
    </w:p>
    <w:p w:rsidR="002E4F0D" w:rsidRPr="002E4F0D" w:rsidRDefault="00204C6C" w:rsidP="00253C35">
      <w:pPr>
        <w:pStyle w:val="enumlev1"/>
        <w:rPr>
          <w:rFonts w:eastAsiaTheme="minorEastAsia"/>
          <w:rtl/>
          <w:lang w:eastAsia="zh-CN" w:bidi="ar-EG"/>
        </w:rPr>
      </w:pPr>
      <w:r>
        <w:rPr>
          <w:rFonts w:eastAsiaTheme="minorEastAsia"/>
          <w:lang w:eastAsia="zh-CN" w:bidi="ar-EG"/>
        </w:rPr>
        <w:t>(</w:t>
      </w:r>
      <w:r w:rsidR="002E4F0D" w:rsidRPr="002E4F0D">
        <w:rPr>
          <w:rFonts w:eastAsiaTheme="minorEastAsia"/>
          <w:lang w:eastAsia="zh-CN" w:bidi="ar-SY"/>
        </w:rPr>
        <w:t>2</w:t>
      </w:r>
      <w:r w:rsidR="002E4F0D" w:rsidRPr="002E4F0D">
        <w:rPr>
          <w:rFonts w:eastAsiaTheme="minorEastAsia"/>
          <w:rtl/>
          <w:lang w:eastAsia="zh-CN" w:bidi="ar-EG"/>
        </w:rPr>
        <w:tab/>
      </w:r>
      <w:r w:rsidR="002E4F0D" w:rsidRPr="002E4F0D">
        <w:rPr>
          <w:rFonts w:eastAsiaTheme="minorEastAsia" w:hint="cs"/>
          <w:rtl/>
          <w:lang w:eastAsia="zh-CN" w:bidi="ar-EG"/>
        </w:rPr>
        <w:t>لا ترغب الدول الأعضاء لسبب من الأسباب أن تشير إلى القضايا التي أثيرت في قرارات أخرى.</w:t>
      </w:r>
    </w:p>
    <w:p w:rsidR="002E4F0D" w:rsidRPr="002E4F0D" w:rsidRDefault="00204C6C" w:rsidP="00253C35">
      <w:pPr>
        <w:pStyle w:val="enumlev1"/>
        <w:rPr>
          <w:rFonts w:eastAsiaTheme="minorEastAsia"/>
          <w:rtl/>
          <w:lang w:eastAsia="zh-CN" w:bidi="ar-EG"/>
        </w:rPr>
      </w:pPr>
      <w:r>
        <w:rPr>
          <w:rFonts w:eastAsiaTheme="minorEastAsia"/>
          <w:lang w:eastAsia="zh-CN" w:bidi="ar-EG"/>
        </w:rPr>
        <w:t>(</w:t>
      </w:r>
      <w:r w:rsidR="002E4F0D" w:rsidRPr="002E4F0D">
        <w:rPr>
          <w:rFonts w:eastAsiaTheme="minorEastAsia"/>
          <w:lang w:eastAsia="zh-CN" w:bidi="ar-SY"/>
        </w:rPr>
        <w:t>3</w:t>
      </w:r>
      <w:r w:rsidR="002E4F0D" w:rsidRPr="002E4F0D">
        <w:rPr>
          <w:rFonts w:eastAsiaTheme="minorEastAsia"/>
          <w:rtl/>
          <w:lang w:eastAsia="zh-CN" w:bidi="ar-EG"/>
        </w:rPr>
        <w:tab/>
      </w:r>
      <w:r w:rsidR="002E4F0D" w:rsidRPr="002E4F0D">
        <w:rPr>
          <w:rFonts w:eastAsiaTheme="minorEastAsia" w:hint="cs"/>
          <w:rtl/>
          <w:lang w:eastAsia="zh-CN" w:bidi="ar-EG"/>
        </w:rPr>
        <w:t>لا تعير الدول الأعضاء أي أهمية للقضايا التي يتم تناولها في القرارات التي لا يشار إليها.</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وعلى أي حال، يتعين أن يُدرج في التقارير المتعلقة بالأنشطة التشغيلية للقطاعات والأمانة العامة، معلومات عن</w:t>
      </w:r>
      <w:r w:rsidR="00C50041">
        <w:rPr>
          <w:rFonts w:eastAsiaTheme="minorEastAsia" w:hint="cs"/>
          <w:rtl/>
          <w:lang w:eastAsia="zh-CN" w:bidi="ar-EG"/>
        </w:rPr>
        <w:t xml:space="preserve"> التقدم المحرز في</w:t>
      </w:r>
      <w:r w:rsidR="00C50041">
        <w:rPr>
          <w:rFonts w:eastAsiaTheme="minorEastAsia" w:hint="eastAsia"/>
          <w:rtl/>
          <w:lang w:eastAsia="zh-CN" w:bidi="ar-EG"/>
        </w:rPr>
        <w:t> </w:t>
      </w:r>
      <w:r w:rsidRPr="002E4F0D">
        <w:rPr>
          <w:rFonts w:eastAsiaTheme="minorEastAsia" w:hint="cs"/>
          <w:rtl/>
          <w:lang w:eastAsia="zh-CN" w:bidi="ar-EG"/>
        </w:rPr>
        <w:t>تنفيذ قرارات ومقررات مؤتمرات المندوبين المفوضين.</w:t>
      </w:r>
    </w:p>
    <w:p w:rsidR="002E4F0D" w:rsidRPr="002E4F0D" w:rsidRDefault="002E4F0D" w:rsidP="00253C35">
      <w:pPr>
        <w:pStyle w:val="TableNo"/>
        <w:rPr>
          <w:rFonts w:eastAsiaTheme="minorEastAsia"/>
          <w:lang w:eastAsia="zh-CN" w:bidi="ar-SY"/>
        </w:rPr>
      </w:pPr>
      <w:r w:rsidRPr="002E4F0D">
        <w:rPr>
          <w:rFonts w:eastAsiaTheme="minorEastAsia" w:hint="cs"/>
          <w:rtl/>
          <w:lang w:eastAsia="zh-CN" w:bidi="ar-EG"/>
        </w:rPr>
        <w:lastRenderedPageBreak/>
        <w:t xml:space="preserve">الجدول </w:t>
      </w:r>
      <w:r w:rsidRPr="002E4F0D">
        <w:rPr>
          <w:rFonts w:eastAsiaTheme="minorEastAsia"/>
          <w:lang w:eastAsia="zh-CN" w:bidi="ar-SY"/>
        </w:rPr>
        <w:t>1</w:t>
      </w:r>
    </w:p>
    <w:p w:rsidR="002E4F0D" w:rsidRPr="002E4F0D" w:rsidRDefault="002E4F0D" w:rsidP="00253C35">
      <w:pPr>
        <w:pStyle w:val="Tabletitle"/>
        <w:rPr>
          <w:rFonts w:eastAsiaTheme="minorEastAsia"/>
          <w:rtl/>
          <w:lang w:eastAsia="zh-CN" w:bidi="ar-EG"/>
        </w:rPr>
      </w:pPr>
      <w:r w:rsidRPr="002E4F0D">
        <w:rPr>
          <w:rFonts w:eastAsiaTheme="minorEastAsia" w:hint="cs"/>
          <w:rtl/>
          <w:lang w:eastAsia="zh-CN" w:bidi="ar-EG"/>
        </w:rPr>
        <w:t xml:space="preserve">قرارات مؤتمر المندوبين المفوضين لعام </w:t>
      </w:r>
      <w:r w:rsidRPr="002E4F0D">
        <w:rPr>
          <w:rFonts w:eastAsiaTheme="minorEastAsia"/>
          <w:lang w:eastAsia="zh-CN" w:bidi="ar-SY"/>
        </w:rPr>
        <w:t>2014</w:t>
      </w:r>
      <w:r w:rsidRPr="002E4F0D">
        <w:rPr>
          <w:rFonts w:eastAsiaTheme="minorEastAsia" w:hint="cs"/>
          <w:rtl/>
          <w:lang w:eastAsia="zh-CN" w:bidi="ar-EG"/>
        </w:rPr>
        <w:t xml:space="preserve"> المشار إليها في مساهمات الدول الأعضاء</w:t>
      </w:r>
      <w:r w:rsidR="00253C35">
        <w:rPr>
          <w:rFonts w:eastAsiaTheme="minorEastAsia"/>
          <w:rtl/>
          <w:lang w:eastAsia="zh-CN" w:bidi="ar-EG"/>
        </w:rPr>
        <w:br/>
      </w:r>
      <w:r w:rsidRPr="002E4F0D">
        <w:rPr>
          <w:rFonts w:eastAsiaTheme="minorEastAsia" w:hint="cs"/>
          <w:rtl/>
          <w:lang w:eastAsia="zh-CN" w:bidi="ar-EG"/>
        </w:rPr>
        <w:t xml:space="preserve">إلى دورتي المجلس لعامي </w:t>
      </w:r>
      <w:r w:rsidRPr="002E4F0D">
        <w:rPr>
          <w:rFonts w:eastAsiaTheme="minorEastAsia"/>
          <w:lang w:eastAsia="zh-CN" w:bidi="ar-SY"/>
        </w:rPr>
        <w:t>2015</w:t>
      </w:r>
      <w:r w:rsidRPr="002E4F0D">
        <w:rPr>
          <w:rFonts w:eastAsiaTheme="minorEastAsia" w:hint="cs"/>
          <w:rtl/>
          <w:lang w:eastAsia="zh-CN" w:bidi="ar-EG"/>
        </w:rPr>
        <w:t xml:space="preserve"> و</w:t>
      </w:r>
      <w:r w:rsidRPr="002E4F0D">
        <w:rPr>
          <w:rFonts w:eastAsiaTheme="minorEastAsia"/>
          <w:lang w:eastAsia="zh-CN" w:bidi="ar-SY"/>
        </w:rPr>
        <w:t>2016</w:t>
      </w:r>
    </w:p>
    <w:tbl>
      <w:tblPr>
        <w:tblStyle w:val="TableGrid"/>
        <w:bidiVisual/>
        <w:tblW w:w="5000" w:type="pct"/>
        <w:tblLayout w:type="fixed"/>
        <w:tblLook w:val="04A0" w:firstRow="1" w:lastRow="0" w:firstColumn="1" w:lastColumn="0" w:noHBand="0" w:noVBand="1"/>
      </w:tblPr>
      <w:tblGrid>
        <w:gridCol w:w="716"/>
        <w:gridCol w:w="3152"/>
        <w:gridCol w:w="1003"/>
        <w:gridCol w:w="717"/>
        <w:gridCol w:w="3009"/>
        <w:gridCol w:w="1032"/>
      </w:tblGrid>
      <w:tr w:rsidR="002E4F0D" w:rsidRPr="007241D5" w:rsidTr="00C76069">
        <w:tc>
          <w:tcPr>
            <w:tcW w:w="4871" w:type="dxa"/>
            <w:gridSpan w:val="3"/>
            <w:vAlign w:val="center"/>
          </w:tcPr>
          <w:p w:rsidR="002E4F0D" w:rsidRPr="007241D5" w:rsidRDefault="002E4F0D" w:rsidP="00C50041">
            <w:pPr>
              <w:pStyle w:val="Tablehead"/>
              <w:spacing w:after="80"/>
            </w:pPr>
            <w:r w:rsidRPr="004814C5">
              <w:rPr>
                <w:rFonts w:hint="cs"/>
                <w:rtl/>
              </w:rPr>
              <w:t>دورة المجلس لعام</w:t>
            </w:r>
            <w:r>
              <w:rPr>
                <w:rFonts w:hint="cs"/>
                <w:rtl/>
              </w:rPr>
              <w:t xml:space="preserve"> </w:t>
            </w:r>
            <w:r>
              <w:t>2015</w:t>
            </w:r>
          </w:p>
        </w:tc>
        <w:tc>
          <w:tcPr>
            <w:tcW w:w="4758" w:type="dxa"/>
            <w:gridSpan w:val="3"/>
            <w:vAlign w:val="center"/>
          </w:tcPr>
          <w:p w:rsidR="002E4F0D" w:rsidRPr="007241D5" w:rsidRDefault="002E4F0D" w:rsidP="00C50041">
            <w:pPr>
              <w:pStyle w:val="Tablehead"/>
              <w:spacing w:after="80"/>
            </w:pPr>
            <w:r w:rsidRPr="004814C5">
              <w:rPr>
                <w:rFonts w:hint="cs"/>
                <w:rtl/>
              </w:rPr>
              <w:t>دورة المجلس لعام</w:t>
            </w:r>
            <w:r>
              <w:rPr>
                <w:rFonts w:hint="cs"/>
                <w:rtl/>
              </w:rPr>
              <w:t xml:space="preserve"> </w:t>
            </w:r>
            <w:r>
              <w:t>2016</w:t>
            </w:r>
          </w:p>
        </w:tc>
      </w:tr>
      <w:tr w:rsidR="002E4F0D" w:rsidRPr="007F631F" w:rsidTr="0012559D">
        <w:tc>
          <w:tcPr>
            <w:tcW w:w="716" w:type="dxa"/>
            <w:vAlign w:val="center"/>
          </w:tcPr>
          <w:p w:rsidR="002E4F0D" w:rsidRPr="009E598B" w:rsidRDefault="002E4F0D" w:rsidP="00C50041">
            <w:pPr>
              <w:pStyle w:val="Tablehead"/>
              <w:spacing w:after="80"/>
            </w:pPr>
            <w:r w:rsidRPr="009E598B">
              <w:rPr>
                <w:rFonts w:hint="cs"/>
                <w:rtl/>
              </w:rPr>
              <w:t>الرقم</w:t>
            </w:r>
          </w:p>
        </w:tc>
        <w:tc>
          <w:tcPr>
            <w:tcW w:w="3152" w:type="dxa"/>
            <w:vAlign w:val="center"/>
          </w:tcPr>
          <w:p w:rsidR="002E4F0D" w:rsidRPr="007F631F" w:rsidRDefault="002E4F0D" w:rsidP="00C50041">
            <w:pPr>
              <w:pStyle w:val="Tablehead"/>
              <w:spacing w:after="80"/>
            </w:pPr>
            <w:r>
              <w:rPr>
                <w:rFonts w:hint="cs"/>
                <w:rtl/>
              </w:rPr>
              <w:t>قرار مؤتمر المندوبين المفوضين</w:t>
            </w:r>
          </w:p>
        </w:tc>
        <w:tc>
          <w:tcPr>
            <w:tcW w:w="1003" w:type="dxa"/>
            <w:vAlign w:val="center"/>
          </w:tcPr>
          <w:p w:rsidR="002E4F0D" w:rsidRPr="007F631F" w:rsidRDefault="002E4F0D" w:rsidP="00C50041">
            <w:pPr>
              <w:pStyle w:val="Tablehead"/>
              <w:spacing w:after="80"/>
            </w:pPr>
            <w:r>
              <w:rPr>
                <w:rFonts w:hint="cs"/>
                <w:rtl/>
              </w:rPr>
              <w:t>عدد المراجع</w:t>
            </w:r>
          </w:p>
        </w:tc>
        <w:tc>
          <w:tcPr>
            <w:tcW w:w="717" w:type="dxa"/>
            <w:vAlign w:val="center"/>
          </w:tcPr>
          <w:p w:rsidR="002E4F0D" w:rsidRPr="007F631F" w:rsidRDefault="002E4F0D" w:rsidP="00C50041">
            <w:pPr>
              <w:pStyle w:val="Tablehead"/>
              <w:spacing w:after="80"/>
            </w:pPr>
            <w:r w:rsidRPr="009E598B">
              <w:rPr>
                <w:rFonts w:hint="cs"/>
                <w:rtl/>
              </w:rPr>
              <w:t>الرقم</w:t>
            </w:r>
          </w:p>
        </w:tc>
        <w:tc>
          <w:tcPr>
            <w:tcW w:w="3009" w:type="dxa"/>
            <w:vAlign w:val="center"/>
          </w:tcPr>
          <w:p w:rsidR="002E4F0D" w:rsidRPr="007F631F" w:rsidRDefault="002E4F0D" w:rsidP="00C50041">
            <w:pPr>
              <w:pStyle w:val="Tablehead"/>
              <w:spacing w:after="80"/>
            </w:pPr>
            <w:r>
              <w:rPr>
                <w:rFonts w:hint="cs"/>
                <w:rtl/>
              </w:rPr>
              <w:t>قرار مؤتمر المندوبين المفوضين</w:t>
            </w:r>
          </w:p>
        </w:tc>
        <w:tc>
          <w:tcPr>
            <w:tcW w:w="1032" w:type="dxa"/>
            <w:vAlign w:val="center"/>
          </w:tcPr>
          <w:p w:rsidR="002E4F0D" w:rsidRPr="007F631F" w:rsidRDefault="002E4F0D" w:rsidP="00C50041">
            <w:pPr>
              <w:pStyle w:val="Tablehead"/>
              <w:spacing w:after="80"/>
            </w:pPr>
            <w:r>
              <w:rPr>
                <w:rFonts w:hint="cs"/>
                <w:rtl/>
              </w:rPr>
              <w:t>عدد المراجع</w:t>
            </w:r>
          </w:p>
        </w:tc>
      </w:tr>
      <w:tr w:rsidR="00C76069" w:rsidRPr="007F631F" w:rsidTr="00C76069">
        <w:tc>
          <w:tcPr>
            <w:tcW w:w="716" w:type="dxa"/>
          </w:tcPr>
          <w:p w:rsidR="00C76069" w:rsidRPr="00BF70B4" w:rsidRDefault="00C76069" w:rsidP="00C50041">
            <w:pPr>
              <w:pStyle w:val="Tabletext"/>
              <w:bidi w:val="0"/>
              <w:spacing w:after="80"/>
              <w:rPr>
                <w:lang w:val="en-US"/>
              </w:rPr>
            </w:pPr>
            <w:r>
              <w:rPr>
                <w:lang w:val="en-US"/>
              </w:rPr>
              <w:t>1</w:t>
            </w:r>
          </w:p>
        </w:tc>
        <w:tc>
          <w:tcPr>
            <w:tcW w:w="3152" w:type="dxa"/>
          </w:tcPr>
          <w:p w:rsidR="00C76069" w:rsidRPr="007F631F" w:rsidRDefault="00C76069" w:rsidP="00C50041">
            <w:pPr>
              <w:pStyle w:val="Tabletext"/>
              <w:spacing w:after="80"/>
              <w:jc w:val="left"/>
              <w:rPr>
                <w:rFonts w:eastAsia="Calibri"/>
                <w:u w:val="single"/>
                <w:rtl/>
              </w:rPr>
            </w:pPr>
            <w:r>
              <w:rPr>
                <w:rFonts w:eastAsia="Calibri" w:hint="cs"/>
                <w:u w:val="single"/>
                <w:rtl/>
              </w:rPr>
              <w:t xml:space="preserve">القرار </w:t>
            </w:r>
            <w:r>
              <w:rPr>
                <w:rFonts w:eastAsia="Calibri"/>
                <w:u w:val="single"/>
              </w:rPr>
              <w:t>70</w:t>
            </w:r>
            <w:r>
              <w:rPr>
                <w:rFonts w:eastAsia="Calibri" w:hint="cs"/>
                <w:u w:val="single"/>
                <w:rtl/>
              </w:rPr>
              <w:t xml:space="preserve"> (</w:t>
            </w:r>
            <w:r w:rsidR="002056CC">
              <w:rPr>
                <w:rFonts w:eastAsia="Calibri" w:hint="cs"/>
                <w:u w:val="single"/>
                <w:rtl/>
              </w:rPr>
              <w:t>المراجَع</w:t>
            </w:r>
            <w:r>
              <w:rPr>
                <w:rFonts w:eastAsia="Calibri" w:hint="cs"/>
                <w:u w:val="single"/>
                <w:rtl/>
              </w:rPr>
              <w:t xml:space="preserve"> في بوسان، </w:t>
            </w:r>
            <w:r>
              <w:rPr>
                <w:rFonts w:eastAsia="Calibri"/>
                <w:u w:val="single"/>
              </w:rPr>
              <w:t>2014</w:t>
            </w:r>
            <w:r>
              <w:rPr>
                <w:rFonts w:eastAsia="Calibri" w:hint="cs"/>
                <w:u w:val="single"/>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BF70B4" w:rsidRDefault="00C76069" w:rsidP="00C50041">
            <w:pPr>
              <w:pStyle w:val="Tabletext"/>
              <w:bidi w:val="0"/>
              <w:spacing w:after="80"/>
              <w:rPr>
                <w:lang w:val="en-US"/>
              </w:rPr>
            </w:pPr>
            <w:r>
              <w:rPr>
                <w:lang w:val="en-US"/>
              </w:rPr>
              <w:t>1</w:t>
            </w:r>
          </w:p>
        </w:tc>
        <w:tc>
          <w:tcPr>
            <w:tcW w:w="3009" w:type="dxa"/>
          </w:tcPr>
          <w:p w:rsidR="00C76069" w:rsidRPr="007F631F" w:rsidRDefault="00C76069" w:rsidP="00C50041">
            <w:pPr>
              <w:pStyle w:val="Tabletext"/>
              <w:spacing w:after="80"/>
              <w:jc w:val="left"/>
            </w:pPr>
            <w:r>
              <w:rPr>
                <w:rFonts w:eastAsia="Calibri" w:hint="cs"/>
                <w:u w:val="single"/>
                <w:rtl/>
              </w:rPr>
              <w:t xml:space="preserve">القرار </w:t>
            </w:r>
            <w:r>
              <w:rPr>
                <w:rFonts w:eastAsia="Calibri"/>
                <w:u w:val="single"/>
              </w:rPr>
              <w:t>70</w:t>
            </w:r>
            <w:r>
              <w:rPr>
                <w:rFonts w:eastAsia="Calibri" w:hint="cs"/>
                <w:u w:val="single"/>
                <w:rtl/>
              </w:rPr>
              <w:t xml:space="preserve"> (المراج</w:t>
            </w:r>
            <w:r w:rsidR="002056CC">
              <w:rPr>
                <w:rFonts w:eastAsia="Calibri" w:hint="cs"/>
                <w:u w:val="single"/>
                <w:rtl/>
              </w:rPr>
              <w:t>َ</w:t>
            </w:r>
            <w:r>
              <w:rPr>
                <w:rFonts w:eastAsia="Calibri" w:hint="cs"/>
                <w:u w:val="single"/>
                <w:rtl/>
              </w:rPr>
              <w:t xml:space="preserve">ع في بوسان، </w:t>
            </w:r>
            <w:r>
              <w:rPr>
                <w:rFonts w:eastAsia="Calibri"/>
                <w:u w:val="single"/>
              </w:rPr>
              <w:t>2014</w:t>
            </w:r>
            <w:r>
              <w:rPr>
                <w:rFonts w:eastAsia="Calibri" w:hint="cs"/>
                <w:u w:val="single"/>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0C6EBB" w:rsidRDefault="00C76069" w:rsidP="00C50041">
            <w:pPr>
              <w:pStyle w:val="Tabletext"/>
              <w:bidi w:val="0"/>
              <w:spacing w:after="80"/>
              <w:rPr>
                <w:b/>
                <w:bCs/>
              </w:rPr>
            </w:pPr>
            <w:r w:rsidRPr="000C6EBB">
              <w:rPr>
                <w:b/>
                <w:bCs/>
              </w:rPr>
              <w:t>2</w:t>
            </w:r>
          </w:p>
        </w:tc>
        <w:tc>
          <w:tcPr>
            <w:tcW w:w="3152" w:type="dxa"/>
          </w:tcPr>
          <w:p w:rsidR="00C76069" w:rsidRPr="000C6EBB" w:rsidRDefault="00C76069" w:rsidP="00C50041">
            <w:pPr>
              <w:pStyle w:val="Tabletext"/>
              <w:spacing w:after="80"/>
              <w:jc w:val="left"/>
              <w:rPr>
                <w:b/>
                <w:bCs/>
              </w:rPr>
            </w:pPr>
            <w:r w:rsidRPr="000C6EBB">
              <w:rPr>
                <w:rFonts w:eastAsia="Calibri" w:hint="cs"/>
                <w:b/>
                <w:bCs/>
                <w:u w:val="single"/>
                <w:rtl/>
              </w:rPr>
              <w:t xml:space="preserve">القرار </w:t>
            </w:r>
            <w:r w:rsidRPr="000C6EBB">
              <w:rPr>
                <w:rFonts w:eastAsia="Calibri"/>
                <w:b/>
                <w:bCs/>
                <w:u w:val="single"/>
              </w:rPr>
              <w:t>71</w:t>
            </w:r>
            <w:r w:rsidRPr="000C6EBB">
              <w:rPr>
                <w:rFonts w:eastAsia="Calibri" w:hint="cs"/>
                <w:b/>
                <w:bCs/>
                <w:u w:val="single"/>
                <w:rtl/>
              </w:rPr>
              <w:t xml:space="preserve"> (</w:t>
            </w:r>
            <w:r w:rsidR="002056CC">
              <w:rPr>
                <w:rFonts w:eastAsia="Calibri" w:hint="cs"/>
                <w:b/>
                <w:bCs/>
                <w:u w:val="single"/>
                <w:rtl/>
              </w:rPr>
              <w:t>المراجَع</w:t>
            </w:r>
            <w:r w:rsidRPr="000C6EBB">
              <w:rPr>
                <w:rFonts w:eastAsia="Calibri" w:hint="cs"/>
                <w:b/>
                <w:bCs/>
                <w:u w:val="single"/>
                <w:rtl/>
              </w:rPr>
              <w:t xml:space="preserve"> في بوسان، </w:t>
            </w:r>
            <w:r w:rsidRPr="000C6EBB">
              <w:rPr>
                <w:rFonts w:eastAsia="Calibri"/>
                <w:b/>
                <w:bCs/>
                <w:u w:val="single"/>
              </w:rPr>
              <w:t>2014</w:t>
            </w:r>
            <w:r w:rsidRPr="000C6EBB">
              <w:rPr>
                <w:rFonts w:eastAsia="Calibri" w:hint="cs"/>
                <w:b/>
                <w:bCs/>
                <w:u w:val="single"/>
                <w:rtl/>
              </w:rPr>
              <w:t>)</w:t>
            </w:r>
          </w:p>
        </w:tc>
        <w:tc>
          <w:tcPr>
            <w:tcW w:w="1003" w:type="dxa"/>
          </w:tcPr>
          <w:p w:rsidR="00C76069" w:rsidRPr="000C6EBB" w:rsidRDefault="00C76069" w:rsidP="00C50041">
            <w:pPr>
              <w:pStyle w:val="Tabletext"/>
              <w:spacing w:after="80"/>
              <w:rPr>
                <w:b/>
                <w:bCs/>
              </w:rPr>
            </w:pPr>
            <w:r w:rsidRPr="000C6EBB">
              <w:rPr>
                <w:b/>
                <w:bCs/>
              </w:rPr>
              <w:t>4</w:t>
            </w:r>
          </w:p>
        </w:tc>
        <w:tc>
          <w:tcPr>
            <w:tcW w:w="717" w:type="dxa"/>
          </w:tcPr>
          <w:p w:rsidR="00C76069" w:rsidRPr="000C6EBB" w:rsidRDefault="00C76069" w:rsidP="00C50041">
            <w:pPr>
              <w:pStyle w:val="Tabletext"/>
              <w:bidi w:val="0"/>
              <w:spacing w:after="80"/>
              <w:rPr>
                <w:b/>
                <w:bCs/>
              </w:rPr>
            </w:pPr>
            <w:r w:rsidRPr="000C6EBB">
              <w:rPr>
                <w:b/>
                <w:bCs/>
              </w:rPr>
              <w:t>2</w:t>
            </w:r>
          </w:p>
        </w:tc>
        <w:tc>
          <w:tcPr>
            <w:tcW w:w="3009" w:type="dxa"/>
          </w:tcPr>
          <w:p w:rsidR="00C76069" w:rsidRPr="000C6EBB" w:rsidRDefault="00C76069" w:rsidP="00C50041">
            <w:pPr>
              <w:pStyle w:val="Tabletext"/>
              <w:spacing w:after="80"/>
              <w:jc w:val="left"/>
              <w:rPr>
                <w:b/>
                <w:bCs/>
              </w:rPr>
            </w:pPr>
            <w:r w:rsidRPr="000C6EBB">
              <w:rPr>
                <w:rFonts w:eastAsia="Calibri" w:hint="cs"/>
                <w:b/>
                <w:bCs/>
                <w:u w:val="single"/>
                <w:rtl/>
              </w:rPr>
              <w:t xml:space="preserve">القرار </w:t>
            </w:r>
            <w:r w:rsidRPr="000C6EBB">
              <w:rPr>
                <w:rFonts w:eastAsia="Calibri"/>
                <w:b/>
                <w:bCs/>
                <w:u w:val="single"/>
              </w:rPr>
              <w:t>71</w:t>
            </w:r>
            <w:r w:rsidRPr="000C6EBB">
              <w:rPr>
                <w:rFonts w:eastAsia="Calibri" w:hint="cs"/>
                <w:b/>
                <w:bCs/>
                <w:u w:val="single"/>
                <w:rtl/>
              </w:rPr>
              <w:t xml:space="preserve"> (</w:t>
            </w:r>
            <w:r w:rsidR="002056CC">
              <w:rPr>
                <w:rFonts w:eastAsia="Calibri" w:hint="cs"/>
                <w:b/>
                <w:bCs/>
                <w:u w:val="single"/>
                <w:rtl/>
              </w:rPr>
              <w:t>المراجَع</w:t>
            </w:r>
            <w:r w:rsidRPr="000C6EBB">
              <w:rPr>
                <w:rFonts w:eastAsia="Calibri" w:hint="cs"/>
                <w:b/>
                <w:bCs/>
                <w:u w:val="single"/>
                <w:rtl/>
              </w:rPr>
              <w:t xml:space="preserve"> في بوسان، </w:t>
            </w:r>
            <w:r w:rsidRPr="000C6EBB">
              <w:rPr>
                <w:rFonts w:eastAsia="Calibri"/>
                <w:b/>
                <w:bCs/>
                <w:u w:val="single"/>
              </w:rPr>
              <w:t>2014</w:t>
            </w:r>
            <w:r w:rsidRPr="000C6EBB">
              <w:rPr>
                <w:rFonts w:eastAsia="Calibri" w:hint="cs"/>
                <w:b/>
                <w:bCs/>
                <w:u w:val="single"/>
                <w:rtl/>
              </w:rPr>
              <w:t>)</w:t>
            </w:r>
          </w:p>
        </w:tc>
        <w:tc>
          <w:tcPr>
            <w:tcW w:w="1032" w:type="dxa"/>
          </w:tcPr>
          <w:p w:rsidR="00C76069" w:rsidRPr="000C6EBB" w:rsidRDefault="00C76069" w:rsidP="00C50041">
            <w:pPr>
              <w:pStyle w:val="Tabletext"/>
              <w:spacing w:after="80"/>
              <w:rPr>
                <w:b/>
                <w:bCs/>
              </w:rPr>
            </w:pPr>
            <w:r w:rsidRPr="000C6EBB">
              <w:rPr>
                <w:b/>
                <w:bCs/>
              </w:rPr>
              <w:t>2</w:t>
            </w:r>
          </w:p>
        </w:tc>
      </w:tr>
      <w:tr w:rsidR="00C76069" w:rsidRPr="007F631F" w:rsidTr="00C76069">
        <w:tc>
          <w:tcPr>
            <w:tcW w:w="716" w:type="dxa"/>
          </w:tcPr>
          <w:p w:rsidR="00C76069" w:rsidRPr="007F631F" w:rsidRDefault="00C76069" w:rsidP="00C50041">
            <w:pPr>
              <w:pStyle w:val="Tabletext"/>
              <w:bidi w:val="0"/>
              <w:spacing w:after="80"/>
            </w:pPr>
            <w:r>
              <w:t>3</w:t>
            </w:r>
          </w:p>
        </w:tc>
        <w:tc>
          <w:tcPr>
            <w:tcW w:w="3152" w:type="dxa"/>
          </w:tcPr>
          <w:p w:rsidR="00C76069" w:rsidRPr="00447B7F" w:rsidRDefault="00C76069" w:rsidP="00C50041">
            <w:pPr>
              <w:pStyle w:val="Tabletext"/>
              <w:spacing w:after="80"/>
              <w:jc w:val="left"/>
              <w:rPr>
                <w:u w:val="single"/>
              </w:rPr>
            </w:pPr>
            <w:r w:rsidRPr="00447B7F">
              <w:rPr>
                <w:rFonts w:eastAsia="Calibri" w:hint="cs"/>
                <w:u w:val="single"/>
                <w:rtl/>
              </w:rPr>
              <w:t xml:space="preserve">القرار </w:t>
            </w:r>
            <w:r w:rsidRPr="00447B7F">
              <w:rPr>
                <w:rFonts w:eastAsia="Calibri"/>
                <w:u w:val="single"/>
              </w:rPr>
              <w:t>72</w:t>
            </w:r>
            <w:r w:rsidRPr="00447B7F">
              <w:rPr>
                <w:rFonts w:eastAsia="Calibri" w:hint="cs"/>
                <w:u w:val="single"/>
                <w:rtl/>
              </w:rPr>
              <w:t xml:space="preserve"> (</w:t>
            </w:r>
            <w:r w:rsidR="002056CC" w:rsidRPr="00447B7F">
              <w:rPr>
                <w:rFonts w:eastAsia="Calibri" w:hint="cs"/>
                <w:u w:val="single"/>
                <w:rtl/>
              </w:rPr>
              <w:t>المراجَع</w:t>
            </w:r>
            <w:r w:rsidRPr="00447B7F">
              <w:rPr>
                <w:rFonts w:eastAsia="Calibri" w:hint="cs"/>
                <w:u w:val="single"/>
                <w:rtl/>
              </w:rPr>
              <w:t xml:space="preserve"> في بوسان، </w:t>
            </w:r>
            <w:r w:rsidRPr="00447B7F">
              <w:rPr>
                <w:rFonts w:eastAsia="Calibri"/>
                <w:u w:val="single"/>
              </w:rPr>
              <w:t>2014</w:t>
            </w:r>
            <w:r w:rsidRPr="00447B7F">
              <w:rPr>
                <w:rFonts w:eastAsia="Calibri" w:hint="cs"/>
                <w:u w:val="single"/>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3</w:t>
            </w:r>
          </w:p>
        </w:tc>
        <w:tc>
          <w:tcPr>
            <w:tcW w:w="3009" w:type="dxa"/>
          </w:tcPr>
          <w:p w:rsidR="00C76069" w:rsidRPr="007F631F" w:rsidRDefault="00C76069" w:rsidP="00C50041">
            <w:pPr>
              <w:pStyle w:val="Tabletext"/>
              <w:spacing w:after="80"/>
              <w:jc w:val="left"/>
            </w:pPr>
            <w:r>
              <w:rPr>
                <w:rFonts w:eastAsia="Calibri" w:hint="cs"/>
                <w:u w:val="single"/>
                <w:rtl/>
              </w:rPr>
              <w:t xml:space="preserve">القرار </w:t>
            </w:r>
            <w:r>
              <w:rPr>
                <w:rFonts w:eastAsia="Calibri"/>
                <w:u w:val="single"/>
              </w:rPr>
              <w:t>72</w:t>
            </w:r>
            <w:r>
              <w:rPr>
                <w:rFonts w:eastAsia="Calibri" w:hint="cs"/>
                <w:u w:val="single"/>
                <w:rtl/>
              </w:rPr>
              <w:t xml:space="preserve"> (</w:t>
            </w:r>
            <w:r w:rsidR="002056CC">
              <w:rPr>
                <w:rFonts w:eastAsia="Calibri" w:hint="cs"/>
                <w:u w:val="single"/>
                <w:rtl/>
              </w:rPr>
              <w:t>المراجَع</w:t>
            </w:r>
            <w:r>
              <w:rPr>
                <w:rFonts w:eastAsia="Calibri" w:hint="cs"/>
                <w:u w:val="single"/>
                <w:rtl/>
              </w:rPr>
              <w:t xml:space="preserve"> في بوسان، </w:t>
            </w:r>
            <w:r>
              <w:rPr>
                <w:rFonts w:eastAsia="Calibri"/>
                <w:u w:val="single"/>
              </w:rPr>
              <w:t>2014</w:t>
            </w:r>
            <w:r>
              <w:rPr>
                <w:rFonts w:eastAsia="Calibri" w:hint="cs"/>
                <w:u w:val="single"/>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4</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73</w:t>
            </w:r>
            <w:r w:rsidRPr="00AC7784">
              <w:rPr>
                <w:rFonts w:eastAsia="Calibri" w:hint="cs"/>
                <w:rtl/>
              </w:rPr>
              <w:t xml:space="preserve"> (مينيابوليس، </w:t>
            </w:r>
            <w:r w:rsidRPr="00AC7784">
              <w:rPr>
                <w:rFonts w:eastAsia="Calibri"/>
              </w:rPr>
              <w:t>1998</w:t>
            </w:r>
            <w:r w:rsidRPr="00AC7784">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4</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73</w:t>
            </w:r>
            <w:r w:rsidRPr="00AC7784">
              <w:rPr>
                <w:rFonts w:eastAsia="Calibri" w:hint="cs"/>
                <w:rtl/>
              </w:rPr>
              <w:t xml:space="preserve"> (مينيابوليس، </w:t>
            </w:r>
            <w:r w:rsidRPr="00AC7784">
              <w:rPr>
                <w:rFonts w:eastAsia="Calibri"/>
              </w:rPr>
              <w:t>1998</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5</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77</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5</w:t>
            </w:r>
          </w:p>
        </w:tc>
        <w:tc>
          <w:tcPr>
            <w:tcW w:w="3009" w:type="dxa"/>
          </w:tcPr>
          <w:p w:rsidR="00C76069" w:rsidRPr="00C74E95" w:rsidRDefault="00C76069" w:rsidP="00C50041">
            <w:pPr>
              <w:pStyle w:val="Tabletext"/>
              <w:spacing w:after="80"/>
              <w:jc w:val="left"/>
            </w:pPr>
            <w:r w:rsidRPr="00AC7784">
              <w:rPr>
                <w:rFonts w:eastAsia="Calibri" w:hint="cs"/>
                <w:rtl/>
              </w:rPr>
              <w:t xml:space="preserve">القرار </w:t>
            </w:r>
            <w:r w:rsidRPr="00AC7784">
              <w:rPr>
                <w:rFonts w:eastAsia="Calibri"/>
              </w:rPr>
              <w:t>77</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7F631F" w:rsidRDefault="00C76069" w:rsidP="00C50041">
            <w:pPr>
              <w:pStyle w:val="Tabletext"/>
              <w:bidi w:val="0"/>
              <w:spacing w:after="80"/>
            </w:pPr>
            <w:r>
              <w:t>6</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101</w:t>
            </w:r>
            <w:r w:rsidRPr="00AC7784">
              <w:rPr>
                <w:rFonts w:eastAsia="Calibri" w:hint="cs"/>
                <w:rtl/>
              </w:rPr>
              <w:t xml:space="preserve"> (</w:t>
            </w:r>
            <w:r w:rsidR="002056CC">
              <w:rPr>
                <w:rFonts w:eastAsia="Calibri" w:hint="cs"/>
                <w:rtl/>
              </w:rPr>
              <w:t>المراجَع</w:t>
            </w:r>
            <w:r w:rsidRPr="00AC7784">
              <w:rPr>
                <w:rFonts w:eastAsia="Calibri" w:hint="cs"/>
                <w:rtl/>
              </w:rPr>
              <w:t xml:space="preserve"> </w:t>
            </w:r>
            <w:bookmarkStart w:id="1" w:name="_GoBack"/>
            <w:bookmarkEnd w:id="1"/>
            <w:r w:rsidRPr="00AC7784">
              <w:rPr>
                <w:rFonts w:eastAsia="Calibri" w:hint="cs"/>
                <w:rtl/>
              </w:rPr>
              <w:t xml:space="preserve">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6</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101</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0C6EBB" w:rsidRDefault="00C76069" w:rsidP="00C50041">
            <w:pPr>
              <w:pStyle w:val="Tabletext"/>
              <w:bidi w:val="0"/>
              <w:spacing w:after="80"/>
              <w:rPr>
                <w:b/>
                <w:bCs/>
              </w:rPr>
            </w:pPr>
            <w:r w:rsidRPr="000C6EBB">
              <w:rPr>
                <w:b/>
                <w:bCs/>
              </w:rPr>
              <w:t>7</w:t>
            </w:r>
          </w:p>
        </w:tc>
        <w:tc>
          <w:tcPr>
            <w:tcW w:w="3152"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102</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03" w:type="dxa"/>
          </w:tcPr>
          <w:p w:rsidR="00C76069" w:rsidRPr="000C6EBB" w:rsidRDefault="00C76069" w:rsidP="00C50041">
            <w:pPr>
              <w:pStyle w:val="Tabletext"/>
              <w:spacing w:after="80"/>
              <w:rPr>
                <w:b/>
                <w:bCs/>
              </w:rPr>
            </w:pPr>
            <w:r w:rsidRPr="000C6EBB">
              <w:rPr>
                <w:b/>
                <w:bCs/>
              </w:rPr>
              <w:t>4</w:t>
            </w:r>
          </w:p>
        </w:tc>
        <w:tc>
          <w:tcPr>
            <w:tcW w:w="717" w:type="dxa"/>
          </w:tcPr>
          <w:p w:rsidR="00C76069" w:rsidRPr="000C6EBB" w:rsidRDefault="00C76069" w:rsidP="00C50041">
            <w:pPr>
              <w:pStyle w:val="Tabletext"/>
              <w:bidi w:val="0"/>
              <w:spacing w:after="80"/>
              <w:rPr>
                <w:b/>
                <w:bCs/>
              </w:rPr>
            </w:pPr>
            <w:r w:rsidRPr="000C6EBB">
              <w:rPr>
                <w:b/>
                <w:bCs/>
              </w:rPr>
              <w:t>7</w:t>
            </w:r>
          </w:p>
        </w:tc>
        <w:tc>
          <w:tcPr>
            <w:tcW w:w="3009"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102</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32" w:type="dxa"/>
          </w:tcPr>
          <w:p w:rsidR="00C76069" w:rsidRPr="000C6EBB" w:rsidRDefault="00C76069" w:rsidP="00C50041">
            <w:pPr>
              <w:pStyle w:val="Tabletext"/>
              <w:spacing w:after="80"/>
              <w:rPr>
                <w:b/>
                <w:bCs/>
              </w:rPr>
            </w:pPr>
            <w:r w:rsidRPr="000C6EBB">
              <w:rPr>
                <w:b/>
                <w:bCs/>
              </w:rPr>
              <w:t>3</w:t>
            </w:r>
          </w:p>
        </w:tc>
      </w:tr>
      <w:tr w:rsidR="00C76069" w:rsidRPr="007F631F" w:rsidTr="00C76069">
        <w:tc>
          <w:tcPr>
            <w:tcW w:w="716" w:type="dxa"/>
          </w:tcPr>
          <w:p w:rsidR="00C76069" w:rsidRPr="000C6EBB" w:rsidRDefault="00C76069" w:rsidP="00C50041">
            <w:pPr>
              <w:pStyle w:val="Tabletext"/>
              <w:bidi w:val="0"/>
              <w:spacing w:after="80"/>
              <w:rPr>
                <w:b/>
                <w:bCs/>
              </w:rPr>
            </w:pPr>
            <w:r w:rsidRPr="000C6EBB">
              <w:rPr>
                <w:b/>
                <w:bCs/>
              </w:rPr>
              <w:t>8</w:t>
            </w:r>
          </w:p>
        </w:tc>
        <w:tc>
          <w:tcPr>
            <w:tcW w:w="3152"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140</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03" w:type="dxa"/>
          </w:tcPr>
          <w:p w:rsidR="00C76069" w:rsidRPr="000C6EBB" w:rsidRDefault="00C76069" w:rsidP="00C50041">
            <w:pPr>
              <w:pStyle w:val="Tabletext"/>
              <w:spacing w:after="80"/>
              <w:rPr>
                <w:b/>
                <w:bCs/>
              </w:rPr>
            </w:pPr>
            <w:r w:rsidRPr="000C6EBB">
              <w:rPr>
                <w:b/>
                <w:bCs/>
              </w:rPr>
              <w:t>3</w:t>
            </w:r>
          </w:p>
        </w:tc>
        <w:tc>
          <w:tcPr>
            <w:tcW w:w="717" w:type="dxa"/>
          </w:tcPr>
          <w:p w:rsidR="00C76069" w:rsidRPr="000C6EBB" w:rsidRDefault="00C76069" w:rsidP="00C50041">
            <w:pPr>
              <w:pStyle w:val="Tabletext"/>
              <w:bidi w:val="0"/>
              <w:spacing w:after="80"/>
              <w:rPr>
                <w:b/>
                <w:bCs/>
              </w:rPr>
            </w:pPr>
            <w:r w:rsidRPr="000C6EBB">
              <w:rPr>
                <w:b/>
                <w:bCs/>
              </w:rPr>
              <w:t>8</w:t>
            </w:r>
          </w:p>
        </w:tc>
        <w:tc>
          <w:tcPr>
            <w:tcW w:w="3009"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140</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32" w:type="dxa"/>
          </w:tcPr>
          <w:p w:rsidR="00C76069" w:rsidRPr="000C6EBB" w:rsidRDefault="00C76069" w:rsidP="00C50041">
            <w:pPr>
              <w:pStyle w:val="Tabletext"/>
              <w:spacing w:after="80"/>
              <w:rPr>
                <w:b/>
                <w:bCs/>
              </w:rPr>
            </w:pPr>
            <w:r w:rsidRPr="000C6EBB">
              <w:rPr>
                <w:b/>
                <w:bCs/>
              </w:rPr>
              <w:t>3</w:t>
            </w:r>
          </w:p>
        </w:tc>
      </w:tr>
      <w:tr w:rsidR="00C76069" w:rsidRPr="007F631F" w:rsidTr="00C76069">
        <w:tc>
          <w:tcPr>
            <w:tcW w:w="716" w:type="dxa"/>
          </w:tcPr>
          <w:p w:rsidR="00C76069" w:rsidRPr="007F631F" w:rsidRDefault="00C76069" w:rsidP="00C50041">
            <w:pPr>
              <w:pStyle w:val="Tabletext"/>
              <w:bidi w:val="0"/>
              <w:spacing w:after="80"/>
            </w:pPr>
            <w:r>
              <w:t>9</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146</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9</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146</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10</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151</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10</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151</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11</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154</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11</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154</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12</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158</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12</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158</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13</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162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13</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162</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14</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165</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14</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165</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7F631F" w:rsidRDefault="00C76069" w:rsidP="00C50041">
            <w:pPr>
              <w:pStyle w:val="Tabletext"/>
              <w:bidi w:val="0"/>
              <w:spacing w:after="80"/>
            </w:pPr>
            <w:r>
              <w:t>15</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169</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15</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169</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16</w:t>
            </w:r>
          </w:p>
        </w:tc>
        <w:tc>
          <w:tcPr>
            <w:tcW w:w="3152" w:type="dxa"/>
          </w:tcPr>
          <w:p w:rsidR="00C76069" w:rsidRPr="00ED34C9" w:rsidRDefault="00C76069" w:rsidP="00C50041">
            <w:pPr>
              <w:pStyle w:val="Tabletext"/>
              <w:spacing w:after="80"/>
              <w:jc w:val="left"/>
              <w:rPr>
                <w:rtl/>
              </w:rPr>
            </w:pPr>
            <w:r w:rsidRPr="00ED34C9">
              <w:rPr>
                <w:rFonts w:eastAsia="Calibri" w:hint="cs"/>
                <w:rtl/>
              </w:rPr>
              <w:t xml:space="preserve">القرار </w:t>
            </w:r>
            <w:r w:rsidRPr="00ED34C9">
              <w:rPr>
                <w:rFonts w:eastAsia="Calibri"/>
              </w:rPr>
              <w:t>171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16</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171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rPr>
          <w:trHeight w:val="340"/>
        </w:trPr>
        <w:tc>
          <w:tcPr>
            <w:tcW w:w="716" w:type="dxa"/>
          </w:tcPr>
          <w:p w:rsidR="00C76069" w:rsidRPr="007F631F" w:rsidRDefault="00C76069" w:rsidP="00C50041">
            <w:pPr>
              <w:pStyle w:val="Tabletext"/>
              <w:bidi w:val="0"/>
              <w:spacing w:after="80"/>
            </w:pPr>
            <w:r>
              <w:t>17</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172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17</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172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rPr>
          <w:trHeight w:val="416"/>
        </w:trPr>
        <w:tc>
          <w:tcPr>
            <w:tcW w:w="716" w:type="dxa"/>
          </w:tcPr>
          <w:p w:rsidR="00C76069" w:rsidRPr="007F631F" w:rsidRDefault="00C76069" w:rsidP="00C50041">
            <w:pPr>
              <w:pStyle w:val="Tabletext"/>
              <w:bidi w:val="0"/>
              <w:spacing w:after="80"/>
            </w:pPr>
            <w:r>
              <w:t>18</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175</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18</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175</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rPr>
          <w:trHeight w:val="280"/>
        </w:trPr>
        <w:tc>
          <w:tcPr>
            <w:tcW w:w="716" w:type="dxa"/>
          </w:tcPr>
          <w:p w:rsidR="00C76069" w:rsidRPr="007F631F" w:rsidRDefault="00C76069" w:rsidP="00C50041">
            <w:pPr>
              <w:pStyle w:val="Tabletext"/>
              <w:bidi w:val="0"/>
              <w:spacing w:after="80"/>
            </w:pPr>
            <w:r>
              <w:t>19</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187</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19</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187</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rPr>
          <w:trHeight w:val="272"/>
        </w:trPr>
        <w:tc>
          <w:tcPr>
            <w:tcW w:w="716" w:type="dxa"/>
          </w:tcPr>
          <w:p w:rsidR="00C76069" w:rsidRPr="007F631F" w:rsidRDefault="00C76069" w:rsidP="00C50041">
            <w:pPr>
              <w:pStyle w:val="Tabletext"/>
              <w:bidi w:val="0"/>
              <w:spacing w:after="80"/>
            </w:pPr>
            <w:r>
              <w:t>20</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188</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20</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188</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7F631F" w:rsidRDefault="00C76069" w:rsidP="00C50041">
            <w:pPr>
              <w:pStyle w:val="Tabletext"/>
              <w:bidi w:val="0"/>
              <w:spacing w:after="80"/>
            </w:pPr>
            <w:r>
              <w:t>21</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192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21</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192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22</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194</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22</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194</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23</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198</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23</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198</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24</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200</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3</w:t>
            </w:r>
          </w:p>
        </w:tc>
        <w:tc>
          <w:tcPr>
            <w:tcW w:w="717" w:type="dxa"/>
          </w:tcPr>
          <w:p w:rsidR="00C76069" w:rsidRPr="007F631F" w:rsidRDefault="00C76069" w:rsidP="00C50041">
            <w:pPr>
              <w:pStyle w:val="Tabletext"/>
              <w:bidi w:val="0"/>
              <w:spacing w:after="80"/>
            </w:pPr>
            <w:r>
              <w:t>24</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200</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1D47AD" w:rsidTr="00C76069">
        <w:tc>
          <w:tcPr>
            <w:tcW w:w="716" w:type="dxa"/>
          </w:tcPr>
          <w:p w:rsidR="00C76069" w:rsidRPr="000C6EBB" w:rsidRDefault="00C76069" w:rsidP="00C50041">
            <w:pPr>
              <w:pStyle w:val="Tabletext"/>
              <w:bidi w:val="0"/>
              <w:spacing w:after="80"/>
              <w:rPr>
                <w:b/>
                <w:bCs/>
              </w:rPr>
            </w:pPr>
            <w:r w:rsidRPr="000C6EBB">
              <w:rPr>
                <w:b/>
                <w:bCs/>
              </w:rPr>
              <w:t>25</w:t>
            </w:r>
          </w:p>
        </w:tc>
        <w:tc>
          <w:tcPr>
            <w:tcW w:w="3152" w:type="dxa"/>
          </w:tcPr>
          <w:p w:rsidR="00C76069" w:rsidRPr="000C6EBB" w:rsidRDefault="00C76069" w:rsidP="00C50041">
            <w:pPr>
              <w:pStyle w:val="Tabletext"/>
              <w:spacing w:after="80"/>
              <w:jc w:val="left"/>
              <w:rPr>
                <w:b/>
                <w:bCs/>
                <w:lang w:val="ru-RU"/>
              </w:rPr>
            </w:pPr>
            <w:r w:rsidRPr="000C6EBB">
              <w:rPr>
                <w:rFonts w:eastAsia="Calibri" w:hint="cs"/>
                <w:b/>
                <w:bCs/>
                <w:rtl/>
              </w:rPr>
              <w:t xml:space="preserve">المقرر </w:t>
            </w:r>
            <w:r w:rsidRPr="000C6EBB">
              <w:rPr>
                <w:rFonts w:eastAsia="Calibri"/>
                <w:b/>
                <w:bCs/>
              </w:rPr>
              <w:t>5</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03" w:type="dxa"/>
          </w:tcPr>
          <w:p w:rsidR="00C76069" w:rsidRPr="000C6EBB" w:rsidRDefault="00C76069" w:rsidP="00C50041">
            <w:pPr>
              <w:pStyle w:val="Tabletext"/>
              <w:spacing w:after="80"/>
              <w:rPr>
                <w:b/>
                <w:bCs/>
              </w:rPr>
            </w:pPr>
            <w:r w:rsidRPr="000C6EBB">
              <w:rPr>
                <w:rFonts w:hint="cs"/>
                <w:b/>
                <w:bCs/>
                <w:rtl/>
                <w:lang w:val="fr-CH"/>
              </w:rPr>
              <w:t xml:space="preserve">أكثر من </w:t>
            </w:r>
            <w:r w:rsidRPr="000C6EBB">
              <w:rPr>
                <w:b/>
                <w:bCs/>
              </w:rPr>
              <w:t>4</w:t>
            </w:r>
          </w:p>
        </w:tc>
        <w:tc>
          <w:tcPr>
            <w:tcW w:w="717" w:type="dxa"/>
          </w:tcPr>
          <w:p w:rsidR="00C76069" w:rsidRPr="000C6EBB" w:rsidRDefault="00C76069" w:rsidP="00C50041">
            <w:pPr>
              <w:pStyle w:val="Tabletext"/>
              <w:bidi w:val="0"/>
              <w:spacing w:after="80"/>
              <w:rPr>
                <w:b/>
                <w:bCs/>
              </w:rPr>
            </w:pPr>
            <w:r w:rsidRPr="000C6EBB">
              <w:rPr>
                <w:b/>
                <w:bCs/>
              </w:rPr>
              <w:t>25</w:t>
            </w:r>
          </w:p>
        </w:tc>
        <w:tc>
          <w:tcPr>
            <w:tcW w:w="3009" w:type="dxa"/>
          </w:tcPr>
          <w:p w:rsidR="00C76069" w:rsidRPr="000C6EBB" w:rsidRDefault="00C76069" w:rsidP="00C50041">
            <w:pPr>
              <w:pStyle w:val="Tabletext"/>
              <w:spacing w:after="80"/>
              <w:jc w:val="left"/>
              <w:rPr>
                <w:b/>
                <w:bCs/>
                <w:lang w:val="ru-RU"/>
              </w:rPr>
            </w:pPr>
            <w:r w:rsidRPr="000C6EBB">
              <w:rPr>
                <w:rFonts w:eastAsia="Calibri" w:hint="cs"/>
                <w:b/>
                <w:bCs/>
                <w:rtl/>
              </w:rPr>
              <w:t xml:space="preserve">المقرر </w:t>
            </w:r>
            <w:r w:rsidRPr="000C6EBB">
              <w:rPr>
                <w:rFonts w:eastAsia="Calibri"/>
                <w:b/>
                <w:bCs/>
              </w:rPr>
              <w:t>5</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32" w:type="dxa"/>
          </w:tcPr>
          <w:p w:rsidR="00C76069" w:rsidRPr="000C6EBB" w:rsidRDefault="00C76069" w:rsidP="00C50041">
            <w:pPr>
              <w:pStyle w:val="Tabletext"/>
              <w:spacing w:after="80"/>
              <w:rPr>
                <w:b/>
                <w:bCs/>
                <w:lang w:val="ru-RU"/>
              </w:rPr>
            </w:pPr>
            <w:r w:rsidRPr="000C6EBB">
              <w:rPr>
                <w:b/>
                <w:bCs/>
                <w:lang w:val="ru-RU"/>
              </w:rPr>
              <w:t>1</w:t>
            </w:r>
          </w:p>
        </w:tc>
      </w:tr>
      <w:tr w:rsidR="00C76069" w:rsidRPr="001D47AD" w:rsidTr="00C76069">
        <w:tc>
          <w:tcPr>
            <w:tcW w:w="716" w:type="dxa"/>
          </w:tcPr>
          <w:p w:rsidR="00C76069" w:rsidRPr="00BF70B4" w:rsidRDefault="00C76069" w:rsidP="00C50041">
            <w:pPr>
              <w:pStyle w:val="Tabletext"/>
              <w:bidi w:val="0"/>
              <w:spacing w:after="80"/>
              <w:rPr>
                <w:lang w:val="en-US"/>
              </w:rPr>
            </w:pPr>
            <w:r>
              <w:rPr>
                <w:lang w:val="en-US"/>
              </w:rPr>
              <w:t>26</w:t>
            </w:r>
          </w:p>
        </w:tc>
        <w:tc>
          <w:tcPr>
            <w:tcW w:w="3152" w:type="dxa"/>
          </w:tcPr>
          <w:p w:rsidR="00C76069" w:rsidRPr="00ED34C9" w:rsidRDefault="00C76069" w:rsidP="00C50041">
            <w:pPr>
              <w:pStyle w:val="Tabletext"/>
              <w:spacing w:after="80"/>
              <w:jc w:val="left"/>
              <w:rPr>
                <w:lang w:val="ru-RU"/>
              </w:rPr>
            </w:pPr>
            <w:r w:rsidRPr="00ED34C9">
              <w:rPr>
                <w:rFonts w:eastAsia="Calibri" w:hint="cs"/>
                <w:rtl/>
              </w:rPr>
              <w:t xml:space="preserve">المقرر </w:t>
            </w:r>
            <w:r w:rsidRPr="00ED34C9">
              <w:rPr>
                <w:rFonts w:eastAsia="Calibri"/>
              </w:rPr>
              <w:t>11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1D47AD" w:rsidRDefault="00C76069" w:rsidP="00C50041">
            <w:pPr>
              <w:pStyle w:val="Tabletext"/>
              <w:spacing w:after="80"/>
              <w:rPr>
                <w:lang w:val="ru-RU"/>
              </w:rPr>
            </w:pPr>
            <w:r w:rsidRPr="001D47AD">
              <w:rPr>
                <w:lang w:val="ru-RU"/>
              </w:rPr>
              <w:t>1</w:t>
            </w:r>
          </w:p>
        </w:tc>
        <w:tc>
          <w:tcPr>
            <w:tcW w:w="717" w:type="dxa"/>
          </w:tcPr>
          <w:p w:rsidR="00C76069" w:rsidRPr="00BF70B4" w:rsidRDefault="00C76069" w:rsidP="00C50041">
            <w:pPr>
              <w:pStyle w:val="Tabletext"/>
              <w:bidi w:val="0"/>
              <w:spacing w:after="80"/>
              <w:rPr>
                <w:lang w:val="en-US"/>
              </w:rPr>
            </w:pPr>
            <w:r>
              <w:rPr>
                <w:lang w:val="en-US"/>
              </w:rPr>
              <w:t>26</w:t>
            </w:r>
          </w:p>
        </w:tc>
        <w:tc>
          <w:tcPr>
            <w:tcW w:w="3009" w:type="dxa"/>
          </w:tcPr>
          <w:p w:rsidR="00C76069" w:rsidRPr="001D47AD" w:rsidRDefault="00C76069" w:rsidP="00C50041">
            <w:pPr>
              <w:pStyle w:val="Tabletext"/>
              <w:spacing w:after="80"/>
              <w:jc w:val="left"/>
              <w:rPr>
                <w:lang w:val="ru-RU"/>
              </w:rPr>
            </w:pPr>
            <w:r w:rsidRPr="00ED34C9">
              <w:rPr>
                <w:rFonts w:eastAsia="Calibri" w:hint="cs"/>
                <w:rtl/>
              </w:rPr>
              <w:t xml:space="preserve">المقرر </w:t>
            </w:r>
            <w:r w:rsidRPr="00ED34C9">
              <w:rPr>
                <w:rFonts w:eastAsia="Calibri"/>
              </w:rPr>
              <w:t>11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1D47AD" w:rsidRDefault="00C76069" w:rsidP="00C50041">
            <w:pPr>
              <w:pStyle w:val="Tabletext"/>
              <w:spacing w:after="80"/>
              <w:rPr>
                <w:lang w:val="ru-RU"/>
              </w:rPr>
            </w:pPr>
            <w:r w:rsidRPr="001D47AD">
              <w:rPr>
                <w:lang w:val="ru-RU"/>
              </w:rPr>
              <w:t>-</w:t>
            </w:r>
          </w:p>
        </w:tc>
      </w:tr>
      <w:tr w:rsidR="002E4F0D" w:rsidRPr="007F631F" w:rsidTr="00C76069">
        <w:tc>
          <w:tcPr>
            <w:tcW w:w="716" w:type="dxa"/>
          </w:tcPr>
          <w:p w:rsidR="002E4F0D" w:rsidRPr="00C76069" w:rsidRDefault="002E4F0D" w:rsidP="00C50041">
            <w:pPr>
              <w:spacing w:before="60" w:after="80"/>
              <w:rPr>
                <w:lang w:bidi="ar-EG"/>
              </w:rPr>
            </w:pPr>
          </w:p>
        </w:tc>
        <w:tc>
          <w:tcPr>
            <w:tcW w:w="3152" w:type="dxa"/>
          </w:tcPr>
          <w:p w:rsidR="002E4F0D" w:rsidRPr="00E34573" w:rsidRDefault="002E4F0D" w:rsidP="00842698">
            <w:pPr>
              <w:pStyle w:val="Tabletext"/>
              <w:spacing w:after="80"/>
              <w:jc w:val="left"/>
              <w:rPr>
                <w:rtl/>
              </w:rPr>
            </w:pPr>
            <w:r>
              <w:rPr>
                <w:rFonts w:hint="cs"/>
                <w:rtl/>
              </w:rPr>
              <w:t>عدد قرارات مؤتمر المندوبين المفوضين لعام</w:t>
            </w:r>
            <w:r w:rsidR="00842698">
              <w:rPr>
                <w:rFonts w:hint="eastAsia"/>
                <w:rtl/>
              </w:rPr>
              <w:t> </w:t>
            </w:r>
            <w:r>
              <w:t>2014</w:t>
            </w:r>
            <w:r>
              <w:rPr>
                <w:rFonts w:hint="cs"/>
                <w:rtl/>
              </w:rPr>
              <w:t xml:space="preserve"> المشار إليها في مساهمات الدول الأعضاء إلى المجلس</w:t>
            </w:r>
          </w:p>
        </w:tc>
        <w:tc>
          <w:tcPr>
            <w:tcW w:w="1003" w:type="dxa"/>
          </w:tcPr>
          <w:p w:rsidR="002E4F0D" w:rsidRPr="007F631F" w:rsidRDefault="002E4F0D" w:rsidP="00C50041">
            <w:pPr>
              <w:pStyle w:val="Tabletext"/>
              <w:spacing w:after="80"/>
              <w:rPr>
                <w:b/>
              </w:rPr>
            </w:pPr>
            <w:r w:rsidRPr="007F631F">
              <w:rPr>
                <w:b/>
              </w:rPr>
              <w:t>18</w:t>
            </w:r>
          </w:p>
        </w:tc>
        <w:tc>
          <w:tcPr>
            <w:tcW w:w="717" w:type="dxa"/>
          </w:tcPr>
          <w:p w:rsidR="002E4F0D" w:rsidRPr="007F631F" w:rsidRDefault="002E4F0D" w:rsidP="00C50041">
            <w:pPr>
              <w:pStyle w:val="Tabletext"/>
              <w:spacing w:after="80"/>
              <w:jc w:val="left"/>
            </w:pPr>
          </w:p>
        </w:tc>
        <w:tc>
          <w:tcPr>
            <w:tcW w:w="3009" w:type="dxa"/>
          </w:tcPr>
          <w:p w:rsidR="002E4F0D" w:rsidRPr="00117C85" w:rsidRDefault="002E4F0D" w:rsidP="000E1536">
            <w:pPr>
              <w:pStyle w:val="Tabletext"/>
              <w:spacing w:after="80"/>
              <w:jc w:val="left"/>
            </w:pPr>
            <w:r>
              <w:rPr>
                <w:rFonts w:hint="cs"/>
                <w:rtl/>
              </w:rPr>
              <w:t>عدد قرارات مؤتمر المندوبين المفوضين لعام</w:t>
            </w:r>
            <w:r w:rsidR="000E1536">
              <w:rPr>
                <w:rFonts w:hint="eastAsia"/>
                <w:rtl/>
              </w:rPr>
              <w:t> </w:t>
            </w:r>
            <w:r>
              <w:t>2014</w:t>
            </w:r>
            <w:r>
              <w:rPr>
                <w:rFonts w:hint="cs"/>
                <w:rtl/>
              </w:rPr>
              <w:t xml:space="preserve"> المذكورة في مساهمات الدول الأعضاء إلى المجلس</w:t>
            </w:r>
          </w:p>
        </w:tc>
        <w:tc>
          <w:tcPr>
            <w:tcW w:w="1032" w:type="dxa"/>
          </w:tcPr>
          <w:p w:rsidR="002E4F0D" w:rsidRPr="007F631F" w:rsidRDefault="002E4F0D" w:rsidP="00C50041">
            <w:pPr>
              <w:pStyle w:val="Tabletext"/>
              <w:spacing w:after="80"/>
              <w:rPr>
                <w:b/>
              </w:rPr>
            </w:pPr>
            <w:r w:rsidRPr="007F631F">
              <w:rPr>
                <w:b/>
              </w:rPr>
              <w:t>16</w:t>
            </w:r>
          </w:p>
        </w:tc>
      </w:tr>
    </w:tbl>
    <w:p w:rsidR="002E4F0D" w:rsidRPr="002E4F0D" w:rsidRDefault="002E4F0D" w:rsidP="00C76069">
      <w:pPr>
        <w:pStyle w:val="Heading2"/>
        <w:rPr>
          <w:rtl/>
        </w:rPr>
      </w:pPr>
      <w:r w:rsidRPr="002E4F0D">
        <w:lastRenderedPageBreak/>
        <w:t>2.2</w:t>
      </w:r>
      <w:r w:rsidRPr="002E4F0D">
        <w:rPr>
          <w:rtl/>
        </w:rPr>
        <w:tab/>
      </w:r>
      <w:r w:rsidRPr="002E4F0D">
        <w:rPr>
          <w:rFonts w:hint="cs"/>
          <w:rtl/>
        </w:rPr>
        <w:t>العلاقة بين مؤشرات تقارير الأنشطة وقرارات مؤتمرات المندوبين المفوضين ومقرراتها</w:t>
      </w:r>
    </w:p>
    <w:p w:rsidR="002E4F0D" w:rsidRPr="002E4F0D" w:rsidRDefault="002E4F0D" w:rsidP="002E4F0D">
      <w:pPr>
        <w:tabs>
          <w:tab w:val="clear" w:pos="794"/>
          <w:tab w:val="left" w:pos="1134"/>
        </w:tabs>
        <w:rPr>
          <w:rtl/>
          <w:lang w:bidi="ar-EG"/>
        </w:rPr>
      </w:pPr>
      <w:r w:rsidRPr="002E4F0D">
        <w:rPr>
          <w:rFonts w:hint="cs"/>
          <w:rtl/>
          <w:lang w:bidi="ar-EG"/>
        </w:rPr>
        <w:t xml:space="preserve">استُعرضت تقارير الأنشطة المقدمة إلى دورتي المجلس لعامي </w:t>
      </w:r>
      <w:r w:rsidRPr="002E4F0D">
        <w:rPr>
          <w:lang w:bidi="ar-EG"/>
        </w:rPr>
        <w:t>2015</w:t>
      </w:r>
      <w:r w:rsidRPr="002E4F0D">
        <w:rPr>
          <w:rFonts w:hint="cs"/>
          <w:rtl/>
          <w:lang w:bidi="ar-EG"/>
        </w:rPr>
        <w:t xml:space="preserve"> و</w:t>
      </w:r>
      <w:r w:rsidRPr="002E4F0D">
        <w:rPr>
          <w:lang w:bidi="ar-EG"/>
        </w:rPr>
        <w:t>2016</w:t>
      </w:r>
      <w:r w:rsidRPr="002E4F0D">
        <w:rPr>
          <w:rFonts w:hint="cs"/>
          <w:rtl/>
          <w:lang w:bidi="ar-EG"/>
        </w:rPr>
        <w:t>.</w:t>
      </w:r>
    </w:p>
    <w:p w:rsidR="002E4F0D" w:rsidRPr="002E4F0D" w:rsidRDefault="002E4F0D" w:rsidP="002E6603">
      <w:pPr>
        <w:tabs>
          <w:tab w:val="clear" w:pos="794"/>
          <w:tab w:val="left" w:pos="1134"/>
        </w:tabs>
        <w:rPr>
          <w:rtl/>
          <w:lang w:bidi="ar-EG"/>
        </w:rPr>
      </w:pPr>
      <w:r w:rsidRPr="002E4F0D">
        <w:rPr>
          <w:rFonts w:hint="cs"/>
          <w:rtl/>
          <w:lang w:bidi="ar-EG"/>
        </w:rPr>
        <w:t xml:space="preserve">في الوثيقة </w:t>
      </w:r>
      <w:r w:rsidRPr="002E4F0D">
        <w:rPr>
          <w:lang w:bidi="ar-EG"/>
        </w:rPr>
        <w:t>C15/35</w:t>
      </w:r>
      <w:r w:rsidRPr="002E4F0D">
        <w:rPr>
          <w:rFonts w:hint="cs"/>
          <w:rtl/>
          <w:lang w:bidi="ar-EG"/>
        </w:rPr>
        <w:t xml:space="preserve"> </w:t>
      </w:r>
      <w:r w:rsidRPr="00C50041">
        <w:rPr>
          <w:rFonts w:hint="cs"/>
          <w:i/>
          <w:iCs/>
          <w:rtl/>
        </w:rPr>
        <w:t>(</w:t>
      </w:r>
      <w:r w:rsidRPr="00C50041">
        <w:rPr>
          <w:i/>
          <w:iCs/>
          <w:rtl/>
        </w:rPr>
        <w:t xml:space="preserve">تقرير </w:t>
      </w:r>
      <w:r w:rsidRPr="00C50041">
        <w:rPr>
          <w:rFonts w:hint="cs"/>
          <w:i/>
          <w:iCs/>
          <w:rtl/>
        </w:rPr>
        <w:t xml:space="preserve">المجلس </w:t>
      </w:r>
      <w:r w:rsidRPr="00C50041">
        <w:rPr>
          <w:i/>
          <w:iCs/>
          <w:rtl/>
        </w:rPr>
        <w:t>عن تنفيذ الخطة الاستراتيجية للاتحاد وعن أنشطة الاتحاد</w:t>
      </w:r>
      <w:r w:rsidRPr="00C50041">
        <w:rPr>
          <w:rFonts w:hint="cs"/>
          <w:i/>
          <w:iCs/>
          <w:rtl/>
        </w:rPr>
        <w:t>)</w:t>
      </w:r>
      <w:r w:rsidRPr="002E4F0D">
        <w:rPr>
          <w:rFonts w:hint="cs"/>
          <w:rtl/>
        </w:rPr>
        <w:t>، توجد بطبيعة الحال إشارة بصفة عامة إلى القرار</w:t>
      </w:r>
      <w:r w:rsidR="00FE05F8">
        <w:rPr>
          <w:rFonts w:hint="eastAsia"/>
          <w:rtl/>
        </w:rPr>
        <w:t> </w:t>
      </w:r>
      <w:r w:rsidRPr="002E4F0D">
        <w:rPr>
          <w:lang w:bidi="ar-EG"/>
        </w:rPr>
        <w:t>71</w:t>
      </w:r>
      <w:r w:rsidRPr="002E4F0D">
        <w:rPr>
          <w:rFonts w:hint="cs"/>
          <w:rtl/>
          <w:lang w:bidi="ar-EG"/>
        </w:rPr>
        <w:t xml:space="preserve"> بدون الربط بين الأهداف والأنشطة وقرارات مؤتمرات المندوبين المفوضين ومقرراتها. وفي الجزء العام من التقرير الذي يقدم البيانات بحسب القطاعات والأهداف المحققة في القطاعات،</w:t>
      </w:r>
      <w:r w:rsidR="002E6603">
        <w:rPr>
          <w:rFonts w:hint="cs"/>
          <w:rtl/>
          <w:lang w:bidi="ar-EG"/>
        </w:rPr>
        <w:t xml:space="preserve"> من خلال عرض ما تم إنجازه فيما</w:t>
      </w:r>
      <w:r w:rsidR="002E6603">
        <w:rPr>
          <w:rFonts w:hint="eastAsia"/>
          <w:rtl/>
          <w:lang w:bidi="ar-EG"/>
        </w:rPr>
        <w:t> </w:t>
      </w:r>
      <w:r w:rsidRPr="002E4F0D">
        <w:rPr>
          <w:rFonts w:hint="cs"/>
          <w:rtl/>
          <w:lang w:bidi="ar-EG"/>
        </w:rPr>
        <w:t>يتعلق بالأهداف الفردية، يشار إلى قرارات مؤتمرات المندوبين المفوضين بصورة عابرة وليس كنقطة انطلاق لتقرير الأنشطة. على سبيل المثال: القرارات</w:t>
      </w:r>
      <w:r w:rsidR="002E6603">
        <w:rPr>
          <w:rFonts w:hint="eastAsia"/>
          <w:rtl/>
          <w:lang w:bidi="ar-EG"/>
        </w:rPr>
        <w:t> </w:t>
      </w:r>
      <w:r w:rsidRPr="002E4F0D">
        <w:rPr>
          <w:lang w:bidi="ar-EG"/>
        </w:rPr>
        <w:t>130</w:t>
      </w:r>
      <w:r w:rsidRPr="002E4F0D">
        <w:rPr>
          <w:rFonts w:hint="cs"/>
          <w:rtl/>
          <w:lang w:bidi="ar-EG"/>
        </w:rPr>
        <w:t xml:space="preserve"> و</w:t>
      </w:r>
      <w:r w:rsidRPr="002E4F0D">
        <w:rPr>
          <w:lang w:bidi="ar-EG"/>
        </w:rPr>
        <w:t>174</w:t>
      </w:r>
      <w:r w:rsidRPr="002E4F0D">
        <w:rPr>
          <w:rFonts w:hint="cs"/>
          <w:rtl/>
          <w:lang w:bidi="ar-EG"/>
        </w:rPr>
        <w:t xml:space="preserve"> و</w:t>
      </w:r>
      <w:r w:rsidRPr="002E4F0D">
        <w:rPr>
          <w:lang w:bidi="ar-EG"/>
        </w:rPr>
        <w:t>179</w:t>
      </w:r>
      <w:r w:rsidRPr="002E4F0D">
        <w:rPr>
          <w:rFonts w:hint="cs"/>
          <w:rtl/>
          <w:lang w:bidi="ar-EG"/>
        </w:rPr>
        <w:t xml:space="preserve"> و</w:t>
      </w:r>
      <w:r w:rsidRPr="002E4F0D">
        <w:rPr>
          <w:lang w:bidi="ar-EG"/>
        </w:rPr>
        <w:t>18</w:t>
      </w:r>
      <w:r>
        <w:rPr>
          <w:lang w:bidi="ar-EG"/>
        </w:rPr>
        <w:t>3</w:t>
      </w:r>
      <w:r w:rsidRPr="002E4F0D">
        <w:rPr>
          <w:rFonts w:hint="cs"/>
          <w:rtl/>
          <w:lang w:bidi="ar-EG"/>
        </w:rPr>
        <w:t xml:space="preserve"> (صفحة </w:t>
      </w:r>
      <w:r w:rsidRPr="002E4F0D">
        <w:rPr>
          <w:lang w:bidi="ar-EG"/>
        </w:rPr>
        <w:t>12</w:t>
      </w:r>
      <w:r w:rsidRPr="002E4F0D">
        <w:rPr>
          <w:rFonts w:hint="cs"/>
          <w:rtl/>
          <w:lang w:bidi="ar-EG"/>
        </w:rPr>
        <w:t xml:space="preserve"> في النسخة الإنكليزية)؛ والقرارات </w:t>
      </w:r>
      <w:r w:rsidRPr="002E4F0D">
        <w:rPr>
          <w:lang w:bidi="ar-EG"/>
        </w:rPr>
        <w:t>101</w:t>
      </w:r>
      <w:r w:rsidRPr="002E4F0D">
        <w:rPr>
          <w:rFonts w:hint="cs"/>
          <w:rtl/>
          <w:lang w:bidi="ar-EG"/>
        </w:rPr>
        <w:t xml:space="preserve"> و</w:t>
      </w:r>
      <w:r w:rsidRPr="002E4F0D">
        <w:rPr>
          <w:lang w:bidi="ar-EG"/>
        </w:rPr>
        <w:t>102</w:t>
      </w:r>
      <w:r w:rsidRPr="002E4F0D">
        <w:rPr>
          <w:rFonts w:hint="cs"/>
          <w:rtl/>
          <w:lang w:bidi="ar-EG"/>
        </w:rPr>
        <w:t xml:space="preserve"> و</w:t>
      </w:r>
      <w:r w:rsidRPr="002E4F0D">
        <w:rPr>
          <w:lang w:bidi="ar-EG"/>
        </w:rPr>
        <w:t>133</w:t>
      </w:r>
      <w:r w:rsidRPr="002E4F0D">
        <w:rPr>
          <w:rFonts w:hint="cs"/>
          <w:rtl/>
          <w:lang w:bidi="ar-EG"/>
        </w:rPr>
        <w:t xml:space="preserve"> و</w:t>
      </w:r>
      <w:r w:rsidRPr="002E4F0D">
        <w:rPr>
          <w:lang w:bidi="ar-EG"/>
        </w:rPr>
        <w:t>180</w:t>
      </w:r>
      <w:r w:rsidRPr="002E4F0D">
        <w:rPr>
          <w:rFonts w:hint="cs"/>
          <w:rtl/>
          <w:lang w:bidi="ar-EG"/>
        </w:rPr>
        <w:t xml:space="preserve"> (صفحة </w:t>
      </w:r>
      <w:r w:rsidRPr="002E4F0D">
        <w:rPr>
          <w:lang w:bidi="ar-EG"/>
        </w:rPr>
        <w:t>13</w:t>
      </w:r>
      <w:r w:rsidRPr="002E4F0D">
        <w:rPr>
          <w:rFonts w:hint="cs"/>
          <w:rtl/>
          <w:lang w:bidi="ar-EG"/>
        </w:rPr>
        <w:t>)؛ والقراران</w:t>
      </w:r>
      <w:r w:rsidR="002E6603">
        <w:rPr>
          <w:rFonts w:hint="eastAsia"/>
          <w:rtl/>
          <w:lang w:bidi="ar-EG"/>
        </w:rPr>
        <w:t> </w:t>
      </w:r>
      <w:r w:rsidRPr="002E4F0D">
        <w:rPr>
          <w:lang w:bidi="ar-EG"/>
        </w:rPr>
        <w:t>185</w:t>
      </w:r>
      <w:r w:rsidRPr="002E4F0D">
        <w:rPr>
          <w:rFonts w:hint="cs"/>
          <w:rtl/>
          <w:lang w:bidi="ar-EG"/>
        </w:rPr>
        <w:t xml:space="preserve"> و</w:t>
      </w:r>
      <w:r w:rsidRPr="002E4F0D">
        <w:rPr>
          <w:lang w:bidi="ar-EG"/>
        </w:rPr>
        <w:t>119</w:t>
      </w:r>
      <w:r w:rsidRPr="002E4F0D">
        <w:rPr>
          <w:rFonts w:hint="cs"/>
          <w:rtl/>
          <w:lang w:bidi="ar-EG"/>
        </w:rPr>
        <w:t xml:space="preserve"> (صفحة</w:t>
      </w:r>
      <w:r w:rsidR="002E6603">
        <w:rPr>
          <w:rFonts w:hint="eastAsia"/>
          <w:rtl/>
          <w:lang w:bidi="ar-EG"/>
        </w:rPr>
        <w:t> </w:t>
      </w:r>
      <w:r w:rsidRPr="002E4F0D">
        <w:rPr>
          <w:lang w:bidi="ar-EG"/>
        </w:rPr>
        <w:t>17</w:t>
      </w:r>
      <w:r w:rsidRPr="002E4F0D">
        <w:rPr>
          <w:rFonts w:hint="cs"/>
          <w:rtl/>
          <w:lang w:bidi="ar-EG"/>
        </w:rPr>
        <w:t>) وما إلى ذلك. ولا ترد أي إشارة إلى قرارات مؤتمرات المندوبين المفوضين، نظراً إلى ا</w:t>
      </w:r>
      <w:r w:rsidR="002E6603">
        <w:rPr>
          <w:rFonts w:hint="cs"/>
          <w:rtl/>
          <w:lang w:bidi="ar-EG"/>
        </w:rPr>
        <w:t>لأعمال المنجزة فيما</w:t>
      </w:r>
      <w:r w:rsidR="002E6603">
        <w:rPr>
          <w:rFonts w:hint="eastAsia"/>
          <w:rtl/>
          <w:lang w:bidi="ar-EG"/>
        </w:rPr>
        <w:t> </w:t>
      </w:r>
      <w:r w:rsidR="00C50041">
        <w:rPr>
          <w:rFonts w:hint="cs"/>
          <w:rtl/>
          <w:lang w:bidi="ar-EG"/>
        </w:rPr>
        <w:t>يتعلق بمعظم</w:t>
      </w:r>
      <w:r w:rsidR="00C50041">
        <w:rPr>
          <w:rFonts w:hint="eastAsia"/>
          <w:rtl/>
          <w:lang w:bidi="ar-EG"/>
        </w:rPr>
        <w:t> </w:t>
      </w:r>
      <w:r w:rsidRPr="002E4F0D">
        <w:rPr>
          <w:rFonts w:hint="cs"/>
          <w:rtl/>
          <w:lang w:bidi="ar-EG"/>
        </w:rPr>
        <w:t>الأهداف.</w:t>
      </w:r>
    </w:p>
    <w:p w:rsidR="002E4F0D" w:rsidRPr="002E4F0D" w:rsidRDefault="002E4F0D" w:rsidP="008D4C07">
      <w:pPr>
        <w:tabs>
          <w:tab w:val="clear" w:pos="794"/>
          <w:tab w:val="left" w:pos="1134"/>
        </w:tabs>
        <w:rPr>
          <w:rtl/>
          <w:lang w:bidi="ar-EG"/>
        </w:rPr>
      </w:pPr>
      <w:r w:rsidRPr="002E4F0D">
        <w:rPr>
          <w:rFonts w:hint="cs"/>
          <w:rtl/>
          <w:lang w:bidi="ar-EG"/>
        </w:rPr>
        <w:t xml:space="preserve">وفي الوثيقة </w:t>
      </w:r>
      <w:r w:rsidRPr="002E4F0D">
        <w:rPr>
          <w:lang w:bidi="ar-EG"/>
        </w:rPr>
        <w:t>C15/31</w:t>
      </w:r>
      <w:r w:rsidRPr="002E4F0D">
        <w:rPr>
          <w:rFonts w:hint="cs"/>
          <w:rtl/>
          <w:lang w:bidi="ar-EG"/>
        </w:rPr>
        <w:t>، تقرير الأمين العام "</w:t>
      </w:r>
      <w:r w:rsidRPr="002E4F0D">
        <w:rPr>
          <w:rtl/>
        </w:rPr>
        <w:t>مشروع الخطة التشغيلية الرباعية المتجددة للأمانة العامة للفترة</w:t>
      </w:r>
      <w:r w:rsidR="008D4C07">
        <w:rPr>
          <w:rFonts w:hint="eastAsia"/>
          <w:rtl/>
        </w:rPr>
        <w:t> </w:t>
      </w:r>
      <w:r w:rsidRPr="002E4F0D">
        <w:rPr>
          <w:lang w:bidi="ar-EG"/>
        </w:rPr>
        <w:t>2021-2018</w:t>
      </w:r>
      <w:r w:rsidRPr="002E4F0D">
        <w:rPr>
          <w:rFonts w:hint="cs"/>
          <w:rtl/>
          <w:lang w:bidi="ar-EG"/>
        </w:rPr>
        <w:t xml:space="preserve">"، يتضمن الإطار النصي إشارة إلى القرار </w:t>
      </w:r>
      <w:r w:rsidRPr="002E4F0D">
        <w:rPr>
          <w:lang w:bidi="ar-EG"/>
        </w:rPr>
        <w:t>72</w:t>
      </w:r>
      <w:r w:rsidRPr="002E4F0D">
        <w:rPr>
          <w:rFonts w:hint="cs"/>
          <w:rtl/>
          <w:lang w:bidi="ar-EG"/>
        </w:rPr>
        <w:t>، بيد أنه في الجزء الرئيسي من الوثيقة ذاتها في وصف الأنشطة، لا ترد أي إشارة إلى قرار واحد يحيل إلى نشاط معيّن. ومن جهة أخرى، تمثل الأهداف المتعلقة بمؤتمر المندوبين المفوضين (</w:t>
      </w:r>
      <w:r w:rsidR="00401E0A">
        <w:rPr>
          <w:rFonts w:hint="cs"/>
          <w:rtl/>
          <w:lang w:bidi="ar-EG"/>
        </w:rPr>
        <w:t>"</w:t>
      </w:r>
      <w:r w:rsidRPr="002E4F0D">
        <w:rPr>
          <w:rFonts w:hint="cs"/>
          <w:rtl/>
          <w:lang w:bidi="ar-EG"/>
        </w:rPr>
        <w:t xml:space="preserve">المقررات والقرارات والتوصيات والنتائج الأخرى الصادرة عن مؤتمر المندوبين المفوضين") (الصفحة </w:t>
      </w:r>
      <w:r w:rsidRPr="002E4F0D">
        <w:rPr>
          <w:lang w:bidi="ar-EG"/>
        </w:rPr>
        <w:t>8</w:t>
      </w:r>
      <w:r w:rsidRPr="002E4F0D">
        <w:rPr>
          <w:rFonts w:hint="cs"/>
          <w:rtl/>
          <w:lang w:bidi="ar-EG"/>
        </w:rPr>
        <w:t xml:space="preserve">) </w:t>
      </w:r>
      <w:r w:rsidRPr="002E4F0D">
        <w:rPr>
          <w:lang w:bidi="ar-EG"/>
        </w:rPr>
        <w:t>6</w:t>
      </w:r>
      <w:r w:rsidRPr="002E4F0D">
        <w:rPr>
          <w:rFonts w:hint="cs"/>
          <w:rtl/>
          <w:lang w:bidi="ar-EG"/>
        </w:rPr>
        <w:t xml:space="preserve"> في المائة من تخصيص الموارد للأهداف، وهو ما يشكل </w:t>
      </w:r>
      <w:r w:rsidRPr="002E4F0D">
        <w:rPr>
          <w:lang w:bidi="ar-EG"/>
        </w:rPr>
        <w:t>0,8</w:t>
      </w:r>
      <w:r w:rsidR="00C50041">
        <w:rPr>
          <w:rFonts w:hint="eastAsia"/>
          <w:rtl/>
          <w:lang w:bidi="ar-EG"/>
        </w:rPr>
        <w:t> </w:t>
      </w:r>
      <w:r w:rsidR="00C50041">
        <w:rPr>
          <w:rFonts w:hint="cs"/>
          <w:rtl/>
          <w:lang w:bidi="ar-EG"/>
        </w:rPr>
        <w:t>في</w:t>
      </w:r>
      <w:r w:rsidR="00C50041">
        <w:rPr>
          <w:rFonts w:hint="eastAsia"/>
          <w:rtl/>
          <w:lang w:bidi="ar-EG"/>
        </w:rPr>
        <w:t> </w:t>
      </w:r>
      <w:r w:rsidRPr="002E4F0D">
        <w:rPr>
          <w:rFonts w:hint="cs"/>
          <w:rtl/>
          <w:lang w:bidi="ar-EG"/>
        </w:rPr>
        <w:t xml:space="preserve">المائة فقط من المجموع. وتتبع الوثائق </w:t>
      </w:r>
      <w:r w:rsidRPr="002E4F0D">
        <w:rPr>
          <w:lang w:bidi="ar-EG"/>
        </w:rPr>
        <w:t>C15/28</w:t>
      </w:r>
      <w:r w:rsidRPr="002E4F0D">
        <w:rPr>
          <w:rFonts w:hint="cs"/>
          <w:rtl/>
          <w:lang w:bidi="ar-EG"/>
        </w:rPr>
        <w:t xml:space="preserve"> </w:t>
      </w:r>
      <w:r w:rsidRPr="002E4F0D">
        <w:rPr>
          <w:rtl/>
          <w:lang w:bidi="ar-EG"/>
        </w:rPr>
        <w:t>–</w:t>
      </w:r>
      <w:r w:rsidRPr="002E4F0D">
        <w:rPr>
          <w:rFonts w:hint="cs"/>
          <w:rtl/>
          <w:lang w:bidi="ar-EG"/>
        </w:rPr>
        <w:t xml:space="preserve"> </w:t>
      </w:r>
      <w:r w:rsidRPr="002E4F0D">
        <w:rPr>
          <w:lang w:bidi="ar-EG"/>
        </w:rPr>
        <w:t>C15/30</w:t>
      </w:r>
      <w:r w:rsidRPr="002E4F0D">
        <w:rPr>
          <w:rFonts w:hint="cs"/>
          <w:rtl/>
          <w:lang w:bidi="ar-EG"/>
        </w:rPr>
        <w:t xml:space="preserve"> المبدأ ذاته.</w:t>
      </w:r>
    </w:p>
    <w:p w:rsidR="002E4F0D" w:rsidRPr="002E4F0D" w:rsidRDefault="002E4F0D" w:rsidP="00401E0A">
      <w:pPr>
        <w:tabs>
          <w:tab w:val="clear" w:pos="794"/>
          <w:tab w:val="left" w:pos="1134"/>
        </w:tabs>
        <w:rPr>
          <w:rtl/>
          <w:lang w:bidi="ar-EG"/>
        </w:rPr>
      </w:pPr>
      <w:r w:rsidRPr="002E4F0D">
        <w:rPr>
          <w:rFonts w:hint="cs"/>
          <w:rtl/>
          <w:lang w:bidi="ar-EG"/>
        </w:rPr>
        <w:t xml:space="preserve">ويتضمن تقرير المجلس بشأن </w:t>
      </w:r>
      <w:r w:rsidRPr="002E4F0D">
        <w:rPr>
          <w:rFonts w:hint="cs"/>
          <w:rtl/>
        </w:rPr>
        <w:t xml:space="preserve">تنفيذ الخطة الاستراتيجية للاتحاد وأنشطته (الوثيقة </w:t>
      </w:r>
      <w:r w:rsidRPr="002E4F0D">
        <w:rPr>
          <w:lang w:bidi="ar-EG"/>
        </w:rPr>
        <w:t>(C16/35</w:t>
      </w:r>
      <w:r w:rsidR="00401E0A">
        <w:rPr>
          <w:rFonts w:hint="cs"/>
          <w:rtl/>
          <w:lang w:bidi="ar-EG"/>
        </w:rPr>
        <w:t xml:space="preserve"> بيانات بشأن ما</w:t>
      </w:r>
      <w:r w:rsidR="00401E0A">
        <w:rPr>
          <w:rFonts w:hint="eastAsia"/>
          <w:rtl/>
          <w:lang w:bidi="ar-EG"/>
        </w:rPr>
        <w:t> </w:t>
      </w:r>
      <w:r w:rsidR="002E6603">
        <w:rPr>
          <w:rFonts w:hint="cs"/>
          <w:rtl/>
          <w:lang w:bidi="ar-EG"/>
        </w:rPr>
        <w:t>هو متوقع في</w:t>
      </w:r>
      <w:r w:rsidR="002E6603">
        <w:rPr>
          <w:rFonts w:hint="eastAsia"/>
          <w:rtl/>
          <w:lang w:bidi="ar-EG"/>
        </w:rPr>
        <w:t> </w:t>
      </w:r>
      <w:r w:rsidRPr="002E4F0D">
        <w:rPr>
          <w:rFonts w:hint="cs"/>
          <w:rtl/>
          <w:lang w:bidi="ar-EG"/>
        </w:rPr>
        <w:t xml:space="preserve">عالم المعلومات والاتصالات إلا أن المؤشرات المعنية هي نتيجة الأعمال التي أنجزتها عدة آلاف </w:t>
      </w:r>
      <w:r w:rsidR="00401E0A">
        <w:rPr>
          <w:rFonts w:hint="cs"/>
          <w:rtl/>
          <w:lang w:bidi="ar-EG"/>
        </w:rPr>
        <w:t xml:space="preserve">من </w:t>
      </w:r>
      <w:r w:rsidRPr="002E4F0D">
        <w:rPr>
          <w:rFonts w:hint="cs"/>
          <w:rtl/>
          <w:lang w:bidi="ar-EG"/>
        </w:rPr>
        <w:t xml:space="preserve">المؤسسات والمنظمات وليس الاتحاد فحسب. وجدير </w:t>
      </w:r>
      <w:r w:rsidR="00401E0A">
        <w:rPr>
          <w:rFonts w:hint="cs"/>
          <w:rtl/>
          <w:lang w:bidi="ar-EG"/>
        </w:rPr>
        <w:t>بالذكر</w:t>
      </w:r>
      <w:r w:rsidRPr="002E4F0D">
        <w:rPr>
          <w:rFonts w:hint="cs"/>
          <w:rtl/>
          <w:lang w:bidi="ar-EG"/>
        </w:rPr>
        <w:t xml:space="preserve"> أن القسم </w:t>
      </w:r>
      <w:r w:rsidRPr="002E4F0D">
        <w:rPr>
          <w:lang w:bidi="ar-EG"/>
        </w:rPr>
        <w:t>5</w:t>
      </w:r>
      <w:r w:rsidRPr="002E4F0D">
        <w:rPr>
          <w:rFonts w:hint="cs"/>
          <w:rtl/>
          <w:lang w:bidi="ar-EG"/>
        </w:rPr>
        <w:t xml:space="preserve"> من التقرير المتعلق بالأهداف والنتائج المحققة في قطاع تنمية الاتصالات يتضمن بعض الإحالات إلى عدد من قرارات مؤتمرات المندوبين المفوضين المرتبطة بأهداف القطاعات. وهكذا، يسود بعض الفهم في الاتحاد أن الخطط والتقارير، ينبغي أن تبيّن فيما يخص الغايات والأهداف، أيّ القرارات التي تقابل غايات وأهداف معينة وإلى أي مدى نُفذت التعليمات الموجهة من مؤتمر المندوبين المفوضين إلى الاتحاد.</w:t>
      </w:r>
    </w:p>
    <w:p w:rsidR="002E4F0D" w:rsidRPr="002E4F0D" w:rsidRDefault="002E4F0D" w:rsidP="00C50041">
      <w:pPr>
        <w:pStyle w:val="Heading1"/>
        <w:rPr>
          <w:rtl/>
        </w:rPr>
      </w:pPr>
      <w:r w:rsidRPr="002E4F0D">
        <w:t>3</w:t>
      </w:r>
      <w:r w:rsidRPr="002E4F0D">
        <w:rPr>
          <w:rtl/>
        </w:rPr>
        <w:tab/>
      </w:r>
      <w:r w:rsidRPr="002E4F0D">
        <w:rPr>
          <w:rFonts w:hint="cs"/>
          <w:rtl/>
        </w:rPr>
        <w:t>استنتاجات</w:t>
      </w:r>
    </w:p>
    <w:p w:rsidR="002E4F0D" w:rsidRPr="002E4F0D" w:rsidRDefault="002E4F0D" w:rsidP="00C50041">
      <w:pPr>
        <w:rPr>
          <w:rtl/>
          <w:lang w:bidi="ar-EG"/>
        </w:rPr>
      </w:pPr>
      <w:r w:rsidRPr="002E4F0D">
        <w:rPr>
          <w:lang w:bidi="ar-EG"/>
        </w:rPr>
        <w:t>1</w:t>
      </w:r>
      <w:r w:rsidRPr="002E4F0D">
        <w:rPr>
          <w:rtl/>
          <w:lang w:bidi="ar-EG"/>
        </w:rPr>
        <w:tab/>
      </w:r>
      <w:r w:rsidRPr="00C50041">
        <w:rPr>
          <w:rFonts w:hint="cs"/>
          <w:rtl/>
        </w:rPr>
        <w:t>تبين</w:t>
      </w:r>
      <w:r w:rsidRPr="002E4F0D">
        <w:rPr>
          <w:rFonts w:hint="cs"/>
          <w:rtl/>
          <w:lang w:bidi="ar-EG"/>
        </w:rPr>
        <w:t xml:space="preserve"> د</w:t>
      </w:r>
      <w:r w:rsidRPr="00C50041">
        <w:rPr>
          <w:rFonts w:hint="cs"/>
          <w:rtl/>
          <w:lang w:bidi="ar-EG"/>
        </w:rPr>
        <w:t>ر</w:t>
      </w:r>
      <w:r w:rsidRPr="002E4F0D">
        <w:rPr>
          <w:rFonts w:hint="cs"/>
          <w:rtl/>
          <w:lang w:bidi="ar-EG"/>
        </w:rPr>
        <w:t>اساتنا التحليلية أنه نظراً إلى الأهمية الكبرى لضمان الاستخدام الرشيد للموارد المحدودة للاتحاد وضرورة أن تتوفر، من فترة إلى أخرى، إمكانية القيام بتحليل مقارن لنتائج أنشطته على أساس القرارات المنفذة (علماً أن الأهداف والأنشطة قد تتغير من فترة إلى أخرى، في حين أن القرارات أكثر استقراراً)، من الضروري التأكد من أن الأهداف والأنشطة الواردة في خطط الأنشطة والتقارير المقدمة إلى مجلس الاتحاد (وإلى مؤتمرات المندوبين المفوضين) مرتبطة بقرارات ومقررات</w:t>
      </w:r>
      <w:r w:rsidR="00C50041">
        <w:rPr>
          <w:rFonts w:hint="cs"/>
          <w:rtl/>
          <w:lang w:bidi="ar-EG"/>
        </w:rPr>
        <w:t xml:space="preserve"> مؤتمرات المندوبين المفوضين ذات</w:t>
      </w:r>
      <w:r w:rsidR="00C50041">
        <w:rPr>
          <w:rFonts w:hint="eastAsia"/>
          <w:rtl/>
          <w:lang w:bidi="ar-EG"/>
        </w:rPr>
        <w:t> </w:t>
      </w:r>
      <w:r w:rsidRPr="002E4F0D">
        <w:rPr>
          <w:rFonts w:hint="cs"/>
          <w:rtl/>
          <w:lang w:bidi="ar-EG"/>
        </w:rPr>
        <w:t>الصلة.</w:t>
      </w:r>
    </w:p>
    <w:p w:rsidR="002E4F0D" w:rsidRPr="002E4F0D" w:rsidRDefault="002E4F0D" w:rsidP="00C50041">
      <w:pPr>
        <w:rPr>
          <w:rtl/>
          <w:lang w:bidi="ar-EG"/>
        </w:rPr>
      </w:pPr>
      <w:r w:rsidRPr="002E4F0D">
        <w:rPr>
          <w:lang w:bidi="ar-EG"/>
        </w:rPr>
        <w:t>2</w:t>
      </w:r>
      <w:r w:rsidRPr="002E4F0D">
        <w:rPr>
          <w:rtl/>
          <w:lang w:bidi="ar-EG"/>
        </w:rPr>
        <w:tab/>
      </w:r>
      <w:r w:rsidRPr="00C50041">
        <w:rPr>
          <w:rFonts w:hint="cs"/>
          <w:rtl/>
        </w:rPr>
        <w:t>ستساعد</w:t>
      </w:r>
      <w:r w:rsidRPr="002E4F0D">
        <w:rPr>
          <w:rFonts w:hint="cs"/>
          <w:rtl/>
          <w:lang w:bidi="ar-EG"/>
        </w:rPr>
        <w:t xml:space="preserve"> هذه المعلومات في تحسين نوعية قرارات الإدارات بشأن استخدام وتوزيع الموارد المالية والبشرية للاتحاد فضلاً عن تعزيز زيادة كفاءة استخدام هذه الموارد وزيادة كفاءة استجابة الاتحاد للطلبات والمصالح الوطنية للدول الأعضاء.</w:t>
      </w:r>
    </w:p>
    <w:p w:rsidR="002E4F0D" w:rsidRPr="002E4F0D" w:rsidRDefault="002E4F0D" w:rsidP="00C50041">
      <w:pPr>
        <w:pStyle w:val="Heading1"/>
        <w:rPr>
          <w:rtl/>
        </w:rPr>
      </w:pPr>
      <w:r w:rsidRPr="002E4F0D">
        <w:t>4</w:t>
      </w:r>
      <w:r w:rsidRPr="002E4F0D">
        <w:rPr>
          <w:rtl/>
        </w:rPr>
        <w:tab/>
      </w:r>
      <w:r w:rsidRPr="00C50041">
        <w:rPr>
          <w:rFonts w:hint="cs"/>
          <w:rtl/>
        </w:rPr>
        <w:t>مقترحات</w:t>
      </w:r>
      <w:r w:rsidRPr="002E4F0D">
        <w:rPr>
          <w:rFonts w:hint="cs"/>
          <w:rtl/>
        </w:rPr>
        <w:t xml:space="preserve"> إلى المجلس</w:t>
      </w:r>
    </w:p>
    <w:p w:rsidR="002E4F0D" w:rsidRPr="00C50041" w:rsidRDefault="002E4F0D" w:rsidP="00C50041">
      <w:pPr>
        <w:rPr>
          <w:rtl/>
        </w:rPr>
      </w:pPr>
      <w:r w:rsidRPr="002E4F0D">
        <w:rPr>
          <w:rFonts w:hint="cs"/>
          <w:rtl/>
          <w:lang w:bidi="ar-EG"/>
        </w:rPr>
        <w:t xml:space="preserve">يُقترح ما </w:t>
      </w:r>
      <w:r w:rsidRPr="00C50041">
        <w:rPr>
          <w:rFonts w:hint="cs"/>
          <w:rtl/>
        </w:rPr>
        <w:t>يلي:</w:t>
      </w:r>
    </w:p>
    <w:p w:rsidR="002E4F0D" w:rsidRPr="00C50041" w:rsidRDefault="002E4F0D" w:rsidP="00C50041">
      <w:pPr>
        <w:rPr>
          <w:rtl/>
        </w:rPr>
      </w:pPr>
      <w:r w:rsidRPr="00C50041">
        <w:t>1</w:t>
      </w:r>
      <w:r w:rsidRPr="00C50041">
        <w:rPr>
          <w:rtl/>
        </w:rPr>
        <w:tab/>
      </w:r>
      <w:r w:rsidRPr="00C50041">
        <w:rPr>
          <w:rFonts w:hint="cs"/>
          <w:rtl/>
        </w:rPr>
        <w:t>الإشارة في كل قسم من الخطط والتقارير المتعلقة بالأنشطة (التشغيلية) الحالية للاتحاد والقطاعات والأمانة العامة، إلى قرارات ومقررات مؤتمرات المندوبين المفوضين التي يحي</w:t>
      </w:r>
      <w:r w:rsidR="00AF0524">
        <w:rPr>
          <w:rFonts w:hint="cs"/>
          <w:rtl/>
        </w:rPr>
        <w:t>ل إليها هدف معين والعمل المنجز.</w:t>
      </w:r>
    </w:p>
    <w:p w:rsidR="002E4F0D" w:rsidRPr="00C50041" w:rsidRDefault="002E4F0D" w:rsidP="00C50041">
      <w:pPr>
        <w:keepNext/>
        <w:rPr>
          <w:rtl/>
        </w:rPr>
      </w:pPr>
      <w:r w:rsidRPr="00C50041">
        <w:rPr>
          <w:rFonts w:hint="cs"/>
          <w:rtl/>
        </w:rPr>
        <w:lastRenderedPageBreak/>
        <w:t>مثلاً:</w:t>
      </w:r>
    </w:p>
    <w:p w:rsidR="002E4F0D" w:rsidRPr="00C50041" w:rsidRDefault="002E4F0D" w:rsidP="002D4C9B">
      <w:pPr>
        <w:rPr>
          <w:rFonts w:hint="cs"/>
          <w:rtl/>
          <w:lang w:bidi="ar-EG"/>
        </w:rPr>
      </w:pPr>
      <w:bookmarkStart w:id="2" w:name="_Toc324955893"/>
      <w:bookmarkStart w:id="3" w:name="_Toc357519323"/>
      <w:r w:rsidRPr="002E4F0D">
        <w:rPr>
          <w:b/>
          <w:bCs/>
          <w:lang w:bidi="ar-EG"/>
        </w:rPr>
        <w:t>2.3.T</w:t>
      </w:r>
      <w:r w:rsidRPr="002E4F0D">
        <w:rPr>
          <w:b/>
          <w:bCs/>
          <w:rtl/>
        </w:rPr>
        <w:tab/>
      </w:r>
      <w:r w:rsidRPr="00C50041">
        <w:rPr>
          <w:b/>
          <w:bCs/>
          <w:rtl/>
        </w:rPr>
        <w:t>أنشطة التدريب</w:t>
      </w:r>
      <w:bookmarkEnd w:id="2"/>
      <w:bookmarkEnd w:id="3"/>
      <w:r w:rsidRPr="00C50041">
        <w:rPr>
          <w:rFonts w:hint="cs"/>
          <w:rtl/>
        </w:rPr>
        <w:t xml:space="preserve"> (القرار </w:t>
      </w:r>
      <w:r w:rsidRPr="00C50041">
        <w:t>48</w:t>
      </w:r>
      <w:r w:rsidRPr="00C50041">
        <w:rPr>
          <w:rFonts w:hint="cs"/>
          <w:rtl/>
        </w:rPr>
        <w:t xml:space="preserve"> (المراجَع في بوسان </w:t>
      </w:r>
      <w:r w:rsidRPr="00C50041">
        <w:t>2014</w:t>
      </w:r>
      <w:r w:rsidRPr="00C50041">
        <w:rPr>
          <w:rFonts w:hint="cs"/>
          <w:rtl/>
        </w:rPr>
        <w:t>)</w:t>
      </w:r>
      <w:r w:rsidR="002D4C9B">
        <w:rPr>
          <w:rFonts w:hint="cs"/>
          <w:rtl/>
        </w:rPr>
        <w:t xml:space="preserve"> لمؤتمر المندوبين المفوضين</w:t>
      </w:r>
      <w:r w:rsidRPr="00C50041">
        <w:rPr>
          <w:rFonts w:hint="cs"/>
          <w:rtl/>
        </w:rPr>
        <w:t xml:space="preserve">؛ والقرار </w:t>
      </w:r>
      <w:r w:rsidRPr="00C50041">
        <w:t>44</w:t>
      </w:r>
      <w:r w:rsidRPr="00C50041">
        <w:rPr>
          <w:rFonts w:hint="cs"/>
          <w:rtl/>
        </w:rPr>
        <w:t xml:space="preserve"> (الجمعية العالمية لتقييس الاتصالات) وما إلى ذلك)</w:t>
      </w:r>
      <w:r w:rsidR="00860565">
        <w:rPr>
          <w:rFonts w:hint="cs"/>
          <w:rtl/>
          <w:lang w:bidi="ar-EG"/>
        </w:rPr>
        <w:t>.</w:t>
      </w:r>
    </w:p>
    <w:p w:rsidR="002E4F0D" w:rsidRPr="002E4F0D" w:rsidRDefault="002E4F0D" w:rsidP="00EA1CE4">
      <w:pPr>
        <w:rPr>
          <w:rtl/>
          <w:lang w:bidi="ar-EG"/>
        </w:rPr>
      </w:pPr>
      <w:r w:rsidRPr="00C50041">
        <w:t>2</w:t>
      </w:r>
      <w:r w:rsidRPr="00C50041">
        <w:rPr>
          <w:rtl/>
        </w:rPr>
        <w:tab/>
      </w:r>
      <w:r w:rsidRPr="00C50041">
        <w:rPr>
          <w:rFonts w:hint="cs"/>
          <w:rtl/>
        </w:rPr>
        <w:t>تكليف فريق العمل التابع للمجلس والمعني بالموارد المالية والبشرية بوضع مقترحات بإدخال تعديلات مناسبة على اللوائح المالية لتقديمه</w:t>
      </w:r>
      <w:r w:rsidRPr="002E4F0D">
        <w:rPr>
          <w:rFonts w:hint="cs"/>
          <w:rtl/>
          <w:lang w:bidi="ar-EG"/>
        </w:rPr>
        <w:t xml:space="preserve">ا إلى المجلس في دورته لعام </w:t>
      </w:r>
      <w:r w:rsidRPr="002E4F0D">
        <w:rPr>
          <w:lang w:bidi="ar-EG"/>
        </w:rPr>
        <w:t>2018</w:t>
      </w:r>
      <w:r w:rsidRPr="002E4F0D">
        <w:rPr>
          <w:rFonts w:hint="cs"/>
          <w:rtl/>
          <w:lang w:bidi="ar-EG"/>
        </w:rPr>
        <w:t>، من أجل توفير أساس لإدراج معلومات بشأن العلاقة بين نتائج الأنشطة وقرارات مؤتمرات المندوبين المفوضين ذات الصلة في الخطط التشغيلية للقطاعات والأمانة العامة بغية ضمان التوافق فيما بينها لمساعدة الاتحاد في</w:t>
      </w:r>
      <w:r w:rsidR="00EA1CE4">
        <w:rPr>
          <w:rFonts w:hint="eastAsia"/>
          <w:rtl/>
          <w:lang w:bidi="ar-EG"/>
        </w:rPr>
        <w:t> </w:t>
      </w:r>
      <w:r w:rsidRPr="002E4F0D">
        <w:rPr>
          <w:rFonts w:hint="cs"/>
          <w:rtl/>
          <w:lang w:bidi="ar-EG"/>
        </w:rPr>
        <w:t>تنفيذ الخطط الاستراتيجية والمالية وفقاً للتعليمات المنصوص عليها في قرارات ومقررات مؤتمرات المندوبين المفوضين وتمكين المجلس من النظر في تنفيذها طبقاً لشروط المقارنة مع مراعاة المصالح الوطنية للدول الأعضاء.</w:t>
      </w:r>
    </w:p>
    <w:p w:rsidR="000E4FF0" w:rsidRDefault="002E4F0D" w:rsidP="002E4F0D">
      <w:pPr>
        <w:spacing w:before="600"/>
        <w:jc w:val="center"/>
        <w:rPr>
          <w:rtl/>
          <w:lang w:bidi="ar-EG"/>
        </w:rPr>
      </w:pPr>
      <w:r>
        <w:rPr>
          <w:rtl/>
          <w:lang w:bidi="ar-EG"/>
        </w:rPr>
        <w:t>___________</w:t>
      </w:r>
    </w:p>
    <w:sectPr w:rsidR="000E4FF0"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F1" w:rsidRDefault="00D91CF1" w:rsidP="00E07379">
      <w:pPr>
        <w:spacing w:before="0" w:line="240" w:lineRule="auto"/>
      </w:pPr>
      <w:r>
        <w:separator/>
      </w:r>
    </w:p>
  </w:endnote>
  <w:endnote w:type="continuationSeparator" w:id="0">
    <w:p w:rsidR="00D91CF1" w:rsidRDefault="00D91C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D4D8C" w:rsidRDefault="000E4FF0" w:rsidP="004A0DFC">
    <w:pPr>
      <w:pStyle w:val="Footer"/>
      <w:tabs>
        <w:tab w:val="clear" w:pos="5812"/>
        <w:tab w:val="right" w:pos="5670"/>
      </w:tabs>
      <w:rPr>
        <w:lang w:val="fr-CH"/>
      </w:rPr>
    </w:pPr>
    <w:r>
      <w:fldChar w:fldCharType="begin"/>
    </w:r>
    <w:r w:rsidRPr="002D4D8C">
      <w:rPr>
        <w:lang w:val="fr-CH"/>
      </w:rPr>
      <w:instrText xml:space="preserve"> FILENAME \p \* MERGEFORMAT </w:instrText>
    </w:r>
    <w:r>
      <w:fldChar w:fldCharType="separate"/>
    </w:r>
    <w:r w:rsidR="000A4E73">
      <w:rPr>
        <w:noProof/>
        <w:lang w:val="fr-CH"/>
      </w:rPr>
      <w:t>P:\ARA\SG\CONSEIL\C17\000\083REV2A.docx</w:t>
    </w:r>
    <w:r>
      <w:rPr>
        <w:noProof/>
      </w:rPr>
      <w:fldChar w:fldCharType="end"/>
    </w:r>
    <w:r w:rsidR="00276041">
      <w:rPr>
        <w:lang w:val="fr-CH"/>
      </w:rPr>
      <w:t>   </w:t>
    </w:r>
    <w:r w:rsidR="00BD0C50" w:rsidRPr="002D4D8C">
      <w:rPr>
        <w:lang w:val="fr-CH"/>
      </w:rPr>
      <w:t>(</w:t>
    </w:r>
    <w:r w:rsidR="004A0DFC">
      <w:rPr>
        <w:rFonts w:hint="cs"/>
        <w:rtl/>
        <w:lang w:val="fr-CH"/>
      </w:rPr>
      <w:t>419378</w:t>
    </w:r>
    <w:r w:rsidR="00BD0C50" w:rsidRPr="002D4D8C">
      <w:rPr>
        <w:lang w:val="fr-CH"/>
      </w:rPr>
      <w:t>)</w:t>
    </w:r>
    <w:r w:rsidR="00BD0C50" w:rsidRPr="002D4D8C">
      <w:rPr>
        <w:lang w:val="fr-CH"/>
      </w:rPr>
      <w:tab/>
    </w:r>
    <w:r w:rsidR="00BD0C50" w:rsidRPr="00665956">
      <w:fldChar w:fldCharType="begin"/>
    </w:r>
    <w:r w:rsidR="00BD0C50" w:rsidRPr="00665956">
      <w:instrText xml:space="preserve"> savedate \@ dd.MM.yy </w:instrText>
    </w:r>
    <w:r w:rsidR="00BD0C50" w:rsidRPr="00665956">
      <w:fldChar w:fldCharType="separate"/>
    </w:r>
    <w:r w:rsidR="00E1192D">
      <w:rPr>
        <w:noProof/>
      </w:rPr>
      <w:t>29.05.17</w:t>
    </w:r>
    <w:r w:rsidR="00BD0C50" w:rsidRPr="00665956">
      <w:fldChar w:fldCharType="end"/>
    </w:r>
    <w:r w:rsidR="00BD0C50" w:rsidRPr="002D4D8C">
      <w:rPr>
        <w:lang w:val="fr-CH"/>
      </w:rPr>
      <w:tab/>
    </w:r>
    <w:r w:rsidR="00BD0C50" w:rsidRPr="00665956">
      <w:fldChar w:fldCharType="begin"/>
    </w:r>
    <w:r w:rsidR="00BD0C50" w:rsidRPr="00665956">
      <w:instrText xml:space="preserve"> printdate \@ dd.MM.yy </w:instrText>
    </w:r>
    <w:r w:rsidR="00BD0C50" w:rsidRPr="00665956">
      <w:fldChar w:fldCharType="separate"/>
    </w:r>
    <w:r w:rsidR="008F0EF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0A4E73">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0A4E73">
      <w:rPr>
        <w:rFonts w:cs="Calibri"/>
        <w:noProof/>
        <w:vanish/>
        <w:lang w:val="fr-FR"/>
      </w:rPr>
      <w:t>P:\ARA\SG\CONSEIL\C17\000\083REV2A.docx</w:t>
    </w:r>
    <w:r w:rsidRPr="00C66157">
      <w:rPr>
        <w:rFonts w:cs="Calibri"/>
        <w:vanish/>
      </w:rPr>
      <w:fldChar w:fldCharType="end"/>
    </w:r>
    <w:r w:rsidR="00276041">
      <w:rPr>
        <w:rFonts w:cs="Calibri"/>
        <w:vanish/>
        <w:lang w:val="fr-CH"/>
      </w:rPr>
      <w:t>   </w:t>
    </w:r>
    <w:r w:rsidRPr="00C66157">
      <w:rPr>
        <w:rFonts w:cs="Calibri"/>
        <w:vanish/>
        <w:lang w:val="fr-FR"/>
      </w:rPr>
      <w:t>(</w:t>
    </w:r>
    <w:r w:rsidR="000A4E73">
      <w:rPr>
        <w:rFonts w:cs="Calibri"/>
        <w:vanish/>
        <w:lang w:val="fr-FR"/>
      </w:rPr>
      <w:t>419378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E1192D">
      <w:rPr>
        <w:rFonts w:cs="Calibri"/>
        <w:noProof/>
        <w:vanish/>
        <w:lang w:val="fr-FR"/>
      </w:rPr>
      <w:t>29.05.17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8F0EF4">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F1" w:rsidRDefault="00D91CF1" w:rsidP="00E07379">
      <w:pPr>
        <w:spacing w:before="0" w:line="240" w:lineRule="auto"/>
      </w:pPr>
      <w:r>
        <w:separator/>
      </w:r>
    </w:p>
  </w:footnote>
  <w:footnote w:type="continuationSeparator" w:id="0">
    <w:p w:rsidR="00D91CF1" w:rsidRDefault="00D91CF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447B7F" w:rsidP="000A4E73">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D4D8C">
          <w:rPr>
            <w:rFonts w:eastAsiaTheme="minorEastAsia" w:cs="Calibri"/>
            <w:noProof/>
            <w:sz w:val="20"/>
            <w:szCs w:val="20"/>
            <w:lang w:eastAsia="zh-CN"/>
          </w:rPr>
          <w:t>83</w:t>
        </w:r>
        <w:r w:rsidR="008F0EF4">
          <w:rPr>
            <w:rFonts w:eastAsiaTheme="minorEastAsia" w:cs="Calibri"/>
            <w:noProof/>
            <w:sz w:val="20"/>
            <w:szCs w:val="20"/>
            <w:lang w:eastAsia="zh-CN"/>
          </w:rPr>
          <w:t>(Rev.</w:t>
        </w:r>
        <w:r w:rsidR="000A4E73">
          <w:rPr>
            <w:rFonts w:eastAsiaTheme="minorEastAsia" w:cs="Calibri"/>
            <w:noProof/>
            <w:sz w:val="20"/>
            <w:szCs w:val="20"/>
            <w:lang w:eastAsia="zh-CN"/>
          </w:rPr>
          <w:t>2</w:t>
        </w:r>
        <w:r w:rsidR="008F0EF4">
          <w:rPr>
            <w:rFonts w:eastAsiaTheme="minorEastAsia" w:cs="Calibri"/>
            <w:noProof/>
            <w:sz w:val="20"/>
            <w:szCs w:val="20"/>
            <w:lang w:eastAsia="zh-CN"/>
          </w:rPr>
          <w:t>)</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700DD3"/>
    <w:multiLevelType w:val="hybridMultilevel"/>
    <w:tmpl w:val="028AC21C"/>
    <w:lvl w:ilvl="0" w:tplc="A2564C1A">
      <w:start w:val="1"/>
      <w:numFmt w:val="decimal"/>
      <w:lvlText w:val="%1."/>
      <w:lvlJc w:val="left"/>
      <w:pPr>
        <w:ind w:left="720" w:hanging="360"/>
      </w:pPr>
    </w:lvl>
    <w:lvl w:ilvl="1" w:tplc="06FAFB00" w:tentative="1">
      <w:start w:val="1"/>
      <w:numFmt w:val="lowerLetter"/>
      <w:lvlText w:val="%2."/>
      <w:lvlJc w:val="left"/>
      <w:pPr>
        <w:ind w:left="1440" w:hanging="360"/>
      </w:pPr>
    </w:lvl>
    <w:lvl w:ilvl="2" w:tplc="D416FD54" w:tentative="1">
      <w:start w:val="1"/>
      <w:numFmt w:val="lowerRoman"/>
      <w:lvlText w:val="%3."/>
      <w:lvlJc w:val="right"/>
      <w:pPr>
        <w:ind w:left="2160" w:hanging="180"/>
      </w:pPr>
    </w:lvl>
    <w:lvl w:ilvl="3" w:tplc="4A8C690A" w:tentative="1">
      <w:start w:val="1"/>
      <w:numFmt w:val="decimal"/>
      <w:lvlText w:val="%4."/>
      <w:lvlJc w:val="left"/>
      <w:pPr>
        <w:ind w:left="2880" w:hanging="360"/>
      </w:pPr>
    </w:lvl>
    <w:lvl w:ilvl="4" w:tplc="0CDA87A2" w:tentative="1">
      <w:start w:val="1"/>
      <w:numFmt w:val="lowerLetter"/>
      <w:lvlText w:val="%5."/>
      <w:lvlJc w:val="left"/>
      <w:pPr>
        <w:ind w:left="3600" w:hanging="360"/>
      </w:pPr>
    </w:lvl>
    <w:lvl w:ilvl="5" w:tplc="C5C009B0" w:tentative="1">
      <w:start w:val="1"/>
      <w:numFmt w:val="lowerRoman"/>
      <w:lvlText w:val="%6."/>
      <w:lvlJc w:val="right"/>
      <w:pPr>
        <w:ind w:left="4320" w:hanging="180"/>
      </w:pPr>
    </w:lvl>
    <w:lvl w:ilvl="6" w:tplc="DF6028D4" w:tentative="1">
      <w:start w:val="1"/>
      <w:numFmt w:val="decimal"/>
      <w:lvlText w:val="%7."/>
      <w:lvlJc w:val="left"/>
      <w:pPr>
        <w:ind w:left="5040" w:hanging="360"/>
      </w:pPr>
    </w:lvl>
    <w:lvl w:ilvl="7" w:tplc="DAB61B64" w:tentative="1">
      <w:start w:val="1"/>
      <w:numFmt w:val="lowerLetter"/>
      <w:lvlText w:val="%8."/>
      <w:lvlJc w:val="left"/>
      <w:pPr>
        <w:ind w:left="5760" w:hanging="360"/>
      </w:pPr>
    </w:lvl>
    <w:lvl w:ilvl="8" w:tplc="2B6E763A" w:tentative="1">
      <w:start w:val="1"/>
      <w:numFmt w:val="lowerRoman"/>
      <w:lvlText w:val="%9."/>
      <w:lvlJc w:val="right"/>
      <w:pPr>
        <w:ind w:left="6480" w:hanging="180"/>
      </w:pPr>
    </w:lvl>
  </w:abstractNum>
  <w:abstractNum w:abstractNumId="12" w15:restartNumberingAfterBreak="0">
    <w:nsid w:val="6B3B1720"/>
    <w:multiLevelType w:val="hybridMultilevel"/>
    <w:tmpl w:val="B5FABEDC"/>
    <w:lvl w:ilvl="0" w:tplc="EF30B89E">
      <w:start w:val="1"/>
      <w:numFmt w:val="decimal"/>
      <w:lvlText w:val="%1."/>
      <w:lvlJc w:val="left"/>
      <w:pPr>
        <w:ind w:left="720" w:hanging="360"/>
      </w:pPr>
    </w:lvl>
    <w:lvl w:ilvl="1" w:tplc="0060D856" w:tentative="1">
      <w:start w:val="1"/>
      <w:numFmt w:val="lowerLetter"/>
      <w:lvlText w:val="%2."/>
      <w:lvlJc w:val="left"/>
      <w:pPr>
        <w:ind w:left="1440" w:hanging="360"/>
      </w:pPr>
    </w:lvl>
    <w:lvl w:ilvl="2" w:tplc="1C6A5AA8" w:tentative="1">
      <w:start w:val="1"/>
      <w:numFmt w:val="lowerRoman"/>
      <w:lvlText w:val="%3."/>
      <w:lvlJc w:val="right"/>
      <w:pPr>
        <w:ind w:left="2160" w:hanging="180"/>
      </w:pPr>
    </w:lvl>
    <w:lvl w:ilvl="3" w:tplc="3A04F698" w:tentative="1">
      <w:start w:val="1"/>
      <w:numFmt w:val="decimal"/>
      <w:lvlText w:val="%4."/>
      <w:lvlJc w:val="left"/>
      <w:pPr>
        <w:ind w:left="2880" w:hanging="360"/>
      </w:pPr>
    </w:lvl>
    <w:lvl w:ilvl="4" w:tplc="D5560190" w:tentative="1">
      <w:start w:val="1"/>
      <w:numFmt w:val="lowerLetter"/>
      <w:lvlText w:val="%5."/>
      <w:lvlJc w:val="left"/>
      <w:pPr>
        <w:ind w:left="3600" w:hanging="360"/>
      </w:pPr>
    </w:lvl>
    <w:lvl w:ilvl="5" w:tplc="55946EDC" w:tentative="1">
      <w:start w:val="1"/>
      <w:numFmt w:val="lowerRoman"/>
      <w:lvlText w:val="%6."/>
      <w:lvlJc w:val="right"/>
      <w:pPr>
        <w:ind w:left="4320" w:hanging="180"/>
      </w:pPr>
    </w:lvl>
    <w:lvl w:ilvl="6" w:tplc="680E6F9A" w:tentative="1">
      <w:start w:val="1"/>
      <w:numFmt w:val="decimal"/>
      <w:lvlText w:val="%7."/>
      <w:lvlJc w:val="left"/>
      <w:pPr>
        <w:ind w:left="5040" w:hanging="360"/>
      </w:pPr>
    </w:lvl>
    <w:lvl w:ilvl="7" w:tplc="DDCA4650" w:tentative="1">
      <w:start w:val="1"/>
      <w:numFmt w:val="lowerLetter"/>
      <w:lvlText w:val="%8."/>
      <w:lvlJc w:val="left"/>
      <w:pPr>
        <w:ind w:left="5760" w:hanging="360"/>
      </w:pPr>
    </w:lvl>
    <w:lvl w:ilvl="8" w:tplc="F702AE5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F1"/>
    <w:rsid w:val="000124CC"/>
    <w:rsid w:val="00041F8B"/>
    <w:rsid w:val="00046444"/>
    <w:rsid w:val="0006023B"/>
    <w:rsid w:val="0008638B"/>
    <w:rsid w:val="00090574"/>
    <w:rsid w:val="00092FC2"/>
    <w:rsid w:val="000A1677"/>
    <w:rsid w:val="000A4E73"/>
    <w:rsid w:val="000B407F"/>
    <w:rsid w:val="000C13C2"/>
    <w:rsid w:val="000C6EBB"/>
    <w:rsid w:val="000D4C64"/>
    <w:rsid w:val="000E1536"/>
    <w:rsid w:val="000E4FF0"/>
    <w:rsid w:val="000F0B1C"/>
    <w:rsid w:val="000F1D42"/>
    <w:rsid w:val="000F4D07"/>
    <w:rsid w:val="00102A03"/>
    <w:rsid w:val="001040A3"/>
    <w:rsid w:val="00120B20"/>
    <w:rsid w:val="0012559D"/>
    <w:rsid w:val="00173915"/>
    <w:rsid w:val="00204C6C"/>
    <w:rsid w:val="002056CC"/>
    <w:rsid w:val="00210841"/>
    <w:rsid w:val="0022345D"/>
    <w:rsid w:val="00225854"/>
    <w:rsid w:val="0023283D"/>
    <w:rsid w:val="002353A1"/>
    <w:rsid w:val="00252E0C"/>
    <w:rsid w:val="00253C35"/>
    <w:rsid w:val="00267D33"/>
    <w:rsid w:val="00276041"/>
    <w:rsid w:val="00276881"/>
    <w:rsid w:val="002916BE"/>
    <w:rsid w:val="002978F4"/>
    <w:rsid w:val="002B028D"/>
    <w:rsid w:val="002B435E"/>
    <w:rsid w:val="002C4DAE"/>
    <w:rsid w:val="002C689F"/>
    <w:rsid w:val="002D4C9B"/>
    <w:rsid w:val="002D4D8C"/>
    <w:rsid w:val="002D6669"/>
    <w:rsid w:val="002E466F"/>
    <w:rsid w:val="002E4F0D"/>
    <w:rsid w:val="002E6541"/>
    <w:rsid w:val="002E6603"/>
    <w:rsid w:val="002F5560"/>
    <w:rsid w:val="0030486B"/>
    <w:rsid w:val="003231B9"/>
    <w:rsid w:val="003275AC"/>
    <w:rsid w:val="00333D29"/>
    <w:rsid w:val="003409F4"/>
    <w:rsid w:val="00357185"/>
    <w:rsid w:val="003C106D"/>
    <w:rsid w:val="003C475F"/>
    <w:rsid w:val="003E4132"/>
    <w:rsid w:val="003F678F"/>
    <w:rsid w:val="00401E0A"/>
    <w:rsid w:val="0042686F"/>
    <w:rsid w:val="004367CE"/>
    <w:rsid w:val="00443869"/>
    <w:rsid w:val="00447B7F"/>
    <w:rsid w:val="004712C6"/>
    <w:rsid w:val="00497703"/>
    <w:rsid w:val="004A0DFC"/>
    <w:rsid w:val="004F0F06"/>
    <w:rsid w:val="004F0FC1"/>
    <w:rsid w:val="00501E0E"/>
    <w:rsid w:val="005204D7"/>
    <w:rsid w:val="005212A2"/>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A568F"/>
    <w:rsid w:val="006B5ADD"/>
    <w:rsid w:val="006C1556"/>
    <w:rsid w:val="006F267F"/>
    <w:rsid w:val="006F63F7"/>
    <w:rsid w:val="006F6F03"/>
    <w:rsid w:val="00706D7A"/>
    <w:rsid w:val="00726AEC"/>
    <w:rsid w:val="007530CA"/>
    <w:rsid w:val="00792FF1"/>
    <w:rsid w:val="0079553D"/>
    <w:rsid w:val="007A2118"/>
    <w:rsid w:val="007B01CC"/>
    <w:rsid w:val="007D4F32"/>
    <w:rsid w:val="007E0CEC"/>
    <w:rsid w:val="007E7C6C"/>
    <w:rsid w:val="007F6238"/>
    <w:rsid w:val="007F646C"/>
    <w:rsid w:val="00801FCD"/>
    <w:rsid w:val="00803D7E"/>
    <w:rsid w:val="00803F08"/>
    <w:rsid w:val="008235CD"/>
    <w:rsid w:val="00823A07"/>
    <w:rsid w:val="00835FEC"/>
    <w:rsid w:val="00842698"/>
    <w:rsid w:val="008513CB"/>
    <w:rsid w:val="00860565"/>
    <w:rsid w:val="00874D9C"/>
    <w:rsid w:val="008A1810"/>
    <w:rsid w:val="008B5B5D"/>
    <w:rsid w:val="008D4C07"/>
    <w:rsid w:val="008F0EF4"/>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6C8"/>
    <w:rsid w:val="00A52B61"/>
    <w:rsid w:val="00A64820"/>
    <w:rsid w:val="00A71DD6"/>
    <w:rsid w:val="00A723C7"/>
    <w:rsid w:val="00A80E11"/>
    <w:rsid w:val="00A97F94"/>
    <w:rsid w:val="00AB1309"/>
    <w:rsid w:val="00AC2C52"/>
    <w:rsid w:val="00AD1503"/>
    <w:rsid w:val="00AE7244"/>
    <w:rsid w:val="00AF0524"/>
    <w:rsid w:val="00AF3FEE"/>
    <w:rsid w:val="00B02F46"/>
    <w:rsid w:val="00B129BD"/>
    <w:rsid w:val="00B2000C"/>
    <w:rsid w:val="00B20ADE"/>
    <w:rsid w:val="00B23C4B"/>
    <w:rsid w:val="00B66B9A"/>
    <w:rsid w:val="00B82089"/>
    <w:rsid w:val="00B970AE"/>
    <w:rsid w:val="00BA1427"/>
    <w:rsid w:val="00BD0C50"/>
    <w:rsid w:val="00BE49D0"/>
    <w:rsid w:val="00BF2C38"/>
    <w:rsid w:val="00BF70B4"/>
    <w:rsid w:val="00C22F0B"/>
    <w:rsid w:val="00C23331"/>
    <w:rsid w:val="00C265DA"/>
    <w:rsid w:val="00C442F2"/>
    <w:rsid w:val="00C50041"/>
    <w:rsid w:val="00C674FE"/>
    <w:rsid w:val="00C7297D"/>
    <w:rsid w:val="00C75633"/>
    <w:rsid w:val="00C76069"/>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1CF1"/>
    <w:rsid w:val="00DA1CF0"/>
    <w:rsid w:val="00DB2271"/>
    <w:rsid w:val="00DB5659"/>
    <w:rsid w:val="00DC24B4"/>
    <w:rsid w:val="00DD7A05"/>
    <w:rsid w:val="00DF16DC"/>
    <w:rsid w:val="00DF5361"/>
    <w:rsid w:val="00E009A1"/>
    <w:rsid w:val="00E00D15"/>
    <w:rsid w:val="00E071BE"/>
    <w:rsid w:val="00E07379"/>
    <w:rsid w:val="00E1192D"/>
    <w:rsid w:val="00E14494"/>
    <w:rsid w:val="00E17033"/>
    <w:rsid w:val="00E22744"/>
    <w:rsid w:val="00E32189"/>
    <w:rsid w:val="00E45211"/>
    <w:rsid w:val="00E525DF"/>
    <w:rsid w:val="00E7380C"/>
    <w:rsid w:val="00E74BE7"/>
    <w:rsid w:val="00E86CC9"/>
    <w:rsid w:val="00E96624"/>
    <w:rsid w:val="00EA1CE4"/>
    <w:rsid w:val="00EC66F7"/>
    <w:rsid w:val="00F126F1"/>
    <w:rsid w:val="00F2106A"/>
    <w:rsid w:val="00F36D8B"/>
    <w:rsid w:val="00F401D0"/>
    <w:rsid w:val="00F45F2B"/>
    <w:rsid w:val="00F57AE4"/>
    <w:rsid w:val="00F67150"/>
    <w:rsid w:val="00F84366"/>
    <w:rsid w:val="00F85089"/>
    <w:rsid w:val="00F85564"/>
    <w:rsid w:val="00F86CFA"/>
    <w:rsid w:val="00FD2867"/>
    <w:rsid w:val="00FD58BD"/>
    <w:rsid w:val="00FE05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01D4DAF-CEC5-4B55-9418-6D5B6DA9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41"/>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53C35"/>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53C35"/>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53C35"/>
    <w:pPr>
      <w:keepNext/>
      <w:keepLines/>
      <w:spacing w:before="180"/>
      <w:ind w:firstLine="79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53C35"/>
    <w:pPr>
      <w:tabs>
        <w:tab w:val="clear" w:pos="794"/>
      </w:tabs>
      <w:spacing w:before="80"/>
      <w:ind w:left="794" w:hanging="794"/>
    </w:pPr>
  </w:style>
  <w:style w:type="character" w:customStyle="1" w:styleId="enumlev1Char">
    <w:name w:val="enumlev1 Char"/>
    <w:basedOn w:val="DefaultParagraphFont"/>
    <w:link w:val="enumlev1"/>
    <w:rsid w:val="00253C35"/>
    <w:rPr>
      <w:rFonts w:ascii="Calibri" w:eastAsia="Times New Roman" w:hAnsi="Calibri" w:cs="Traditional Arabic"/>
      <w:szCs w:val="30"/>
      <w:lang w:eastAsia="en-US"/>
    </w:rPr>
  </w:style>
  <w:style w:type="character" w:customStyle="1" w:styleId="CallChar">
    <w:name w:val="Call Char"/>
    <w:basedOn w:val="DefaultParagraphFont"/>
    <w:link w:val="Call"/>
    <w:locked/>
    <w:rsid w:val="00253C35"/>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0031/en" TargetMode="External"/><Relationship Id="rId18" Type="http://schemas.openxmlformats.org/officeDocument/2006/relationships/hyperlink" Target="https://www.itu.int/pub/S-CONF-PLEN-2015/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S16-CL-C-0028/en" TargetMode="External"/><Relationship Id="rId17" Type="http://schemas.openxmlformats.org/officeDocument/2006/relationships/hyperlink" Target="https://www.itu.int/pub/S-CONF-PLEN-2015/fr" TargetMode="External"/><Relationship Id="rId2" Type="http://schemas.openxmlformats.org/officeDocument/2006/relationships/customXml" Target="../customXml/item2.xml"/><Relationship Id="rId16" Type="http://schemas.openxmlformats.org/officeDocument/2006/relationships/hyperlink" Target="https://www.itu.int/md/S15-CL-C-003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6-CL-C-0035/en" TargetMode="External"/><Relationship Id="rId5" Type="http://schemas.openxmlformats.org/officeDocument/2006/relationships/styles" Target="styles.xml"/><Relationship Id="rId15" Type="http://schemas.openxmlformats.org/officeDocument/2006/relationships/hyperlink" Target="https://www.itu.int/md/S15-CL-C-0031/e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5-CL-C-0028/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42C706E8-8713-42AD-96D4-D0711D1A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6</TotalTime>
  <Pages>6</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8</cp:revision>
  <cp:lastPrinted>2016-06-07T13:25:00Z</cp:lastPrinted>
  <dcterms:created xsi:type="dcterms:W3CDTF">2017-05-29T12:57:00Z</dcterms:created>
  <dcterms:modified xsi:type="dcterms:W3CDTF">2017-05-29T14:37:00Z</dcterms:modified>
  <cp:category>Conference document</cp:category>
</cp:coreProperties>
</file>