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E269C" w:rsidRPr="00813E5E" w:rsidTr="000E75E8">
        <w:trPr>
          <w:cantSplit/>
        </w:trPr>
        <w:tc>
          <w:tcPr>
            <w:tcW w:w="6911" w:type="dxa"/>
          </w:tcPr>
          <w:p w:rsidR="006E269C" w:rsidRPr="00813E5E" w:rsidRDefault="006E269C" w:rsidP="002F1511">
            <w:pPr>
              <w:spacing w:before="360" w:after="48"/>
              <w:rPr>
                <w:position w:val="6"/>
              </w:rPr>
            </w:pPr>
            <w:bookmarkStart w:id="0" w:name="dc06"/>
            <w:bookmarkEnd w:id="0"/>
            <w:r w:rsidRPr="00777123">
              <w:rPr>
                <w:b/>
                <w:bCs/>
                <w:position w:val="6"/>
                <w:sz w:val="30"/>
                <w:szCs w:val="30"/>
              </w:rPr>
              <w:t>Council 201</w:t>
            </w:r>
            <w:r>
              <w:rPr>
                <w:b/>
                <w:bCs/>
                <w:position w:val="6"/>
                <w:sz w:val="30"/>
                <w:szCs w:val="30"/>
              </w:rPr>
              <w:t>7</w:t>
            </w:r>
            <w:r w:rsidRPr="00777123">
              <w:rPr>
                <w:rFonts w:cs="Times"/>
                <w:b/>
                <w:position w:val="6"/>
                <w:sz w:val="26"/>
                <w:szCs w:val="26"/>
                <w:lang w:val="en-US"/>
              </w:rPr>
              <w:br/>
            </w:r>
            <w:r w:rsidRPr="00777123">
              <w:rPr>
                <w:b/>
                <w:bCs/>
                <w:position w:val="6"/>
                <w:szCs w:val="24"/>
              </w:rPr>
              <w:t xml:space="preserve">Geneva, </w:t>
            </w:r>
            <w:r>
              <w:rPr>
                <w:b/>
                <w:bCs/>
                <w:position w:val="6"/>
                <w:szCs w:val="24"/>
              </w:rPr>
              <w:t>1</w:t>
            </w:r>
            <w:r w:rsidR="002F1511">
              <w:rPr>
                <w:b/>
                <w:bCs/>
                <w:position w:val="6"/>
                <w:szCs w:val="24"/>
              </w:rPr>
              <w:t>5</w:t>
            </w:r>
            <w:r>
              <w:rPr>
                <w:b/>
                <w:bCs/>
                <w:position w:val="6"/>
                <w:szCs w:val="24"/>
              </w:rPr>
              <w:t>-25</w:t>
            </w:r>
            <w:r w:rsidRPr="00777123">
              <w:rPr>
                <w:b/>
                <w:bCs/>
                <w:position w:val="6"/>
                <w:szCs w:val="24"/>
              </w:rPr>
              <w:t xml:space="preserve"> May </w:t>
            </w:r>
            <w:r>
              <w:rPr>
                <w:b/>
                <w:bCs/>
                <w:position w:val="6"/>
                <w:szCs w:val="24"/>
              </w:rPr>
              <w:t>2017</w:t>
            </w:r>
          </w:p>
        </w:tc>
        <w:tc>
          <w:tcPr>
            <w:tcW w:w="3120" w:type="dxa"/>
          </w:tcPr>
          <w:p w:rsidR="006E269C" w:rsidRPr="00813E5E" w:rsidRDefault="006E269C" w:rsidP="000E75E8">
            <w:pPr>
              <w:spacing w:before="0"/>
              <w:jc w:val="right"/>
            </w:pPr>
            <w:bookmarkStart w:id="1" w:name="ditulogo"/>
            <w:bookmarkEnd w:id="1"/>
            <w:r w:rsidRPr="00F21593">
              <w:rPr>
                <w:rFonts w:ascii="Verdana" w:hAnsi="Verdana"/>
                <w:noProof/>
                <w:color w:val="FFFFFF"/>
                <w:sz w:val="26"/>
                <w:szCs w:val="26"/>
                <w:lang w:val="en-US" w:eastAsia="zh-CN"/>
              </w:rPr>
              <w:drawing>
                <wp:inline distT="0" distB="0" distL="0" distR="0" wp14:anchorId="2AF51E1C" wp14:editId="1890F2EA">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6E269C" w:rsidRPr="00813E5E" w:rsidTr="000E75E8">
        <w:trPr>
          <w:cantSplit/>
        </w:trPr>
        <w:tc>
          <w:tcPr>
            <w:tcW w:w="6911" w:type="dxa"/>
            <w:tcBorders>
              <w:bottom w:val="single" w:sz="12" w:space="0" w:color="auto"/>
            </w:tcBorders>
          </w:tcPr>
          <w:p w:rsidR="006E269C" w:rsidRPr="00813E5E" w:rsidRDefault="006E269C" w:rsidP="000E75E8">
            <w:pPr>
              <w:spacing w:before="0" w:after="48"/>
              <w:rPr>
                <w:b/>
                <w:smallCaps/>
                <w:szCs w:val="24"/>
              </w:rPr>
            </w:pPr>
          </w:p>
        </w:tc>
        <w:tc>
          <w:tcPr>
            <w:tcW w:w="3120" w:type="dxa"/>
            <w:tcBorders>
              <w:bottom w:val="single" w:sz="12" w:space="0" w:color="auto"/>
            </w:tcBorders>
          </w:tcPr>
          <w:p w:rsidR="006E269C" w:rsidRPr="00813E5E" w:rsidRDefault="006E269C" w:rsidP="000E75E8">
            <w:pPr>
              <w:spacing w:before="0"/>
              <w:rPr>
                <w:szCs w:val="24"/>
              </w:rPr>
            </w:pPr>
          </w:p>
        </w:tc>
      </w:tr>
      <w:tr w:rsidR="006E269C" w:rsidRPr="00813E5E" w:rsidTr="000E75E8">
        <w:trPr>
          <w:cantSplit/>
        </w:trPr>
        <w:tc>
          <w:tcPr>
            <w:tcW w:w="6911" w:type="dxa"/>
            <w:tcBorders>
              <w:top w:val="single" w:sz="12" w:space="0" w:color="auto"/>
            </w:tcBorders>
          </w:tcPr>
          <w:p w:rsidR="006E269C" w:rsidRPr="00813E5E" w:rsidRDefault="006E269C" w:rsidP="000E75E8">
            <w:pPr>
              <w:spacing w:before="0" w:after="48"/>
              <w:rPr>
                <w:b/>
                <w:smallCaps/>
                <w:szCs w:val="24"/>
              </w:rPr>
            </w:pPr>
          </w:p>
        </w:tc>
        <w:tc>
          <w:tcPr>
            <w:tcW w:w="3120" w:type="dxa"/>
            <w:tcBorders>
              <w:top w:val="single" w:sz="12" w:space="0" w:color="auto"/>
            </w:tcBorders>
          </w:tcPr>
          <w:p w:rsidR="006E269C" w:rsidRPr="00813E5E" w:rsidRDefault="006E269C" w:rsidP="000E75E8">
            <w:pPr>
              <w:spacing w:before="0"/>
              <w:rPr>
                <w:szCs w:val="24"/>
              </w:rPr>
            </w:pPr>
          </w:p>
        </w:tc>
      </w:tr>
      <w:tr w:rsidR="006E269C" w:rsidRPr="00777123" w:rsidTr="000E75E8">
        <w:trPr>
          <w:cantSplit/>
          <w:trHeight w:val="23"/>
        </w:trPr>
        <w:tc>
          <w:tcPr>
            <w:tcW w:w="6911" w:type="dxa"/>
            <w:vMerge w:val="restart"/>
          </w:tcPr>
          <w:p w:rsidR="006E269C" w:rsidRPr="00777123" w:rsidRDefault="006E269C" w:rsidP="00C53C9A">
            <w:pPr>
              <w:tabs>
                <w:tab w:val="left" w:pos="851"/>
              </w:tabs>
              <w:spacing w:before="0"/>
              <w:rPr>
                <w:b/>
              </w:rPr>
            </w:pPr>
            <w:r>
              <w:rPr>
                <w:b/>
              </w:rPr>
              <w:t>Agenda item</w:t>
            </w:r>
            <w:r w:rsidR="00C53C9A">
              <w:rPr>
                <w:b/>
              </w:rPr>
              <w:t>: PL 1.4</w:t>
            </w:r>
          </w:p>
        </w:tc>
        <w:tc>
          <w:tcPr>
            <w:tcW w:w="3120" w:type="dxa"/>
          </w:tcPr>
          <w:p w:rsidR="006E269C" w:rsidRPr="002F1511" w:rsidRDefault="0063385F" w:rsidP="007B38AA">
            <w:pPr>
              <w:tabs>
                <w:tab w:val="left" w:pos="851"/>
              </w:tabs>
              <w:spacing w:before="0"/>
              <w:rPr>
                <w:b/>
              </w:rPr>
            </w:pPr>
            <w:r>
              <w:rPr>
                <w:b/>
              </w:rPr>
              <w:t>Revision 1 to</w:t>
            </w:r>
            <w:r>
              <w:rPr>
                <w:b/>
              </w:rPr>
              <w:br/>
            </w:r>
            <w:r w:rsidR="006E269C" w:rsidRPr="002F1511">
              <w:rPr>
                <w:b/>
              </w:rPr>
              <w:t>Document C17/</w:t>
            </w:r>
            <w:r w:rsidR="00C53C9A">
              <w:rPr>
                <w:b/>
              </w:rPr>
              <w:t>8</w:t>
            </w:r>
            <w:r w:rsidR="007B38AA">
              <w:rPr>
                <w:b/>
              </w:rPr>
              <w:t>7</w:t>
            </w:r>
            <w:r w:rsidR="002F1511" w:rsidRPr="002F1511">
              <w:rPr>
                <w:b/>
              </w:rPr>
              <w:t>-E</w:t>
            </w:r>
          </w:p>
        </w:tc>
      </w:tr>
      <w:tr w:rsidR="006E269C" w:rsidRPr="00777123" w:rsidTr="000E75E8">
        <w:trPr>
          <w:cantSplit/>
          <w:trHeight w:val="23"/>
        </w:trPr>
        <w:tc>
          <w:tcPr>
            <w:tcW w:w="6911" w:type="dxa"/>
            <w:vMerge/>
          </w:tcPr>
          <w:p w:rsidR="006E269C" w:rsidRPr="00813E5E" w:rsidRDefault="006E269C" w:rsidP="000E75E8">
            <w:pPr>
              <w:tabs>
                <w:tab w:val="left" w:pos="851"/>
              </w:tabs>
              <w:rPr>
                <w:b/>
              </w:rPr>
            </w:pPr>
          </w:p>
        </w:tc>
        <w:tc>
          <w:tcPr>
            <w:tcW w:w="3120" w:type="dxa"/>
          </w:tcPr>
          <w:p w:rsidR="006E269C" w:rsidRPr="002F1511" w:rsidRDefault="0063385F" w:rsidP="00436E02">
            <w:pPr>
              <w:tabs>
                <w:tab w:val="left" w:pos="993"/>
              </w:tabs>
              <w:spacing w:before="0"/>
              <w:rPr>
                <w:b/>
              </w:rPr>
            </w:pPr>
            <w:r>
              <w:rPr>
                <w:b/>
              </w:rPr>
              <w:t>25 May</w:t>
            </w:r>
            <w:r w:rsidR="002F1511" w:rsidRPr="002F1511">
              <w:rPr>
                <w:b/>
              </w:rPr>
              <w:t xml:space="preserve"> </w:t>
            </w:r>
            <w:r w:rsidR="006E269C" w:rsidRPr="002F1511">
              <w:rPr>
                <w:b/>
              </w:rPr>
              <w:t>2017</w:t>
            </w:r>
          </w:p>
        </w:tc>
      </w:tr>
      <w:tr w:rsidR="006E269C" w:rsidRPr="00777123" w:rsidTr="000E75E8">
        <w:trPr>
          <w:cantSplit/>
          <w:trHeight w:val="23"/>
        </w:trPr>
        <w:tc>
          <w:tcPr>
            <w:tcW w:w="6911" w:type="dxa"/>
            <w:vMerge/>
          </w:tcPr>
          <w:p w:rsidR="006E269C" w:rsidRPr="00813E5E" w:rsidRDefault="006E269C" w:rsidP="000E75E8">
            <w:pPr>
              <w:tabs>
                <w:tab w:val="left" w:pos="851"/>
              </w:tabs>
              <w:rPr>
                <w:b/>
              </w:rPr>
            </w:pPr>
          </w:p>
        </w:tc>
        <w:tc>
          <w:tcPr>
            <w:tcW w:w="3120" w:type="dxa"/>
          </w:tcPr>
          <w:p w:rsidR="006E269C" w:rsidRPr="00777123" w:rsidRDefault="006E269C" w:rsidP="006E269C">
            <w:pPr>
              <w:tabs>
                <w:tab w:val="left" w:pos="993"/>
              </w:tabs>
              <w:spacing w:before="0"/>
              <w:rPr>
                <w:b/>
              </w:rPr>
            </w:pPr>
            <w:r>
              <w:rPr>
                <w:b/>
              </w:rPr>
              <w:t>Original: English</w:t>
            </w:r>
          </w:p>
        </w:tc>
      </w:tr>
    </w:tbl>
    <w:p w:rsidR="002F1511" w:rsidRPr="002F1511" w:rsidRDefault="002F1511" w:rsidP="002F1511">
      <w:pPr>
        <w:pStyle w:val="Source"/>
      </w:pPr>
      <w:r w:rsidRPr="002F1511">
        <w:t>Note by the Secretary-General</w:t>
      </w:r>
    </w:p>
    <w:p w:rsidR="0049034A" w:rsidRPr="006E269C" w:rsidRDefault="0049034A" w:rsidP="00C53C9A">
      <w:pPr>
        <w:pStyle w:val="Title1"/>
      </w:pPr>
      <w:r w:rsidRPr="006E269C">
        <w:t xml:space="preserve">CONTRIBUTION FROM </w:t>
      </w:r>
      <w:r w:rsidR="00C53C9A">
        <w:t>THE REPUBLIC OF INDIA</w:t>
      </w:r>
      <w:r w:rsidR="0063385F">
        <w:t xml:space="preserve">, the people’s republic of bangladesh, </w:t>
      </w:r>
      <w:r w:rsidR="0051105F">
        <w:t xml:space="preserve">the federal republic of nigeria, </w:t>
      </w:r>
      <w:r w:rsidR="0063385F">
        <w:t>the republic of uganda and tunisia</w:t>
      </w:r>
    </w:p>
    <w:p w:rsidR="00945C79" w:rsidRPr="007B38AA" w:rsidRDefault="007B38AA" w:rsidP="007B38AA">
      <w:pPr>
        <w:pStyle w:val="Title1"/>
      </w:pPr>
      <w:r w:rsidRPr="007B38AA">
        <w:rPr>
          <w:rFonts w:eastAsia="Calibri"/>
        </w:rPr>
        <w:t>Proposal on IMEI Implementation In Mobile Phone Handsets To Address Security Challenges</w:t>
      </w:r>
    </w:p>
    <w:p w:rsidR="002F1511" w:rsidRPr="00403482" w:rsidRDefault="002F1511" w:rsidP="00C53C9A">
      <w:pPr>
        <w:spacing w:before="360"/>
        <w:jc w:val="both"/>
        <w:rPr>
          <w:rFonts w:asciiTheme="minorHAnsi" w:hAnsiTheme="minorHAnsi"/>
          <w:szCs w:val="24"/>
        </w:rPr>
      </w:pPr>
      <w:r w:rsidRPr="00403482">
        <w:rPr>
          <w:rFonts w:asciiTheme="minorHAnsi" w:hAnsiTheme="minorHAnsi"/>
          <w:szCs w:val="24"/>
        </w:rPr>
        <w:t xml:space="preserve">I have the honour to transmit to the Member States of the Council a contribution submitted by </w:t>
      </w:r>
      <w:r w:rsidR="000E0778" w:rsidRPr="000E0778">
        <w:rPr>
          <w:rFonts w:asciiTheme="minorHAnsi" w:hAnsiTheme="minorHAnsi"/>
          <w:b/>
          <w:bCs/>
          <w:szCs w:val="24"/>
        </w:rPr>
        <w:t xml:space="preserve">the Republic of </w:t>
      </w:r>
      <w:r w:rsidR="00C53C9A">
        <w:rPr>
          <w:rFonts w:asciiTheme="minorHAnsi" w:hAnsiTheme="minorHAnsi"/>
          <w:b/>
          <w:bCs/>
          <w:szCs w:val="24"/>
        </w:rPr>
        <w:t>India</w:t>
      </w:r>
      <w:r w:rsidR="0063385F">
        <w:rPr>
          <w:rFonts w:asciiTheme="minorHAnsi" w:hAnsiTheme="minorHAnsi"/>
          <w:b/>
          <w:bCs/>
          <w:szCs w:val="24"/>
        </w:rPr>
        <w:t xml:space="preserve">, the People’s Republic of Bangladesh, </w:t>
      </w:r>
      <w:r w:rsidR="0051105F">
        <w:rPr>
          <w:rFonts w:asciiTheme="minorHAnsi" w:hAnsiTheme="minorHAnsi"/>
          <w:b/>
          <w:bCs/>
          <w:szCs w:val="24"/>
        </w:rPr>
        <w:t xml:space="preserve">the Federal Republic of Nigeria, </w:t>
      </w:r>
      <w:r w:rsidR="0063385F">
        <w:rPr>
          <w:rFonts w:asciiTheme="minorHAnsi" w:hAnsiTheme="minorHAnsi"/>
          <w:b/>
          <w:bCs/>
          <w:szCs w:val="24"/>
        </w:rPr>
        <w:t>the Republic of Uganda and Tunisia</w:t>
      </w:r>
      <w:r w:rsidR="000E0778">
        <w:rPr>
          <w:rFonts w:asciiTheme="minorHAnsi" w:hAnsiTheme="minorHAnsi"/>
          <w:szCs w:val="24"/>
        </w:rPr>
        <w:t>.</w:t>
      </w:r>
    </w:p>
    <w:p w:rsidR="002F1511" w:rsidRPr="00403482" w:rsidRDefault="002F1511" w:rsidP="002F1511">
      <w:pPr>
        <w:spacing w:before="360"/>
        <w:jc w:val="both"/>
        <w:rPr>
          <w:rFonts w:asciiTheme="minorHAnsi" w:hAnsiTheme="minorHAnsi"/>
          <w:szCs w:val="24"/>
        </w:rPr>
      </w:pPr>
    </w:p>
    <w:p w:rsidR="002F1511" w:rsidRPr="00403482" w:rsidRDefault="002F1511" w:rsidP="002F1511">
      <w:pPr>
        <w:tabs>
          <w:tab w:val="clear" w:pos="2268"/>
          <w:tab w:val="clear" w:pos="2835"/>
          <w:tab w:val="center" w:pos="7088"/>
        </w:tabs>
      </w:pPr>
      <w:r w:rsidRPr="00403482">
        <w:tab/>
      </w:r>
      <w:r w:rsidRPr="00403482">
        <w:tab/>
      </w:r>
      <w:r w:rsidRPr="00403482">
        <w:tab/>
      </w:r>
      <w:r w:rsidRPr="00403482">
        <w:tab/>
        <w:t>Houlin ZHAO</w:t>
      </w:r>
      <w:r w:rsidRPr="00403482">
        <w:br/>
      </w:r>
      <w:r w:rsidRPr="00403482">
        <w:tab/>
      </w:r>
      <w:r w:rsidRPr="00403482">
        <w:tab/>
      </w:r>
      <w:r w:rsidRPr="00403482">
        <w:tab/>
      </w:r>
      <w:r w:rsidRPr="00403482">
        <w:tab/>
        <w:t>Secretary-General</w:t>
      </w:r>
    </w:p>
    <w:p w:rsidR="002F1511" w:rsidRPr="002F1511" w:rsidRDefault="002F1511" w:rsidP="002F1511"/>
    <w:p w:rsidR="00C53C9A" w:rsidRPr="001C08DC" w:rsidRDefault="002F1511" w:rsidP="00436E02">
      <w:pPr>
        <w:pStyle w:val="Source"/>
      </w:pPr>
      <w:r>
        <w:br w:type="page"/>
      </w:r>
      <w:r w:rsidR="00C53C9A" w:rsidRPr="001C08DC">
        <w:lastRenderedPageBreak/>
        <w:t>India (Republic of)</w:t>
      </w:r>
      <w:r w:rsidR="0063385F" w:rsidRPr="00292321">
        <w:t>, People’s Republic of Bangladesh,</w:t>
      </w:r>
      <w:r w:rsidR="0051105F">
        <w:t xml:space="preserve"> the Federal Republic of Nigeria, </w:t>
      </w:r>
      <w:bookmarkStart w:id="2" w:name="_GoBack"/>
      <w:bookmarkEnd w:id="2"/>
      <w:r w:rsidR="0063385F" w:rsidRPr="00292321">
        <w:t>Republic of Uganda, Tunis</w:t>
      </w:r>
      <w:r w:rsidR="0063385F">
        <w:t>i</w:t>
      </w:r>
      <w:r w:rsidR="0063385F" w:rsidRPr="00292321">
        <w:t>a</w:t>
      </w:r>
    </w:p>
    <w:p w:rsidR="007B38AA" w:rsidRPr="00AA6A37" w:rsidRDefault="007B38AA" w:rsidP="007B38AA">
      <w:pPr>
        <w:pStyle w:val="Title1"/>
        <w:rPr>
          <w:rFonts w:eastAsia="Calibri"/>
        </w:rPr>
      </w:pPr>
      <w:r w:rsidRPr="00AA6A37">
        <w:rPr>
          <w:rFonts w:eastAsia="Calibri"/>
        </w:rPr>
        <w:t xml:space="preserve">Proposal </w:t>
      </w:r>
      <w:r>
        <w:rPr>
          <w:rFonts w:eastAsia="Calibri"/>
        </w:rPr>
        <w:t>o</w:t>
      </w:r>
      <w:r w:rsidRPr="00AA6A37">
        <w:rPr>
          <w:rFonts w:eastAsia="Calibri"/>
        </w:rPr>
        <w:t>n I</w:t>
      </w:r>
      <w:r>
        <w:rPr>
          <w:rFonts w:eastAsia="Calibri"/>
        </w:rPr>
        <w:t>MEI</w:t>
      </w:r>
      <w:r w:rsidRPr="00AA6A37">
        <w:rPr>
          <w:rFonts w:eastAsia="Calibri"/>
        </w:rPr>
        <w:t xml:space="preserve"> Implementation In Mobile Phone Handsets To Address Security Challenges </w:t>
      </w:r>
    </w:p>
    <w:p w:rsidR="007B38AA" w:rsidRPr="007B38AA" w:rsidRDefault="007B38AA" w:rsidP="007B38AA">
      <w:pPr>
        <w:rPr>
          <w:b/>
          <w:bCs/>
          <w:sz w:val="26"/>
          <w:szCs w:val="26"/>
        </w:rPr>
      </w:pPr>
      <w:r w:rsidRPr="007B38AA">
        <w:rPr>
          <w:b/>
          <w:bCs/>
          <w:sz w:val="26"/>
          <w:szCs w:val="26"/>
        </w:rPr>
        <w:t>A.</w:t>
      </w:r>
      <w:r>
        <w:rPr>
          <w:b/>
          <w:bCs/>
          <w:sz w:val="26"/>
          <w:szCs w:val="26"/>
        </w:rPr>
        <w:tab/>
      </w:r>
      <w:r w:rsidRPr="007B38AA">
        <w:rPr>
          <w:b/>
          <w:bCs/>
          <w:sz w:val="26"/>
          <w:szCs w:val="26"/>
        </w:rPr>
        <w:t>Introduction</w:t>
      </w:r>
    </w:p>
    <w:p w:rsidR="007B38AA" w:rsidRPr="00B969C6" w:rsidRDefault="007B38AA" w:rsidP="007B38AA">
      <w:pPr>
        <w:jc w:val="both"/>
        <w:rPr>
          <w:szCs w:val="24"/>
        </w:rPr>
      </w:pPr>
      <w:r w:rsidRPr="007B38AA">
        <w:rPr>
          <w:szCs w:val="24"/>
        </w:rPr>
        <w:t>1.</w:t>
      </w:r>
      <w:r w:rsidRPr="007B38AA">
        <w:rPr>
          <w:szCs w:val="24"/>
        </w:rPr>
        <w:tab/>
      </w:r>
      <w:r w:rsidR="00B969C6">
        <w:rPr>
          <w:szCs w:val="24"/>
        </w:rPr>
        <w:t xml:space="preserve">The </w:t>
      </w:r>
      <w:r w:rsidRPr="00B969C6">
        <w:rPr>
          <w:szCs w:val="24"/>
        </w:rPr>
        <w:t xml:space="preserve">Indian administration acknowledges the efforts and role played by ITU in building confidence and security in the use of ICTs (PP Resolution 130) and with regard to international public policy issues relating to the risk of illicit use of ICTs (Resolution 174). </w:t>
      </w:r>
    </w:p>
    <w:p w:rsidR="007B38AA" w:rsidRPr="007B38AA" w:rsidRDefault="007B38AA" w:rsidP="007B38AA">
      <w:pPr>
        <w:jc w:val="both"/>
        <w:rPr>
          <w:szCs w:val="24"/>
        </w:rPr>
      </w:pPr>
      <w:r w:rsidRPr="00B969C6">
        <w:rPr>
          <w:szCs w:val="24"/>
        </w:rPr>
        <w:t>2.</w:t>
      </w:r>
      <w:r w:rsidRPr="00B969C6">
        <w:rPr>
          <w:szCs w:val="24"/>
        </w:rPr>
        <w:tab/>
        <w:t>The proposal aims to escalate the important issue on misuse of International Mobile Equipment Identity</w:t>
      </w:r>
      <w:r w:rsidRPr="007B38AA">
        <w:rPr>
          <w:szCs w:val="24"/>
        </w:rPr>
        <w:t xml:space="preserve"> (IMEI) Numbers set in mobile handsets leading to serious security threats. </w:t>
      </w:r>
      <w:r w:rsidRPr="007B38AA">
        <w:rPr>
          <w:rFonts w:cstheme="minorHAnsi"/>
          <w:szCs w:val="24"/>
        </w:rPr>
        <w:t xml:space="preserve">The IMEI is a globally unique serial number, being issued by GSM Association (GSMA), apparently </w:t>
      </w:r>
      <w:r w:rsidRPr="007B38AA">
        <w:rPr>
          <w:szCs w:val="24"/>
        </w:rPr>
        <w:t>programmed</w:t>
      </w:r>
      <w:r w:rsidRPr="007B38AA">
        <w:rPr>
          <w:rFonts w:cstheme="minorHAnsi"/>
          <w:szCs w:val="24"/>
        </w:rPr>
        <w:t xml:space="preserve"> into the Mobile Phone handsets’ memory during the production phase. IMEI </w:t>
      </w:r>
      <w:r w:rsidRPr="007B38AA">
        <w:rPr>
          <w:szCs w:val="24"/>
        </w:rPr>
        <w:t>is one of the key measures uniquely identifying the mobile handset to combat misuse of mobiles affecting security and also to combat counterfeiting, cloning</w:t>
      </w:r>
      <w:r w:rsidR="00B969C6">
        <w:rPr>
          <w:szCs w:val="24"/>
        </w:rPr>
        <w:t>,</w:t>
      </w:r>
      <w:r w:rsidRPr="007B38AA">
        <w:rPr>
          <w:szCs w:val="24"/>
        </w:rPr>
        <w:t xml:space="preserve"> etc. </w:t>
      </w:r>
    </w:p>
    <w:p w:rsidR="007B38AA" w:rsidRPr="007B38AA" w:rsidRDefault="007B38AA" w:rsidP="007B38AA">
      <w:pPr>
        <w:jc w:val="both"/>
        <w:rPr>
          <w:rFonts w:cstheme="minorHAnsi"/>
          <w:szCs w:val="24"/>
        </w:rPr>
      </w:pPr>
      <w:r w:rsidRPr="007B38AA">
        <w:rPr>
          <w:rFonts w:cstheme="minorHAnsi"/>
          <w:szCs w:val="24"/>
        </w:rPr>
        <w:t xml:space="preserve">3. </w:t>
      </w:r>
      <w:r>
        <w:rPr>
          <w:rFonts w:cstheme="minorHAnsi"/>
          <w:szCs w:val="24"/>
        </w:rPr>
        <w:tab/>
      </w:r>
      <w:r w:rsidRPr="007B38AA">
        <w:rPr>
          <w:rFonts w:cstheme="minorHAnsi"/>
          <w:szCs w:val="24"/>
        </w:rPr>
        <w:t>The proposal highlights the issue on t</w:t>
      </w:r>
      <w:r>
        <w:rPr>
          <w:rFonts w:cstheme="minorHAnsi"/>
          <w:szCs w:val="24"/>
        </w:rPr>
        <w:t>he need to make it non-programm</w:t>
      </w:r>
      <w:r w:rsidRPr="007B38AA">
        <w:rPr>
          <w:rFonts w:cstheme="minorHAnsi"/>
          <w:szCs w:val="24"/>
        </w:rPr>
        <w:t>able in the field as per the 3GPP technical specifications.</w:t>
      </w:r>
    </w:p>
    <w:p w:rsidR="007B38AA" w:rsidRPr="007B38AA" w:rsidRDefault="007B38AA" w:rsidP="007B38AA">
      <w:pPr>
        <w:rPr>
          <w:b/>
          <w:bCs/>
          <w:sz w:val="26"/>
          <w:szCs w:val="26"/>
        </w:rPr>
      </w:pPr>
      <w:r w:rsidRPr="007B38AA">
        <w:rPr>
          <w:b/>
          <w:bCs/>
          <w:sz w:val="26"/>
          <w:szCs w:val="26"/>
        </w:rPr>
        <w:t>B.</w:t>
      </w:r>
      <w:r w:rsidRPr="007B38AA">
        <w:rPr>
          <w:b/>
          <w:bCs/>
          <w:sz w:val="26"/>
          <w:szCs w:val="26"/>
        </w:rPr>
        <w:tab/>
        <w:t>Discussion</w:t>
      </w:r>
    </w:p>
    <w:p w:rsidR="007B38AA" w:rsidRPr="007B38AA" w:rsidRDefault="007B38AA" w:rsidP="00B969C6">
      <w:pPr>
        <w:jc w:val="both"/>
        <w:rPr>
          <w:color w:val="000000" w:themeColor="text1"/>
          <w:szCs w:val="24"/>
        </w:rPr>
      </w:pPr>
      <w:r>
        <w:rPr>
          <w:szCs w:val="24"/>
        </w:rPr>
        <w:t>4</w:t>
      </w:r>
      <w:r w:rsidRPr="007B38AA">
        <w:rPr>
          <w:szCs w:val="24"/>
        </w:rPr>
        <w:t>.</w:t>
      </w:r>
      <w:r>
        <w:rPr>
          <w:szCs w:val="24"/>
        </w:rPr>
        <w:tab/>
      </w:r>
      <w:r w:rsidRPr="007B38AA">
        <w:rPr>
          <w:szCs w:val="24"/>
        </w:rPr>
        <w:t>As mentioned, the IMEI</w:t>
      </w:r>
      <w:r w:rsidRPr="007B38AA">
        <w:rPr>
          <w:color w:val="FF0000"/>
          <w:szCs w:val="24"/>
        </w:rPr>
        <w:t xml:space="preserve"> </w:t>
      </w:r>
      <w:r w:rsidRPr="007B38AA">
        <w:rPr>
          <w:szCs w:val="24"/>
        </w:rPr>
        <w:t>is a unique 15-digit number used to identify mobile phones (e.g. GSM, UMTS, and LTE) in a telecom network.  This mobile device identifier is envisaged to be a globally unique number of the Mobile device but the programmability of the number makes it prone to be changed or tampered by unscrupulous users. The feasibility of IMEI programmability in Mob</w:t>
      </w:r>
      <w:r w:rsidR="00B969C6">
        <w:rPr>
          <w:szCs w:val="24"/>
        </w:rPr>
        <w:t xml:space="preserve">ile Phone Handsets has created </w:t>
      </w:r>
      <w:r w:rsidRPr="007B38AA">
        <w:rPr>
          <w:szCs w:val="24"/>
        </w:rPr>
        <w:t xml:space="preserve">vulnerability to duplicating, counterfeiting and cloning and most importantly an issue of security threat for law enforcement agencies.  </w:t>
      </w:r>
      <w:r w:rsidRPr="007B38AA">
        <w:rPr>
          <w:color w:val="000000" w:themeColor="text1"/>
          <w:szCs w:val="24"/>
        </w:rPr>
        <w:t xml:space="preserve">Further, the re-programming of the IMEI numbers with a valid IMEI number presents a practical difficulty for the Telecom Service Providers, respective global databases in maintaining the white List of unique equipment identities. </w:t>
      </w:r>
    </w:p>
    <w:p w:rsidR="007B38AA" w:rsidRPr="007B38AA" w:rsidRDefault="007B38AA" w:rsidP="00B969C6">
      <w:pPr>
        <w:jc w:val="both"/>
        <w:rPr>
          <w:rFonts w:cstheme="minorHAnsi"/>
          <w:szCs w:val="24"/>
        </w:rPr>
      </w:pPr>
      <w:r w:rsidRPr="007B38AA">
        <w:rPr>
          <w:szCs w:val="24"/>
        </w:rPr>
        <w:t xml:space="preserve">5. </w:t>
      </w:r>
      <w:r w:rsidRPr="007B38AA">
        <w:rPr>
          <w:szCs w:val="24"/>
        </w:rPr>
        <w:tab/>
        <w:t xml:space="preserve">The proposal draws the reference to </w:t>
      </w:r>
      <w:r w:rsidRPr="007B38AA">
        <w:rPr>
          <w:color w:val="000000"/>
          <w:szCs w:val="24"/>
        </w:rPr>
        <w:t xml:space="preserve">3GPP technical specifications and GSMA guidelines. The 3GPP TS 22.016 V10.0.0 released in March 2011 and also the latest 3GPP TS 22.016 V14.0.0 specifies that </w:t>
      </w:r>
      <w:r w:rsidRPr="007B38AA">
        <w:rPr>
          <w:i/>
          <w:iCs/>
          <w:color w:val="000000"/>
          <w:szCs w:val="24"/>
        </w:rPr>
        <w:t>t</w:t>
      </w:r>
      <w:r w:rsidRPr="007B38AA">
        <w:rPr>
          <w:i/>
          <w:iCs/>
          <w:szCs w:val="24"/>
        </w:rPr>
        <w:t>he</w:t>
      </w:r>
      <w:r w:rsidRPr="007B38AA">
        <w:rPr>
          <w:i/>
          <w:szCs w:val="24"/>
        </w:rPr>
        <w:t xml:space="preserve"> IMEI shall be unique and shall not be changed after the ME’s final production process. It shall resist tampering, i.e. manipulation and change, by any means (e.g. physical, electrical and software).” </w:t>
      </w:r>
      <w:r w:rsidRPr="007B38AA">
        <w:rPr>
          <w:color w:val="000000"/>
          <w:szCs w:val="24"/>
        </w:rPr>
        <w:t xml:space="preserve">Accordingly, the GSMA has also issued its guidelines. </w:t>
      </w:r>
      <w:r w:rsidRPr="007B38AA">
        <w:rPr>
          <w:rFonts w:cstheme="minorHAnsi"/>
          <w:szCs w:val="24"/>
        </w:rPr>
        <w:t xml:space="preserve">In spite of the existing 3GPP specifications and GSMA guidelines on the requirement of non programmability of IMEI after factory production, still it is considered as a child’s play to reprogram and change the IMEI code in a mobile handset in the field. </w:t>
      </w:r>
    </w:p>
    <w:p w:rsidR="007B38AA" w:rsidRPr="007B38AA" w:rsidRDefault="007B38AA" w:rsidP="00B969C6">
      <w:pPr>
        <w:jc w:val="both"/>
        <w:rPr>
          <w:szCs w:val="24"/>
        </w:rPr>
      </w:pPr>
      <w:r w:rsidRPr="007B38AA">
        <w:rPr>
          <w:szCs w:val="24"/>
        </w:rPr>
        <w:t xml:space="preserve">6. </w:t>
      </w:r>
      <w:r>
        <w:rPr>
          <w:szCs w:val="24"/>
        </w:rPr>
        <w:tab/>
      </w:r>
      <w:r w:rsidRPr="007B38AA">
        <w:rPr>
          <w:szCs w:val="24"/>
        </w:rPr>
        <w:t xml:space="preserve">Almost every administration is facing the challenge of increasing theft cases of </w:t>
      </w:r>
      <w:r w:rsidR="00B969C6">
        <w:rPr>
          <w:szCs w:val="24"/>
        </w:rPr>
        <w:t>m</w:t>
      </w:r>
      <w:r w:rsidRPr="007B38AA">
        <w:rPr>
          <w:szCs w:val="24"/>
        </w:rPr>
        <w:t xml:space="preserve">obile </w:t>
      </w:r>
      <w:r w:rsidR="00B969C6">
        <w:rPr>
          <w:szCs w:val="24"/>
        </w:rPr>
        <w:t>p</w:t>
      </w:r>
      <w:r w:rsidRPr="007B38AA">
        <w:rPr>
          <w:szCs w:val="24"/>
        </w:rPr>
        <w:t xml:space="preserve">hones, </w:t>
      </w:r>
      <w:r w:rsidR="00B969C6">
        <w:rPr>
          <w:szCs w:val="24"/>
        </w:rPr>
        <w:t>and the u</w:t>
      </w:r>
      <w:r w:rsidRPr="007B38AA">
        <w:rPr>
          <w:szCs w:val="24"/>
        </w:rPr>
        <w:t xml:space="preserve">se of illegal and non-genuine mobile handsets in the network. There are instances where several thousands of handsets are found with the same IMEI posing the issue of law &amp; order issue and also security implications.  Further, the fake and non-genuine IMEI numbers pose a major challenge in carrying out investigations.  </w:t>
      </w:r>
    </w:p>
    <w:p w:rsidR="007B38AA" w:rsidRPr="007B38AA" w:rsidRDefault="007B38AA" w:rsidP="00233CBA">
      <w:pPr>
        <w:jc w:val="both"/>
        <w:rPr>
          <w:szCs w:val="24"/>
        </w:rPr>
      </w:pPr>
      <w:r w:rsidRPr="007B38AA">
        <w:rPr>
          <w:szCs w:val="24"/>
        </w:rPr>
        <w:t>7.</w:t>
      </w:r>
      <w:r>
        <w:rPr>
          <w:szCs w:val="24"/>
        </w:rPr>
        <w:tab/>
      </w:r>
      <w:r w:rsidRPr="007B38AA">
        <w:rPr>
          <w:szCs w:val="24"/>
        </w:rPr>
        <w:t xml:space="preserve">Vide PP </w:t>
      </w:r>
      <w:r w:rsidR="00B969C6">
        <w:rPr>
          <w:szCs w:val="24"/>
        </w:rPr>
        <w:t>R</w:t>
      </w:r>
      <w:r w:rsidRPr="007B38AA">
        <w:rPr>
          <w:szCs w:val="24"/>
        </w:rPr>
        <w:t xml:space="preserve">esolution 174, the </w:t>
      </w:r>
      <w:r w:rsidR="00233CBA">
        <w:rPr>
          <w:szCs w:val="24"/>
        </w:rPr>
        <w:t>M</w:t>
      </w:r>
      <w:r w:rsidRPr="007B38AA">
        <w:rPr>
          <w:szCs w:val="24"/>
        </w:rPr>
        <w:t xml:space="preserve">ember </w:t>
      </w:r>
      <w:r w:rsidR="00233CBA">
        <w:rPr>
          <w:szCs w:val="24"/>
        </w:rPr>
        <w:t>S</w:t>
      </w:r>
      <w:r w:rsidRPr="007B38AA">
        <w:rPr>
          <w:szCs w:val="24"/>
        </w:rPr>
        <w:t xml:space="preserve">tates have recognized that </w:t>
      </w:r>
      <w:r w:rsidRPr="007B38AA">
        <w:rPr>
          <w:i/>
          <w:iCs/>
          <w:szCs w:val="24"/>
        </w:rPr>
        <w:t xml:space="preserve">global cooperation and collaboration between Member States, international organizations and all other stakeholders, are necessary in order to address and prevent the illicit use of ICTs; the moderating and facilitating role assigned to the Union under Action Line C5; that sharing information at global </w:t>
      </w:r>
      <w:r w:rsidRPr="007B38AA">
        <w:rPr>
          <w:i/>
          <w:iCs/>
          <w:szCs w:val="24"/>
        </w:rPr>
        <w:lastRenderedPageBreak/>
        <w:t>level on relevant security measures and practices is of particular value to developing countries</w:t>
      </w:r>
      <w:r w:rsidRPr="007B38AA">
        <w:rPr>
          <w:rStyle w:val="FootnoteReference"/>
          <w:i/>
          <w:iCs/>
          <w:sz w:val="24"/>
          <w:szCs w:val="24"/>
        </w:rPr>
        <w:footnoteReference w:customMarkFollows="1" w:id="1"/>
        <w:t>1</w:t>
      </w:r>
      <w:r w:rsidRPr="007B38AA">
        <w:rPr>
          <w:i/>
          <w:iCs/>
          <w:szCs w:val="24"/>
        </w:rPr>
        <w:t xml:space="preserve"> in mitigating the effects of illicit use of ICTs.</w:t>
      </w:r>
    </w:p>
    <w:p w:rsidR="007B38AA" w:rsidRPr="007B38AA" w:rsidRDefault="007B38AA" w:rsidP="007B38AA">
      <w:pPr>
        <w:jc w:val="both"/>
        <w:rPr>
          <w:szCs w:val="24"/>
        </w:rPr>
      </w:pPr>
      <w:r w:rsidRPr="007B38AA">
        <w:rPr>
          <w:szCs w:val="24"/>
        </w:rPr>
        <w:t>8.</w:t>
      </w:r>
      <w:r>
        <w:rPr>
          <w:szCs w:val="24"/>
        </w:rPr>
        <w:tab/>
      </w:r>
      <w:r w:rsidRPr="007B38AA">
        <w:rPr>
          <w:szCs w:val="24"/>
        </w:rPr>
        <w:t xml:space="preserve">The resolution notes </w:t>
      </w:r>
      <w:r w:rsidRPr="007B38AA">
        <w:rPr>
          <w:i/>
          <w:iCs/>
          <w:szCs w:val="24"/>
        </w:rPr>
        <w:t>the vulnerability of critical national infrastructures, their increasing dependence on ICTs and the threats resulting from the illicit use of ICTs.</w:t>
      </w:r>
      <w:r w:rsidRPr="007B38AA">
        <w:rPr>
          <w:szCs w:val="24"/>
        </w:rPr>
        <w:t xml:space="preserve"> It resolves </w:t>
      </w:r>
      <w:r w:rsidRPr="007B38AA">
        <w:rPr>
          <w:i/>
          <w:iCs/>
          <w:szCs w:val="24"/>
        </w:rPr>
        <w:t>to instruct the SG to raise the awareness of Member States regarding the adverse impact that may result from the illicit use of information and communication</w:t>
      </w:r>
      <w:r w:rsidRPr="007B38AA">
        <w:rPr>
          <w:szCs w:val="24"/>
        </w:rPr>
        <w:t xml:space="preserve"> </w:t>
      </w:r>
      <w:r w:rsidRPr="007B38AA">
        <w:rPr>
          <w:i/>
          <w:iCs/>
          <w:szCs w:val="24"/>
        </w:rPr>
        <w:t>resources; continue to raise awareness, within the mandate of ITU, of the need to mitigate the risks and related threats posed by illicit use of ICTs, and continue to promote cooperation among appropriate international and regional organizations.</w:t>
      </w:r>
    </w:p>
    <w:p w:rsidR="007B38AA" w:rsidRPr="007B38AA" w:rsidRDefault="007B38AA" w:rsidP="007B38AA">
      <w:pPr>
        <w:jc w:val="both"/>
        <w:rPr>
          <w:szCs w:val="24"/>
        </w:rPr>
      </w:pPr>
      <w:r w:rsidRPr="007B38AA">
        <w:rPr>
          <w:szCs w:val="24"/>
        </w:rPr>
        <w:t>9.</w:t>
      </w:r>
      <w:r>
        <w:rPr>
          <w:szCs w:val="24"/>
        </w:rPr>
        <w:tab/>
      </w:r>
      <w:r w:rsidRPr="007B38AA">
        <w:rPr>
          <w:szCs w:val="24"/>
        </w:rPr>
        <w:t xml:space="preserve">Implementation of IMEI in the handset in the factory should be such that the changing the IMEI renders the Mobile Equipment unviable if IMEI is tampered with.  </w:t>
      </w:r>
    </w:p>
    <w:p w:rsidR="007B38AA" w:rsidRPr="007B38AA" w:rsidRDefault="007B38AA" w:rsidP="007B38AA">
      <w:pPr>
        <w:jc w:val="both"/>
        <w:rPr>
          <w:b/>
          <w:bCs/>
          <w:szCs w:val="24"/>
        </w:rPr>
      </w:pPr>
      <w:r w:rsidRPr="007B38AA">
        <w:rPr>
          <w:b/>
          <w:bCs/>
          <w:szCs w:val="24"/>
        </w:rPr>
        <w:t>C.</w:t>
      </w:r>
      <w:r>
        <w:rPr>
          <w:b/>
          <w:bCs/>
          <w:szCs w:val="24"/>
        </w:rPr>
        <w:tab/>
      </w:r>
      <w:r w:rsidRPr="007B38AA">
        <w:rPr>
          <w:b/>
          <w:bCs/>
          <w:szCs w:val="24"/>
        </w:rPr>
        <w:t>Proposal</w:t>
      </w:r>
    </w:p>
    <w:p w:rsidR="007B38AA" w:rsidRPr="007B38AA" w:rsidRDefault="007B38AA" w:rsidP="00233CBA">
      <w:pPr>
        <w:jc w:val="both"/>
        <w:rPr>
          <w:szCs w:val="24"/>
        </w:rPr>
      </w:pPr>
      <w:r w:rsidRPr="007B38AA">
        <w:rPr>
          <w:szCs w:val="24"/>
        </w:rPr>
        <w:t>1</w:t>
      </w:r>
      <w:r>
        <w:rPr>
          <w:szCs w:val="24"/>
        </w:rPr>
        <w:t>0</w:t>
      </w:r>
      <w:r w:rsidRPr="007B38AA">
        <w:rPr>
          <w:szCs w:val="24"/>
        </w:rPr>
        <w:t>.</w:t>
      </w:r>
      <w:r>
        <w:rPr>
          <w:szCs w:val="24"/>
        </w:rPr>
        <w:tab/>
      </w:r>
      <w:r w:rsidRPr="007B38AA">
        <w:rPr>
          <w:szCs w:val="24"/>
        </w:rPr>
        <w:t xml:space="preserve">Implementation of the relevant specifications in true sense is essential in making the unique IMEI numbers not tamperable after production phase.  Considering the criticality and need of non-erasable, non-programmable IMEI numbers in the Mobile Phone Handsets, it is imperative to flag the issue for the attention of ITU and distinguished </w:t>
      </w:r>
      <w:r w:rsidR="00233CBA">
        <w:rPr>
          <w:szCs w:val="24"/>
        </w:rPr>
        <w:t>M</w:t>
      </w:r>
      <w:r w:rsidRPr="007B38AA">
        <w:rPr>
          <w:szCs w:val="24"/>
        </w:rPr>
        <w:t xml:space="preserve">ember </w:t>
      </w:r>
      <w:r w:rsidR="00233CBA">
        <w:rPr>
          <w:szCs w:val="24"/>
        </w:rPr>
        <w:t>S</w:t>
      </w:r>
      <w:r w:rsidRPr="007B38AA">
        <w:rPr>
          <w:szCs w:val="24"/>
        </w:rPr>
        <w:t xml:space="preserve">tates. </w:t>
      </w:r>
    </w:p>
    <w:p w:rsidR="007B38AA" w:rsidRPr="007B38AA" w:rsidRDefault="007B38AA" w:rsidP="00233CBA">
      <w:pPr>
        <w:jc w:val="both"/>
        <w:rPr>
          <w:szCs w:val="24"/>
        </w:rPr>
      </w:pPr>
      <w:r>
        <w:rPr>
          <w:szCs w:val="24"/>
        </w:rPr>
        <w:t>11.</w:t>
      </w:r>
      <w:r>
        <w:rPr>
          <w:szCs w:val="24"/>
        </w:rPr>
        <w:tab/>
      </w:r>
      <w:r w:rsidRPr="007B38AA">
        <w:rPr>
          <w:szCs w:val="24"/>
        </w:rPr>
        <w:t>ITU is requested to take up with GSMA and other relevant organizations on the issue of implementing the guidelines due to security implications involved in the matter to make IMEI not changeable after the Mobile Equipment’s final production process. It shall resist tampering, i.e. manipulation and change, by any means (e.g. physical, electrical and software) as prescribed.</w:t>
      </w:r>
    </w:p>
    <w:p w:rsidR="007B38AA" w:rsidRPr="007B38AA" w:rsidRDefault="007B38AA" w:rsidP="007B38AA">
      <w:pPr>
        <w:jc w:val="both"/>
        <w:rPr>
          <w:szCs w:val="24"/>
        </w:rPr>
      </w:pPr>
      <w:r>
        <w:rPr>
          <w:szCs w:val="24"/>
        </w:rPr>
        <w:t>12</w:t>
      </w:r>
      <w:r w:rsidRPr="007B38AA">
        <w:rPr>
          <w:szCs w:val="24"/>
        </w:rPr>
        <w:t>.</w:t>
      </w:r>
      <w:r>
        <w:rPr>
          <w:szCs w:val="24"/>
        </w:rPr>
        <w:tab/>
      </w:r>
      <w:r w:rsidRPr="007B38AA">
        <w:rPr>
          <w:szCs w:val="24"/>
        </w:rPr>
        <w:t>Member States are kindly invited and exhorted to take necessary measures to address the global menace of programmability of IMEIs in the field by suitably taking up the issue with Service Providers and mobile manufactures through necessary policy framework to mitigate the misuse as elaborated above.</w:t>
      </w:r>
    </w:p>
    <w:p w:rsidR="007B38AA" w:rsidRPr="007B38AA" w:rsidRDefault="007B38AA" w:rsidP="00233CBA">
      <w:pPr>
        <w:jc w:val="both"/>
        <w:rPr>
          <w:szCs w:val="24"/>
        </w:rPr>
      </w:pPr>
      <w:r>
        <w:rPr>
          <w:szCs w:val="24"/>
        </w:rPr>
        <w:t>13</w:t>
      </w:r>
      <w:r w:rsidRPr="007B38AA">
        <w:rPr>
          <w:szCs w:val="24"/>
        </w:rPr>
        <w:t>.</w:t>
      </w:r>
      <w:r>
        <w:rPr>
          <w:szCs w:val="24"/>
        </w:rPr>
        <w:tab/>
      </w:r>
      <w:r w:rsidR="00233CBA">
        <w:rPr>
          <w:szCs w:val="24"/>
        </w:rPr>
        <w:t xml:space="preserve">The </w:t>
      </w:r>
      <w:r w:rsidRPr="007B38AA">
        <w:rPr>
          <w:szCs w:val="24"/>
        </w:rPr>
        <w:t>Telecom</w:t>
      </w:r>
      <w:r w:rsidR="00233CBA">
        <w:rPr>
          <w:szCs w:val="24"/>
        </w:rPr>
        <w:t>munication</w:t>
      </w:r>
      <w:r w:rsidRPr="007B38AA">
        <w:rPr>
          <w:szCs w:val="24"/>
        </w:rPr>
        <w:t xml:space="preserve"> Standardization Bureau</w:t>
      </w:r>
      <w:r w:rsidR="00233CBA">
        <w:rPr>
          <w:szCs w:val="24"/>
        </w:rPr>
        <w:t xml:space="preserve"> of</w:t>
      </w:r>
      <w:r w:rsidRPr="007B38AA">
        <w:rPr>
          <w:szCs w:val="24"/>
        </w:rPr>
        <w:t xml:space="preserve"> ITU may study the issue to address the challenges of implementation of 3GPP technical specification and may provide necessary guidance in the matter.</w:t>
      </w:r>
    </w:p>
    <w:p w:rsidR="001E1A10" w:rsidRDefault="001E1A10" w:rsidP="001E1A10">
      <w:pPr>
        <w:jc w:val="both"/>
        <w:rPr>
          <w:szCs w:val="24"/>
        </w:rPr>
      </w:pPr>
    </w:p>
    <w:p w:rsidR="001E1A10" w:rsidRPr="001E1A10" w:rsidRDefault="001E1A10" w:rsidP="001E1A10">
      <w:pPr>
        <w:jc w:val="center"/>
        <w:rPr>
          <w:szCs w:val="24"/>
          <w:u w:val="single"/>
        </w:rPr>
      </w:pPr>
      <w:r>
        <w:rPr>
          <w:szCs w:val="24"/>
          <w:u w:val="single"/>
        </w:rPr>
        <w:t>                                     </w:t>
      </w:r>
    </w:p>
    <w:sectPr w:rsidR="001E1A10" w:rsidRPr="001E1A10" w:rsidSect="000E0778">
      <w:headerReference w:type="default" r:id="rId8"/>
      <w:footerReference w:type="first" r:id="rId9"/>
      <w:pgSz w:w="11907" w:h="16839"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32A" w:rsidRDefault="002B632A" w:rsidP="00B23B66">
      <w:pPr>
        <w:spacing w:before="0"/>
      </w:pPr>
      <w:r>
        <w:separator/>
      </w:r>
    </w:p>
  </w:endnote>
  <w:endnote w:type="continuationSeparator" w:id="0">
    <w:p w:rsidR="002B632A" w:rsidRDefault="002B632A" w:rsidP="00B23B6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778" w:rsidRDefault="000E0778" w:rsidP="000E0778">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32A" w:rsidRDefault="002B632A" w:rsidP="00B23B66">
      <w:pPr>
        <w:spacing w:before="0"/>
      </w:pPr>
      <w:r>
        <w:separator/>
      </w:r>
    </w:p>
  </w:footnote>
  <w:footnote w:type="continuationSeparator" w:id="0">
    <w:p w:rsidR="002B632A" w:rsidRDefault="002B632A" w:rsidP="00B23B66">
      <w:pPr>
        <w:spacing w:before="0"/>
      </w:pPr>
      <w:r>
        <w:continuationSeparator/>
      </w:r>
    </w:p>
  </w:footnote>
  <w:footnote w:id="1">
    <w:p w:rsidR="007B38AA" w:rsidRPr="00FF6E8F" w:rsidRDefault="007B38AA" w:rsidP="007B38AA">
      <w:pPr>
        <w:tabs>
          <w:tab w:val="left" w:pos="284"/>
        </w:tabs>
        <w:ind w:left="284" w:hanging="284"/>
        <w:jc w:val="both"/>
      </w:pPr>
      <w:r>
        <w:rPr>
          <w:rStyle w:val="FootnoteReference"/>
        </w:rPr>
        <w:t>1</w:t>
      </w:r>
      <w:r>
        <w:tab/>
        <w:t xml:space="preserve">These include the least developed countries, small island developing </w:t>
      </w:r>
      <w:r w:rsidRPr="005B481A">
        <w:rPr>
          <w:sz w:val="26"/>
          <w:szCs w:val="26"/>
        </w:rPr>
        <w:t>states</w:t>
      </w:r>
      <w:r>
        <w:t>,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011103"/>
      <w:docPartObj>
        <w:docPartGallery w:val="Page Numbers (Top of Page)"/>
        <w:docPartUnique/>
      </w:docPartObj>
    </w:sdtPr>
    <w:sdtEndPr>
      <w:rPr>
        <w:noProof/>
        <w:sz w:val="20"/>
      </w:rPr>
    </w:sdtEndPr>
    <w:sdtContent>
      <w:p w:rsidR="000E0778" w:rsidRPr="000E0778" w:rsidRDefault="000E0778" w:rsidP="000E0778">
        <w:pPr>
          <w:pStyle w:val="Header"/>
          <w:jc w:val="center"/>
          <w:rPr>
            <w:sz w:val="20"/>
          </w:rPr>
        </w:pPr>
        <w:r w:rsidRPr="000E0778">
          <w:rPr>
            <w:sz w:val="20"/>
          </w:rPr>
          <w:fldChar w:fldCharType="begin"/>
        </w:r>
        <w:r w:rsidRPr="000E0778">
          <w:rPr>
            <w:sz w:val="20"/>
          </w:rPr>
          <w:instrText xml:space="preserve"> PAGE   \* MERGEFORMAT </w:instrText>
        </w:r>
        <w:r w:rsidRPr="000E0778">
          <w:rPr>
            <w:sz w:val="20"/>
          </w:rPr>
          <w:fldChar w:fldCharType="separate"/>
        </w:r>
        <w:r w:rsidR="00436E02">
          <w:rPr>
            <w:noProof/>
            <w:sz w:val="20"/>
          </w:rPr>
          <w:t>2</w:t>
        </w:r>
        <w:r w:rsidRPr="000E0778">
          <w:rPr>
            <w:noProof/>
            <w:sz w:val="20"/>
          </w:rPr>
          <w:fldChar w:fldCharType="end"/>
        </w:r>
      </w:p>
    </w:sdtContent>
  </w:sdt>
  <w:p w:rsidR="000E0778" w:rsidRPr="00436E02" w:rsidRDefault="000E0778" w:rsidP="007B38AA">
    <w:pPr>
      <w:pStyle w:val="Header"/>
      <w:jc w:val="center"/>
      <w:rPr>
        <w:sz w:val="20"/>
        <w:lang w:val="es-ES_tradnl"/>
      </w:rPr>
    </w:pPr>
    <w:r w:rsidRPr="00436E02">
      <w:rPr>
        <w:sz w:val="20"/>
        <w:lang w:val="es-ES_tradnl"/>
      </w:rPr>
      <w:t>C17/</w:t>
    </w:r>
    <w:r w:rsidR="007B38AA" w:rsidRPr="00436E02">
      <w:rPr>
        <w:sz w:val="20"/>
        <w:lang w:val="es-ES_tradnl"/>
      </w:rPr>
      <w:t>8</w:t>
    </w:r>
    <w:r w:rsidRPr="00436E02">
      <w:rPr>
        <w:sz w:val="20"/>
        <w:lang w:val="es-ES_tradnl"/>
      </w:rPr>
      <w:t>7</w:t>
    </w:r>
    <w:r w:rsidR="0063385F" w:rsidRPr="00436E02">
      <w:rPr>
        <w:sz w:val="20"/>
        <w:lang w:val="es-ES_tradnl"/>
      </w:rPr>
      <w:t>(Rev.</w:t>
    </w:r>
    <w:r w:rsidR="0063385F">
      <w:rPr>
        <w:sz w:val="20"/>
        <w:lang w:val="es-ES_tradnl"/>
      </w:rPr>
      <w:t>1)</w:t>
    </w:r>
    <w:r w:rsidRPr="00436E02">
      <w:rPr>
        <w:sz w:val="20"/>
        <w:lang w:val="es-ES_tradnl"/>
      </w:rPr>
      <w:t>-E</w:t>
    </w:r>
  </w:p>
  <w:p w:rsidR="000E0778" w:rsidRPr="00436E02" w:rsidRDefault="000E0778" w:rsidP="000E0778">
    <w:pPr>
      <w:pStyle w:val="Header"/>
      <w:jc w:val="center"/>
      <w:rPr>
        <w:sz w:val="20"/>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3C678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7CAD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F0E6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0CF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7CA1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96B6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5C72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7A07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D696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B22B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7A1AE3"/>
    <w:multiLevelType w:val="multilevel"/>
    <w:tmpl w:val="5E82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B76626"/>
    <w:multiLevelType w:val="multilevel"/>
    <w:tmpl w:val="2F8A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B63988"/>
    <w:multiLevelType w:val="multilevel"/>
    <w:tmpl w:val="A430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877D3A"/>
    <w:multiLevelType w:val="hybridMultilevel"/>
    <w:tmpl w:val="CF6C057C"/>
    <w:lvl w:ilvl="0" w:tplc="15E8B2E6">
      <w:start w:val="1"/>
      <w:numFmt w:val="lowerRoman"/>
      <w:lvlText w:val="%1."/>
      <w:lvlJc w:val="left"/>
      <w:pPr>
        <w:ind w:left="1462" w:hanging="72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14" w15:restartNumberingAfterBreak="0">
    <w:nsid w:val="53A413CD"/>
    <w:multiLevelType w:val="hybridMultilevel"/>
    <w:tmpl w:val="0EB6C49E"/>
    <w:lvl w:ilvl="0" w:tplc="97C020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6316B0"/>
    <w:multiLevelType w:val="multilevel"/>
    <w:tmpl w:val="14B2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BA48F6"/>
    <w:multiLevelType w:val="hybridMultilevel"/>
    <w:tmpl w:val="5FEA0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4C4D4A"/>
    <w:multiLevelType w:val="hybridMultilevel"/>
    <w:tmpl w:val="CF6C057C"/>
    <w:lvl w:ilvl="0" w:tplc="15E8B2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1"/>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3"/>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B66"/>
    <w:rsid w:val="00056403"/>
    <w:rsid w:val="000D04F8"/>
    <w:rsid w:val="000E0778"/>
    <w:rsid w:val="00157C4A"/>
    <w:rsid w:val="001D245E"/>
    <w:rsid w:val="001E1A10"/>
    <w:rsid w:val="001E6054"/>
    <w:rsid w:val="00233CBA"/>
    <w:rsid w:val="002B632A"/>
    <w:rsid w:val="002C38E9"/>
    <w:rsid w:val="002F1511"/>
    <w:rsid w:val="003421CD"/>
    <w:rsid w:val="003D131B"/>
    <w:rsid w:val="003E0A2E"/>
    <w:rsid w:val="003F090F"/>
    <w:rsid w:val="00436E02"/>
    <w:rsid w:val="0046365E"/>
    <w:rsid w:val="0049034A"/>
    <w:rsid w:val="0051105F"/>
    <w:rsid w:val="005679A2"/>
    <w:rsid w:val="005B6269"/>
    <w:rsid w:val="0062065B"/>
    <w:rsid w:val="00621C1D"/>
    <w:rsid w:val="0063385F"/>
    <w:rsid w:val="0069131F"/>
    <w:rsid w:val="006A5B21"/>
    <w:rsid w:val="006E1680"/>
    <w:rsid w:val="006E269C"/>
    <w:rsid w:val="007B38AA"/>
    <w:rsid w:val="007B4AF8"/>
    <w:rsid w:val="008205B9"/>
    <w:rsid w:val="008227D1"/>
    <w:rsid w:val="008B1623"/>
    <w:rsid w:val="008B186B"/>
    <w:rsid w:val="008F6041"/>
    <w:rsid w:val="0090612D"/>
    <w:rsid w:val="00945C79"/>
    <w:rsid w:val="00963F94"/>
    <w:rsid w:val="0099746C"/>
    <w:rsid w:val="009A3A1F"/>
    <w:rsid w:val="00B23B66"/>
    <w:rsid w:val="00B55E3D"/>
    <w:rsid w:val="00B969C6"/>
    <w:rsid w:val="00C521DC"/>
    <w:rsid w:val="00C53C9A"/>
    <w:rsid w:val="00C6790C"/>
    <w:rsid w:val="00DE5C6C"/>
    <w:rsid w:val="00DE6CA1"/>
    <w:rsid w:val="00E33EA4"/>
    <w:rsid w:val="00E50829"/>
    <w:rsid w:val="00EE2F44"/>
    <w:rsid w:val="00F920A4"/>
    <w:rsid w:val="00FC4A3A"/>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447031-1B04-49E0-81F2-D499B14A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B66"/>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en-GB"/>
    </w:rPr>
  </w:style>
  <w:style w:type="paragraph" w:styleId="Heading1">
    <w:name w:val="heading 1"/>
    <w:basedOn w:val="Normal"/>
    <w:next w:val="Normal"/>
    <w:link w:val="Heading1Char"/>
    <w:uiPriority w:val="99"/>
    <w:qFormat/>
    <w:rsid w:val="00B23B66"/>
    <w:pPr>
      <w:keepNext/>
      <w:keepLines/>
      <w:spacing w:before="480"/>
      <w:ind w:left="567" w:hanging="567"/>
      <w:outlineLvl w:val="0"/>
    </w:pPr>
    <w:rPr>
      <w:b/>
      <w:sz w:val="28"/>
    </w:rPr>
  </w:style>
  <w:style w:type="paragraph" w:styleId="Heading3">
    <w:name w:val="heading 3"/>
    <w:basedOn w:val="Normal"/>
    <w:next w:val="Normal"/>
    <w:link w:val="Heading3Char"/>
    <w:uiPriority w:val="9"/>
    <w:semiHidden/>
    <w:unhideWhenUsed/>
    <w:qFormat/>
    <w:rsid w:val="00C53C9A"/>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23B66"/>
    <w:rPr>
      <w:rFonts w:ascii="Calibri" w:eastAsia="Times New Roman" w:hAnsi="Calibri" w:cs="Times New Roman"/>
      <w:b/>
      <w:sz w:val="28"/>
      <w:szCs w:val="20"/>
      <w:lang w:val="en-GB"/>
    </w:rPr>
  </w:style>
  <w:style w:type="character" w:styleId="FootnoteReference">
    <w:name w:val="footnote reference"/>
    <w:aliases w:val="Appel note de bas de p,Footnote Reference/,Footnote symbol,Ref,de nota al pie"/>
    <w:basedOn w:val="DefaultParagraphFont"/>
    <w:rsid w:val="00B23B66"/>
    <w:rPr>
      <w:rFonts w:ascii="Calibri" w:hAnsi="Calibri"/>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ACMA Footnote Text,DNV-"/>
    <w:basedOn w:val="Normal"/>
    <w:link w:val="FootnoteTextChar"/>
    <w:rsid w:val="00B23B66"/>
    <w:pPr>
      <w:keepLines/>
      <w:tabs>
        <w:tab w:val="left" w:pos="256"/>
      </w:tabs>
      <w:ind w:left="256" w:hanging="256"/>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ACMA Footnote Text Char"/>
    <w:basedOn w:val="DefaultParagraphFont"/>
    <w:link w:val="FootnoteText"/>
    <w:rsid w:val="00B23B66"/>
    <w:rPr>
      <w:rFonts w:ascii="Calibri" w:eastAsia="Times New Roman" w:hAnsi="Calibri" w:cs="Times New Roman"/>
      <w:sz w:val="24"/>
      <w:szCs w:val="20"/>
      <w:lang w:val="en-GB"/>
    </w:rPr>
  </w:style>
  <w:style w:type="paragraph" w:customStyle="1" w:styleId="enumlev1">
    <w:name w:val="enumlev1"/>
    <w:basedOn w:val="Normal"/>
    <w:rsid w:val="00B23B66"/>
    <w:pPr>
      <w:spacing w:before="86"/>
      <w:ind w:left="567" w:hanging="567"/>
    </w:pPr>
  </w:style>
  <w:style w:type="paragraph" w:customStyle="1" w:styleId="Source">
    <w:name w:val="Source"/>
    <w:basedOn w:val="Normal"/>
    <w:next w:val="Title1"/>
    <w:autoRedefine/>
    <w:uiPriority w:val="99"/>
    <w:rsid w:val="002F1511"/>
    <w:pPr>
      <w:spacing w:before="840"/>
      <w:jc w:val="center"/>
    </w:pPr>
    <w:rPr>
      <w:b/>
      <w:sz w:val="28"/>
    </w:rPr>
  </w:style>
  <w:style w:type="paragraph" w:customStyle="1" w:styleId="Title1">
    <w:name w:val="Title 1"/>
    <w:basedOn w:val="Source"/>
    <w:next w:val="Normal"/>
    <w:uiPriority w:val="99"/>
    <w:rsid w:val="00B23B66"/>
    <w:pPr>
      <w:spacing w:before="240"/>
    </w:pPr>
    <w:rPr>
      <w:b w:val="0"/>
      <w:caps/>
    </w:rPr>
  </w:style>
  <w:style w:type="paragraph" w:customStyle="1" w:styleId="AnnexNo">
    <w:name w:val="Annex_No"/>
    <w:basedOn w:val="Normal"/>
    <w:next w:val="Normal"/>
    <w:link w:val="AnnexNoChar"/>
    <w:rsid w:val="00B23B66"/>
    <w:pPr>
      <w:spacing w:before="720"/>
      <w:jc w:val="center"/>
    </w:pPr>
    <w:rPr>
      <w:caps/>
      <w:sz w:val="28"/>
    </w:rPr>
  </w:style>
  <w:style w:type="character" w:customStyle="1" w:styleId="AnnexNoChar">
    <w:name w:val="Annex_No Char"/>
    <w:basedOn w:val="DefaultParagraphFont"/>
    <w:link w:val="AnnexNo"/>
    <w:rsid w:val="00B23B66"/>
    <w:rPr>
      <w:rFonts w:ascii="Calibri" w:eastAsia="Times New Roman" w:hAnsi="Calibri" w:cs="Times New Roman"/>
      <w:caps/>
      <w:sz w:val="28"/>
      <w:szCs w:val="20"/>
      <w:lang w:val="en-GB"/>
    </w:rPr>
  </w:style>
  <w:style w:type="paragraph" w:customStyle="1" w:styleId="xmsonormal">
    <w:name w:val="x_msonormal"/>
    <w:basedOn w:val="Normal"/>
    <w:rsid w:val="00C521DC"/>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lt-LT" w:eastAsia="lt-LT"/>
    </w:rPr>
  </w:style>
  <w:style w:type="paragraph" w:customStyle="1" w:styleId="xmsolistparagraph">
    <w:name w:val="x_msolistparagraph"/>
    <w:basedOn w:val="Normal"/>
    <w:rsid w:val="00C521DC"/>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lt-LT" w:eastAsia="lt-LT"/>
    </w:rPr>
  </w:style>
  <w:style w:type="paragraph" w:styleId="BalloonText">
    <w:name w:val="Balloon Text"/>
    <w:basedOn w:val="Normal"/>
    <w:link w:val="BalloonTextChar"/>
    <w:uiPriority w:val="99"/>
    <w:semiHidden/>
    <w:unhideWhenUsed/>
    <w:rsid w:val="006E269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69C"/>
    <w:rPr>
      <w:rFonts w:ascii="Tahoma" w:eastAsia="Times New Roman" w:hAnsi="Tahoma" w:cs="Tahoma"/>
      <w:sz w:val="16"/>
      <w:szCs w:val="16"/>
      <w:lang w:val="en-GB"/>
    </w:rPr>
  </w:style>
  <w:style w:type="paragraph" w:styleId="Header">
    <w:name w:val="header"/>
    <w:basedOn w:val="Normal"/>
    <w:link w:val="HeaderChar"/>
    <w:uiPriority w:val="99"/>
    <w:unhideWhenUsed/>
    <w:rsid w:val="000E0778"/>
    <w:pPr>
      <w:tabs>
        <w:tab w:val="clear" w:pos="567"/>
        <w:tab w:val="clear" w:pos="1134"/>
        <w:tab w:val="clear" w:pos="1701"/>
        <w:tab w:val="clear" w:pos="2268"/>
        <w:tab w:val="clear" w:pos="2835"/>
        <w:tab w:val="center" w:pos="4680"/>
        <w:tab w:val="right" w:pos="9360"/>
      </w:tabs>
      <w:spacing w:before="0"/>
    </w:pPr>
  </w:style>
  <w:style w:type="character" w:customStyle="1" w:styleId="HeaderChar">
    <w:name w:val="Header Char"/>
    <w:basedOn w:val="DefaultParagraphFont"/>
    <w:link w:val="Header"/>
    <w:uiPriority w:val="99"/>
    <w:rsid w:val="000E0778"/>
    <w:rPr>
      <w:rFonts w:ascii="Calibri" w:eastAsia="Times New Roman" w:hAnsi="Calibri" w:cs="Times New Roman"/>
      <w:sz w:val="24"/>
      <w:szCs w:val="20"/>
      <w:lang w:val="en-GB"/>
    </w:rPr>
  </w:style>
  <w:style w:type="paragraph" w:styleId="Footer">
    <w:name w:val="footer"/>
    <w:basedOn w:val="Normal"/>
    <w:link w:val="FooterChar"/>
    <w:uiPriority w:val="99"/>
    <w:unhideWhenUsed/>
    <w:rsid w:val="000E0778"/>
    <w:pPr>
      <w:tabs>
        <w:tab w:val="clear" w:pos="567"/>
        <w:tab w:val="clear" w:pos="1134"/>
        <w:tab w:val="clear" w:pos="1701"/>
        <w:tab w:val="clear" w:pos="2268"/>
        <w:tab w:val="clear" w:pos="2835"/>
        <w:tab w:val="center" w:pos="4680"/>
        <w:tab w:val="right" w:pos="9360"/>
      </w:tabs>
      <w:spacing w:before="0"/>
    </w:pPr>
  </w:style>
  <w:style w:type="character" w:customStyle="1" w:styleId="FooterChar">
    <w:name w:val="Footer Char"/>
    <w:basedOn w:val="DefaultParagraphFont"/>
    <w:link w:val="Footer"/>
    <w:uiPriority w:val="99"/>
    <w:rsid w:val="000E0778"/>
    <w:rPr>
      <w:rFonts w:ascii="Calibri" w:eastAsia="Times New Roman" w:hAnsi="Calibri" w:cs="Times New Roman"/>
      <w:sz w:val="24"/>
      <w:szCs w:val="20"/>
      <w:lang w:val="en-GB"/>
    </w:rPr>
  </w:style>
  <w:style w:type="character" w:styleId="Hyperlink">
    <w:name w:val="Hyperlink"/>
    <w:basedOn w:val="DefaultParagraphFont"/>
    <w:rsid w:val="000E0778"/>
    <w:rPr>
      <w:color w:val="0000FF"/>
      <w:u w:val="single"/>
    </w:rPr>
  </w:style>
  <w:style w:type="character" w:customStyle="1" w:styleId="Heading3Char">
    <w:name w:val="Heading 3 Char"/>
    <w:basedOn w:val="DefaultParagraphFont"/>
    <w:link w:val="Heading3"/>
    <w:uiPriority w:val="9"/>
    <w:semiHidden/>
    <w:rsid w:val="00C53C9A"/>
    <w:rPr>
      <w:rFonts w:asciiTheme="majorHAnsi" w:eastAsiaTheme="majorEastAsia" w:hAnsiTheme="majorHAnsi" w:cstheme="majorBidi"/>
      <w:color w:val="1F4D78" w:themeColor="accent1" w:themeShade="7F"/>
      <w:sz w:val="24"/>
      <w:szCs w:val="24"/>
      <w:lang w:val="en-GB"/>
    </w:rPr>
  </w:style>
  <w:style w:type="paragraph" w:styleId="ListParagraph">
    <w:name w:val="List Paragraph"/>
    <w:basedOn w:val="Normal"/>
    <w:uiPriority w:val="34"/>
    <w:qFormat/>
    <w:rsid w:val="00C53C9A"/>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rPr>
  </w:style>
  <w:style w:type="paragraph" w:styleId="NoSpacing">
    <w:name w:val="No Spacing"/>
    <w:uiPriority w:val="1"/>
    <w:qFormat/>
    <w:rsid w:val="00C53C9A"/>
    <w:pPr>
      <w:spacing w:after="0" w:line="240" w:lineRule="auto"/>
    </w:pPr>
    <w:rPr>
      <w:rFonts w:eastAsiaTheme="minorEastAsia"/>
      <w:lang w:val="en-US"/>
    </w:rPr>
  </w:style>
  <w:style w:type="character" w:styleId="Emphasis">
    <w:name w:val="Emphasis"/>
    <w:basedOn w:val="DefaultParagraphFont"/>
    <w:uiPriority w:val="20"/>
    <w:qFormat/>
    <w:rsid w:val="00C53C9A"/>
    <w:rPr>
      <w:i/>
      <w:iCs/>
    </w:rPr>
  </w:style>
  <w:style w:type="character" w:customStyle="1" w:styleId="apple-converted-space">
    <w:name w:val="apple-converted-space"/>
    <w:basedOn w:val="DefaultParagraphFont"/>
    <w:rsid w:val="00C53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40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5366</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C17/76</vt:lpstr>
      <vt:lpstr/>
    </vt:vector>
  </TitlesOfParts>
  <Company>Bundesverwaltung</Company>
  <LinksUpToDate>false</LinksUpToDate>
  <CharactersWithSpaces>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C17/76</dc:title>
  <dc:creator>author</dc:creator>
  <cp:lastModifiedBy>Janin</cp:lastModifiedBy>
  <cp:revision>2</cp:revision>
  <dcterms:created xsi:type="dcterms:W3CDTF">2017-05-26T13:08:00Z</dcterms:created>
  <dcterms:modified xsi:type="dcterms:W3CDTF">2017-05-26T13:08:00Z</dcterms:modified>
</cp:coreProperties>
</file>