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7088"/>
        <w:gridCol w:w="3085"/>
      </w:tblGrid>
      <w:tr w:rsidR="00520F36" w:rsidRPr="006E6FB9" w14:paraId="49519A89" w14:textId="77777777" w:rsidTr="00C5657F">
        <w:trPr>
          <w:cantSplit/>
        </w:trPr>
        <w:tc>
          <w:tcPr>
            <w:tcW w:w="7088" w:type="dxa"/>
          </w:tcPr>
          <w:p w14:paraId="046AB71E" w14:textId="77777777" w:rsidR="00520F36" w:rsidRPr="006E6FB9" w:rsidRDefault="00520F36" w:rsidP="00FF0A61">
            <w:pPr>
              <w:spacing w:before="360"/>
            </w:pPr>
            <w:bookmarkStart w:id="0" w:name="dc06"/>
            <w:bookmarkEnd w:id="0"/>
            <w:r w:rsidRPr="006E6FB9">
              <w:rPr>
                <w:b/>
                <w:bCs/>
                <w:sz w:val="30"/>
                <w:szCs w:val="30"/>
              </w:rPr>
              <w:t>Conseil 2017</w:t>
            </w:r>
            <w:r w:rsidRPr="006E6FB9">
              <w:rPr>
                <w:rFonts w:ascii="Verdana" w:hAnsi="Verdana"/>
                <w:b/>
                <w:bCs/>
                <w:sz w:val="26"/>
                <w:szCs w:val="26"/>
              </w:rPr>
              <w:br/>
            </w:r>
            <w:r w:rsidRPr="006E6FB9">
              <w:rPr>
                <w:b/>
                <w:bCs/>
                <w:szCs w:val="24"/>
              </w:rPr>
              <w:t>Genève, 15-25 mai 2017</w:t>
            </w:r>
          </w:p>
        </w:tc>
        <w:tc>
          <w:tcPr>
            <w:tcW w:w="3085" w:type="dxa"/>
          </w:tcPr>
          <w:p w14:paraId="0CFFB864" w14:textId="77777777" w:rsidR="00520F36" w:rsidRPr="006E6FB9" w:rsidRDefault="00520F36" w:rsidP="00FF0A61">
            <w:pPr>
              <w:spacing w:before="0"/>
              <w:jc w:val="right"/>
            </w:pPr>
            <w:bookmarkStart w:id="1" w:name="ditulogo"/>
            <w:bookmarkEnd w:id="1"/>
            <w:r w:rsidRPr="006E6FB9">
              <w:rPr>
                <w:rFonts w:cstheme="minorHAnsi"/>
                <w:b/>
                <w:bCs/>
                <w:noProof/>
                <w:lang w:val="en-US" w:eastAsia="zh-CN"/>
              </w:rPr>
              <w:drawing>
                <wp:inline distT="0" distB="0" distL="0" distR="0" wp14:anchorId="6625B725" wp14:editId="4FF0019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E6FB9" w14:paraId="462E2551" w14:textId="77777777" w:rsidTr="00C5657F">
        <w:trPr>
          <w:cantSplit/>
          <w:trHeight w:val="20"/>
        </w:trPr>
        <w:tc>
          <w:tcPr>
            <w:tcW w:w="7088" w:type="dxa"/>
            <w:tcBorders>
              <w:bottom w:val="single" w:sz="12" w:space="0" w:color="auto"/>
            </w:tcBorders>
            <w:vAlign w:val="center"/>
          </w:tcPr>
          <w:p w14:paraId="5AA25B2D" w14:textId="77777777" w:rsidR="00520F36" w:rsidRPr="006E6FB9" w:rsidRDefault="00520F36" w:rsidP="00FF0A61">
            <w:pPr>
              <w:spacing w:before="0"/>
              <w:rPr>
                <w:b/>
                <w:bCs/>
                <w:sz w:val="26"/>
                <w:szCs w:val="26"/>
              </w:rPr>
            </w:pPr>
          </w:p>
        </w:tc>
        <w:tc>
          <w:tcPr>
            <w:tcW w:w="3085" w:type="dxa"/>
            <w:tcBorders>
              <w:bottom w:val="single" w:sz="12" w:space="0" w:color="auto"/>
            </w:tcBorders>
          </w:tcPr>
          <w:p w14:paraId="2190AC49" w14:textId="77777777" w:rsidR="00520F36" w:rsidRPr="006E6FB9" w:rsidRDefault="00520F36" w:rsidP="00FF0A61">
            <w:pPr>
              <w:spacing w:before="0"/>
              <w:rPr>
                <w:b/>
                <w:bCs/>
              </w:rPr>
            </w:pPr>
          </w:p>
        </w:tc>
      </w:tr>
      <w:tr w:rsidR="00520F36" w:rsidRPr="006E6FB9" w14:paraId="7B6A51F9" w14:textId="77777777" w:rsidTr="00F473C7">
        <w:trPr>
          <w:cantSplit/>
          <w:trHeight w:val="20"/>
        </w:trPr>
        <w:tc>
          <w:tcPr>
            <w:tcW w:w="7088" w:type="dxa"/>
            <w:tcBorders>
              <w:top w:val="single" w:sz="12" w:space="0" w:color="auto"/>
            </w:tcBorders>
          </w:tcPr>
          <w:p w14:paraId="735A6220" w14:textId="77777777" w:rsidR="00520F36" w:rsidRPr="006E6FB9" w:rsidRDefault="00520F36" w:rsidP="00FF0A61">
            <w:pPr>
              <w:spacing w:before="0"/>
              <w:rPr>
                <w:smallCaps/>
                <w:sz w:val="22"/>
              </w:rPr>
            </w:pPr>
          </w:p>
        </w:tc>
        <w:tc>
          <w:tcPr>
            <w:tcW w:w="3085" w:type="dxa"/>
            <w:tcBorders>
              <w:top w:val="single" w:sz="12" w:space="0" w:color="auto"/>
            </w:tcBorders>
          </w:tcPr>
          <w:p w14:paraId="6D734D53" w14:textId="77777777" w:rsidR="00520F36" w:rsidRPr="006E6FB9" w:rsidRDefault="00520F36" w:rsidP="00FF0A61">
            <w:pPr>
              <w:spacing w:before="0"/>
              <w:rPr>
                <w:b/>
                <w:bCs/>
              </w:rPr>
            </w:pPr>
          </w:p>
        </w:tc>
      </w:tr>
      <w:tr w:rsidR="00520F36" w:rsidRPr="006E6FB9" w14:paraId="64D8ECE0" w14:textId="77777777" w:rsidTr="00F473C7">
        <w:trPr>
          <w:cantSplit/>
          <w:trHeight w:val="20"/>
        </w:trPr>
        <w:tc>
          <w:tcPr>
            <w:tcW w:w="7088" w:type="dxa"/>
            <w:vMerge w:val="restart"/>
          </w:tcPr>
          <w:p w14:paraId="38D7C228" w14:textId="43100A0E" w:rsidR="00520F36" w:rsidRPr="006E6FB9" w:rsidRDefault="00A54D2A" w:rsidP="00FF0A61">
            <w:pPr>
              <w:spacing w:before="0"/>
              <w:rPr>
                <w:rFonts w:cs="Times"/>
                <w:b/>
                <w:bCs/>
                <w:szCs w:val="24"/>
              </w:rPr>
            </w:pPr>
            <w:bookmarkStart w:id="2" w:name="dnum" w:colFirst="1" w:colLast="1"/>
            <w:bookmarkStart w:id="3" w:name="dmeeting" w:colFirst="0" w:colLast="0"/>
            <w:r w:rsidRPr="006E6FB9">
              <w:rPr>
                <w:rFonts w:cs="Times"/>
                <w:b/>
                <w:bCs/>
                <w:szCs w:val="24"/>
              </w:rPr>
              <w:t>Point</w:t>
            </w:r>
            <w:r w:rsidR="00F810AF" w:rsidRPr="006E6FB9">
              <w:rPr>
                <w:rFonts w:cs="Times"/>
                <w:b/>
                <w:bCs/>
                <w:szCs w:val="24"/>
              </w:rPr>
              <w:t>s</w:t>
            </w:r>
            <w:r w:rsidRPr="006E6FB9">
              <w:rPr>
                <w:rFonts w:cs="Times"/>
                <w:b/>
                <w:bCs/>
                <w:szCs w:val="24"/>
              </w:rPr>
              <w:t xml:space="preserve"> de l'ordre du jour: PL 1.8, 1.15, 1.16, 3.1, 4.1; ADM 1.1, 1.2, 17</w:t>
            </w:r>
          </w:p>
        </w:tc>
        <w:tc>
          <w:tcPr>
            <w:tcW w:w="3085" w:type="dxa"/>
          </w:tcPr>
          <w:p w14:paraId="48404662" w14:textId="77777777" w:rsidR="00520F36" w:rsidRPr="006E6FB9" w:rsidRDefault="00520F36" w:rsidP="00FF0A61">
            <w:pPr>
              <w:spacing w:before="0"/>
              <w:rPr>
                <w:b/>
                <w:bCs/>
              </w:rPr>
            </w:pPr>
            <w:r w:rsidRPr="006E6FB9">
              <w:rPr>
                <w:b/>
                <w:bCs/>
              </w:rPr>
              <w:t>Document C17/</w:t>
            </w:r>
            <w:r w:rsidR="00A54D2A" w:rsidRPr="006E6FB9">
              <w:rPr>
                <w:b/>
                <w:bCs/>
              </w:rPr>
              <w:t>111</w:t>
            </w:r>
            <w:r w:rsidRPr="006E6FB9">
              <w:rPr>
                <w:b/>
                <w:bCs/>
              </w:rPr>
              <w:t>-F</w:t>
            </w:r>
          </w:p>
        </w:tc>
      </w:tr>
      <w:tr w:rsidR="00520F36" w:rsidRPr="006E6FB9" w14:paraId="3CD52C38" w14:textId="77777777" w:rsidTr="00F473C7">
        <w:trPr>
          <w:cantSplit/>
          <w:trHeight w:val="20"/>
        </w:trPr>
        <w:tc>
          <w:tcPr>
            <w:tcW w:w="7088" w:type="dxa"/>
            <w:vMerge/>
          </w:tcPr>
          <w:p w14:paraId="71042DF4" w14:textId="77777777" w:rsidR="00520F36" w:rsidRPr="006E6FB9" w:rsidRDefault="00520F36" w:rsidP="00FF0A61">
            <w:pPr>
              <w:shd w:val="solid" w:color="FFFFFF" w:fill="FFFFFF"/>
              <w:spacing w:before="180"/>
              <w:rPr>
                <w:smallCaps/>
              </w:rPr>
            </w:pPr>
            <w:bookmarkStart w:id="4" w:name="ddate" w:colFirst="1" w:colLast="1"/>
            <w:bookmarkEnd w:id="2"/>
            <w:bookmarkEnd w:id="3"/>
          </w:p>
        </w:tc>
        <w:tc>
          <w:tcPr>
            <w:tcW w:w="3085" w:type="dxa"/>
          </w:tcPr>
          <w:p w14:paraId="4863EF03" w14:textId="77777777" w:rsidR="00520F36" w:rsidRPr="006E6FB9" w:rsidRDefault="00A54D2A" w:rsidP="00FF0A61">
            <w:pPr>
              <w:spacing w:before="0"/>
              <w:rPr>
                <w:b/>
                <w:bCs/>
              </w:rPr>
            </w:pPr>
            <w:r w:rsidRPr="006E6FB9">
              <w:rPr>
                <w:b/>
                <w:bCs/>
              </w:rPr>
              <w:t>2 mai</w:t>
            </w:r>
            <w:r w:rsidR="00520F36" w:rsidRPr="006E6FB9">
              <w:rPr>
                <w:b/>
                <w:bCs/>
              </w:rPr>
              <w:t xml:space="preserve"> 2017</w:t>
            </w:r>
          </w:p>
        </w:tc>
      </w:tr>
      <w:tr w:rsidR="00520F36" w:rsidRPr="006E6FB9" w14:paraId="1D562C81" w14:textId="77777777" w:rsidTr="00F473C7">
        <w:trPr>
          <w:cantSplit/>
          <w:trHeight w:val="20"/>
        </w:trPr>
        <w:tc>
          <w:tcPr>
            <w:tcW w:w="7088" w:type="dxa"/>
            <w:vMerge/>
          </w:tcPr>
          <w:p w14:paraId="590E29EC" w14:textId="77777777" w:rsidR="00520F36" w:rsidRPr="006E6FB9" w:rsidRDefault="00520F36" w:rsidP="00FF0A61">
            <w:pPr>
              <w:shd w:val="solid" w:color="FFFFFF" w:fill="FFFFFF"/>
              <w:spacing w:before="180"/>
              <w:rPr>
                <w:smallCaps/>
              </w:rPr>
            </w:pPr>
            <w:bookmarkStart w:id="5" w:name="dorlang" w:colFirst="1" w:colLast="1"/>
            <w:bookmarkEnd w:id="4"/>
          </w:p>
        </w:tc>
        <w:tc>
          <w:tcPr>
            <w:tcW w:w="3085" w:type="dxa"/>
          </w:tcPr>
          <w:p w14:paraId="0F6B2AD0" w14:textId="77777777" w:rsidR="00520F36" w:rsidRPr="006E6FB9" w:rsidRDefault="00520F36" w:rsidP="00FF0A61">
            <w:pPr>
              <w:spacing w:before="0"/>
              <w:rPr>
                <w:b/>
                <w:bCs/>
              </w:rPr>
            </w:pPr>
            <w:r w:rsidRPr="006E6FB9">
              <w:rPr>
                <w:b/>
                <w:bCs/>
              </w:rPr>
              <w:t>Original: anglais</w:t>
            </w:r>
          </w:p>
        </w:tc>
      </w:tr>
      <w:tr w:rsidR="00520F36" w:rsidRPr="006E6FB9" w14:paraId="356428FF" w14:textId="77777777">
        <w:trPr>
          <w:cantSplit/>
        </w:trPr>
        <w:tc>
          <w:tcPr>
            <w:tcW w:w="10173" w:type="dxa"/>
            <w:gridSpan w:val="2"/>
          </w:tcPr>
          <w:p w14:paraId="0DF61A85" w14:textId="77777777" w:rsidR="00520F36" w:rsidRPr="006E6FB9" w:rsidRDefault="00A54D2A" w:rsidP="00FF0A61">
            <w:pPr>
              <w:pStyle w:val="Source"/>
            </w:pPr>
            <w:bookmarkStart w:id="6" w:name="dsource" w:colFirst="0" w:colLast="0"/>
            <w:bookmarkEnd w:id="5"/>
            <w:r w:rsidRPr="006E6FB9">
              <w:t>Rapport du Secrétaire général</w:t>
            </w:r>
          </w:p>
        </w:tc>
      </w:tr>
      <w:tr w:rsidR="00520F36" w:rsidRPr="006E6FB9" w14:paraId="47510551" w14:textId="77777777">
        <w:trPr>
          <w:cantSplit/>
        </w:trPr>
        <w:tc>
          <w:tcPr>
            <w:tcW w:w="10173" w:type="dxa"/>
            <w:gridSpan w:val="2"/>
          </w:tcPr>
          <w:p w14:paraId="5E859FD1" w14:textId="006F2741" w:rsidR="00520F36" w:rsidRPr="006E6FB9" w:rsidRDefault="00A54D2A" w:rsidP="006E014E">
            <w:pPr>
              <w:pStyle w:val="Title1"/>
            </w:pPr>
            <w:bookmarkStart w:id="7" w:name="dtitle1" w:colFirst="0" w:colLast="0"/>
            <w:bookmarkEnd w:id="6"/>
            <w:r w:rsidRPr="006E6FB9">
              <w:t xml:space="preserve">CONCLUSIONS </w:t>
            </w:r>
            <w:r w:rsidR="00F810AF" w:rsidRPr="006E6FB9">
              <w:t xml:space="preserve">de la réunion du groupe consultatif </w:t>
            </w:r>
            <w:r w:rsidR="006E014E">
              <w:t>des </w:t>
            </w:r>
            <w:r w:rsidRPr="006E6FB9">
              <w:t>RADIOCOMMUNICATION</w:t>
            </w:r>
            <w:r w:rsidR="00F810AF" w:rsidRPr="006E6FB9">
              <w:t>s</w:t>
            </w:r>
            <w:r w:rsidRPr="006E6FB9">
              <w:t xml:space="preserve"> </w:t>
            </w:r>
          </w:p>
        </w:tc>
      </w:tr>
      <w:bookmarkEnd w:id="7"/>
    </w:tbl>
    <w:p w14:paraId="0A45DFF4" w14:textId="77777777" w:rsidR="00520F36" w:rsidRPr="006E6FB9" w:rsidRDefault="00520F36" w:rsidP="00FF0A6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E6FB9" w14:paraId="57F387E0" w14:textId="77777777" w:rsidTr="001B4642">
        <w:trPr>
          <w:trHeight w:val="2794"/>
        </w:trPr>
        <w:tc>
          <w:tcPr>
            <w:tcW w:w="8080" w:type="dxa"/>
            <w:tcBorders>
              <w:top w:val="single" w:sz="12" w:space="0" w:color="auto"/>
              <w:left w:val="single" w:sz="12" w:space="0" w:color="auto"/>
              <w:bottom w:val="single" w:sz="12" w:space="0" w:color="auto"/>
              <w:right w:val="single" w:sz="12" w:space="0" w:color="auto"/>
            </w:tcBorders>
          </w:tcPr>
          <w:p w14:paraId="35AD39DB" w14:textId="77777777" w:rsidR="00520F36" w:rsidRPr="006E6FB9" w:rsidRDefault="00520F36" w:rsidP="00FF0A61">
            <w:pPr>
              <w:pStyle w:val="Headingb"/>
            </w:pPr>
            <w:r w:rsidRPr="006E6FB9">
              <w:t>Résumé</w:t>
            </w:r>
          </w:p>
          <w:p w14:paraId="58BC07FE" w14:textId="7A1BD77D" w:rsidR="0028048F" w:rsidRPr="006E6FB9" w:rsidRDefault="0028048F" w:rsidP="00FF0A61">
            <w:r w:rsidRPr="006E6FB9">
              <w:t>Le Groupe consultatif des r</w:t>
            </w:r>
            <w:r w:rsidR="00A54D2A" w:rsidRPr="006E6FB9">
              <w:t>adiocommunication</w:t>
            </w:r>
            <w:r w:rsidRPr="006E6FB9">
              <w:t>s</w:t>
            </w:r>
            <w:r w:rsidR="00A54D2A" w:rsidRPr="006E6FB9">
              <w:t xml:space="preserve"> (</w:t>
            </w:r>
            <w:r w:rsidRPr="006E6FB9">
              <w:t>GCR</w:t>
            </w:r>
            <w:r w:rsidR="00A54D2A" w:rsidRPr="006E6FB9">
              <w:t xml:space="preserve">) </w:t>
            </w:r>
            <w:r w:rsidR="00453D4E">
              <w:t>s'est réuni à Genève du </w:t>
            </w:r>
            <w:r w:rsidR="00A54D2A" w:rsidRPr="006E6FB9">
              <w:t>26</w:t>
            </w:r>
            <w:r w:rsidRPr="006E6FB9">
              <w:t xml:space="preserve"> au </w:t>
            </w:r>
            <w:r w:rsidR="00A54D2A" w:rsidRPr="006E6FB9">
              <w:t xml:space="preserve">28 </w:t>
            </w:r>
            <w:r w:rsidRPr="006E6FB9">
              <w:t>avril </w:t>
            </w:r>
            <w:r w:rsidR="00A54D2A" w:rsidRPr="006E6FB9">
              <w:t xml:space="preserve">2017. </w:t>
            </w:r>
            <w:r w:rsidRPr="006E6FB9">
              <w:t xml:space="preserve">L'objet de ce document est de </w:t>
            </w:r>
            <w:r w:rsidR="00B67208" w:rsidRPr="006E6FB9">
              <w:t>faire rapport sur</w:t>
            </w:r>
            <w:r w:rsidRPr="006E6FB9">
              <w:t xml:space="preserve"> les conclusions de cette réunion qui se rapportent à l'ordre du jour du Conseil, comme demandé par le GCR.</w:t>
            </w:r>
          </w:p>
          <w:p w14:paraId="4F1552C8" w14:textId="77777777" w:rsidR="00520F36" w:rsidRPr="006E6FB9" w:rsidRDefault="00520F36" w:rsidP="00FF0A61">
            <w:pPr>
              <w:pStyle w:val="Headingb"/>
            </w:pPr>
            <w:r w:rsidRPr="006E6FB9">
              <w:t>Suite à donner</w:t>
            </w:r>
          </w:p>
          <w:p w14:paraId="00159B4D" w14:textId="38560B0D" w:rsidR="00520F36" w:rsidRPr="006E6FB9" w:rsidRDefault="0028048F" w:rsidP="00FF0A61">
            <w:r w:rsidRPr="006E6FB9">
              <w:t xml:space="preserve">Le Conseil est invité à </w:t>
            </w:r>
            <w:r w:rsidRPr="006E6FB9">
              <w:rPr>
                <w:b/>
                <w:bCs/>
              </w:rPr>
              <w:t>prendre note</w:t>
            </w:r>
            <w:r w:rsidRPr="006E6FB9">
              <w:t xml:space="preserve"> du présent rapport.</w:t>
            </w:r>
          </w:p>
        </w:tc>
      </w:tr>
    </w:tbl>
    <w:p w14:paraId="0D19C897" w14:textId="32876693" w:rsidR="00AB261F" w:rsidRDefault="00A54D2A" w:rsidP="00FF0A61">
      <w:pPr>
        <w:pStyle w:val="Heading1"/>
      </w:pPr>
      <w:r w:rsidRPr="006E6FB9">
        <w:t>1</w:t>
      </w:r>
      <w:r w:rsidRPr="006E6FB9">
        <w:tab/>
      </w:r>
      <w:r w:rsidR="0028048F" w:rsidRPr="006E6FB9">
        <w:t>Rap</w:t>
      </w:r>
      <w:r w:rsidR="00AB261F" w:rsidRPr="006E6FB9">
        <w:t xml:space="preserve">port </w:t>
      </w:r>
      <w:r w:rsidR="0028048F" w:rsidRPr="006E6FB9">
        <w:t xml:space="preserve">sur </w:t>
      </w:r>
      <w:r w:rsidR="0028048F" w:rsidRPr="00FF0A61">
        <w:t>l'avancement</w:t>
      </w:r>
      <w:r w:rsidR="0028048F" w:rsidRPr="006E6FB9">
        <w:t xml:space="preserve"> du projet </w:t>
      </w:r>
      <w:r w:rsidR="00AB261F" w:rsidRPr="006E6FB9">
        <w:t xml:space="preserve">Varembé-2 </w:t>
      </w:r>
      <w:r w:rsidR="00892492" w:rsidRPr="006E6FB9">
        <w:t xml:space="preserve">de locaux </w:t>
      </w:r>
      <w:r w:rsidR="00EF6606" w:rsidRPr="006E6FB9">
        <w:t xml:space="preserve">du </w:t>
      </w:r>
      <w:r w:rsidR="00892492" w:rsidRPr="006E6FB9">
        <w:t>siège de l'Union</w:t>
      </w:r>
      <w:r w:rsidR="00AB261F" w:rsidRPr="006E6FB9">
        <w:t>: s</w:t>
      </w:r>
      <w:r w:rsidR="00EF6606" w:rsidRPr="006E6FB9">
        <w:t xml:space="preserve">ituation et spécifications détaillées </w:t>
      </w:r>
      <w:r w:rsidR="00AB261F" w:rsidRPr="006E6FB9">
        <w:t>(</w:t>
      </w:r>
      <w:r w:rsidR="00892492" w:rsidRPr="006E6FB9">
        <w:rPr>
          <w:i/>
          <w:iCs/>
        </w:rPr>
        <w:t>Décision</w:t>
      </w:r>
      <w:r w:rsidR="00892492" w:rsidRPr="006E6FB9">
        <w:t xml:space="preserve"> </w:t>
      </w:r>
      <w:r w:rsidR="00AB261F" w:rsidRPr="006E6FB9">
        <w:rPr>
          <w:i/>
          <w:iCs/>
        </w:rPr>
        <w:t>D 588</w:t>
      </w:r>
      <w:r w:rsidR="00AB261F" w:rsidRPr="006E6FB9">
        <w:t>) (</w:t>
      </w:r>
      <w:r w:rsidR="00892492" w:rsidRPr="006E6FB9">
        <w:rPr>
          <w:i/>
          <w:iCs/>
        </w:rPr>
        <w:t xml:space="preserve">point </w:t>
      </w:r>
      <w:r w:rsidR="00AB261F" w:rsidRPr="006E6FB9">
        <w:rPr>
          <w:i/>
          <w:iCs/>
        </w:rPr>
        <w:t>1.8</w:t>
      </w:r>
      <w:r w:rsidR="00892492" w:rsidRPr="006E6FB9">
        <w:rPr>
          <w:i/>
          <w:iCs/>
        </w:rPr>
        <w:t xml:space="preserve"> de l'ordre du jour du Conseil 2017</w:t>
      </w:r>
      <w:r w:rsidR="00AB261F" w:rsidRPr="006E6FB9">
        <w:t>)</w:t>
      </w:r>
    </w:p>
    <w:p w14:paraId="6EF032DB" w14:textId="4516E6A9" w:rsidR="0025465F" w:rsidRPr="006E6FB9" w:rsidRDefault="001E6C40" w:rsidP="00FF0A61">
      <w:r w:rsidRPr="006E6FB9">
        <w:t xml:space="preserve">Le GCR a pris note du </w:t>
      </w:r>
      <w:r w:rsidR="00A54D2A" w:rsidRPr="006E6FB9">
        <w:t>r</w:t>
      </w:r>
      <w:r w:rsidRPr="006E6FB9">
        <w:t>ap</w:t>
      </w:r>
      <w:r w:rsidR="00A54D2A" w:rsidRPr="006E6FB9">
        <w:t xml:space="preserve">port </w:t>
      </w:r>
      <w:r w:rsidRPr="006E6FB9">
        <w:t>sur les activités des commissions d'études de l'UIT</w:t>
      </w:r>
      <w:r w:rsidR="00A54D2A" w:rsidRPr="006E6FB9">
        <w:t xml:space="preserve">-R, </w:t>
      </w:r>
      <w:r w:rsidRPr="006E6FB9">
        <w:t>en particulie</w:t>
      </w:r>
      <w:r w:rsidR="00A54D2A" w:rsidRPr="006E6FB9">
        <w:t xml:space="preserve">r </w:t>
      </w:r>
      <w:r w:rsidR="0025465F" w:rsidRPr="006E6FB9">
        <w:t xml:space="preserve">de l'augmentation de la </w:t>
      </w:r>
      <w:r w:rsidR="00A54D2A" w:rsidRPr="006E6FB9">
        <w:t xml:space="preserve">participation </w:t>
      </w:r>
      <w:r w:rsidR="0025465F" w:rsidRPr="006E6FB9">
        <w:t xml:space="preserve">aux réunions des commissions d'études et des problèmes </w:t>
      </w:r>
      <w:r w:rsidR="00536BC1" w:rsidRPr="006E6FB9">
        <w:t>logistiques</w:t>
      </w:r>
      <w:r w:rsidR="0025465F" w:rsidRPr="006E6FB9">
        <w:t xml:space="preserve"> qui en découlent concernant la disponibilité de salles de taille adéquate</w:t>
      </w:r>
      <w:r w:rsidR="00A54D2A" w:rsidRPr="006E6FB9">
        <w:t xml:space="preserve">. </w:t>
      </w:r>
      <w:r w:rsidR="00B67208" w:rsidRPr="006E6FB9">
        <w:t>De l'avis du</w:t>
      </w:r>
      <w:r w:rsidR="006E014E">
        <w:t> </w:t>
      </w:r>
      <w:r w:rsidR="0025465F" w:rsidRPr="006E6FB9">
        <w:t>GCR</w:t>
      </w:r>
      <w:r w:rsidR="00B67208" w:rsidRPr="006E6FB9">
        <w:t xml:space="preserve">, il convient de mettre en place </w:t>
      </w:r>
      <w:r w:rsidR="0025465F" w:rsidRPr="006E6FB9">
        <w:t xml:space="preserve">un mécanisme à l'échelle de l'UIT </w:t>
      </w:r>
      <w:r w:rsidR="0037107D" w:rsidRPr="006E6FB9">
        <w:t xml:space="preserve">afin de disposer de </w:t>
      </w:r>
      <w:r w:rsidR="0025465F" w:rsidRPr="006E6FB9">
        <w:t xml:space="preserve">salles </w:t>
      </w:r>
      <w:r w:rsidR="0037107D" w:rsidRPr="006E6FB9">
        <w:t xml:space="preserve">adéquates </w:t>
      </w:r>
      <w:r w:rsidR="0025465F" w:rsidRPr="006E6FB9">
        <w:t xml:space="preserve">pour les activités statutaires principales de l'UIT. La question </w:t>
      </w:r>
      <w:r w:rsidR="0037107D" w:rsidRPr="006E6FB9">
        <w:t>de la disponibilité de</w:t>
      </w:r>
      <w:r w:rsidR="0025465F" w:rsidRPr="006E6FB9">
        <w:t xml:space="preserve"> salles pour les réunions officielles de l'UIT </w:t>
      </w:r>
      <w:r w:rsidR="0037107D" w:rsidRPr="006E6FB9">
        <w:t xml:space="preserve">risque de </w:t>
      </w:r>
      <w:r w:rsidR="0025465F" w:rsidRPr="006E6FB9">
        <w:t xml:space="preserve">devenir plus </w:t>
      </w:r>
      <w:r w:rsidR="00B67208" w:rsidRPr="006E6FB9">
        <w:t>pressante</w:t>
      </w:r>
      <w:r w:rsidR="0025465F" w:rsidRPr="006E6FB9">
        <w:t xml:space="preserve"> lorsque les locaux du </w:t>
      </w:r>
      <w:r w:rsidR="0037107D" w:rsidRPr="006E6FB9">
        <w:t>s</w:t>
      </w:r>
      <w:r w:rsidR="0025465F" w:rsidRPr="006E6FB9">
        <w:t>iège s</w:t>
      </w:r>
      <w:r w:rsidR="0037107D" w:rsidRPr="006E6FB9">
        <w:t>er</w:t>
      </w:r>
      <w:r w:rsidR="0025465F" w:rsidRPr="006E6FB9">
        <w:t>ont reconfigurés</w:t>
      </w:r>
      <w:r w:rsidR="0037107D" w:rsidRPr="006E6FB9">
        <w:t>,</w:t>
      </w:r>
      <w:r w:rsidR="0025465F" w:rsidRPr="006E6FB9">
        <w:t xml:space="preserve"> </w:t>
      </w:r>
      <w:r w:rsidR="0037107D" w:rsidRPr="006E6FB9">
        <w:t>d'où l'importance</w:t>
      </w:r>
      <w:r w:rsidR="0025465F" w:rsidRPr="006E6FB9">
        <w:t xml:space="preserve"> de tenir compte de la nécessité de disposer de salles </w:t>
      </w:r>
      <w:r w:rsidR="0037107D" w:rsidRPr="006E6FB9">
        <w:t xml:space="preserve">adéquates </w:t>
      </w:r>
      <w:r w:rsidR="0025465F" w:rsidRPr="006E6FB9">
        <w:t xml:space="preserve">dans le </w:t>
      </w:r>
      <w:r w:rsidR="0037107D" w:rsidRPr="006E6FB9">
        <w:t xml:space="preserve">cahier des charges du </w:t>
      </w:r>
      <w:r w:rsidR="0025465F" w:rsidRPr="006E6FB9">
        <w:t>nouveau bâtiment de l'UIT.</w:t>
      </w:r>
    </w:p>
    <w:p w14:paraId="334DDDF1" w14:textId="33F99400" w:rsidR="00A54D2A" w:rsidRPr="006E6FB9" w:rsidRDefault="00A54D2A" w:rsidP="00FF0A61">
      <w:pPr>
        <w:pStyle w:val="Heading1"/>
      </w:pPr>
      <w:r w:rsidRPr="006E6FB9">
        <w:t>2</w:t>
      </w:r>
      <w:r w:rsidRPr="006E6FB9">
        <w:tab/>
      </w:r>
      <w:r w:rsidR="0037107D" w:rsidRPr="006E6FB9">
        <w:t>Rôle de l'UIT en tant qu'autorité de surveillance du système international d'inscription pour les biens spatiaux</w:t>
      </w:r>
      <w:r w:rsidR="0010699E" w:rsidRPr="006E6FB9">
        <w:t>,</w:t>
      </w:r>
      <w:r w:rsidR="0037107D" w:rsidRPr="006E6FB9">
        <w:t xml:space="preserve"> conformément au </w:t>
      </w:r>
      <w:r w:rsidR="0010699E" w:rsidRPr="006E6FB9">
        <w:t xml:space="preserve">projet de </w:t>
      </w:r>
      <w:r w:rsidR="0037107D" w:rsidRPr="006E6FB9">
        <w:t>protocole portant sur les biens spatiaux</w:t>
      </w:r>
      <w:r w:rsidRPr="006E6FB9">
        <w:rPr>
          <w:rFonts w:asciiTheme="minorHAnsi" w:hAnsiTheme="minorHAnsi" w:cs="Calibri"/>
          <w:color w:val="000000"/>
          <w:szCs w:val="24"/>
          <w:lang w:eastAsia="zh-CN"/>
        </w:rPr>
        <w:t xml:space="preserve"> </w:t>
      </w:r>
      <w:r w:rsidRPr="006E6FB9">
        <w:rPr>
          <w:rFonts w:asciiTheme="minorHAnsi" w:hAnsiTheme="minorHAnsi" w:cs="Calibri"/>
          <w:i/>
          <w:iCs/>
          <w:color w:val="000000"/>
          <w:szCs w:val="24"/>
          <w:lang w:eastAsia="zh-CN"/>
        </w:rPr>
        <w:t>(Décision D 576 du Conseil) (</w:t>
      </w:r>
      <w:r w:rsidR="00892492" w:rsidRPr="006E6FB9">
        <w:rPr>
          <w:rFonts w:asciiTheme="minorHAnsi" w:hAnsiTheme="minorHAnsi" w:cs="Calibri"/>
          <w:i/>
          <w:iCs/>
          <w:color w:val="000000"/>
          <w:szCs w:val="24"/>
          <w:lang w:eastAsia="zh-CN"/>
        </w:rPr>
        <w:t>p</w:t>
      </w:r>
      <w:r w:rsidRPr="006E6FB9">
        <w:rPr>
          <w:rFonts w:asciiTheme="minorHAnsi" w:hAnsiTheme="minorHAnsi" w:cs="Calibri"/>
          <w:i/>
          <w:iCs/>
          <w:color w:val="000000"/>
          <w:szCs w:val="24"/>
          <w:lang w:eastAsia="zh-CN"/>
        </w:rPr>
        <w:t xml:space="preserve">oint </w:t>
      </w:r>
      <w:r w:rsidR="00892492" w:rsidRPr="006E6FB9">
        <w:rPr>
          <w:rFonts w:asciiTheme="minorHAnsi" w:hAnsiTheme="minorHAnsi" w:cs="Calibri"/>
          <w:i/>
          <w:iCs/>
          <w:color w:val="000000"/>
          <w:szCs w:val="24"/>
          <w:lang w:eastAsia="zh-CN"/>
        </w:rPr>
        <w:t xml:space="preserve">1.15 </w:t>
      </w:r>
      <w:r w:rsidRPr="006E6FB9">
        <w:rPr>
          <w:rFonts w:asciiTheme="minorHAnsi" w:hAnsiTheme="minorHAnsi" w:cs="Calibri"/>
          <w:i/>
          <w:iCs/>
          <w:color w:val="000000"/>
          <w:szCs w:val="24"/>
          <w:lang w:eastAsia="zh-CN"/>
        </w:rPr>
        <w:t xml:space="preserve">de l'ordre du jour </w:t>
      </w:r>
      <w:r w:rsidR="00812E5D" w:rsidRPr="006E6FB9">
        <w:rPr>
          <w:rFonts w:asciiTheme="minorHAnsi" w:hAnsiTheme="minorHAnsi" w:cs="Calibri"/>
          <w:i/>
          <w:iCs/>
          <w:color w:val="000000"/>
          <w:szCs w:val="24"/>
          <w:lang w:eastAsia="zh-CN"/>
        </w:rPr>
        <w:t>du Conseil 2017</w:t>
      </w:r>
      <w:r w:rsidRPr="006E6FB9">
        <w:rPr>
          <w:rFonts w:asciiTheme="minorHAnsi" w:hAnsiTheme="minorHAnsi" w:cs="Calibri"/>
          <w:i/>
          <w:iCs/>
          <w:color w:val="000000"/>
          <w:szCs w:val="24"/>
          <w:lang w:eastAsia="zh-CN"/>
        </w:rPr>
        <w:t>)</w:t>
      </w:r>
    </w:p>
    <w:p w14:paraId="4D483440" w14:textId="48B264D4" w:rsidR="00A54D2A" w:rsidRPr="006E6FB9" w:rsidRDefault="0010699E"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pris note des </w:t>
      </w:r>
      <w:r w:rsidR="00A54D2A" w:rsidRPr="006E6FB9">
        <w:rPr>
          <w:rFonts w:asciiTheme="minorHAnsi" w:hAnsiTheme="minorHAnsi"/>
          <w:sz w:val="24"/>
          <w:szCs w:val="24"/>
        </w:rPr>
        <w:t>information</w:t>
      </w:r>
      <w:r w:rsidRPr="006E6FB9">
        <w:rPr>
          <w:rFonts w:asciiTheme="minorHAnsi" w:hAnsiTheme="minorHAnsi"/>
          <w:sz w:val="24"/>
          <w:szCs w:val="24"/>
        </w:rPr>
        <w:t>s</w:t>
      </w:r>
      <w:r w:rsidR="00A54D2A" w:rsidRPr="006E6FB9">
        <w:rPr>
          <w:rFonts w:asciiTheme="minorHAnsi" w:hAnsiTheme="minorHAnsi"/>
          <w:sz w:val="24"/>
          <w:szCs w:val="24"/>
        </w:rPr>
        <w:t xml:space="preserve"> </w:t>
      </w:r>
      <w:r w:rsidRPr="006E6FB9">
        <w:rPr>
          <w:rFonts w:asciiTheme="minorHAnsi" w:hAnsiTheme="minorHAnsi"/>
          <w:sz w:val="24"/>
          <w:szCs w:val="24"/>
        </w:rPr>
        <w:t xml:space="preserve">fournies dans le rapport du </w:t>
      </w:r>
      <w:r w:rsidR="00A54D2A" w:rsidRPr="006E6FB9">
        <w:rPr>
          <w:rFonts w:asciiTheme="minorHAnsi" w:hAnsiTheme="minorHAnsi"/>
          <w:sz w:val="24"/>
          <w:szCs w:val="24"/>
        </w:rPr>
        <w:t>Direct</w:t>
      </w:r>
      <w:r w:rsidRPr="006E6FB9">
        <w:rPr>
          <w:rFonts w:asciiTheme="minorHAnsi" w:hAnsiTheme="minorHAnsi"/>
          <w:sz w:val="24"/>
          <w:szCs w:val="24"/>
        </w:rPr>
        <w:t>eu</w:t>
      </w:r>
      <w:r w:rsidR="00A54D2A" w:rsidRPr="006E6FB9">
        <w:rPr>
          <w:rFonts w:asciiTheme="minorHAnsi" w:hAnsiTheme="minorHAnsi"/>
          <w:sz w:val="24"/>
          <w:szCs w:val="24"/>
        </w:rPr>
        <w:t xml:space="preserve">r </w:t>
      </w:r>
      <w:r w:rsidRPr="006E6FB9">
        <w:rPr>
          <w:rFonts w:asciiTheme="minorHAnsi" w:hAnsiTheme="minorHAnsi"/>
          <w:sz w:val="24"/>
          <w:szCs w:val="24"/>
        </w:rPr>
        <w:t>sur les questions liées au protocole sur les biens spatiaux</w:t>
      </w:r>
      <w:r w:rsidR="00A54D2A" w:rsidRPr="006E6FB9">
        <w:rPr>
          <w:rFonts w:asciiTheme="minorHAnsi" w:hAnsiTheme="minorHAnsi"/>
          <w:sz w:val="24"/>
          <w:szCs w:val="24"/>
        </w:rPr>
        <w:t>.</w:t>
      </w:r>
    </w:p>
    <w:p w14:paraId="660962F3" w14:textId="3AD3456B" w:rsidR="00A54D2A" w:rsidRPr="006E6FB9" w:rsidRDefault="00A54D2A" w:rsidP="00FF0A61">
      <w:pPr>
        <w:pStyle w:val="Heading1"/>
        <w:rPr>
          <w:i/>
          <w:iCs/>
        </w:rPr>
      </w:pPr>
      <w:r w:rsidRPr="006E6FB9">
        <w:lastRenderedPageBreak/>
        <w:t>3</w:t>
      </w:r>
      <w:r w:rsidRPr="006E6FB9">
        <w:tab/>
      </w:r>
      <w:r w:rsidR="00773D6E" w:rsidRPr="006E6FB9">
        <w:t xml:space="preserve">Projet de plan opérationnel quadriennal glissant </w:t>
      </w:r>
      <w:r w:rsidRPr="006E6FB9">
        <w:rPr>
          <w:i/>
          <w:iCs/>
        </w:rPr>
        <w:t>(</w:t>
      </w:r>
      <w:r w:rsidR="00892492" w:rsidRPr="006E6FB9">
        <w:rPr>
          <w:i/>
          <w:iCs/>
        </w:rPr>
        <w:t>p</w:t>
      </w:r>
      <w:r w:rsidR="00773D6E" w:rsidRPr="006E6FB9">
        <w:rPr>
          <w:i/>
          <w:iCs/>
        </w:rPr>
        <w:t xml:space="preserve">oint </w:t>
      </w:r>
      <w:r w:rsidR="00892492" w:rsidRPr="006E6FB9">
        <w:rPr>
          <w:i/>
          <w:iCs/>
        </w:rPr>
        <w:t xml:space="preserve">1.16 </w:t>
      </w:r>
      <w:r w:rsidR="00773D6E" w:rsidRPr="006E6FB9">
        <w:rPr>
          <w:i/>
          <w:iCs/>
        </w:rPr>
        <w:t>de l'ordre du jour</w:t>
      </w:r>
      <w:r w:rsidRPr="006E6FB9">
        <w:rPr>
          <w:i/>
          <w:iCs/>
        </w:rPr>
        <w:t xml:space="preserve"> </w:t>
      </w:r>
      <w:r w:rsidR="00812E5D" w:rsidRPr="006E6FB9">
        <w:rPr>
          <w:i/>
          <w:iCs/>
        </w:rPr>
        <w:t>du Conseil 2017</w:t>
      </w:r>
      <w:r w:rsidRPr="006E6FB9">
        <w:rPr>
          <w:i/>
          <w:iCs/>
        </w:rPr>
        <w:t>)</w:t>
      </w:r>
    </w:p>
    <w:p w14:paraId="1125ED1B" w14:textId="6985DD8D" w:rsidR="00A54D2A" w:rsidRPr="006E6FB9" w:rsidRDefault="00773D6E"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pris note des principaux éléments du projet de Plan opérationnel glissant de l'UIT-R pour la période </w:t>
      </w:r>
      <w:r w:rsidR="00A54D2A" w:rsidRPr="006E6FB9">
        <w:rPr>
          <w:rFonts w:asciiTheme="minorHAnsi" w:hAnsiTheme="minorHAnsi"/>
          <w:sz w:val="24"/>
          <w:szCs w:val="24"/>
        </w:rPr>
        <w:t xml:space="preserve">2018-2021, </w:t>
      </w:r>
      <w:r w:rsidR="0010699E" w:rsidRPr="006E6FB9">
        <w:rPr>
          <w:rFonts w:asciiTheme="minorHAnsi" w:hAnsiTheme="minorHAnsi"/>
          <w:sz w:val="24"/>
          <w:szCs w:val="24"/>
        </w:rPr>
        <w:t>en particulier</w:t>
      </w:r>
      <w:r w:rsidRPr="006E6FB9">
        <w:rPr>
          <w:rFonts w:asciiTheme="minorHAnsi" w:hAnsiTheme="minorHAnsi"/>
          <w:sz w:val="24"/>
          <w:szCs w:val="24"/>
        </w:rPr>
        <w:t xml:space="preserve"> </w:t>
      </w:r>
      <w:r w:rsidR="00B67208" w:rsidRPr="006E6FB9">
        <w:rPr>
          <w:rFonts w:asciiTheme="minorHAnsi" w:hAnsiTheme="minorHAnsi"/>
          <w:sz w:val="24"/>
          <w:szCs w:val="24"/>
        </w:rPr>
        <w:t>d</w:t>
      </w:r>
      <w:r w:rsidRPr="006E6FB9">
        <w:rPr>
          <w:rFonts w:asciiTheme="minorHAnsi" w:hAnsiTheme="minorHAnsi"/>
          <w:sz w:val="24"/>
          <w:szCs w:val="24"/>
        </w:rPr>
        <w:t xml:space="preserve">es indicateurs de résultat </w:t>
      </w:r>
      <w:r w:rsidR="0010699E" w:rsidRPr="006E6FB9">
        <w:rPr>
          <w:rFonts w:asciiTheme="minorHAnsi" w:hAnsiTheme="minorHAnsi"/>
          <w:sz w:val="24"/>
          <w:szCs w:val="24"/>
        </w:rPr>
        <w:t xml:space="preserve">supplémentaires qui ont été inclus pour chaque objectif </w:t>
      </w:r>
      <w:r w:rsidR="00B67208" w:rsidRPr="006E6FB9">
        <w:rPr>
          <w:rFonts w:asciiTheme="minorHAnsi" w:hAnsiTheme="minorHAnsi"/>
          <w:sz w:val="24"/>
          <w:szCs w:val="24"/>
        </w:rPr>
        <w:t>afin de</w:t>
      </w:r>
      <w:r w:rsidR="0010699E" w:rsidRPr="006E6FB9">
        <w:rPr>
          <w:rFonts w:asciiTheme="minorHAnsi" w:hAnsiTheme="minorHAnsi"/>
          <w:sz w:val="24"/>
          <w:szCs w:val="24"/>
        </w:rPr>
        <w:t xml:space="preserve"> mieux mesurer l'impact de l'indicateur fondamental de performance correspondant</w:t>
      </w:r>
      <w:r w:rsidR="00B77EED" w:rsidRPr="006E6FB9">
        <w:rPr>
          <w:rFonts w:asciiTheme="minorHAnsi" w:hAnsiTheme="minorHAnsi"/>
          <w:sz w:val="24"/>
          <w:szCs w:val="24"/>
        </w:rPr>
        <w:t>.</w:t>
      </w:r>
    </w:p>
    <w:p w14:paraId="7705DCB4" w14:textId="77777777" w:rsidR="00A54D2A" w:rsidRPr="006E6FB9" w:rsidRDefault="00773D6E"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en outre pris note des prévisions d'affectation des ressources financières aux produits définis pour le BR pour la période </w:t>
      </w:r>
      <w:r w:rsidR="00A54D2A" w:rsidRPr="006E6FB9">
        <w:rPr>
          <w:rFonts w:asciiTheme="minorHAnsi" w:hAnsiTheme="minorHAnsi"/>
          <w:sz w:val="24"/>
          <w:szCs w:val="24"/>
        </w:rPr>
        <w:t>2018-2021.</w:t>
      </w:r>
    </w:p>
    <w:p w14:paraId="4FCAAAD0" w14:textId="05340E2D" w:rsidR="00A54D2A" w:rsidRPr="006E6FB9" w:rsidRDefault="006C58E5"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approuvé la proposition de projet de Plan opérationnel glis</w:t>
      </w:r>
      <w:r w:rsidR="006E014E">
        <w:rPr>
          <w:rFonts w:asciiTheme="minorHAnsi" w:hAnsiTheme="minorHAnsi"/>
          <w:sz w:val="24"/>
          <w:szCs w:val="24"/>
        </w:rPr>
        <w:t>sant de l'UIT-R pour la période </w:t>
      </w:r>
      <w:r w:rsidRPr="006E6FB9">
        <w:rPr>
          <w:rFonts w:asciiTheme="minorHAnsi" w:hAnsiTheme="minorHAnsi"/>
          <w:sz w:val="24"/>
          <w:szCs w:val="24"/>
        </w:rPr>
        <w:t xml:space="preserve">2018-2021 moyennant quelques modifications, </w:t>
      </w:r>
      <w:r w:rsidR="0010699E" w:rsidRPr="006E6FB9">
        <w:rPr>
          <w:rFonts w:asciiTheme="minorHAnsi" w:hAnsiTheme="minorHAnsi"/>
          <w:sz w:val="24"/>
          <w:szCs w:val="24"/>
        </w:rPr>
        <w:t xml:space="preserve">qui ont été apportées dans la </w:t>
      </w:r>
      <w:r w:rsidRPr="006E6FB9">
        <w:rPr>
          <w:rFonts w:asciiTheme="minorHAnsi" w:hAnsiTheme="minorHAnsi"/>
          <w:sz w:val="24"/>
          <w:szCs w:val="24"/>
        </w:rPr>
        <w:t xml:space="preserve">version </w:t>
      </w:r>
      <w:r w:rsidR="0010699E" w:rsidRPr="006E6FB9">
        <w:rPr>
          <w:rFonts w:asciiTheme="minorHAnsi" w:hAnsiTheme="minorHAnsi"/>
          <w:sz w:val="24"/>
          <w:szCs w:val="24"/>
        </w:rPr>
        <w:t>soumise au Conseil</w:t>
      </w:r>
      <w:r w:rsidRPr="006E6FB9">
        <w:rPr>
          <w:rFonts w:asciiTheme="minorHAnsi" w:hAnsiTheme="minorHAnsi"/>
          <w:sz w:val="24"/>
          <w:szCs w:val="24"/>
        </w:rPr>
        <w:t>.</w:t>
      </w:r>
    </w:p>
    <w:p w14:paraId="2B9F1338" w14:textId="1BFFB4C2" w:rsidR="006C58E5" w:rsidRPr="006E6FB9" w:rsidRDefault="006C58E5"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en outre pris note </w:t>
      </w:r>
      <w:r w:rsidR="0010699E" w:rsidRPr="006E6FB9">
        <w:rPr>
          <w:rFonts w:asciiTheme="minorHAnsi" w:hAnsiTheme="minorHAnsi"/>
          <w:sz w:val="24"/>
          <w:szCs w:val="24"/>
        </w:rPr>
        <w:t xml:space="preserve">avec satisfaction </w:t>
      </w:r>
      <w:r w:rsidRPr="006E6FB9">
        <w:rPr>
          <w:rFonts w:asciiTheme="minorHAnsi" w:hAnsiTheme="minorHAnsi"/>
          <w:sz w:val="24"/>
          <w:szCs w:val="24"/>
        </w:rPr>
        <w:t xml:space="preserve">de la proposition de </w:t>
      </w:r>
      <w:r w:rsidR="0010699E" w:rsidRPr="006E6FB9">
        <w:rPr>
          <w:rFonts w:asciiTheme="minorHAnsi" w:hAnsiTheme="minorHAnsi"/>
          <w:sz w:val="24"/>
          <w:szCs w:val="24"/>
        </w:rPr>
        <w:t xml:space="preserve">projet de </w:t>
      </w:r>
      <w:r w:rsidRPr="006E6FB9">
        <w:rPr>
          <w:rFonts w:asciiTheme="minorHAnsi" w:hAnsiTheme="minorHAnsi"/>
          <w:sz w:val="24"/>
          <w:szCs w:val="24"/>
        </w:rPr>
        <w:t>Plan opérationnel glissant du Secrétariat général pour la période 2018-2021.</w:t>
      </w:r>
    </w:p>
    <w:p w14:paraId="2D07D8DC" w14:textId="4FAF808F" w:rsidR="00A54D2A" w:rsidRPr="006E6FB9" w:rsidRDefault="00A54D2A" w:rsidP="00FF0A61">
      <w:pPr>
        <w:pStyle w:val="Heading1"/>
        <w:rPr>
          <w:i/>
          <w:iCs/>
        </w:rPr>
      </w:pPr>
      <w:r w:rsidRPr="006E6FB9">
        <w:t>4</w:t>
      </w:r>
      <w:r w:rsidRPr="006E6FB9">
        <w:tab/>
      </w:r>
      <w:proofErr w:type="spellStart"/>
      <w:r w:rsidR="00412235">
        <w:t>E</w:t>
      </w:r>
      <w:r w:rsidRPr="006E6FB9">
        <w:t>laboration</w:t>
      </w:r>
      <w:proofErr w:type="spellEnd"/>
      <w:r w:rsidRPr="006E6FB9">
        <w:t xml:space="preserve"> </w:t>
      </w:r>
      <w:r w:rsidR="0010699E" w:rsidRPr="006E6FB9">
        <w:t>du Plan stratégique et du Plan financier de l'</w:t>
      </w:r>
      <w:r w:rsidRPr="006E6FB9">
        <w:t xml:space="preserve">Union </w:t>
      </w:r>
      <w:r w:rsidR="0010699E" w:rsidRPr="006E6FB9">
        <w:t xml:space="preserve">pour la période </w:t>
      </w:r>
      <w:r w:rsidRPr="006E6FB9">
        <w:t>2020-2023 (</w:t>
      </w:r>
      <w:r w:rsidR="00892492" w:rsidRPr="006E6FB9">
        <w:rPr>
          <w:i/>
          <w:iCs/>
        </w:rPr>
        <w:t>p</w:t>
      </w:r>
      <w:r w:rsidR="00812E5D" w:rsidRPr="006E6FB9">
        <w:rPr>
          <w:i/>
          <w:iCs/>
        </w:rPr>
        <w:t xml:space="preserve">oint </w:t>
      </w:r>
      <w:r w:rsidR="00892492" w:rsidRPr="006E6FB9">
        <w:rPr>
          <w:i/>
          <w:iCs/>
        </w:rPr>
        <w:t xml:space="preserve">3.1 </w:t>
      </w:r>
      <w:r w:rsidR="00812E5D" w:rsidRPr="006E6FB9">
        <w:rPr>
          <w:i/>
          <w:iCs/>
        </w:rPr>
        <w:t>de l'ordre du jour</w:t>
      </w:r>
      <w:r w:rsidRPr="006E6FB9">
        <w:rPr>
          <w:i/>
          <w:iCs/>
        </w:rPr>
        <w:t xml:space="preserve"> </w:t>
      </w:r>
      <w:r w:rsidR="00812E5D" w:rsidRPr="006E6FB9">
        <w:rPr>
          <w:i/>
          <w:iCs/>
        </w:rPr>
        <w:t>du Conseil 2017</w:t>
      </w:r>
      <w:r w:rsidRPr="006E6FB9">
        <w:rPr>
          <w:i/>
          <w:iCs/>
        </w:rPr>
        <w:t>)</w:t>
      </w:r>
    </w:p>
    <w:p w14:paraId="21174DF6" w14:textId="77777777" w:rsidR="00A54D2A" w:rsidRPr="006E6FB9" w:rsidRDefault="00773D6E"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en outre pris note des prévisions d'affectation des ressources financières aux produits définis pour le BR pour la période </w:t>
      </w:r>
      <w:r w:rsidR="00A54D2A" w:rsidRPr="006E6FB9">
        <w:rPr>
          <w:rFonts w:asciiTheme="minorHAnsi" w:hAnsiTheme="minorHAnsi"/>
          <w:sz w:val="24"/>
          <w:szCs w:val="24"/>
        </w:rPr>
        <w:t>2018-2021.</w:t>
      </w:r>
    </w:p>
    <w:p w14:paraId="2B0F64DB" w14:textId="4D63DB6F" w:rsidR="00182C36" w:rsidRPr="006E6FB9" w:rsidRDefault="00182C36"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examiné le Doc. RAG17/9 de la Fédération de Russie, qui propose des indicateurs de résultat supplémentaires et d'autres améliorations concernant le P</w:t>
      </w:r>
      <w:r w:rsidR="006E014E">
        <w:rPr>
          <w:rFonts w:asciiTheme="minorHAnsi" w:hAnsiTheme="minorHAnsi"/>
          <w:sz w:val="24"/>
          <w:szCs w:val="24"/>
        </w:rPr>
        <w:t>lan opérationnel de l'UIT-R. Le </w:t>
      </w:r>
      <w:r w:rsidRPr="006E6FB9">
        <w:rPr>
          <w:rFonts w:asciiTheme="minorHAnsi" w:hAnsiTheme="minorHAnsi"/>
          <w:sz w:val="24"/>
          <w:szCs w:val="24"/>
        </w:rPr>
        <w:t>GCR a noté que cette proposition pourrait être prise en considération au moment de l'élaboration du Plan stratégique et des Plans opérationnels correspondants pour le prochain cycle, les plans actuels ayant été adoptés par la Conférence de plénipotentiaires en 2014.</w:t>
      </w:r>
    </w:p>
    <w:p w14:paraId="797697DA" w14:textId="123782C9" w:rsidR="00A54D2A" w:rsidRPr="006E6FB9" w:rsidRDefault="009B32D4"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demandé au Directeur de tenir compte des points ci-après pour </w:t>
      </w:r>
      <w:r w:rsidR="00B67208" w:rsidRPr="006E6FB9">
        <w:rPr>
          <w:rFonts w:asciiTheme="minorHAnsi" w:hAnsiTheme="minorHAnsi"/>
          <w:sz w:val="24"/>
          <w:szCs w:val="24"/>
        </w:rPr>
        <w:t>l'élaboration du Plan stratégique et d</w:t>
      </w:r>
      <w:r w:rsidR="00182C36" w:rsidRPr="006E6FB9">
        <w:rPr>
          <w:rFonts w:asciiTheme="minorHAnsi" w:hAnsiTheme="minorHAnsi"/>
          <w:sz w:val="24"/>
          <w:szCs w:val="24"/>
        </w:rPr>
        <w:t>e</w:t>
      </w:r>
      <w:r w:rsidR="00B67208" w:rsidRPr="006E6FB9">
        <w:rPr>
          <w:rFonts w:asciiTheme="minorHAnsi" w:hAnsiTheme="minorHAnsi"/>
          <w:sz w:val="24"/>
          <w:szCs w:val="24"/>
        </w:rPr>
        <w:t>s</w:t>
      </w:r>
      <w:r w:rsidRPr="006E6FB9">
        <w:rPr>
          <w:rFonts w:asciiTheme="minorHAnsi" w:hAnsiTheme="minorHAnsi"/>
          <w:sz w:val="24"/>
          <w:szCs w:val="24"/>
        </w:rPr>
        <w:t xml:space="preserve"> </w:t>
      </w:r>
      <w:r w:rsidR="00182C36" w:rsidRPr="006E6FB9">
        <w:rPr>
          <w:rFonts w:asciiTheme="minorHAnsi" w:hAnsiTheme="minorHAnsi"/>
          <w:sz w:val="24"/>
          <w:szCs w:val="24"/>
        </w:rPr>
        <w:t>Plan</w:t>
      </w:r>
      <w:r w:rsidR="00B67208" w:rsidRPr="006E6FB9">
        <w:rPr>
          <w:rFonts w:asciiTheme="minorHAnsi" w:hAnsiTheme="minorHAnsi"/>
          <w:sz w:val="24"/>
          <w:szCs w:val="24"/>
        </w:rPr>
        <w:t>s</w:t>
      </w:r>
      <w:r w:rsidR="00182C36" w:rsidRPr="006E6FB9">
        <w:rPr>
          <w:rFonts w:asciiTheme="minorHAnsi" w:hAnsiTheme="minorHAnsi"/>
          <w:sz w:val="24"/>
          <w:szCs w:val="24"/>
        </w:rPr>
        <w:t xml:space="preserve"> opérationnel</w:t>
      </w:r>
      <w:r w:rsidR="00B67208" w:rsidRPr="006E6FB9">
        <w:rPr>
          <w:rFonts w:asciiTheme="minorHAnsi" w:hAnsiTheme="minorHAnsi"/>
          <w:sz w:val="24"/>
          <w:szCs w:val="24"/>
        </w:rPr>
        <w:t>s</w:t>
      </w:r>
      <w:r w:rsidRPr="006E6FB9">
        <w:rPr>
          <w:rFonts w:asciiTheme="minorHAnsi" w:hAnsiTheme="minorHAnsi"/>
          <w:sz w:val="24"/>
          <w:szCs w:val="24"/>
        </w:rPr>
        <w:t xml:space="preserve"> de l'UIT-R correspondant</w:t>
      </w:r>
      <w:r w:rsidR="00B67208" w:rsidRPr="006E6FB9">
        <w:rPr>
          <w:rFonts w:asciiTheme="minorHAnsi" w:hAnsiTheme="minorHAnsi"/>
          <w:sz w:val="24"/>
          <w:szCs w:val="24"/>
        </w:rPr>
        <w:t>s</w:t>
      </w:r>
      <w:r w:rsidRPr="006E6FB9">
        <w:rPr>
          <w:rFonts w:asciiTheme="minorHAnsi" w:hAnsiTheme="minorHAnsi"/>
          <w:sz w:val="24"/>
          <w:szCs w:val="24"/>
        </w:rPr>
        <w:t xml:space="preserve"> pour le cycle à venir:</w:t>
      </w:r>
    </w:p>
    <w:p w14:paraId="55AC8FC3" w14:textId="38FB90FC" w:rsidR="00A54D2A" w:rsidRPr="006E6FB9" w:rsidRDefault="009B32D4" w:rsidP="006E014E">
      <w:pPr>
        <w:pStyle w:val="enumlev1"/>
      </w:pPr>
      <w:r w:rsidRPr="006E6FB9">
        <w:t>–</w:t>
      </w:r>
      <w:r w:rsidRPr="006E6FB9">
        <w:tab/>
      </w:r>
      <w:r w:rsidR="006E014E">
        <w:t>F</w:t>
      </w:r>
      <w:r w:rsidR="00773D6E" w:rsidRPr="006E6FB9">
        <w:t>aire la distinction entr</w:t>
      </w:r>
      <w:r w:rsidR="00B67208" w:rsidRPr="006E6FB9">
        <w:t>e les objectifs du Secteur de l'UIT-R</w:t>
      </w:r>
      <w:r w:rsidR="00773D6E" w:rsidRPr="006E6FB9">
        <w:t xml:space="preserve"> et ceux du Bureau</w:t>
      </w:r>
      <w:r w:rsidR="006E014E">
        <w:t>.</w:t>
      </w:r>
    </w:p>
    <w:p w14:paraId="5814188F" w14:textId="21AF85E5" w:rsidR="00A54D2A" w:rsidRPr="006E6FB9" w:rsidRDefault="009B32D4" w:rsidP="00FF0A61">
      <w:pPr>
        <w:pStyle w:val="enumlev1"/>
      </w:pPr>
      <w:r w:rsidRPr="006E6FB9">
        <w:t>–</w:t>
      </w:r>
      <w:r w:rsidRPr="006E6FB9">
        <w:tab/>
      </w:r>
      <w:r w:rsidR="006E014E">
        <w:t>V</w:t>
      </w:r>
      <w:r w:rsidR="00182C36" w:rsidRPr="006E6FB9">
        <w:t>eiller à ce que les valeurs statistiques (indicateurs) soient collectées auprès de sources fiables.</w:t>
      </w:r>
    </w:p>
    <w:p w14:paraId="15FF154C" w14:textId="0264A350" w:rsidR="00A54D2A" w:rsidRPr="006E6FB9" w:rsidRDefault="00A54D2A" w:rsidP="00FF0A61">
      <w:pPr>
        <w:pStyle w:val="Heading1"/>
      </w:pPr>
      <w:r w:rsidRPr="006E6FB9">
        <w:t>5</w:t>
      </w:r>
      <w:r w:rsidRPr="006E6FB9">
        <w:tab/>
      </w:r>
      <w:r w:rsidR="00AF7FB2" w:rsidRPr="006E6FB9">
        <w:t xml:space="preserve">Vente des publications de l'UIT et accès en ligne gratuit à ces </w:t>
      </w:r>
      <w:r w:rsidR="00536BC1" w:rsidRPr="006E6FB9">
        <w:t xml:space="preserve">publications </w:t>
      </w:r>
      <w:r w:rsidRPr="006E6FB9">
        <w:br/>
      </w:r>
      <w:r w:rsidR="00AF7FB2" w:rsidRPr="00FF0A61">
        <w:rPr>
          <w:i/>
          <w:iCs/>
        </w:rPr>
        <w:t>(Ré</w:t>
      </w:r>
      <w:r w:rsidRPr="00FF0A61">
        <w:rPr>
          <w:i/>
          <w:iCs/>
        </w:rPr>
        <w:t>s. 66, D</w:t>
      </w:r>
      <w:r w:rsidR="00892492" w:rsidRPr="00FF0A61">
        <w:rPr>
          <w:i/>
          <w:iCs/>
        </w:rPr>
        <w:t>é</w:t>
      </w:r>
      <w:r w:rsidRPr="00FF0A61">
        <w:rPr>
          <w:i/>
          <w:iCs/>
        </w:rPr>
        <w:t xml:space="preserve">c. 12, </w:t>
      </w:r>
      <w:r w:rsidR="00892492" w:rsidRPr="00FF0A61">
        <w:rPr>
          <w:i/>
          <w:iCs/>
        </w:rPr>
        <w:t xml:space="preserve">Décisions </w:t>
      </w:r>
      <w:r w:rsidRPr="00FF0A61">
        <w:rPr>
          <w:i/>
          <w:iCs/>
        </w:rPr>
        <w:t>D 571</w:t>
      </w:r>
      <w:r w:rsidR="00892492" w:rsidRPr="00FF0A61">
        <w:rPr>
          <w:i/>
          <w:iCs/>
        </w:rPr>
        <w:t xml:space="preserve"> et</w:t>
      </w:r>
      <w:r w:rsidRPr="00FF0A61">
        <w:rPr>
          <w:i/>
          <w:iCs/>
        </w:rPr>
        <w:t xml:space="preserve"> D 574</w:t>
      </w:r>
      <w:r w:rsidR="00892492" w:rsidRPr="00FF0A61">
        <w:rPr>
          <w:i/>
          <w:iCs/>
        </w:rPr>
        <w:t xml:space="preserve"> du Conseil</w:t>
      </w:r>
      <w:r w:rsidRPr="00FF0A61">
        <w:rPr>
          <w:i/>
          <w:iCs/>
        </w:rPr>
        <w:t>) (</w:t>
      </w:r>
      <w:r w:rsidR="00892492" w:rsidRPr="00FF0A61">
        <w:rPr>
          <w:i/>
          <w:iCs/>
        </w:rPr>
        <w:t xml:space="preserve">point 4.1 </w:t>
      </w:r>
      <w:r w:rsidR="00AF7FB2" w:rsidRPr="00FF0A61">
        <w:rPr>
          <w:i/>
          <w:iCs/>
        </w:rPr>
        <w:t>de l'ordre du jour</w:t>
      </w:r>
      <w:r w:rsidRPr="00FF0A61">
        <w:rPr>
          <w:i/>
          <w:iCs/>
        </w:rPr>
        <w:t xml:space="preserve"> </w:t>
      </w:r>
      <w:r w:rsidR="00892492" w:rsidRPr="00FF0A61">
        <w:rPr>
          <w:i/>
          <w:iCs/>
        </w:rPr>
        <w:t>du Conseil 2017</w:t>
      </w:r>
      <w:r w:rsidRPr="00FF0A61">
        <w:rPr>
          <w:i/>
          <w:iCs/>
        </w:rPr>
        <w:t>)</w:t>
      </w:r>
    </w:p>
    <w:p w14:paraId="17E70B73" w14:textId="65345EFF" w:rsidR="00FC0F3D" w:rsidRPr="006E6FB9" w:rsidRDefault="00FC0F3D"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noté avec satisfaction que la politique d'accès en ligne gratuit continuait de contribuer à une large diffusion des Recommandations de l'UIT-R et s'est félicité de l'initiative du Directeur visant à élargir l'accès gratuit à tous les Manuels de l'UIT-R.</w:t>
      </w:r>
    </w:p>
    <w:p w14:paraId="488A3B18" w14:textId="77777777" w:rsidR="00A54D2A" w:rsidRPr="006E6FB9" w:rsidRDefault="00A54D2A" w:rsidP="00FF0A61">
      <w:pPr>
        <w:pStyle w:val="Heading1"/>
        <w:rPr>
          <w:lang w:eastAsia="zh-CN"/>
        </w:rPr>
      </w:pPr>
      <w:r w:rsidRPr="006E6FB9">
        <w:rPr>
          <w:bCs/>
          <w:lang w:eastAsia="zh-CN"/>
        </w:rPr>
        <w:lastRenderedPageBreak/>
        <w:t>6</w:t>
      </w:r>
      <w:r w:rsidRPr="006E6FB9">
        <w:rPr>
          <w:bCs/>
          <w:lang w:eastAsia="zh-CN"/>
        </w:rPr>
        <w:tab/>
      </w:r>
      <w:r w:rsidRPr="00FF0A61">
        <w:rPr>
          <w:i/>
          <w:iCs/>
          <w:lang w:eastAsia="zh-CN"/>
        </w:rPr>
        <w:t>ADM</w:t>
      </w:r>
    </w:p>
    <w:p w14:paraId="7A09F4BC" w14:textId="403AD6E2" w:rsidR="00A54D2A" w:rsidRPr="006E6FB9" w:rsidRDefault="00A54D2A" w:rsidP="00FF0A61">
      <w:pPr>
        <w:pStyle w:val="Heading2"/>
        <w:rPr>
          <w:i/>
          <w:iCs/>
          <w:lang w:eastAsia="zh-CN"/>
        </w:rPr>
      </w:pPr>
      <w:r w:rsidRPr="006E6FB9">
        <w:rPr>
          <w:i/>
          <w:iCs/>
          <w:lang w:eastAsia="zh-CN"/>
        </w:rPr>
        <w:t>6.1</w:t>
      </w:r>
      <w:r w:rsidRPr="006E6FB9">
        <w:rPr>
          <w:i/>
          <w:iCs/>
          <w:lang w:eastAsia="zh-CN"/>
        </w:rPr>
        <w:tab/>
      </w:r>
      <w:r w:rsidR="00FC0F3D" w:rsidRPr="006E6FB9">
        <w:rPr>
          <w:lang w:eastAsia="zh-CN"/>
        </w:rPr>
        <w:t xml:space="preserve">Projet de budget biennal de l'UIT pour la période 2018-2019 </w:t>
      </w:r>
      <w:r w:rsidRPr="006E6FB9">
        <w:rPr>
          <w:i/>
          <w:iCs/>
          <w:lang w:eastAsia="zh-CN"/>
        </w:rPr>
        <w:t>(D</w:t>
      </w:r>
      <w:r w:rsidR="00892492" w:rsidRPr="006E6FB9">
        <w:rPr>
          <w:i/>
          <w:iCs/>
          <w:lang w:eastAsia="zh-CN"/>
        </w:rPr>
        <w:t>é</w:t>
      </w:r>
      <w:r w:rsidRPr="006E6FB9">
        <w:rPr>
          <w:i/>
          <w:iCs/>
          <w:lang w:eastAsia="zh-CN"/>
        </w:rPr>
        <w:t>c.5) (</w:t>
      </w:r>
      <w:r w:rsidR="00892492" w:rsidRPr="006E6FB9">
        <w:rPr>
          <w:i/>
          <w:iCs/>
          <w:lang w:eastAsia="zh-CN"/>
        </w:rPr>
        <w:t xml:space="preserve">point </w:t>
      </w:r>
      <w:r w:rsidRPr="006E6FB9">
        <w:rPr>
          <w:i/>
          <w:iCs/>
          <w:lang w:eastAsia="zh-CN"/>
        </w:rPr>
        <w:t>ADM 1.1</w:t>
      </w:r>
      <w:r w:rsidR="00892492" w:rsidRPr="006E6FB9">
        <w:rPr>
          <w:i/>
          <w:iCs/>
          <w:lang w:eastAsia="zh-CN"/>
        </w:rPr>
        <w:t xml:space="preserve"> de l'ordre du jour</w:t>
      </w:r>
      <w:r w:rsidRPr="006E6FB9">
        <w:rPr>
          <w:i/>
          <w:iCs/>
          <w:lang w:eastAsia="zh-CN"/>
        </w:rPr>
        <w:t>)</w:t>
      </w:r>
    </w:p>
    <w:p w14:paraId="6AFEDB83" w14:textId="3CCB1DC4" w:rsidR="00A54D2A" w:rsidRPr="006E6FB9" w:rsidRDefault="00FB294F"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pris note d</w:t>
      </w:r>
      <w:r w:rsidR="002565DC" w:rsidRPr="006E6FB9">
        <w:rPr>
          <w:rFonts w:asciiTheme="minorHAnsi" w:hAnsiTheme="minorHAnsi"/>
          <w:sz w:val="24"/>
          <w:szCs w:val="24"/>
        </w:rPr>
        <w:t xml:space="preserve">e la proposition de </w:t>
      </w:r>
      <w:r w:rsidRPr="006E6FB9">
        <w:rPr>
          <w:rFonts w:asciiTheme="minorHAnsi" w:hAnsiTheme="minorHAnsi"/>
          <w:sz w:val="24"/>
          <w:szCs w:val="24"/>
        </w:rPr>
        <w:t xml:space="preserve">projet de </w:t>
      </w:r>
      <w:r w:rsidR="00A54D2A" w:rsidRPr="006E6FB9">
        <w:rPr>
          <w:rFonts w:asciiTheme="minorHAnsi" w:hAnsiTheme="minorHAnsi"/>
          <w:sz w:val="24"/>
          <w:szCs w:val="24"/>
        </w:rPr>
        <w:t xml:space="preserve">budget </w:t>
      </w:r>
      <w:r w:rsidR="002565DC" w:rsidRPr="006E6FB9">
        <w:rPr>
          <w:rFonts w:asciiTheme="minorHAnsi" w:hAnsiTheme="minorHAnsi"/>
          <w:sz w:val="24"/>
          <w:szCs w:val="24"/>
        </w:rPr>
        <w:t xml:space="preserve">du </w:t>
      </w:r>
      <w:r w:rsidRPr="006E6FB9">
        <w:rPr>
          <w:rFonts w:asciiTheme="minorHAnsi" w:hAnsiTheme="minorHAnsi"/>
          <w:sz w:val="24"/>
          <w:szCs w:val="24"/>
        </w:rPr>
        <w:t>Secteur des rad</w:t>
      </w:r>
      <w:r w:rsidR="00A54D2A" w:rsidRPr="006E6FB9">
        <w:rPr>
          <w:rFonts w:asciiTheme="minorHAnsi" w:hAnsiTheme="minorHAnsi"/>
          <w:sz w:val="24"/>
          <w:szCs w:val="24"/>
        </w:rPr>
        <w:t>iocommunication</w:t>
      </w:r>
      <w:r w:rsidRPr="006E6FB9">
        <w:rPr>
          <w:rFonts w:asciiTheme="minorHAnsi" w:hAnsiTheme="minorHAnsi"/>
          <w:sz w:val="24"/>
          <w:szCs w:val="24"/>
        </w:rPr>
        <w:t>s</w:t>
      </w:r>
      <w:r w:rsidR="00A54D2A" w:rsidRPr="006E6FB9">
        <w:rPr>
          <w:rFonts w:asciiTheme="minorHAnsi" w:hAnsiTheme="minorHAnsi"/>
          <w:sz w:val="24"/>
          <w:szCs w:val="24"/>
        </w:rPr>
        <w:t xml:space="preserve"> </w:t>
      </w:r>
      <w:r w:rsidRPr="006E6FB9">
        <w:rPr>
          <w:rFonts w:asciiTheme="minorHAnsi" w:hAnsiTheme="minorHAnsi"/>
          <w:sz w:val="24"/>
          <w:szCs w:val="24"/>
        </w:rPr>
        <w:t xml:space="preserve">pour la période </w:t>
      </w:r>
      <w:r w:rsidR="00A54D2A" w:rsidRPr="006E6FB9">
        <w:rPr>
          <w:rFonts w:asciiTheme="minorHAnsi" w:hAnsiTheme="minorHAnsi"/>
          <w:sz w:val="24"/>
          <w:szCs w:val="24"/>
        </w:rPr>
        <w:t xml:space="preserve">2018-2019, </w:t>
      </w:r>
      <w:r w:rsidRPr="006E6FB9">
        <w:rPr>
          <w:rFonts w:asciiTheme="minorHAnsi" w:hAnsiTheme="minorHAnsi"/>
          <w:sz w:val="24"/>
          <w:szCs w:val="24"/>
        </w:rPr>
        <w:t>dans l'attente de l'approbation par le Conseil à sa session de 20</w:t>
      </w:r>
      <w:r w:rsidR="00A54D2A" w:rsidRPr="006E6FB9">
        <w:rPr>
          <w:rFonts w:asciiTheme="minorHAnsi" w:hAnsiTheme="minorHAnsi"/>
          <w:sz w:val="24"/>
          <w:szCs w:val="24"/>
        </w:rPr>
        <w:t xml:space="preserve">17 </w:t>
      </w:r>
      <w:r w:rsidRPr="006E6FB9">
        <w:rPr>
          <w:rFonts w:asciiTheme="minorHAnsi" w:hAnsiTheme="minorHAnsi"/>
          <w:sz w:val="24"/>
          <w:szCs w:val="24"/>
        </w:rPr>
        <w:t xml:space="preserve">du </w:t>
      </w:r>
      <w:r w:rsidR="00A54D2A" w:rsidRPr="006E6FB9">
        <w:rPr>
          <w:rFonts w:asciiTheme="minorHAnsi" w:hAnsiTheme="minorHAnsi"/>
          <w:sz w:val="24"/>
          <w:szCs w:val="24"/>
        </w:rPr>
        <w:t xml:space="preserve">budget </w:t>
      </w:r>
      <w:r w:rsidRPr="006E6FB9">
        <w:rPr>
          <w:rFonts w:asciiTheme="minorHAnsi" w:hAnsiTheme="minorHAnsi"/>
          <w:sz w:val="24"/>
          <w:szCs w:val="24"/>
        </w:rPr>
        <w:t>de l'</w:t>
      </w:r>
      <w:r w:rsidR="00A54D2A" w:rsidRPr="006E6FB9">
        <w:rPr>
          <w:rFonts w:asciiTheme="minorHAnsi" w:hAnsiTheme="minorHAnsi"/>
          <w:sz w:val="24"/>
          <w:szCs w:val="24"/>
        </w:rPr>
        <w:t>Union</w:t>
      </w:r>
      <w:r w:rsidRPr="006E6FB9">
        <w:rPr>
          <w:rFonts w:asciiTheme="minorHAnsi" w:hAnsiTheme="minorHAnsi"/>
          <w:sz w:val="24"/>
          <w:szCs w:val="24"/>
        </w:rPr>
        <w:t xml:space="preserve"> pour la même période</w:t>
      </w:r>
      <w:r w:rsidR="00A54D2A" w:rsidRPr="006E6FB9">
        <w:rPr>
          <w:rFonts w:asciiTheme="minorHAnsi" w:hAnsiTheme="minorHAnsi"/>
          <w:sz w:val="24"/>
          <w:szCs w:val="24"/>
        </w:rPr>
        <w:t>.</w:t>
      </w:r>
    </w:p>
    <w:p w14:paraId="4E381D4F" w14:textId="076DD379" w:rsidR="00A54D2A" w:rsidRPr="006E6FB9" w:rsidRDefault="00FB294F"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examiné le </w:t>
      </w:r>
      <w:r w:rsidR="00A54D2A" w:rsidRPr="006E6FB9">
        <w:rPr>
          <w:rFonts w:asciiTheme="minorHAnsi" w:hAnsiTheme="minorHAnsi"/>
          <w:sz w:val="24"/>
          <w:szCs w:val="24"/>
        </w:rPr>
        <w:t xml:space="preserve">Doc. RAG17/10 </w:t>
      </w:r>
      <w:r w:rsidRPr="006E6FB9">
        <w:rPr>
          <w:rFonts w:asciiTheme="minorHAnsi" w:hAnsiTheme="minorHAnsi"/>
          <w:sz w:val="24"/>
          <w:szCs w:val="24"/>
        </w:rPr>
        <w:t xml:space="preserve">de la </w:t>
      </w:r>
      <w:r w:rsidR="00A54D2A" w:rsidRPr="006E6FB9">
        <w:rPr>
          <w:rFonts w:asciiTheme="minorHAnsi" w:hAnsiTheme="minorHAnsi"/>
          <w:sz w:val="24"/>
          <w:szCs w:val="24"/>
        </w:rPr>
        <w:t>F</w:t>
      </w:r>
      <w:r w:rsidRPr="006E6FB9">
        <w:rPr>
          <w:rFonts w:asciiTheme="minorHAnsi" w:hAnsiTheme="minorHAnsi"/>
          <w:sz w:val="24"/>
          <w:szCs w:val="24"/>
        </w:rPr>
        <w:t>é</w:t>
      </w:r>
      <w:r w:rsidR="00A54D2A" w:rsidRPr="006E6FB9">
        <w:rPr>
          <w:rFonts w:asciiTheme="minorHAnsi" w:hAnsiTheme="minorHAnsi"/>
          <w:sz w:val="24"/>
          <w:szCs w:val="24"/>
        </w:rPr>
        <w:t>d</w:t>
      </w:r>
      <w:r w:rsidRPr="006E6FB9">
        <w:rPr>
          <w:rFonts w:asciiTheme="minorHAnsi" w:hAnsiTheme="minorHAnsi"/>
          <w:sz w:val="24"/>
          <w:szCs w:val="24"/>
        </w:rPr>
        <w:t>é</w:t>
      </w:r>
      <w:r w:rsidR="00A54D2A" w:rsidRPr="006E6FB9">
        <w:rPr>
          <w:rFonts w:asciiTheme="minorHAnsi" w:hAnsiTheme="minorHAnsi"/>
          <w:sz w:val="24"/>
          <w:szCs w:val="24"/>
        </w:rPr>
        <w:t>ration</w:t>
      </w:r>
      <w:r w:rsidRPr="006E6FB9">
        <w:rPr>
          <w:rFonts w:asciiTheme="minorHAnsi" w:hAnsiTheme="minorHAnsi"/>
          <w:sz w:val="24"/>
          <w:szCs w:val="24"/>
        </w:rPr>
        <w:t xml:space="preserve"> de Russie</w:t>
      </w:r>
      <w:r w:rsidR="00A54D2A" w:rsidRPr="006E6FB9">
        <w:rPr>
          <w:rFonts w:asciiTheme="minorHAnsi" w:hAnsiTheme="minorHAnsi"/>
          <w:sz w:val="24"/>
          <w:szCs w:val="24"/>
        </w:rPr>
        <w:t xml:space="preserve">, </w:t>
      </w:r>
      <w:r w:rsidRPr="006E6FB9">
        <w:rPr>
          <w:rFonts w:asciiTheme="minorHAnsi" w:hAnsiTheme="minorHAnsi"/>
          <w:sz w:val="24"/>
          <w:szCs w:val="24"/>
        </w:rPr>
        <w:t xml:space="preserve">qui souligne que, ces dernières décennies, la question de savoir comment accroître </w:t>
      </w:r>
      <w:r w:rsidR="006D1F72" w:rsidRPr="006E6FB9">
        <w:rPr>
          <w:rFonts w:asciiTheme="minorHAnsi" w:hAnsiTheme="minorHAnsi"/>
          <w:sz w:val="24"/>
          <w:szCs w:val="24"/>
        </w:rPr>
        <w:t>l'efficacité d'utilisation du spectre des fréquences radioélectriques et des orbites de satellites a suscité un intérêt grandissant</w:t>
      </w:r>
      <w:r w:rsidRPr="006E6FB9">
        <w:rPr>
          <w:rFonts w:asciiTheme="minorHAnsi" w:hAnsiTheme="minorHAnsi"/>
          <w:sz w:val="24"/>
          <w:szCs w:val="24"/>
        </w:rPr>
        <w:t>.</w:t>
      </w:r>
      <w:r w:rsidR="00A54D2A" w:rsidRPr="006E6FB9">
        <w:rPr>
          <w:rFonts w:asciiTheme="minorHAnsi" w:hAnsiTheme="minorHAnsi"/>
          <w:sz w:val="24"/>
          <w:szCs w:val="24"/>
        </w:rPr>
        <w:t xml:space="preserve"> </w:t>
      </w:r>
      <w:r w:rsidR="006D1F72" w:rsidRPr="006E6FB9">
        <w:rPr>
          <w:rFonts w:asciiTheme="minorHAnsi" w:hAnsiTheme="minorHAnsi"/>
          <w:sz w:val="24"/>
          <w:szCs w:val="24"/>
        </w:rPr>
        <w:t>L'augmentation constante du nombre de participants aux conférences mondiales des radiocommunications (CMR) avec près de 2 000 participants in</w:t>
      </w:r>
      <w:r w:rsidR="006E014E">
        <w:rPr>
          <w:rFonts w:asciiTheme="minorHAnsi" w:hAnsiTheme="minorHAnsi"/>
          <w:sz w:val="24"/>
          <w:szCs w:val="24"/>
        </w:rPr>
        <w:t>scrits pour la CMR-97 (tenue en </w:t>
      </w:r>
      <w:r w:rsidR="006D1F72" w:rsidRPr="006E6FB9">
        <w:rPr>
          <w:rFonts w:asciiTheme="minorHAnsi" w:hAnsiTheme="minorHAnsi"/>
          <w:sz w:val="24"/>
          <w:szCs w:val="24"/>
        </w:rPr>
        <w:t>1997) et plus de 3 300 pour la CMR-15 (tenue en 2015)</w:t>
      </w:r>
      <w:r w:rsidR="00B67208" w:rsidRPr="006E6FB9">
        <w:rPr>
          <w:rFonts w:asciiTheme="minorHAnsi" w:hAnsiTheme="minorHAnsi"/>
          <w:sz w:val="24"/>
          <w:szCs w:val="24"/>
        </w:rPr>
        <w:t>, en est la preuve</w:t>
      </w:r>
      <w:r w:rsidR="00A54D2A" w:rsidRPr="006E6FB9">
        <w:rPr>
          <w:rFonts w:asciiTheme="minorHAnsi" w:hAnsiTheme="minorHAnsi"/>
          <w:sz w:val="24"/>
          <w:szCs w:val="24"/>
        </w:rPr>
        <w:t xml:space="preserve">. </w:t>
      </w:r>
      <w:r w:rsidR="006D1F72" w:rsidRPr="006E6FB9">
        <w:rPr>
          <w:rFonts w:asciiTheme="minorHAnsi" w:hAnsiTheme="minorHAnsi"/>
          <w:sz w:val="24"/>
          <w:szCs w:val="24"/>
        </w:rPr>
        <w:t xml:space="preserve">Dans le même temps, la liste des tâches qui sont actuellement effectuées par le personnel du </w:t>
      </w:r>
      <w:r w:rsidR="00B67208" w:rsidRPr="006E6FB9">
        <w:rPr>
          <w:rFonts w:asciiTheme="minorHAnsi" w:hAnsiTheme="minorHAnsi"/>
          <w:sz w:val="24"/>
          <w:szCs w:val="24"/>
        </w:rPr>
        <w:t>BR</w:t>
      </w:r>
      <w:r w:rsidR="006D1F72" w:rsidRPr="006E6FB9">
        <w:rPr>
          <w:rFonts w:asciiTheme="minorHAnsi" w:hAnsiTheme="minorHAnsi"/>
          <w:sz w:val="24"/>
          <w:szCs w:val="24"/>
        </w:rPr>
        <w:t>, véritable rouage exécutif du système international de gestion du spectre et des orbites de satellites, s'allonge, leur complexité s'accroît et leur volume augmente.</w:t>
      </w:r>
    </w:p>
    <w:p w14:paraId="15706AD0" w14:textId="6736EF91" w:rsidR="003562C7" w:rsidRPr="006E6FB9" w:rsidRDefault="00FB294F" w:rsidP="00FF0A61">
      <w:pPr>
        <w:pStyle w:val="Tabletext"/>
        <w:rPr>
          <w:rFonts w:asciiTheme="minorHAnsi" w:hAnsiTheme="minorHAnsi"/>
          <w:sz w:val="24"/>
          <w:szCs w:val="24"/>
        </w:rPr>
      </w:pPr>
      <w:r w:rsidRPr="006E6FB9">
        <w:rPr>
          <w:rFonts w:asciiTheme="minorHAnsi" w:hAnsiTheme="minorHAnsi"/>
          <w:sz w:val="24"/>
          <w:szCs w:val="24"/>
        </w:rPr>
        <w:t xml:space="preserve">Le </w:t>
      </w:r>
      <w:r w:rsidR="00A54D2A" w:rsidRPr="006E6FB9">
        <w:rPr>
          <w:rFonts w:asciiTheme="minorHAnsi" w:hAnsiTheme="minorHAnsi"/>
          <w:sz w:val="24"/>
          <w:szCs w:val="24"/>
        </w:rPr>
        <w:t>document cont</w:t>
      </w:r>
      <w:r w:rsidRPr="006E6FB9">
        <w:rPr>
          <w:rFonts w:asciiTheme="minorHAnsi" w:hAnsiTheme="minorHAnsi"/>
          <w:sz w:val="24"/>
          <w:szCs w:val="24"/>
        </w:rPr>
        <w:t xml:space="preserve">ient une </w:t>
      </w:r>
      <w:r w:rsidR="00A54D2A" w:rsidRPr="006E6FB9">
        <w:rPr>
          <w:rFonts w:asciiTheme="minorHAnsi" w:hAnsiTheme="minorHAnsi"/>
          <w:sz w:val="24"/>
          <w:szCs w:val="24"/>
        </w:rPr>
        <w:t>analys</w:t>
      </w:r>
      <w:r w:rsidRPr="006E6FB9">
        <w:rPr>
          <w:rFonts w:asciiTheme="minorHAnsi" w:hAnsiTheme="minorHAnsi"/>
          <w:sz w:val="24"/>
          <w:szCs w:val="24"/>
        </w:rPr>
        <w:t>e</w:t>
      </w:r>
      <w:r w:rsidR="00A54D2A" w:rsidRPr="006E6FB9">
        <w:rPr>
          <w:rFonts w:asciiTheme="minorHAnsi" w:hAnsiTheme="minorHAnsi"/>
          <w:sz w:val="24"/>
          <w:szCs w:val="24"/>
        </w:rPr>
        <w:t xml:space="preserve"> </w:t>
      </w:r>
      <w:r w:rsidRPr="006E6FB9">
        <w:rPr>
          <w:rFonts w:asciiTheme="minorHAnsi" w:hAnsiTheme="minorHAnsi"/>
          <w:sz w:val="24"/>
          <w:szCs w:val="24"/>
        </w:rPr>
        <w:t>des ressources financières</w:t>
      </w:r>
      <w:r w:rsidR="003562C7" w:rsidRPr="006E6FB9">
        <w:rPr>
          <w:rFonts w:asciiTheme="minorHAnsi" w:hAnsiTheme="minorHAnsi"/>
          <w:sz w:val="24"/>
          <w:szCs w:val="24"/>
        </w:rPr>
        <w:t xml:space="preserve"> attribuées à l'UIT</w:t>
      </w:r>
      <w:r w:rsidR="00A54D2A" w:rsidRPr="006E6FB9">
        <w:rPr>
          <w:rFonts w:asciiTheme="minorHAnsi" w:hAnsiTheme="minorHAnsi"/>
          <w:sz w:val="24"/>
          <w:szCs w:val="24"/>
        </w:rPr>
        <w:t xml:space="preserve">-R </w:t>
      </w:r>
      <w:r w:rsidR="003562C7" w:rsidRPr="006E6FB9">
        <w:rPr>
          <w:rFonts w:asciiTheme="minorHAnsi" w:hAnsiTheme="minorHAnsi"/>
          <w:sz w:val="24"/>
          <w:szCs w:val="24"/>
        </w:rPr>
        <w:t>et des ressources humaines du Bureau des r</w:t>
      </w:r>
      <w:r w:rsidR="00A54D2A" w:rsidRPr="006E6FB9">
        <w:rPr>
          <w:rFonts w:asciiTheme="minorHAnsi" w:hAnsiTheme="minorHAnsi"/>
          <w:sz w:val="24"/>
          <w:szCs w:val="24"/>
        </w:rPr>
        <w:t>adiocommunication</w:t>
      </w:r>
      <w:r w:rsidR="003562C7" w:rsidRPr="006E6FB9">
        <w:rPr>
          <w:rFonts w:asciiTheme="minorHAnsi" w:hAnsiTheme="minorHAnsi"/>
          <w:sz w:val="24"/>
          <w:szCs w:val="24"/>
        </w:rPr>
        <w:t>s</w:t>
      </w:r>
      <w:r w:rsidR="00A54D2A" w:rsidRPr="006E6FB9">
        <w:rPr>
          <w:rFonts w:asciiTheme="minorHAnsi" w:hAnsiTheme="minorHAnsi"/>
          <w:sz w:val="24"/>
          <w:szCs w:val="24"/>
        </w:rPr>
        <w:t xml:space="preserve"> </w:t>
      </w:r>
      <w:r w:rsidR="003562C7" w:rsidRPr="006E6FB9">
        <w:rPr>
          <w:rFonts w:asciiTheme="minorHAnsi" w:hAnsiTheme="minorHAnsi"/>
          <w:sz w:val="24"/>
          <w:szCs w:val="24"/>
        </w:rPr>
        <w:t xml:space="preserve">pendant la période </w:t>
      </w:r>
      <w:r w:rsidR="00A54D2A" w:rsidRPr="006E6FB9">
        <w:rPr>
          <w:rFonts w:asciiTheme="minorHAnsi" w:hAnsiTheme="minorHAnsi"/>
          <w:sz w:val="24"/>
          <w:szCs w:val="24"/>
        </w:rPr>
        <w:t>1996-2017</w:t>
      </w:r>
      <w:r w:rsidR="00A57C02" w:rsidRPr="006E6FB9">
        <w:rPr>
          <w:rFonts w:asciiTheme="minorHAnsi" w:hAnsiTheme="minorHAnsi"/>
          <w:sz w:val="24"/>
          <w:szCs w:val="24"/>
        </w:rPr>
        <w:t>.</w:t>
      </w:r>
      <w:r w:rsidR="00A54D2A" w:rsidRPr="006E6FB9">
        <w:rPr>
          <w:rFonts w:asciiTheme="minorHAnsi" w:hAnsiTheme="minorHAnsi"/>
          <w:sz w:val="24"/>
          <w:szCs w:val="24"/>
        </w:rPr>
        <w:t xml:space="preserve"> </w:t>
      </w:r>
      <w:r w:rsidR="00A57C02" w:rsidRPr="006E6FB9">
        <w:rPr>
          <w:rFonts w:asciiTheme="minorHAnsi" w:hAnsiTheme="minorHAnsi"/>
          <w:sz w:val="24"/>
          <w:szCs w:val="24"/>
        </w:rPr>
        <w:t xml:space="preserve">Cette analyse souligne le fait </w:t>
      </w:r>
      <w:r w:rsidR="003562C7" w:rsidRPr="006E6FB9">
        <w:rPr>
          <w:rFonts w:asciiTheme="minorHAnsi" w:hAnsiTheme="minorHAnsi"/>
          <w:sz w:val="24"/>
          <w:szCs w:val="24"/>
        </w:rPr>
        <w:t>que le budget de l'UIT-R a beaucoup baissé au cours des dernières années</w:t>
      </w:r>
      <w:r w:rsidR="000014AC" w:rsidRPr="006E6FB9">
        <w:rPr>
          <w:rFonts w:asciiTheme="minorHAnsi" w:hAnsiTheme="minorHAnsi"/>
          <w:sz w:val="24"/>
          <w:szCs w:val="24"/>
        </w:rPr>
        <w:t>.</w:t>
      </w:r>
      <w:r w:rsidR="003562C7" w:rsidRPr="006E6FB9">
        <w:rPr>
          <w:rFonts w:asciiTheme="minorHAnsi" w:hAnsiTheme="minorHAnsi"/>
          <w:sz w:val="24"/>
          <w:szCs w:val="24"/>
        </w:rPr>
        <w:t xml:space="preserve"> </w:t>
      </w:r>
      <w:r w:rsidR="000014AC" w:rsidRPr="006E6FB9">
        <w:rPr>
          <w:rFonts w:asciiTheme="minorHAnsi" w:hAnsiTheme="minorHAnsi"/>
          <w:sz w:val="24"/>
          <w:szCs w:val="24"/>
        </w:rPr>
        <w:t xml:space="preserve">Elle </w:t>
      </w:r>
      <w:r w:rsidR="003562C7" w:rsidRPr="006E6FB9">
        <w:rPr>
          <w:rFonts w:asciiTheme="minorHAnsi" w:hAnsiTheme="minorHAnsi"/>
          <w:sz w:val="24"/>
          <w:szCs w:val="24"/>
        </w:rPr>
        <w:t>attire l'attention sur la réduction supplémentaire qui est proposée dans le projet de budget de l'UIT-R pour la période 2018-2019</w:t>
      </w:r>
      <w:r w:rsidR="000014AC" w:rsidRPr="006E6FB9">
        <w:rPr>
          <w:rFonts w:asciiTheme="minorHAnsi" w:hAnsiTheme="minorHAnsi"/>
          <w:sz w:val="24"/>
          <w:szCs w:val="24"/>
        </w:rPr>
        <w:t xml:space="preserve"> et </w:t>
      </w:r>
      <w:r w:rsidR="00A57C02" w:rsidRPr="006E6FB9">
        <w:rPr>
          <w:rFonts w:asciiTheme="minorHAnsi" w:hAnsiTheme="minorHAnsi"/>
          <w:sz w:val="24"/>
          <w:szCs w:val="24"/>
        </w:rPr>
        <w:t xml:space="preserve">indique </w:t>
      </w:r>
      <w:r w:rsidR="000014AC" w:rsidRPr="006E6FB9">
        <w:rPr>
          <w:rFonts w:asciiTheme="minorHAnsi" w:hAnsiTheme="minorHAnsi"/>
          <w:sz w:val="24"/>
          <w:szCs w:val="24"/>
        </w:rPr>
        <w:t xml:space="preserve">que </w:t>
      </w:r>
      <w:r w:rsidR="0011593C" w:rsidRPr="006E6FB9">
        <w:rPr>
          <w:rFonts w:asciiTheme="minorHAnsi" w:hAnsiTheme="minorHAnsi"/>
          <w:sz w:val="24"/>
          <w:szCs w:val="24"/>
        </w:rPr>
        <w:t xml:space="preserve">cette </w:t>
      </w:r>
      <w:r w:rsidR="000014AC" w:rsidRPr="006E6FB9">
        <w:rPr>
          <w:rFonts w:asciiTheme="minorHAnsi" w:hAnsiTheme="minorHAnsi"/>
          <w:sz w:val="24"/>
          <w:szCs w:val="24"/>
        </w:rPr>
        <w:t xml:space="preserve">réduction est plus importante </w:t>
      </w:r>
      <w:r w:rsidR="00A57C02" w:rsidRPr="006E6FB9">
        <w:rPr>
          <w:rFonts w:asciiTheme="minorHAnsi" w:hAnsiTheme="minorHAnsi"/>
          <w:sz w:val="24"/>
          <w:szCs w:val="24"/>
        </w:rPr>
        <w:t xml:space="preserve">que </w:t>
      </w:r>
      <w:r w:rsidR="000014AC" w:rsidRPr="006E6FB9">
        <w:rPr>
          <w:rFonts w:asciiTheme="minorHAnsi" w:hAnsiTheme="minorHAnsi"/>
          <w:sz w:val="24"/>
          <w:szCs w:val="24"/>
        </w:rPr>
        <w:t xml:space="preserve">celle </w:t>
      </w:r>
      <w:r w:rsidR="0011593C" w:rsidRPr="006E6FB9">
        <w:rPr>
          <w:rFonts w:asciiTheme="minorHAnsi" w:hAnsiTheme="minorHAnsi"/>
          <w:sz w:val="24"/>
          <w:szCs w:val="24"/>
        </w:rPr>
        <w:t>qui est proposée pour l</w:t>
      </w:r>
      <w:r w:rsidR="00A57C02" w:rsidRPr="006E6FB9">
        <w:rPr>
          <w:rFonts w:asciiTheme="minorHAnsi" w:hAnsiTheme="minorHAnsi"/>
          <w:sz w:val="24"/>
          <w:szCs w:val="24"/>
        </w:rPr>
        <w:t xml:space="preserve">es budgets des </w:t>
      </w:r>
      <w:r w:rsidR="003562C7" w:rsidRPr="006E6FB9">
        <w:rPr>
          <w:rFonts w:asciiTheme="minorHAnsi" w:hAnsiTheme="minorHAnsi"/>
          <w:sz w:val="24"/>
          <w:szCs w:val="24"/>
        </w:rPr>
        <w:t xml:space="preserve">autres organes de l'UIT pour la même période. </w:t>
      </w:r>
      <w:r w:rsidR="00A57C02" w:rsidRPr="006E6FB9">
        <w:rPr>
          <w:rFonts w:asciiTheme="minorHAnsi" w:hAnsiTheme="minorHAnsi"/>
          <w:sz w:val="24"/>
          <w:szCs w:val="24"/>
        </w:rPr>
        <w:t xml:space="preserve">Elle </w:t>
      </w:r>
      <w:r w:rsidR="003562C7" w:rsidRPr="006E6FB9">
        <w:rPr>
          <w:rFonts w:asciiTheme="minorHAnsi" w:hAnsiTheme="minorHAnsi"/>
          <w:sz w:val="24"/>
          <w:szCs w:val="24"/>
        </w:rPr>
        <w:t xml:space="preserve">soulève également un certain nombre de problèmes liés à la réduction </w:t>
      </w:r>
      <w:r w:rsidR="00A57C02" w:rsidRPr="006E6FB9">
        <w:rPr>
          <w:rFonts w:asciiTheme="minorHAnsi" w:hAnsiTheme="minorHAnsi"/>
          <w:sz w:val="24"/>
          <w:szCs w:val="24"/>
        </w:rPr>
        <w:t xml:space="preserve">des effectifs </w:t>
      </w:r>
      <w:r w:rsidR="003562C7" w:rsidRPr="006E6FB9">
        <w:rPr>
          <w:rFonts w:asciiTheme="minorHAnsi" w:hAnsiTheme="minorHAnsi"/>
          <w:sz w:val="24"/>
          <w:szCs w:val="24"/>
        </w:rPr>
        <w:t>du BR au cours des dernières années</w:t>
      </w:r>
      <w:r w:rsidR="0011593C" w:rsidRPr="006E6FB9">
        <w:rPr>
          <w:rFonts w:asciiTheme="minorHAnsi" w:hAnsiTheme="minorHAnsi"/>
          <w:sz w:val="24"/>
          <w:szCs w:val="24"/>
        </w:rPr>
        <w:t>,</w:t>
      </w:r>
      <w:r w:rsidR="003562C7" w:rsidRPr="006E6FB9">
        <w:rPr>
          <w:rFonts w:asciiTheme="minorHAnsi" w:hAnsiTheme="minorHAnsi"/>
          <w:sz w:val="24"/>
          <w:szCs w:val="24"/>
        </w:rPr>
        <w:t xml:space="preserve"> qui</w:t>
      </w:r>
      <w:r w:rsidR="00A57C02" w:rsidRPr="006E6FB9">
        <w:rPr>
          <w:rFonts w:asciiTheme="minorHAnsi" w:hAnsiTheme="minorHAnsi"/>
          <w:sz w:val="24"/>
          <w:szCs w:val="24"/>
        </w:rPr>
        <w:t xml:space="preserve"> </w:t>
      </w:r>
      <w:r w:rsidR="003562C7" w:rsidRPr="006E6FB9">
        <w:rPr>
          <w:rFonts w:asciiTheme="minorHAnsi" w:hAnsiTheme="minorHAnsi"/>
          <w:sz w:val="24"/>
          <w:szCs w:val="24"/>
        </w:rPr>
        <w:t xml:space="preserve">conduit </w:t>
      </w:r>
      <w:r w:rsidR="00B67208" w:rsidRPr="006E6FB9">
        <w:rPr>
          <w:rFonts w:asciiTheme="minorHAnsi" w:hAnsiTheme="minorHAnsi"/>
          <w:sz w:val="24"/>
          <w:szCs w:val="24"/>
        </w:rPr>
        <w:t>au fait que</w:t>
      </w:r>
      <w:r w:rsidR="00A57C02" w:rsidRPr="006E6FB9">
        <w:rPr>
          <w:rFonts w:asciiTheme="minorHAnsi" w:hAnsiTheme="minorHAnsi"/>
          <w:sz w:val="24"/>
          <w:szCs w:val="24"/>
        </w:rPr>
        <w:t xml:space="preserve"> le </w:t>
      </w:r>
      <w:r w:rsidR="003562C7" w:rsidRPr="006E6FB9">
        <w:rPr>
          <w:rFonts w:asciiTheme="minorHAnsi" w:hAnsiTheme="minorHAnsi"/>
          <w:sz w:val="24"/>
          <w:szCs w:val="24"/>
        </w:rPr>
        <w:t xml:space="preserve">BR n'est plus en mesure de </w:t>
      </w:r>
      <w:r w:rsidR="000014AC" w:rsidRPr="006E6FB9">
        <w:rPr>
          <w:rFonts w:asciiTheme="minorHAnsi" w:hAnsiTheme="minorHAnsi"/>
          <w:sz w:val="24"/>
          <w:szCs w:val="24"/>
        </w:rPr>
        <w:t xml:space="preserve">s'acquitter de </w:t>
      </w:r>
      <w:r w:rsidR="003562C7" w:rsidRPr="006E6FB9">
        <w:rPr>
          <w:rFonts w:asciiTheme="minorHAnsi" w:hAnsiTheme="minorHAnsi"/>
          <w:sz w:val="24"/>
          <w:szCs w:val="24"/>
        </w:rPr>
        <w:t>ses obligations réglementaires</w:t>
      </w:r>
      <w:r w:rsidR="00B67208" w:rsidRPr="006E6FB9">
        <w:rPr>
          <w:rFonts w:asciiTheme="minorHAnsi" w:hAnsiTheme="minorHAnsi"/>
          <w:sz w:val="24"/>
          <w:szCs w:val="24"/>
        </w:rPr>
        <w:t>,</w:t>
      </w:r>
      <w:r w:rsidR="003562C7" w:rsidRPr="006E6FB9">
        <w:rPr>
          <w:rFonts w:asciiTheme="minorHAnsi" w:hAnsiTheme="minorHAnsi"/>
          <w:sz w:val="24"/>
          <w:szCs w:val="24"/>
        </w:rPr>
        <w:t xml:space="preserve"> en raison de ressources financières et </w:t>
      </w:r>
      <w:r w:rsidR="000014AC" w:rsidRPr="006E6FB9">
        <w:rPr>
          <w:rFonts w:asciiTheme="minorHAnsi" w:hAnsiTheme="minorHAnsi"/>
          <w:sz w:val="24"/>
          <w:szCs w:val="24"/>
        </w:rPr>
        <w:t xml:space="preserve">de ressources </w:t>
      </w:r>
      <w:r w:rsidR="003562C7" w:rsidRPr="006E6FB9">
        <w:rPr>
          <w:rFonts w:asciiTheme="minorHAnsi" w:hAnsiTheme="minorHAnsi"/>
          <w:sz w:val="24"/>
          <w:szCs w:val="24"/>
        </w:rPr>
        <w:t xml:space="preserve">humaines </w:t>
      </w:r>
      <w:r w:rsidR="000014AC" w:rsidRPr="006E6FB9">
        <w:rPr>
          <w:rFonts w:asciiTheme="minorHAnsi" w:hAnsiTheme="minorHAnsi"/>
          <w:sz w:val="24"/>
          <w:szCs w:val="24"/>
        </w:rPr>
        <w:t>insuffisantes</w:t>
      </w:r>
      <w:r w:rsidR="00B67208" w:rsidRPr="006E6FB9">
        <w:rPr>
          <w:rFonts w:asciiTheme="minorHAnsi" w:hAnsiTheme="minorHAnsi"/>
          <w:sz w:val="24"/>
          <w:szCs w:val="24"/>
        </w:rPr>
        <w:t>,</w:t>
      </w:r>
      <w:r w:rsidR="000014AC" w:rsidRPr="006E6FB9">
        <w:rPr>
          <w:rFonts w:asciiTheme="minorHAnsi" w:hAnsiTheme="minorHAnsi"/>
          <w:sz w:val="24"/>
          <w:szCs w:val="24"/>
        </w:rPr>
        <w:t xml:space="preserve"> </w:t>
      </w:r>
      <w:r w:rsidR="00B67208" w:rsidRPr="006E6FB9">
        <w:rPr>
          <w:rFonts w:asciiTheme="minorHAnsi" w:hAnsiTheme="minorHAnsi"/>
          <w:sz w:val="24"/>
          <w:szCs w:val="24"/>
        </w:rPr>
        <w:t>d'</w:t>
      </w:r>
      <w:r w:rsidR="003562C7" w:rsidRPr="006E6FB9">
        <w:rPr>
          <w:rFonts w:asciiTheme="minorHAnsi" w:hAnsiTheme="minorHAnsi"/>
          <w:sz w:val="24"/>
          <w:szCs w:val="24"/>
        </w:rPr>
        <w:t xml:space="preserve">une complexité accrue </w:t>
      </w:r>
      <w:r w:rsidR="000014AC" w:rsidRPr="006E6FB9">
        <w:rPr>
          <w:rFonts w:asciiTheme="minorHAnsi" w:hAnsiTheme="minorHAnsi"/>
          <w:sz w:val="24"/>
          <w:szCs w:val="24"/>
        </w:rPr>
        <w:t>d</w:t>
      </w:r>
      <w:r w:rsidR="003562C7" w:rsidRPr="006E6FB9">
        <w:rPr>
          <w:rFonts w:asciiTheme="minorHAnsi" w:hAnsiTheme="minorHAnsi"/>
          <w:sz w:val="24"/>
          <w:szCs w:val="24"/>
        </w:rPr>
        <w:t xml:space="preserve">es tâches ainsi que </w:t>
      </w:r>
      <w:r w:rsidR="000014AC" w:rsidRPr="006E6FB9">
        <w:rPr>
          <w:rFonts w:asciiTheme="minorHAnsi" w:hAnsiTheme="minorHAnsi"/>
          <w:sz w:val="24"/>
          <w:szCs w:val="24"/>
        </w:rPr>
        <w:t xml:space="preserve">de l'accroissement du </w:t>
      </w:r>
      <w:r w:rsidR="003562C7" w:rsidRPr="006E6FB9">
        <w:rPr>
          <w:rFonts w:asciiTheme="minorHAnsi" w:hAnsiTheme="minorHAnsi"/>
          <w:sz w:val="24"/>
          <w:szCs w:val="24"/>
        </w:rPr>
        <w:t xml:space="preserve">nombre et </w:t>
      </w:r>
      <w:r w:rsidR="000014AC" w:rsidRPr="006E6FB9">
        <w:rPr>
          <w:rFonts w:asciiTheme="minorHAnsi" w:hAnsiTheme="minorHAnsi"/>
          <w:sz w:val="24"/>
          <w:szCs w:val="24"/>
        </w:rPr>
        <w:t xml:space="preserve">de </w:t>
      </w:r>
      <w:r w:rsidR="003562C7" w:rsidRPr="006E6FB9">
        <w:rPr>
          <w:rFonts w:asciiTheme="minorHAnsi" w:hAnsiTheme="minorHAnsi"/>
          <w:sz w:val="24"/>
          <w:szCs w:val="24"/>
        </w:rPr>
        <w:t xml:space="preserve">la complexité des </w:t>
      </w:r>
      <w:r w:rsidR="000014AC" w:rsidRPr="006E6FB9">
        <w:rPr>
          <w:rFonts w:asciiTheme="minorHAnsi" w:hAnsiTheme="minorHAnsi"/>
          <w:sz w:val="24"/>
          <w:szCs w:val="24"/>
        </w:rPr>
        <w:t xml:space="preserve">fiches de notification </w:t>
      </w:r>
      <w:r w:rsidR="003562C7" w:rsidRPr="006E6FB9">
        <w:rPr>
          <w:rFonts w:asciiTheme="minorHAnsi" w:hAnsiTheme="minorHAnsi"/>
          <w:sz w:val="24"/>
          <w:szCs w:val="24"/>
        </w:rPr>
        <w:t xml:space="preserve">de réseaux </w:t>
      </w:r>
      <w:r w:rsidR="000014AC" w:rsidRPr="006E6FB9">
        <w:rPr>
          <w:rFonts w:asciiTheme="minorHAnsi" w:hAnsiTheme="minorHAnsi"/>
          <w:sz w:val="24"/>
          <w:szCs w:val="24"/>
        </w:rPr>
        <w:t>à satellite</w:t>
      </w:r>
      <w:r w:rsidR="003562C7" w:rsidRPr="006E6FB9">
        <w:rPr>
          <w:rFonts w:asciiTheme="minorHAnsi" w:hAnsiTheme="minorHAnsi"/>
          <w:sz w:val="24"/>
          <w:szCs w:val="24"/>
        </w:rPr>
        <w:t xml:space="preserve">, </w:t>
      </w:r>
      <w:r w:rsidR="000014AC" w:rsidRPr="006E6FB9">
        <w:rPr>
          <w:rFonts w:asciiTheme="minorHAnsi" w:hAnsiTheme="minorHAnsi"/>
          <w:sz w:val="24"/>
          <w:szCs w:val="24"/>
        </w:rPr>
        <w:t xml:space="preserve">qui </w:t>
      </w:r>
      <w:r w:rsidR="0011593C" w:rsidRPr="006E6FB9">
        <w:rPr>
          <w:rFonts w:asciiTheme="minorHAnsi" w:hAnsiTheme="minorHAnsi"/>
          <w:sz w:val="24"/>
          <w:szCs w:val="24"/>
        </w:rPr>
        <w:t xml:space="preserve">alourdissent considérablement </w:t>
      </w:r>
      <w:r w:rsidR="000014AC" w:rsidRPr="006E6FB9">
        <w:rPr>
          <w:rFonts w:asciiTheme="minorHAnsi" w:hAnsiTheme="minorHAnsi"/>
          <w:sz w:val="24"/>
          <w:szCs w:val="24"/>
        </w:rPr>
        <w:t xml:space="preserve">la charge de travail du </w:t>
      </w:r>
      <w:r w:rsidR="003562C7" w:rsidRPr="006E6FB9">
        <w:rPr>
          <w:rFonts w:asciiTheme="minorHAnsi" w:hAnsiTheme="minorHAnsi"/>
          <w:sz w:val="24"/>
          <w:szCs w:val="24"/>
        </w:rPr>
        <w:t>BR.</w:t>
      </w:r>
    </w:p>
    <w:p w14:paraId="1AED0F90" w14:textId="38E079BE" w:rsidR="00934D24" w:rsidRPr="006E6FB9" w:rsidRDefault="0011593C"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En conclusion, il est précisé </w:t>
      </w:r>
      <w:r w:rsidR="00934D24" w:rsidRPr="006E6FB9">
        <w:rPr>
          <w:rFonts w:asciiTheme="minorHAnsi" w:hAnsiTheme="minorHAnsi"/>
          <w:sz w:val="24"/>
          <w:szCs w:val="24"/>
        </w:rPr>
        <w:t xml:space="preserve">que les problèmes susmentionnés sont dus, dans une large mesure, à une réduction des ressources financières et des ressources humaines mises à la disposition du Secteur des radiocommunications au cours des dernières années (y compris une réduction très importante des effectifs du BR), </w:t>
      </w:r>
      <w:r w:rsidRPr="006E6FB9">
        <w:rPr>
          <w:rFonts w:asciiTheme="minorHAnsi" w:hAnsiTheme="minorHAnsi"/>
          <w:sz w:val="24"/>
          <w:szCs w:val="24"/>
        </w:rPr>
        <w:t xml:space="preserve">et </w:t>
      </w:r>
      <w:r w:rsidR="00934D24" w:rsidRPr="006E6FB9">
        <w:rPr>
          <w:rFonts w:asciiTheme="minorHAnsi" w:hAnsiTheme="minorHAnsi"/>
          <w:sz w:val="24"/>
          <w:szCs w:val="24"/>
        </w:rPr>
        <w:t>qu'il faut prendre rapidement des mesures pour que les objectifs de plus en plus complexes du Bureau soient atteints</w:t>
      </w:r>
      <w:r w:rsidR="000014AC" w:rsidRPr="006E6FB9">
        <w:rPr>
          <w:rFonts w:asciiTheme="minorHAnsi" w:hAnsiTheme="minorHAnsi"/>
          <w:sz w:val="24"/>
          <w:szCs w:val="24"/>
        </w:rPr>
        <w:t>.</w:t>
      </w:r>
      <w:r w:rsidRPr="006E6FB9">
        <w:rPr>
          <w:rFonts w:asciiTheme="minorHAnsi" w:hAnsiTheme="minorHAnsi"/>
          <w:sz w:val="24"/>
          <w:szCs w:val="24"/>
        </w:rPr>
        <w:t xml:space="preserve"> Cette position a été largement appuyée par les participants à la réunion du GCR.</w:t>
      </w:r>
    </w:p>
    <w:p w14:paraId="2E352CAC" w14:textId="1A61C393" w:rsidR="0011593C" w:rsidRPr="006E6FB9" w:rsidRDefault="00CE0C34" w:rsidP="00412235">
      <w:pPr>
        <w:pStyle w:val="Tabletext"/>
        <w:keepLines/>
        <w:snapToGrid w:val="0"/>
        <w:spacing w:before="120" w:after="120"/>
        <w:rPr>
          <w:rFonts w:asciiTheme="minorHAnsi" w:hAnsiTheme="minorHAnsi"/>
          <w:sz w:val="24"/>
          <w:szCs w:val="24"/>
        </w:rPr>
      </w:pPr>
      <w:r w:rsidRPr="006E6FB9">
        <w:rPr>
          <w:rFonts w:asciiTheme="minorHAnsi" w:hAnsiTheme="minorHAnsi"/>
          <w:sz w:val="24"/>
          <w:szCs w:val="24"/>
        </w:rPr>
        <w:t>Le Directeur a donné u</w:t>
      </w:r>
      <w:r w:rsidR="0011593C" w:rsidRPr="006E6FB9">
        <w:rPr>
          <w:rFonts w:asciiTheme="minorHAnsi" w:hAnsiTheme="minorHAnsi"/>
          <w:sz w:val="24"/>
          <w:szCs w:val="24"/>
        </w:rPr>
        <w:t xml:space="preserve">ne explication sur la variation des effectifs au fil des années, </w:t>
      </w:r>
      <w:r w:rsidRPr="006E6FB9">
        <w:rPr>
          <w:rFonts w:asciiTheme="minorHAnsi" w:hAnsiTheme="minorHAnsi"/>
          <w:sz w:val="24"/>
          <w:szCs w:val="24"/>
        </w:rPr>
        <w:t xml:space="preserve">depuis le </w:t>
      </w:r>
      <w:r w:rsidR="0011593C" w:rsidRPr="006E6FB9">
        <w:rPr>
          <w:rFonts w:asciiTheme="minorHAnsi" w:hAnsiTheme="minorHAnsi"/>
          <w:sz w:val="24"/>
          <w:szCs w:val="24"/>
        </w:rPr>
        <w:t>début des anné</w:t>
      </w:r>
      <w:r w:rsidR="00412235">
        <w:rPr>
          <w:rFonts w:asciiTheme="minorHAnsi" w:hAnsiTheme="minorHAnsi"/>
          <w:sz w:val="24"/>
          <w:szCs w:val="24"/>
        </w:rPr>
        <w:t xml:space="preserve">es </w:t>
      </w:r>
      <w:r w:rsidR="0011593C" w:rsidRPr="006E6FB9">
        <w:rPr>
          <w:rFonts w:asciiTheme="minorHAnsi" w:hAnsiTheme="minorHAnsi"/>
          <w:sz w:val="24"/>
          <w:szCs w:val="24"/>
        </w:rPr>
        <w:t>90</w:t>
      </w:r>
      <w:r w:rsidR="00FB535E">
        <w:rPr>
          <w:rFonts w:asciiTheme="minorHAnsi" w:hAnsiTheme="minorHAnsi"/>
          <w:sz w:val="24"/>
          <w:szCs w:val="24"/>
        </w:rPr>
        <w:t xml:space="preserve"> </w:t>
      </w:r>
      <w:r w:rsidR="00B67208" w:rsidRPr="006E6FB9">
        <w:rPr>
          <w:rFonts w:asciiTheme="minorHAnsi" w:hAnsiTheme="minorHAnsi"/>
          <w:sz w:val="24"/>
          <w:szCs w:val="24"/>
        </w:rPr>
        <w:t xml:space="preserve">marquées par un </w:t>
      </w:r>
      <w:r w:rsidR="0011593C" w:rsidRPr="006E6FB9">
        <w:rPr>
          <w:rFonts w:asciiTheme="minorHAnsi" w:hAnsiTheme="minorHAnsi"/>
          <w:sz w:val="24"/>
          <w:szCs w:val="24"/>
        </w:rPr>
        <w:t xml:space="preserve">retard dans le traitement des </w:t>
      </w:r>
      <w:r w:rsidRPr="006E6FB9">
        <w:rPr>
          <w:rFonts w:asciiTheme="minorHAnsi" w:hAnsiTheme="minorHAnsi"/>
          <w:sz w:val="24"/>
          <w:szCs w:val="24"/>
        </w:rPr>
        <w:t xml:space="preserve">fiches de notification </w:t>
      </w:r>
      <w:r w:rsidR="00B67208" w:rsidRPr="006E6FB9">
        <w:rPr>
          <w:rFonts w:asciiTheme="minorHAnsi" w:hAnsiTheme="minorHAnsi"/>
          <w:sz w:val="24"/>
          <w:szCs w:val="24"/>
        </w:rPr>
        <w:t xml:space="preserve">qui pouvait atteindre deux ans </w:t>
      </w:r>
      <w:r w:rsidRPr="006E6FB9">
        <w:rPr>
          <w:rFonts w:asciiTheme="minorHAnsi" w:hAnsiTheme="minorHAnsi"/>
          <w:sz w:val="24"/>
          <w:szCs w:val="24"/>
        </w:rPr>
        <w:t xml:space="preserve">alors que </w:t>
      </w:r>
      <w:r w:rsidR="0011593C" w:rsidRPr="006E6FB9">
        <w:rPr>
          <w:rFonts w:asciiTheme="minorHAnsi" w:hAnsiTheme="minorHAnsi"/>
          <w:sz w:val="24"/>
          <w:szCs w:val="24"/>
        </w:rPr>
        <w:t xml:space="preserve">le délai </w:t>
      </w:r>
      <w:r w:rsidRPr="006E6FB9">
        <w:rPr>
          <w:rFonts w:asciiTheme="minorHAnsi" w:hAnsiTheme="minorHAnsi"/>
          <w:sz w:val="24"/>
          <w:szCs w:val="24"/>
        </w:rPr>
        <w:t xml:space="preserve">réglementaire prévu au numéro </w:t>
      </w:r>
      <w:r w:rsidR="0011593C" w:rsidRPr="006E6FB9">
        <w:rPr>
          <w:rFonts w:asciiTheme="minorHAnsi" w:hAnsiTheme="minorHAnsi"/>
          <w:b/>
          <w:bCs/>
          <w:sz w:val="24"/>
          <w:szCs w:val="24"/>
        </w:rPr>
        <w:t>9.38</w:t>
      </w:r>
      <w:r w:rsidR="0011593C" w:rsidRPr="006E6FB9">
        <w:rPr>
          <w:rFonts w:asciiTheme="minorHAnsi" w:hAnsiTheme="minorHAnsi"/>
          <w:sz w:val="24"/>
          <w:szCs w:val="24"/>
        </w:rPr>
        <w:t xml:space="preserve"> </w:t>
      </w:r>
      <w:r w:rsidRPr="006E6FB9">
        <w:rPr>
          <w:rFonts w:asciiTheme="minorHAnsi" w:hAnsiTheme="minorHAnsi"/>
          <w:sz w:val="24"/>
          <w:szCs w:val="24"/>
        </w:rPr>
        <w:t xml:space="preserve">du RR est </w:t>
      </w:r>
      <w:r w:rsidR="0011593C" w:rsidRPr="006E6FB9">
        <w:rPr>
          <w:rFonts w:asciiTheme="minorHAnsi" w:hAnsiTheme="minorHAnsi"/>
          <w:sz w:val="24"/>
          <w:szCs w:val="24"/>
        </w:rPr>
        <w:t xml:space="preserve">de quatre mois pour </w:t>
      </w:r>
      <w:r w:rsidRPr="006E6FB9">
        <w:rPr>
          <w:rFonts w:asciiTheme="minorHAnsi" w:hAnsiTheme="minorHAnsi"/>
          <w:sz w:val="24"/>
          <w:szCs w:val="24"/>
        </w:rPr>
        <w:t>le t</w:t>
      </w:r>
      <w:r w:rsidR="0011593C" w:rsidRPr="006E6FB9">
        <w:rPr>
          <w:rFonts w:asciiTheme="minorHAnsi" w:hAnsiTheme="minorHAnsi"/>
          <w:sz w:val="24"/>
          <w:szCs w:val="24"/>
        </w:rPr>
        <w:t xml:space="preserve">raitement des </w:t>
      </w:r>
      <w:r w:rsidRPr="006E6FB9">
        <w:rPr>
          <w:rFonts w:asciiTheme="minorHAnsi" w:hAnsiTheme="minorHAnsi"/>
          <w:sz w:val="24"/>
          <w:szCs w:val="24"/>
        </w:rPr>
        <w:t>soumissions CR/</w:t>
      </w:r>
      <w:r w:rsidR="0011593C" w:rsidRPr="006E6FB9">
        <w:rPr>
          <w:rFonts w:asciiTheme="minorHAnsi" w:hAnsiTheme="minorHAnsi"/>
          <w:sz w:val="24"/>
          <w:szCs w:val="24"/>
        </w:rPr>
        <w:t>R</w:t>
      </w:r>
      <w:r w:rsidRPr="006E6FB9">
        <w:rPr>
          <w:rFonts w:asciiTheme="minorHAnsi" w:hAnsiTheme="minorHAnsi"/>
          <w:sz w:val="24"/>
          <w:szCs w:val="24"/>
        </w:rPr>
        <w:t>,</w:t>
      </w:r>
      <w:r w:rsidR="0011593C" w:rsidRPr="006E6FB9">
        <w:rPr>
          <w:rFonts w:asciiTheme="minorHAnsi" w:hAnsiTheme="minorHAnsi"/>
          <w:sz w:val="24"/>
          <w:szCs w:val="24"/>
        </w:rPr>
        <w:t xml:space="preserve"> comme indiqué dans le Règlement des radiocommunications. Il a expliqué que </w:t>
      </w:r>
      <w:r w:rsidRPr="006E6FB9">
        <w:rPr>
          <w:rFonts w:asciiTheme="minorHAnsi" w:hAnsiTheme="minorHAnsi"/>
          <w:sz w:val="24"/>
          <w:szCs w:val="24"/>
        </w:rPr>
        <w:t>la mise en place d</w:t>
      </w:r>
      <w:r w:rsidR="0011593C" w:rsidRPr="006E6FB9">
        <w:rPr>
          <w:rFonts w:asciiTheme="minorHAnsi" w:hAnsiTheme="minorHAnsi"/>
          <w:sz w:val="24"/>
          <w:szCs w:val="24"/>
        </w:rPr>
        <w:t xml:space="preserve">es mesures de recouvrement des coûts </w:t>
      </w:r>
      <w:r w:rsidRPr="006E6FB9">
        <w:rPr>
          <w:rFonts w:asciiTheme="minorHAnsi" w:hAnsiTheme="minorHAnsi"/>
          <w:sz w:val="24"/>
          <w:szCs w:val="24"/>
        </w:rPr>
        <w:t>a eu pour effet de faire baisser, dans une certaine mesure</w:t>
      </w:r>
      <w:r w:rsidR="0011593C" w:rsidRPr="006E6FB9">
        <w:rPr>
          <w:rFonts w:asciiTheme="minorHAnsi" w:hAnsiTheme="minorHAnsi"/>
          <w:sz w:val="24"/>
          <w:szCs w:val="24"/>
        </w:rPr>
        <w:t xml:space="preserve">, </w:t>
      </w:r>
      <w:r w:rsidRPr="006E6FB9">
        <w:rPr>
          <w:rFonts w:asciiTheme="minorHAnsi" w:hAnsiTheme="minorHAnsi"/>
          <w:sz w:val="24"/>
          <w:szCs w:val="24"/>
        </w:rPr>
        <w:t>la soumission de fiches de notification</w:t>
      </w:r>
      <w:r w:rsidR="0011593C" w:rsidRPr="006E6FB9">
        <w:rPr>
          <w:rFonts w:asciiTheme="minorHAnsi" w:hAnsiTheme="minorHAnsi"/>
          <w:sz w:val="24"/>
          <w:szCs w:val="24"/>
        </w:rPr>
        <w:t xml:space="preserve">. Cette </w:t>
      </w:r>
      <w:r w:rsidRPr="006E6FB9">
        <w:rPr>
          <w:rFonts w:asciiTheme="minorHAnsi" w:hAnsiTheme="minorHAnsi"/>
          <w:sz w:val="24"/>
          <w:szCs w:val="24"/>
        </w:rPr>
        <w:t xml:space="preserve">baisse </w:t>
      </w:r>
      <w:r w:rsidR="0011593C" w:rsidRPr="006E6FB9">
        <w:rPr>
          <w:rFonts w:asciiTheme="minorHAnsi" w:hAnsiTheme="minorHAnsi"/>
          <w:sz w:val="24"/>
          <w:szCs w:val="24"/>
        </w:rPr>
        <w:t xml:space="preserve">relative, associée à de nouvelles applications logicielles qui </w:t>
      </w:r>
      <w:r w:rsidRPr="006E6FB9">
        <w:rPr>
          <w:rFonts w:asciiTheme="minorHAnsi" w:hAnsiTheme="minorHAnsi"/>
          <w:sz w:val="24"/>
          <w:szCs w:val="24"/>
        </w:rPr>
        <w:t xml:space="preserve">ont </w:t>
      </w:r>
      <w:r w:rsidR="0011593C" w:rsidRPr="006E6FB9">
        <w:rPr>
          <w:rFonts w:asciiTheme="minorHAnsi" w:hAnsiTheme="minorHAnsi"/>
          <w:sz w:val="24"/>
          <w:szCs w:val="24"/>
        </w:rPr>
        <w:t>re</w:t>
      </w:r>
      <w:r w:rsidRPr="006E6FB9">
        <w:rPr>
          <w:rFonts w:asciiTheme="minorHAnsi" w:hAnsiTheme="minorHAnsi"/>
          <w:sz w:val="24"/>
          <w:szCs w:val="24"/>
        </w:rPr>
        <w:t>ndu</w:t>
      </w:r>
      <w:r w:rsidR="0011593C" w:rsidRPr="006E6FB9">
        <w:rPr>
          <w:rFonts w:asciiTheme="minorHAnsi" w:hAnsiTheme="minorHAnsi"/>
          <w:sz w:val="24"/>
          <w:szCs w:val="24"/>
        </w:rPr>
        <w:t xml:space="preserve"> le traitement plus efficace, a permis </w:t>
      </w:r>
      <w:r w:rsidRPr="006E6FB9">
        <w:rPr>
          <w:rFonts w:asciiTheme="minorHAnsi" w:hAnsiTheme="minorHAnsi"/>
          <w:sz w:val="24"/>
          <w:szCs w:val="24"/>
        </w:rPr>
        <w:t xml:space="preserve">de réduire les effectifs </w:t>
      </w:r>
      <w:r w:rsidR="0011593C" w:rsidRPr="006E6FB9">
        <w:rPr>
          <w:rFonts w:asciiTheme="minorHAnsi" w:hAnsiTheme="minorHAnsi"/>
          <w:sz w:val="24"/>
          <w:szCs w:val="24"/>
        </w:rPr>
        <w:t>au cours de son mandat.</w:t>
      </w:r>
    </w:p>
    <w:p w14:paraId="6F326E5B" w14:textId="77777777" w:rsidR="006E014E" w:rsidRDefault="006E014E" w:rsidP="00412235">
      <w:pPr>
        <w:pStyle w:val="Tabletext"/>
        <w:snapToGrid w:val="0"/>
        <w:spacing w:before="120" w:after="120"/>
        <w:rPr>
          <w:rFonts w:asciiTheme="minorHAnsi" w:hAnsiTheme="minorHAnsi"/>
          <w:sz w:val="24"/>
          <w:szCs w:val="24"/>
        </w:rPr>
      </w:pPr>
      <w:r>
        <w:rPr>
          <w:rFonts w:asciiTheme="minorHAnsi" w:hAnsiTheme="minorHAnsi"/>
          <w:sz w:val="24"/>
          <w:szCs w:val="24"/>
        </w:rPr>
        <w:br w:type="page"/>
      </w:r>
    </w:p>
    <w:p w14:paraId="31824CCD" w14:textId="609FD81B" w:rsidR="00CE0C34" w:rsidRPr="006E6FB9" w:rsidRDefault="00CE0C34" w:rsidP="00412235">
      <w:pPr>
        <w:pStyle w:val="Tabletext"/>
        <w:snapToGrid w:val="0"/>
        <w:spacing w:before="120" w:after="120"/>
        <w:rPr>
          <w:rFonts w:asciiTheme="minorHAnsi" w:hAnsiTheme="minorHAnsi"/>
          <w:sz w:val="24"/>
          <w:szCs w:val="24"/>
        </w:rPr>
      </w:pPr>
      <w:r w:rsidRPr="006E6FB9">
        <w:rPr>
          <w:rFonts w:asciiTheme="minorHAnsi" w:hAnsiTheme="minorHAnsi"/>
          <w:sz w:val="24"/>
          <w:szCs w:val="24"/>
        </w:rPr>
        <w:lastRenderedPageBreak/>
        <w:t xml:space="preserve">Toutefois, un nouveau </w:t>
      </w:r>
      <w:r w:rsidR="00C2047F" w:rsidRPr="006E6FB9">
        <w:rPr>
          <w:rFonts w:asciiTheme="minorHAnsi" w:hAnsiTheme="minorHAnsi"/>
          <w:sz w:val="24"/>
          <w:szCs w:val="24"/>
        </w:rPr>
        <w:t xml:space="preserve">retard s'est creusé </w:t>
      </w:r>
      <w:r w:rsidRPr="006E6FB9">
        <w:rPr>
          <w:rFonts w:asciiTheme="minorHAnsi" w:hAnsiTheme="minorHAnsi"/>
          <w:sz w:val="24"/>
          <w:szCs w:val="24"/>
        </w:rPr>
        <w:t>au cours des 12 à 18 dern</w:t>
      </w:r>
      <w:r w:rsidR="00C2047F" w:rsidRPr="006E6FB9">
        <w:rPr>
          <w:rFonts w:asciiTheme="minorHAnsi" w:hAnsiTheme="minorHAnsi"/>
          <w:sz w:val="24"/>
          <w:szCs w:val="24"/>
        </w:rPr>
        <w:t xml:space="preserve">iers mois, en raison </w:t>
      </w:r>
      <w:r w:rsidR="00536BC1" w:rsidRPr="006E6FB9">
        <w:rPr>
          <w:rFonts w:asciiTheme="minorHAnsi" w:hAnsiTheme="minorHAnsi"/>
          <w:sz w:val="24"/>
          <w:szCs w:val="24"/>
        </w:rPr>
        <w:t>d'un</w:t>
      </w:r>
      <w:r w:rsidR="00C2047F" w:rsidRPr="006E6FB9">
        <w:rPr>
          <w:rFonts w:asciiTheme="minorHAnsi" w:hAnsiTheme="minorHAnsi"/>
          <w:sz w:val="24"/>
          <w:szCs w:val="24"/>
        </w:rPr>
        <w:t xml:space="preserve"> fort</w:t>
      </w:r>
      <w:r w:rsidRPr="006E6FB9">
        <w:rPr>
          <w:rFonts w:asciiTheme="minorHAnsi" w:hAnsiTheme="minorHAnsi"/>
          <w:sz w:val="24"/>
          <w:szCs w:val="24"/>
        </w:rPr>
        <w:t xml:space="preserve"> </w:t>
      </w:r>
      <w:r w:rsidR="00C2047F" w:rsidRPr="006E6FB9">
        <w:rPr>
          <w:rFonts w:asciiTheme="minorHAnsi" w:hAnsiTheme="minorHAnsi"/>
          <w:sz w:val="24"/>
          <w:szCs w:val="24"/>
        </w:rPr>
        <w:t xml:space="preserve">accroissement </w:t>
      </w:r>
      <w:r w:rsidRPr="006E6FB9">
        <w:rPr>
          <w:rFonts w:asciiTheme="minorHAnsi" w:hAnsiTheme="minorHAnsi"/>
          <w:sz w:val="24"/>
          <w:szCs w:val="24"/>
        </w:rPr>
        <w:t xml:space="preserve">du nombre et de la complexité des </w:t>
      </w:r>
      <w:r w:rsidR="00C2047F" w:rsidRPr="006E6FB9">
        <w:rPr>
          <w:rFonts w:asciiTheme="minorHAnsi" w:hAnsiTheme="minorHAnsi"/>
          <w:sz w:val="24"/>
          <w:szCs w:val="24"/>
        </w:rPr>
        <w:t xml:space="preserve">fiches de notification </w:t>
      </w:r>
      <w:r w:rsidR="00B67208" w:rsidRPr="006E6FB9">
        <w:rPr>
          <w:rFonts w:asciiTheme="minorHAnsi" w:hAnsiTheme="minorHAnsi"/>
          <w:sz w:val="24"/>
          <w:szCs w:val="24"/>
        </w:rPr>
        <w:t>à la fois pour les</w:t>
      </w:r>
      <w:r w:rsidRPr="006E6FB9">
        <w:rPr>
          <w:rFonts w:asciiTheme="minorHAnsi" w:hAnsiTheme="minorHAnsi"/>
          <w:sz w:val="24"/>
          <w:szCs w:val="24"/>
        </w:rPr>
        <w:t xml:space="preserve"> réseaux </w:t>
      </w:r>
      <w:r w:rsidR="00C2047F" w:rsidRPr="006E6FB9">
        <w:rPr>
          <w:rFonts w:asciiTheme="minorHAnsi" w:hAnsiTheme="minorHAnsi"/>
          <w:sz w:val="24"/>
          <w:szCs w:val="24"/>
        </w:rPr>
        <w:t xml:space="preserve">à </w:t>
      </w:r>
      <w:r w:rsidRPr="006E6FB9">
        <w:rPr>
          <w:rFonts w:asciiTheme="minorHAnsi" w:hAnsiTheme="minorHAnsi"/>
          <w:sz w:val="24"/>
          <w:szCs w:val="24"/>
        </w:rPr>
        <w:t xml:space="preserve">satellites OSG et </w:t>
      </w:r>
      <w:r w:rsidR="00B67208" w:rsidRPr="006E6FB9">
        <w:rPr>
          <w:rFonts w:asciiTheme="minorHAnsi" w:hAnsiTheme="minorHAnsi"/>
          <w:sz w:val="24"/>
          <w:szCs w:val="24"/>
        </w:rPr>
        <w:t xml:space="preserve">pour les réseaux à satellite </w:t>
      </w:r>
      <w:r w:rsidRPr="006E6FB9">
        <w:rPr>
          <w:rFonts w:asciiTheme="minorHAnsi" w:hAnsiTheme="minorHAnsi"/>
          <w:sz w:val="24"/>
          <w:szCs w:val="24"/>
        </w:rPr>
        <w:t xml:space="preserve">non OSG. </w:t>
      </w:r>
      <w:r w:rsidR="00C2047F" w:rsidRPr="006E6FB9">
        <w:rPr>
          <w:rFonts w:asciiTheme="minorHAnsi" w:hAnsiTheme="minorHAnsi"/>
          <w:sz w:val="24"/>
          <w:szCs w:val="24"/>
        </w:rPr>
        <w:t xml:space="preserve">Le GCR </w:t>
      </w:r>
      <w:r w:rsidRPr="006E6FB9">
        <w:rPr>
          <w:rFonts w:asciiTheme="minorHAnsi" w:hAnsiTheme="minorHAnsi"/>
          <w:sz w:val="24"/>
          <w:szCs w:val="24"/>
        </w:rPr>
        <w:t xml:space="preserve">a conclu que les </w:t>
      </w:r>
      <w:proofErr w:type="spellStart"/>
      <w:r w:rsidR="00412235">
        <w:rPr>
          <w:rFonts w:asciiTheme="minorHAnsi" w:hAnsiTheme="minorHAnsi"/>
          <w:sz w:val="24"/>
          <w:szCs w:val="24"/>
        </w:rPr>
        <w:t>E</w:t>
      </w:r>
      <w:r w:rsidRPr="006E6FB9">
        <w:rPr>
          <w:rFonts w:asciiTheme="minorHAnsi" w:hAnsiTheme="minorHAnsi"/>
          <w:sz w:val="24"/>
          <w:szCs w:val="24"/>
        </w:rPr>
        <w:t>tats</w:t>
      </w:r>
      <w:proofErr w:type="spellEnd"/>
      <w:r w:rsidRPr="006E6FB9">
        <w:rPr>
          <w:rFonts w:asciiTheme="minorHAnsi" w:hAnsiTheme="minorHAnsi"/>
          <w:sz w:val="24"/>
          <w:szCs w:val="24"/>
        </w:rPr>
        <w:t xml:space="preserve"> </w:t>
      </w:r>
      <w:r w:rsidR="00C2047F" w:rsidRPr="006E6FB9">
        <w:rPr>
          <w:rFonts w:asciiTheme="minorHAnsi" w:hAnsiTheme="minorHAnsi"/>
          <w:sz w:val="24"/>
          <w:szCs w:val="24"/>
        </w:rPr>
        <w:t>M</w:t>
      </w:r>
      <w:r w:rsidRPr="006E6FB9">
        <w:rPr>
          <w:rFonts w:asciiTheme="minorHAnsi" w:hAnsiTheme="minorHAnsi"/>
          <w:sz w:val="24"/>
          <w:szCs w:val="24"/>
        </w:rPr>
        <w:t>embres p</w:t>
      </w:r>
      <w:r w:rsidR="00C2047F" w:rsidRPr="006E6FB9">
        <w:rPr>
          <w:rFonts w:asciiTheme="minorHAnsi" w:hAnsiTheme="minorHAnsi"/>
          <w:sz w:val="24"/>
          <w:szCs w:val="24"/>
        </w:rPr>
        <w:t xml:space="preserve">ouvaient faire part de </w:t>
      </w:r>
      <w:r w:rsidRPr="006E6FB9">
        <w:rPr>
          <w:rFonts w:asciiTheme="minorHAnsi" w:hAnsiTheme="minorHAnsi"/>
          <w:sz w:val="24"/>
          <w:szCs w:val="24"/>
        </w:rPr>
        <w:t xml:space="preserve">ces préoccupations au Conseil </w:t>
      </w:r>
      <w:r w:rsidR="00C2047F" w:rsidRPr="006E6FB9">
        <w:rPr>
          <w:rFonts w:asciiTheme="minorHAnsi" w:hAnsiTheme="minorHAnsi"/>
          <w:sz w:val="24"/>
          <w:szCs w:val="24"/>
        </w:rPr>
        <w:t xml:space="preserve">s'ils le </w:t>
      </w:r>
      <w:r w:rsidRPr="006E6FB9">
        <w:rPr>
          <w:rFonts w:asciiTheme="minorHAnsi" w:hAnsiTheme="minorHAnsi"/>
          <w:sz w:val="24"/>
          <w:szCs w:val="24"/>
        </w:rPr>
        <w:t>souhait</w:t>
      </w:r>
      <w:r w:rsidR="00C2047F" w:rsidRPr="006E6FB9">
        <w:rPr>
          <w:rFonts w:asciiTheme="minorHAnsi" w:hAnsiTheme="minorHAnsi"/>
          <w:sz w:val="24"/>
          <w:szCs w:val="24"/>
        </w:rPr>
        <w:t>ai</w:t>
      </w:r>
      <w:r w:rsidRPr="006E6FB9">
        <w:rPr>
          <w:rFonts w:asciiTheme="minorHAnsi" w:hAnsiTheme="minorHAnsi"/>
          <w:sz w:val="24"/>
          <w:szCs w:val="24"/>
        </w:rPr>
        <w:t xml:space="preserve">ent, </w:t>
      </w:r>
      <w:r w:rsidR="00310EB7" w:rsidRPr="006E6FB9">
        <w:rPr>
          <w:rFonts w:asciiTheme="minorHAnsi" w:hAnsiTheme="minorHAnsi"/>
          <w:sz w:val="24"/>
          <w:szCs w:val="24"/>
        </w:rPr>
        <w:t>e</w:t>
      </w:r>
      <w:r w:rsidR="00412235">
        <w:rPr>
          <w:rFonts w:asciiTheme="minorHAnsi" w:hAnsiTheme="minorHAnsi"/>
          <w:sz w:val="24"/>
          <w:szCs w:val="24"/>
        </w:rPr>
        <w:t>n</w:t>
      </w:r>
      <w:r w:rsidR="00310EB7" w:rsidRPr="006E6FB9">
        <w:rPr>
          <w:rFonts w:asciiTheme="minorHAnsi" w:hAnsiTheme="minorHAnsi"/>
          <w:sz w:val="24"/>
          <w:szCs w:val="24"/>
        </w:rPr>
        <w:t xml:space="preserve"> citant</w:t>
      </w:r>
      <w:r w:rsidR="00C2047F" w:rsidRPr="006E6FB9">
        <w:rPr>
          <w:rFonts w:asciiTheme="minorHAnsi" w:hAnsiTheme="minorHAnsi"/>
          <w:sz w:val="24"/>
          <w:szCs w:val="24"/>
        </w:rPr>
        <w:t xml:space="preserve"> en référence </w:t>
      </w:r>
      <w:r w:rsidRPr="006E6FB9">
        <w:rPr>
          <w:rFonts w:asciiTheme="minorHAnsi" w:hAnsiTheme="minorHAnsi"/>
          <w:sz w:val="24"/>
          <w:szCs w:val="24"/>
        </w:rPr>
        <w:t xml:space="preserve">le résumé des conclusions de la réunion </w:t>
      </w:r>
      <w:r w:rsidR="00C2047F" w:rsidRPr="006E6FB9">
        <w:rPr>
          <w:rFonts w:asciiTheme="minorHAnsi" w:hAnsiTheme="minorHAnsi"/>
          <w:sz w:val="24"/>
          <w:szCs w:val="24"/>
        </w:rPr>
        <w:t xml:space="preserve">en question </w:t>
      </w:r>
      <w:r w:rsidRPr="006E6FB9">
        <w:rPr>
          <w:rFonts w:asciiTheme="minorHAnsi" w:hAnsiTheme="minorHAnsi"/>
          <w:sz w:val="24"/>
          <w:szCs w:val="24"/>
        </w:rPr>
        <w:t xml:space="preserve">du </w:t>
      </w:r>
      <w:r w:rsidR="00C2047F" w:rsidRPr="006E6FB9">
        <w:rPr>
          <w:rFonts w:asciiTheme="minorHAnsi" w:hAnsiTheme="minorHAnsi"/>
          <w:sz w:val="24"/>
          <w:szCs w:val="24"/>
        </w:rPr>
        <w:t>GCR</w:t>
      </w:r>
      <w:r w:rsidRPr="006E6FB9">
        <w:rPr>
          <w:rFonts w:asciiTheme="minorHAnsi" w:hAnsiTheme="minorHAnsi"/>
          <w:sz w:val="24"/>
          <w:szCs w:val="24"/>
        </w:rPr>
        <w:t xml:space="preserve">. Le </w:t>
      </w:r>
      <w:r w:rsidR="00C2047F" w:rsidRPr="006E6FB9">
        <w:rPr>
          <w:rFonts w:asciiTheme="minorHAnsi" w:hAnsiTheme="minorHAnsi"/>
          <w:sz w:val="24"/>
          <w:szCs w:val="24"/>
        </w:rPr>
        <w:t xml:space="preserve">GCR </w:t>
      </w:r>
      <w:r w:rsidRPr="006E6FB9">
        <w:rPr>
          <w:rFonts w:asciiTheme="minorHAnsi" w:hAnsiTheme="minorHAnsi"/>
          <w:sz w:val="24"/>
          <w:szCs w:val="24"/>
        </w:rPr>
        <w:t>a également souligné la nécessité d'adopter une approche proportionn</w:t>
      </w:r>
      <w:r w:rsidR="00C2047F" w:rsidRPr="006E6FB9">
        <w:rPr>
          <w:rFonts w:asciiTheme="minorHAnsi" w:hAnsiTheme="minorHAnsi"/>
          <w:sz w:val="24"/>
          <w:szCs w:val="24"/>
        </w:rPr>
        <w:t xml:space="preserve">ée </w:t>
      </w:r>
      <w:r w:rsidRPr="006E6FB9">
        <w:rPr>
          <w:rFonts w:asciiTheme="minorHAnsi" w:hAnsiTheme="minorHAnsi"/>
          <w:sz w:val="24"/>
          <w:szCs w:val="24"/>
        </w:rPr>
        <w:t xml:space="preserve">et équilibrée dans le financement des Secteurs et du Secrétariat général </w:t>
      </w:r>
      <w:r w:rsidR="00C2047F" w:rsidRPr="006E6FB9">
        <w:rPr>
          <w:rFonts w:asciiTheme="minorHAnsi" w:hAnsiTheme="minorHAnsi"/>
          <w:sz w:val="24"/>
          <w:szCs w:val="24"/>
        </w:rPr>
        <w:t xml:space="preserve">de l'UIT, </w:t>
      </w:r>
      <w:r w:rsidRPr="006E6FB9">
        <w:rPr>
          <w:rFonts w:asciiTheme="minorHAnsi" w:hAnsiTheme="minorHAnsi"/>
          <w:sz w:val="24"/>
          <w:szCs w:val="24"/>
        </w:rPr>
        <w:t xml:space="preserve">qui devrait tenir compte de l'augmentation récente de la charge de travail du Bureau des radiocommunications </w:t>
      </w:r>
      <w:r w:rsidR="00310EB7" w:rsidRPr="006E6FB9">
        <w:rPr>
          <w:rFonts w:asciiTheme="minorHAnsi" w:hAnsiTheme="minorHAnsi"/>
          <w:sz w:val="24"/>
          <w:szCs w:val="24"/>
        </w:rPr>
        <w:t>ainsi que</w:t>
      </w:r>
      <w:r w:rsidRPr="006E6FB9">
        <w:rPr>
          <w:rFonts w:asciiTheme="minorHAnsi" w:hAnsiTheme="minorHAnsi"/>
          <w:sz w:val="24"/>
          <w:szCs w:val="24"/>
        </w:rPr>
        <w:t xml:space="preserve"> des attentes </w:t>
      </w:r>
      <w:r w:rsidR="00C2047F" w:rsidRPr="006E6FB9">
        <w:rPr>
          <w:rFonts w:asciiTheme="minorHAnsi" w:hAnsiTheme="minorHAnsi"/>
          <w:sz w:val="24"/>
          <w:szCs w:val="24"/>
        </w:rPr>
        <w:t>des membres</w:t>
      </w:r>
      <w:r w:rsidRPr="006E6FB9">
        <w:rPr>
          <w:rFonts w:asciiTheme="minorHAnsi" w:hAnsiTheme="minorHAnsi"/>
          <w:sz w:val="24"/>
          <w:szCs w:val="24"/>
        </w:rPr>
        <w:t xml:space="preserve">. </w:t>
      </w:r>
      <w:r w:rsidR="00C2047F" w:rsidRPr="006E6FB9">
        <w:rPr>
          <w:rFonts w:asciiTheme="minorHAnsi" w:hAnsiTheme="minorHAnsi"/>
          <w:sz w:val="24"/>
          <w:szCs w:val="24"/>
        </w:rPr>
        <w:t xml:space="preserve">Le GCR </w:t>
      </w:r>
      <w:r w:rsidRPr="006E6FB9">
        <w:rPr>
          <w:rFonts w:asciiTheme="minorHAnsi" w:hAnsiTheme="minorHAnsi"/>
          <w:sz w:val="24"/>
          <w:szCs w:val="24"/>
        </w:rPr>
        <w:t xml:space="preserve">a également recommandé au Directeur </w:t>
      </w:r>
      <w:r w:rsidR="00C2047F" w:rsidRPr="006E6FB9">
        <w:rPr>
          <w:rFonts w:asciiTheme="minorHAnsi" w:hAnsiTheme="minorHAnsi"/>
          <w:sz w:val="24"/>
          <w:szCs w:val="24"/>
        </w:rPr>
        <w:t xml:space="preserve">de faire part de ces </w:t>
      </w:r>
      <w:r w:rsidRPr="006E6FB9">
        <w:rPr>
          <w:rFonts w:asciiTheme="minorHAnsi" w:hAnsiTheme="minorHAnsi"/>
          <w:sz w:val="24"/>
          <w:szCs w:val="24"/>
        </w:rPr>
        <w:t>préoccupations dans son rapport</w:t>
      </w:r>
      <w:r w:rsidR="00C2047F" w:rsidRPr="006E6FB9">
        <w:rPr>
          <w:rFonts w:asciiTheme="minorHAnsi" w:hAnsiTheme="minorHAnsi"/>
          <w:sz w:val="24"/>
          <w:szCs w:val="24"/>
        </w:rPr>
        <w:t xml:space="preserve"> au Conseil</w:t>
      </w:r>
      <w:r w:rsidRPr="006E6FB9">
        <w:rPr>
          <w:rFonts w:asciiTheme="minorHAnsi" w:hAnsiTheme="minorHAnsi"/>
          <w:sz w:val="24"/>
          <w:szCs w:val="24"/>
        </w:rPr>
        <w:t>.</w:t>
      </w:r>
    </w:p>
    <w:p w14:paraId="3EF518A2" w14:textId="32A17D02" w:rsidR="00A54D2A" w:rsidRPr="00412235" w:rsidRDefault="00A54D2A" w:rsidP="00FF0A61">
      <w:pPr>
        <w:pStyle w:val="Heading2"/>
        <w:rPr>
          <w:i/>
          <w:iCs/>
          <w:lang w:eastAsia="zh-CN"/>
        </w:rPr>
      </w:pPr>
      <w:r w:rsidRPr="006E6FB9">
        <w:rPr>
          <w:lang w:eastAsia="zh-CN"/>
        </w:rPr>
        <w:t>6.2</w:t>
      </w:r>
      <w:r w:rsidRPr="006E6FB9">
        <w:rPr>
          <w:lang w:eastAsia="zh-CN"/>
        </w:rPr>
        <w:tab/>
      </w:r>
      <w:r w:rsidR="000B46E3" w:rsidRPr="006E6FB9">
        <w:rPr>
          <w:lang w:eastAsia="zh-CN"/>
        </w:rPr>
        <w:t xml:space="preserve">Recouvrement des coûts pour le traitement des fiches de notification des réseaux à satellite </w:t>
      </w:r>
      <w:r w:rsidRPr="00FF0A61">
        <w:rPr>
          <w:i/>
          <w:iCs/>
          <w:lang w:eastAsia="zh-CN"/>
        </w:rPr>
        <w:t>(</w:t>
      </w:r>
      <w:r w:rsidR="00EF6606" w:rsidRPr="00FF0A61">
        <w:rPr>
          <w:i/>
          <w:iCs/>
          <w:lang w:eastAsia="zh-CN"/>
        </w:rPr>
        <w:t xml:space="preserve">Décision </w:t>
      </w:r>
      <w:r w:rsidRPr="00FF0A61">
        <w:rPr>
          <w:i/>
          <w:iCs/>
          <w:lang w:eastAsia="zh-CN"/>
        </w:rPr>
        <w:t>D 482(MOD)</w:t>
      </w:r>
      <w:r w:rsidR="00FF0A61" w:rsidRPr="00FF0A61">
        <w:rPr>
          <w:i/>
          <w:iCs/>
          <w:lang w:eastAsia="zh-CN"/>
        </w:rPr>
        <w:t>)</w:t>
      </w:r>
      <w:r w:rsidR="00FF0A61">
        <w:rPr>
          <w:lang w:eastAsia="zh-CN"/>
        </w:rPr>
        <w:br/>
      </w:r>
      <w:r w:rsidRPr="006E6FB9">
        <w:rPr>
          <w:lang w:eastAsia="zh-CN"/>
        </w:rPr>
        <w:t>Propos</w:t>
      </w:r>
      <w:r w:rsidR="000B46E3" w:rsidRPr="006E6FB9">
        <w:rPr>
          <w:lang w:eastAsia="zh-CN"/>
        </w:rPr>
        <w:t xml:space="preserve">ition de </w:t>
      </w:r>
      <w:r w:rsidRPr="006E6FB9">
        <w:rPr>
          <w:lang w:eastAsia="zh-CN"/>
        </w:rPr>
        <w:t xml:space="preserve">modification </w:t>
      </w:r>
      <w:r w:rsidR="000B46E3" w:rsidRPr="006E6FB9">
        <w:rPr>
          <w:lang w:eastAsia="zh-CN"/>
        </w:rPr>
        <w:t xml:space="preserve">de la </w:t>
      </w:r>
      <w:r w:rsidRPr="006E6FB9">
        <w:rPr>
          <w:lang w:eastAsia="zh-CN"/>
        </w:rPr>
        <w:t>D</w:t>
      </w:r>
      <w:r w:rsidR="000B46E3" w:rsidRPr="006E6FB9">
        <w:rPr>
          <w:lang w:eastAsia="zh-CN"/>
        </w:rPr>
        <w:t>é</w:t>
      </w:r>
      <w:r w:rsidRPr="006E6FB9">
        <w:rPr>
          <w:lang w:eastAsia="zh-CN"/>
        </w:rPr>
        <w:t xml:space="preserve">cision 482 </w:t>
      </w:r>
      <w:r w:rsidR="000B46E3" w:rsidRPr="006E6FB9">
        <w:rPr>
          <w:lang w:eastAsia="zh-CN"/>
        </w:rPr>
        <w:t xml:space="preserve">du Conseil </w:t>
      </w:r>
      <w:r w:rsidRPr="006E6FB9">
        <w:rPr>
          <w:lang w:eastAsia="zh-CN"/>
        </w:rPr>
        <w:t>(</w:t>
      </w:r>
      <w:r w:rsidR="00310EB7" w:rsidRPr="00412235">
        <w:rPr>
          <w:i/>
          <w:iCs/>
          <w:lang w:eastAsia="zh-CN"/>
        </w:rPr>
        <w:t>p</w:t>
      </w:r>
      <w:r w:rsidR="00EF6606" w:rsidRPr="00412235">
        <w:rPr>
          <w:i/>
          <w:iCs/>
          <w:lang w:eastAsia="zh-CN"/>
        </w:rPr>
        <w:t xml:space="preserve">oint </w:t>
      </w:r>
      <w:r w:rsidRPr="00412235">
        <w:rPr>
          <w:i/>
          <w:iCs/>
          <w:lang w:eastAsia="zh-CN"/>
        </w:rPr>
        <w:t xml:space="preserve">ADM </w:t>
      </w:r>
      <w:r w:rsidR="006E014E">
        <w:rPr>
          <w:i/>
          <w:iCs/>
          <w:lang w:eastAsia="zh-CN"/>
        </w:rPr>
        <w:t>1.2 de l'ordre du </w:t>
      </w:r>
      <w:r w:rsidR="00EF6606" w:rsidRPr="00412235">
        <w:rPr>
          <w:i/>
          <w:iCs/>
          <w:lang w:eastAsia="zh-CN"/>
        </w:rPr>
        <w:t>jour</w:t>
      </w:r>
      <w:r w:rsidRPr="00412235">
        <w:rPr>
          <w:i/>
          <w:iCs/>
          <w:lang w:eastAsia="zh-CN"/>
        </w:rPr>
        <w:t>)</w:t>
      </w:r>
    </w:p>
    <w:p w14:paraId="268CA246" w14:textId="125A015E" w:rsidR="000B46E3" w:rsidRPr="006E6FB9" w:rsidRDefault="000B46E3" w:rsidP="00FF0A61">
      <w:pPr>
        <w:pStyle w:val="Tabletext"/>
        <w:keepNext/>
        <w:keepLines/>
        <w:snapToGrid w:val="0"/>
        <w:spacing w:before="120" w:after="120"/>
        <w:rPr>
          <w:rFonts w:asciiTheme="minorHAnsi" w:hAnsiTheme="minorHAnsi"/>
          <w:sz w:val="24"/>
          <w:szCs w:val="24"/>
        </w:rPr>
      </w:pPr>
      <w:r w:rsidRPr="006E6FB9">
        <w:rPr>
          <w:rFonts w:asciiTheme="minorHAnsi" w:hAnsiTheme="minorHAnsi"/>
          <w:sz w:val="24"/>
          <w:szCs w:val="24"/>
        </w:rPr>
        <w:t xml:space="preserve">Le GCR a examiné le Doc. RAG17/11 de la Fédération de Russie, </w:t>
      </w:r>
      <w:r w:rsidR="00310EB7" w:rsidRPr="006E6FB9">
        <w:rPr>
          <w:rFonts w:asciiTheme="minorHAnsi" w:hAnsiTheme="minorHAnsi"/>
          <w:sz w:val="24"/>
          <w:szCs w:val="24"/>
        </w:rPr>
        <w:t>relatif au</w:t>
      </w:r>
      <w:r w:rsidRPr="006E6FB9">
        <w:rPr>
          <w:rFonts w:asciiTheme="minorHAnsi" w:hAnsiTheme="minorHAnsi"/>
          <w:sz w:val="24"/>
          <w:szCs w:val="24"/>
        </w:rPr>
        <w:t xml:space="preserve"> traitement des fiches de notification </w:t>
      </w:r>
      <w:r w:rsidR="00310EB7" w:rsidRPr="006E6FB9">
        <w:rPr>
          <w:rFonts w:asciiTheme="minorHAnsi" w:hAnsiTheme="minorHAnsi"/>
          <w:sz w:val="24"/>
          <w:szCs w:val="24"/>
        </w:rPr>
        <w:t>des</w:t>
      </w:r>
      <w:r w:rsidRPr="006E6FB9">
        <w:rPr>
          <w:rFonts w:asciiTheme="minorHAnsi" w:hAnsiTheme="minorHAnsi"/>
          <w:sz w:val="24"/>
          <w:szCs w:val="24"/>
        </w:rPr>
        <w:t xml:space="preserve"> systèmes du SFS</w:t>
      </w:r>
      <w:r w:rsidR="008D5BD1" w:rsidRPr="006E6FB9">
        <w:rPr>
          <w:rFonts w:asciiTheme="minorHAnsi" w:hAnsiTheme="minorHAnsi"/>
          <w:sz w:val="24"/>
          <w:szCs w:val="24"/>
        </w:rPr>
        <w:t xml:space="preserve"> non OSG</w:t>
      </w:r>
      <w:r w:rsidR="00310EB7" w:rsidRPr="006E6FB9">
        <w:rPr>
          <w:rFonts w:asciiTheme="minorHAnsi" w:hAnsiTheme="minorHAnsi"/>
          <w:sz w:val="24"/>
          <w:szCs w:val="24"/>
        </w:rPr>
        <w:t>, a</w:t>
      </w:r>
      <w:r w:rsidRPr="006E6FB9">
        <w:rPr>
          <w:rFonts w:asciiTheme="minorHAnsi" w:hAnsiTheme="minorHAnsi"/>
          <w:sz w:val="24"/>
          <w:szCs w:val="24"/>
        </w:rPr>
        <w:t>u recouvrement des coûts pour ces fich</w:t>
      </w:r>
      <w:r w:rsidR="00310EB7" w:rsidRPr="006E6FB9">
        <w:rPr>
          <w:rFonts w:asciiTheme="minorHAnsi" w:hAnsiTheme="minorHAnsi"/>
          <w:sz w:val="24"/>
          <w:szCs w:val="24"/>
        </w:rPr>
        <w:t>es de notification ainsi qu'aux</w:t>
      </w:r>
      <w:r w:rsidRPr="006E6FB9">
        <w:rPr>
          <w:rFonts w:asciiTheme="minorHAnsi" w:hAnsiTheme="minorHAnsi"/>
          <w:sz w:val="24"/>
          <w:szCs w:val="24"/>
        </w:rPr>
        <w:t xml:space="preserve"> mesures qui pourraient être prises par le Conseil à sa session de 2017 pour </w:t>
      </w:r>
      <w:r w:rsidR="00310EB7" w:rsidRPr="006E6FB9">
        <w:rPr>
          <w:rFonts w:asciiTheme="minorHAnsi" w:hAnsiTheme="minorHAnsi"/>
          <w:sz w:val="24"/>
          <w:szCs w:val="24"/>
        </w:rPr>
        <w:t>remédier</w:t>
      </w:r>
      <w:r w:rsidRPr="006E6FB9">
        <w:rPr>
          <w:rFonts w:asciiTheme="minorHAnsi" w:hAnsiTheme="minorHAnsi"/>
          <w:sz w:val="24"/>
          <w:szCs w:val="24"/>
        </w:rPr>
        <w:t xml:space="preserve"> à l'augmentation du temps de traitement des fiches de notification pour le </w:t>
      </w:r>
      <w:r w:rsidR="00310EB7" w:rsidRPr="006E6FB9">
        <w:rPr>
          <w:rFonts w:asciiTheme="minorHAnsi" w:hAnsiTheme="minorHAnsi"/>
          <w:sz w:val="24"/>
          <w:szCs w:val="24"/>
        </w:rPr>
        <w:t xml:space="preserve">SFS </w:t>
      </w:r>
      <w:r w:rsidR="006E014E">
        <w:rPr>
          <w:rFonts w:asciiTheme="minorHAnsi" w:hAnsiTheme="minorHAnsi"/>
          <w:sz w:val="24"/>
          <w:szCs w:val="24"/>
        </w:rPr>
        <w:t>non </w:t>
      </w:r>
      <w:r w:rsidRPr="006E6FB9">
        <w:rPr>
          <w:rFonts w:asciiTheme="minorHAnsi" w:hAnsiTheme="minorHAnsi"/>
          <w:sz w:val="24"/>
          <w:szCs w:val="24"/>
        </w:rPr>
        <w:t xml:space="preserve">OSG et </w:t>
      </w:r>
      <w:r w:rsidR="00016861" w:rsidRPr="006E6FB9">
        <w:rPr>
          <w:rFonts w:asciiTheme="minorHAnsi" w:hAnsiTheme="minorHAnsi"/>
          <w:sz w:val="24"/>
          <w:szCs w:val="24"/>
        </w:rPr>
        <w:t xml:space="preserve">au </w:t>
      </w:r>
      <w:r w:rsidRPr="006E6FB9">
        <w:rPr>
          <w:rFonts w:asciiTheme="minorHAnsi" w:hAnsiTheme="minorHAnsi"/>
          <w:sz w:val="24"/>
          <w:szCs w:val="24"/>
        </w:rPr>
        <w:t xml:space="preserve">retard </w:t>
      </w:r>
      <w:r w:rsidR="00016861" w:rsidRPr="006E6FB9">
        <w:rPr>
          <w:rFonts w:asciiTheme="minorHAnsi" w:hAnsiTheme="minorHAnsi"/>
          <w:sz w:val="24"/>
          <w:szCs w:val="24"/>
        </w:rPr>
        <w:t xml:space="preserve">résultant dans </w:t>
      </w:r>
      <w:r w:rsidRPr="006E6FB9">
        <w:rPr>
          <w:rFonts w:asciiTheme="minorHAnsi" w:hAnsiTheme="minorHAnsi"/>
          <w:sz w:val="24"/>
          <w:szCs w:val="24"/>
        </w:rPr>
        <w:t>la publication de</w:t>
      </w:r>
      <w:r w:rsidR="00016861" w:rsidRPr="006E6FB9">
        <w:rPr>
          <w:rFonts w:asciiTheme="minorHAnsi" w:hAnsiTheme="minorHAnsi"/>
          <w:sz w:val="24"/>
          <w:szCs w:val="24"/>
        </w:rPr>
        <w:t xml:space="preserve"> ce</w:t>
      </w:r>
      <w:r w:rsidRPr="006E6FB9">
        <w:rPr>
          <w:rFonts w:asciiTheme="minorHAnsi" w:hAnsiTheme="minorHAnsi"/>
          <w:sz w:val="24"/>
          <w:szCs w:val="24"/>
        </w:rPr>
        <w:t xml:space="preserve">s </w:t>
      </w:r>
      <w:r w:rsidR="00016861" w:rsidRPr="006E6FB9">
        <w:rPr>
          <w:rFonts w:asciiTheme="minorHAnsi" w:hAnsiTheme="minorHAnsi"/>
          <w:sz w:val="24"/>
          <w:szCs w:val="24"/>
        </w:rPr>
        <w:t>fiches</w:t>
      </w:r>
      <w:r w:rsidRPr="006E6FB9">
        <w:rPr>
          <w:rFonts w:asciiTheme="minorHAnsi" w:hAnsiTheme="minorHAnsi"/>
          <w:sz w:val="24"/>
          <w:szCs w:val="24"/>
        </w:rPr>
        <w:t>.</w:t>
      </w:r>
    </w:p>
    <w:p w14:paraId="5F0A21DF" w14:textId="0A136C9B" w:rsidR="008D5BD1" w:rsidRPr="006E6FB9" w:rsidRDefault="008D5BD1" w:rsidP="00412235">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noté que la Décision 482 du Conseil ne</w:t>
      </w:r>
      <w:r w:rsidR="00412235">
        <w:rPr>
          <w:rFonts w:asciiTheme="minorHAnsi" w:hAnsiTheme="minorHAnsi"/>
          <w:sz w:val="24"/>
          <w:szCs w:val="24"/>
        </w:rPr>
        <w:t xml:space="preserve"> </w:t>
      </w:r>
      <w:r w:rsidRPr="006E6FB9">
        <w:rPr>
          <w:rFonts w:asciiTheme="minorHAnsi" w:hAnsiTheme="minorHAnsi"/>
          <w:sz w:val="24"/>
          <w:szCs w:val="24"/>
        </w:rPr>
        <w:t>permet</w:t>
      </w:r>
      <w:r w:rsidR="00412235">
        <w:rPr>
          <w:rFonts w:asciiTheme="minorHAnsi" w:hAnsiTheme="minorHAnsi"/>
          <w:sz w:val="24"/>
          <w:szCs w:val="24"/>
        </w:rPr>
        <w:t xml:space="preserve"> </w:t>
      </w:r>
      <w:r w:rsidR="00412235" w:rsidRPr="006E6FB9">
        <w:rPr>
          <w:rFonts w:asciiTheme="minorHAnsi" w:hAnsiTheme="minorHAnsi"/>
          <w:sz w:val="24"/>
          <w:szCs w:val="24"/>
        </w:rPr>
        <w:t>pas</w:t>
      </w:r>
      <w:r w:rsidRPr="006E6FB9">
        <w:rPr>
          <w:rFonts w:asciiTheme="minorHAnsi" w:hAnsiTheme="minorHAnsi"/>
          <w:sz w:val="24"/>
          <w:szCs w:val="24"/>
        </w:rPr>
        <w:t xml:space="preserve"> d'assurer entièrement le recouvrement des coûts pour les systèmes du SFS non OSG soumis récemment au BR (au cours des 12 à 18 derniers mois). Il existe une différence considérable (</w:t>
      </w:r>
      <w:r w:rsidR="00F023E4" w:rsidRPr="006E6FB9">
        <w:rPr>
          <w:rFonts w:asciiTheme="minorHAnsi" w:hAnsiTheme="minorHAnsi"/>
          <w:sz w:val="24"/>
          <w:szCs w:val="24"/>
        </w:rPr>
        <w:t>dépassant</w:t>
      </w:r>
      <w:r w:rsidR="00310EB7" w:rsidRPr="006E6FB9">
        <w:rPr>
          <w:rFonts w:asciiTheme="minorHAnsi" w:hAnsiTheme="minorHAnsi"/>
          <w:sz w:val="24"/>
          <w:szCs w:val="24"/>
        </w:rPr>
        <w:t xml:space="preserve"> parfois</w:t>
      </w:r>
      <w:r w:rsidR="00F023E4" w:rsidRPr="006E6FB9">
        <w:rPr>
          <w:rFonts w:asciiTheme="minorHAnsi" w:hAnsiTheme="minorHAnsi"/>
          <w:sz w:val="24"/>
          <w:szCs w:val="24"/>
        </w:rPr>
        <w:t xml:space="preserve"> un facteur 10</w:t>
      </w:r>
      <w:r w:rsidRPr="006E6FB9">
        <w:rPr>
          <w:rFonts w:asciiTheme="minorHAnsi" w:hAnsiTheme="minorHAnsi"/>
          <w:sz w:val="24"/>
          <w:szCs w:val="24"/>
        </w:rPr>
        <w:t xml:space="preserve">) entre </w:t>
      </w:r>
      <w:r w:rsidR="005F551D" w:rsidRPr="006E6FB9">
        <w:rPr>
          <w:rFonts w:asciiTheme="minorHAnsi" w:hAnsiTheme="minorHAnsi"/>
          <w:sz w:val="24"/>
          <w:szCs w:val="24"/>
        </w:rPr>
        <w:t>le nombre limite d'unités établi</w:t>
      </w:r>
      <w:r w:rsidRPr="006E6FB9">
        <w:rPr>
          <w:rFonts w:asciiTheme="minorHAnsi" w:hAnsiTheme="minorHAnsi"/>
          <w:sz w:val="24"/>
          <w:szCs w:val="24"/>
        </w:rPr>
        <w:t xml:space="preserve"> par la </w:t>
      </w:r>
      <w:r w:rsidR="005F551D" w:rsidRPr="006E6FB9">
        <w:rPr>
          <w:rFonts w:asciiTheme="minorHAnsi" w:hAnsiTheme="minorHAnsi"/>
          <w:sz w:val="24"/>
          <w:szCs w:val="24"/>
        </w:rPr>
        <w:t xml:space="preserve">Décision </w:t>
      </w:r>
      <w:r w:rsidRPr="006E6FB9">
        <w:rPr>
          <w:rFonts w:asciiTheme="minorHAnsi" w:hAnsiTheme="minorHAnsi"/>
          <w:sz w:val="24"/>
          <w:szCs w:val="24"/>
        </w:rPr>
        <w:t xml:space="preserve">482 du Conseil et le nombre réel d'unités </w:t>
      </w:r>
      <w:r w:rsidR="005F551D" w:rsidRPr="006E6FB9">
        <w:rPr>
          <w:rFonts w:asciiTheme="minorHAnsi" w:hAnsiTheme="minorHAnsi"/>
          <w:sz w:val="24"/>
          <w:szCs w:val="24"/>
        </w:rPr>
        <w:t xml:space="preserve">nécessaires </w:t>
      </w:r>
      <w:r w:rsidRPr="006E6FB9">
        <w:rPr>
          <w:rFonts w:asciiTheme="minorHAnsi" w:hAnsiTheme="minorHAnsi"/>
          <w:sz w:val="24"/>
          <w:szCs w:val="24"/>
        </w:rPr>
        <w:t xml:space="preserve">pour traiter </w:t>
      </w:r>
      <w:r w:rsidR="005E6E00" w:rsidRPr="006E6FB9">
        <w:rPr>
          <w:rFonts w:asciiTheme="minorHAnsi" w:hAnsiTheme="minorHAnsi"/>
          <w:sz w:val="24"/>
          <w:szCs w:val="24"/>
        </w:rPr>
        <w:t>l</w:t>
      </w:r>
      <w:r w:rsidRPr="006E6FB9">
        <w:rPr>
          <w:rFonts w:asciiTheme="minorHAnsi" w:hAnsiTheme="minorHAnsi"/>
          <w:sz w:val="24"/>
          <w:szCs w:val="24"/>
        </w:rPr>
        <w:t>e</w:t>
      </w:r>
      <w:r w:rsidR="005F551D" w:rsidRPr="006E6FB9">
        <w:rPr>
          <w:rFonts w:asciiTheme="minorHAnsi" w:hAnsiTheme="minorHAnsi"/>
          <w:sz w:val="24"/>
          <w:szCs w:val="24"/>
        </w:rPr>
        <w:t xml:space="preserve">s fiches de notification </w:t>
      </w:r>
      <w:r w:rsidR="00247E8F" w:rsidRPr="006E6FB9">
        <w:rPr>
          <w:rFonts w:asciiTheme="minorHAnsi" w:hAnsiTheme="minorHAnsi"/>
          <w:sz w:val="24"/>
          <w:szCs w:val="24"/>
        </w:rPr>
        <w:t xml:space="preserve">des </w:t>
      </w:r>
      <w:r w:rsidR="00310EB7" w:rsidRPr="006E6FB9">
        <w:rPr>
          <w:rFonts w:asciiTheme="minorHAnsi" w:hAnsiTheme="minorHAnsi"/>
          <w:sz w:val="24"/>
          <w:szCs w:val="24"/>
        </w:rPr>
        <w:t xml:space="preserve">vastes </w:t>
      </w:r>
      <w:r w:rsidR="005F551D" w:rsidRPr="006E6FB9">
        <w:rPr>
          <w:rFonts w:asciiTheme="minorHAnsi" w:hAnsiTheme="minorHAnsi"/>
          <w:sz w:val="24"/>
          <w:szCs w:val="24"/>
        </w:rPr>
        <w:t xml:space="preserve">réseaux </w:t>
      </w:r>
      <w:r w:rsidR="00247E8F" w:rsidRPr="006E6FB9">
        <w:rPr>
          <w:rFonts w:asciiTheme="minorHAnsi" w:hAnsiTheme="minorHAnsi"/>
          <w:sz w:val="24"/>
          <w:szCs w:val="24"/>
        </w:rPr>
        <w:t>du SFS non OSG</w:t>
      </w:r>
      <w:r w:rsidRPr="006E6FB9">
        <w:rPr>
          <w:rFonts w:asciiTheme="minorHAnsi" w:hAnsiTheme="minorHAnsi"/>
          <w:sz w:val="24"/>
          <w:szCs w:val="24"/>
        </w:rPr>
        <w:t>. Il est reconnu que ce</w:t>
      </w:r>
      <w:r w:rsidR="005F551D" w:rsidRPr="006E6FB9">
        <w:rPr>
          <w:rFonts w:asciiTheme="minorHAnsi" w:hAnsiTheme="minorHAnsi"/>
          <w:sz w:val="24"/>
          <w:szCs w:val="24"/>
        </w:rPr>
        <w:t>tte situation</w:t>
      </w:r>
      <w:r w:rsidRPr="006E6FB9">
        <w:rPr>
          <w:rFonts w:asciiTheme="minorHAnsi" w:hAnsiTheme="minorHAnsi"/>
          <w:sz w:val="24"/>
          <w:szCs w:val="24"/>
        </w:rPr>
        <w:t xml:space="preserve"> </w:t>
      </w:r>
      <w:r w:rsidR="005F551D" w:rsidRPr="006E6FB9">
        <w:rPr>
          <w:rFonts w:asciiTheme="minorHAnsi" w:hAnsiTheme="minorHAnsi"/>
          <w:sz w:val="24"/>
          <w:szCs w:val="24"/>
        </w:rPr>
        <w:t>résulte</w:t>
      </w:r>
      <w:r w:rsidRPr="006E6FB9">
        <w:rPr>
          <w:rFonts w:asciiTheme="minorHAnsi" w:hAnsiTheme="minorHAnsi"/>
          <w:sz w:val="24"/>
          <w:szCs w:val="24"/>
        </w:rPr>
        <w:t xml:space="preserve">, entre autres, de la complexité </w:t>
      </w:r>
      <w:r w:rsidR="00C77B1E" w:rsidRPr="006E6FB9">
        <w:rPr>
          <w:rFonts w:asciiTheme="minorHAnsi" w:hAnsiTheme="minorHAnsi"/>
          <w:sz w:val="24"/>
          <w:szCs w:val="24"/>
        </w:rPr>
        <w:t xml:space="preserve">et du grand nombre </w:t>
      </w:r>
      <w:r w:rsidRPr="006E6FB9">
        <w:rPr>
          <w:rFonts w:asciiTheme="minorHAnsi" w:hAnsiTheme="minorHAnsi"/>
          <w:sz w:val="24"/>
          <w:szCs w:val="24"/>
        </w:rPr>
        <w:t xml:space="preserve">de ces systèmes </w:t>
      </w:r>
      <w:r w:rsidR="005F551D" w:rsidRPr="006E6FB9">
        <w:rPr>
          <w:rFonts w:asciiTheme="minorHAnsi" w:hAnsiTheme="minorHAnsi"/>
          <w:sz w:val="24"/>
          <w:szCs w:val="24"/>
        </w:rPr>
        <w:t xml:space="preserve">du </w:t>
      </w:r>
      <w:r w:rsidR="00781FC7" w:rsidRPr="006E6FB9">
        <w:rPr>
          <w:rFonts w:asciiTheme="minorHAnsi" w:hAnsiTheme="minorHAnsi"/>
          <w:sz w:val="24"/>
          <w:szCs w:val="24"/>
        </w:rPr>
        <w:t>SF</w:t>
      </w:r>
      <w:r w:rsidRPr="006E6FB9">
        <w:rPr>
          <w:rFonts w:asciiTheme="minorHAnsi" w:hAnsiTheme="minorHAnsi"/>
          <w:sz w:val="24"/>
          <w:szCs w:val="24"/>
        </w:rPr>
        <w:t>S non OSG et de la complexité de leur procédure d'examen</w:t>
      </w:r>
      <w:r w:rsidR="00C77B1E" w:rsidRPr="006E6FB9">
        <w:rPr>
          <w:rFonts w:asciiTheme="minorHAnsi" w:hAnsiTheme="minorHAnsi"/>
          <w:sz w:val="24"/>
          <w:szCs w:val="24"/>
        </w:rPr>
        <w:t xml:space="preserve">, ce qui </w:t>
      </w:r>
      <w:r w:rsidRPr="006E6FB9">
        <w:rPr>
          <w:rFonts w:asciiTheme="minorHAnsi" w:hAnsiTheme="minorHAnsi"/>
          <w:sz w:val="24"/>
          <w:szCs w:val="24"/>
        </w:rPr>
        <w:t xml:space="preserve">a abouti </w:t>
      </w:r>
      <w:r w:rsidR="00781FC7" w:rsidRPr="006E6FB9">
        <w:rPr>
          <w:rFonts w:asciiTheme="minorHAnsi" w:hAnsiTheme="minorHAnsi"/>
          <w:sz w:val="24"/>
          <w:szCs w:val="24"/>
        </w:rPr>
        <w:t xml:space="preserve">à un retard </w:t>
      </w:r>
      <w:r w:rsidRPr="006E6FB9">
        <w:rPr>
          <w:rFonts w:asciiTheme="minorHAnsi" w:hAnsiTheme="minorHAnsi"/>
          <w:sz w:val="24"/>
          <w:szCs w:val="24"/>
        </w:rPr>
        <w:t xml:space="preserve">non seulement </w:t>
      </w:r>
      <w:r w:rsidR="00C77B1E" w:rsidRPr="006E6FB9">
        <w:rPr>
          <w:rFonts w:asciiTheme="minorHAnsi" w:hAnsiTheme="minorHAnsi"/>
          <w:sz w:val="24"/>
          <w:szCs w:val="24"/>
        </w:rPr>
        <w:t xml:space="preserve">dans </w:t>
      </w:r>
      <w:r w:rsidRPr="006E6FB9">
        <w:rPr>
          <w:rFonts w:asciiTheme="minorHAnsi" w:hAnsiTheme="minorHAnsi"/>
          <w:sz w:val="24"/>
          <w:szCs w:val="24"/>
        </w:rPr>
        <w:t xml:space="preserve">la publication des </w:t>
      </w:r>
      <w:r w:rsidR="00C77B1E" w:rsidRPr="006E6FB9">
        <w:rPr>
          <w:rFonts w:asciiTheme="minorHAnsi" w:hAnsiTheme="minorHAnsi"/>
          <w:sz w:val="24"/>
          <w:szCs w:val="24"/>
        </w:rPr>
        <w:t xml:space="preserve">fiches de notification pour le </w:t>
      </w:r>
      <w:r w:rsidR="00781FC7" w:rsidRPr="006E6FB9">
        <w:rPr>
          <w:rFonts w:asciiTheme="minorHAnsi" w:hAnsiTheme="minorHAnsi"/>
          <w:sz w:val="24"/>
          <w:szCs w:val="24"/>
        </w:rPr>
        <w:t>SF</w:t>
      </w:r>
      <w:r w:rsidRPr="006E6FB9">
        <w:rPr>
          <w:rFonts w:asciiTheme="minorHAnsi" w:hAnsiTheme="minorHAnsi"/>
          <w:sz w:val="24"/>
          <w:szCs w:val="24"/>
        </w:rPr>
        <w:t xml:space="preserve">S non OSG mais aussi </w:t>
      </w:r>
      <w:r w:rsidR="00781FC7" w:rsidRPr="006E6FB9">
        <w:rPr>
          <w:rFonts w:asciiTheme="minorHAnsi" w:hAnsiTheme="minorHAnsi"/>
          <w:sz w:val="24"/>
          <w:szCs w:val="24"/>
        </w:rPr>
        <w:t>dans celle</w:t>
      </w:r>
      <w:r w:rsidRPr="006E6FB9">
        <w:rPr>
          <w:rFonts w:asciiTheme="minorHAnsi" w:hAnsiTheme="minorHAnsi"/>
          <w:sz w:val="24"/>
          <w:szCs w:val="24"/>
        </w:rPr>
        <w:t xml:space="preserve"> </w:t>
      </w:r>
      <w:r w:rsidR="00C77B1E" w:rsidRPr="006E6FB9">
        <w:rPr>
          <w:rFonts w:asciiTheme="minorHAnsi" w:hAnsiTheme="minorHAnsi"/>
          <w:sz w:val="24"/>
          <w:szCs w:val="24"/>
        </w:rPr>
        <w:t xml:space="preserve">des fiches de notification pour le </w:t>
      </w:r>
      <w:r w:rsidR="00781FC7" w:rsidRPr="006E6FB9">
        <w:rPr>
          <w:rFonts w:asciiTheme="minorHAnsi" w:hAnsiTheme="minorHAnsi"/>
          <w:sz w:val="24"/>
          <w:szCs w:val="24"/>
        </w:rPr>
        <w:t>SF</w:t>
      </w:r>
      <w:r w:rsidRPr="006E6FB9">
        <w:rPr>
          <w:rFonts w:asciiTheme="minorHAnsi" w:hAnsiTheme="minorHAnsi"/>
          <w:sz w:val="24"/>
          <w:szCs w:val="24"/>
        </w:rPr>
        <w:t>S</w:t>
      </w:r>
      <w:r w:rsidR="00C77B1E" w:rsidRPr="006E6FB9">
        <w:rPr>
          <w:rFonts w:asciiTheme="minorHAnsi" w:hAnsiTheme="minorHAnsi"/>
          <w:sz w:val="24"/>
          <w:szCs w:val="24"/>
        </w:rPr>
        <w:t xml:space="preserve"> OSG</w:t>
      </w:r>
      <w:r w:rsidRPr="006E6FB9">
        <w:rPr>
          <w:rFonts w:asciiTheme="minorHAnsi" w:hAnsiTheme="minorHAnsi"/>
          <w:sz w:val="24"/>
          <w:szCs w:val="24"/>
        </w:rPr>
        <w:t>.</w:t>
      </w:r>
    </w:p>
    <w:p w14:paraId="20D60595" w14:textId="7CF23442" w:rsidR="00A54D2A" w:rsidRPr="006E6FB9" w:rsidRDefault="00C77B1E"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suggéré au Directeur du </w:t>
      </w:r>
      <w:r w:rsidR="00A54D2A" w:rsidRPr="006E6FB9">
        <w:rPr>
          <w:rFonts w:asciiTheme="minorHAnsi" w:hAnsiTheme="minorHAnsi"/>
          <w:sz w:val="24"/>
          <w:szCs w:val="24"/>
        </w:rPr>
        <w:t xml:space="preserve">BR </w:t>
      </w:r>
      <w:r w:rsidR="00781FC7" w:rsidRPr="006E6FB9">
        <w:rPr>
          <w:rFonts w:asciiTheme="minorHAnsi" w:hAnsiTheme="minorHAnsi"/>
          <w:sz w:val="24"/>
          <w:szCs w:val="24"/>
        </w:rPr>
        <w:t>de faire part de ces éléments de réflexion au</w:t>
      </w:r>
      <w:r w:rsidR="005E6E00" w:rsidRPr="006E6FB9">
        <w:rPr>
          <w:rFonts w:asciiTheme="minorHAnsi" w:hAnsiTheme="minorHAnsi"/>
          <w:sz w:val="24"/>
          <w:szCs w:val="24"/>
        </w:rPr>
        <w:t xml:space="preserve"> </w:t>
      </w:r>
      <w:r w:rsidRPr="006E6FB9">
        <w:rPr>
          <w:rFonts w:asciiTheme="minorHAnsi" w:hAnsiTheme="minorHAnsi"/>
          <w:sz w:val="24"/>
          <w:szCs w:val="24"/>
        </w:rPr>
        <w:t>Conseil à sa session de 20</w:t>
      </w:r>
      <w:r w:rsidR="00A54D2A" w:rsidRPr="006E6FB9">
        <w:rPr>
          <w:rFonts w:asciiTheme="minorHAnsi" w:hAnsiTheme="minorHAnsi"/>
          <w:sz w:val="24"/>
          <w:szCs w:val="24"/>
        </w:rPr>
        <w:t>17</w:t>
      </w:r>
      <w:r w:rsidR="00781FC7" w:rsidRPr="006E6FB9">
        <w:rPr>
          <w:rFonts w:asciiTheme="minorHAnsi" w:hAnsiTheme="minorHAnsi"/>
          <w:sz w:val="24"/>
          <w:szCs w:val="24"/>
        </w:rPr>
        <w:t>.</w:t>
      </w:r>
    </w:p>
    <w:p w14:paraId="126777B8" w14:textId="6C253B2E" w:rsidR="005E6E00" w:rsidRPr="006E6FB9" w:rsidRDefault="005E6E00"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également suggéré au Directeur du BR d'informer le Conseil au sujet des deux options possibles </w:t>
      </w:r>
      <w:r w:rsidR="00781FC7" w:rsidRPr="006E6FB9">
        <w:rPr>
          <w:rFonts w:asciiTheme="minorHAnsi" w:hAnsiTheme="minorHAnsi"/>
          <w:sz w:val="24"/>
          <w:szCs w:val="24"/>
        </w:rPr>
        <w:t xml:space="preserve">suivantes </w:t>
      </w:r>
      <w:r w:rsidRPr="006E6FB9">
        <w:rPr>
          <w:rFonts w:asciiTheme="minorHAnsi" w:hAnsiTheme="minorHAnsi"/>
          <w:sz w:val="24"/>
          <w:szCs w:val="24"/>
        </w:rPr>
        <w:t xml:space="preserve">concernant le recouvrement des coûts pour le traitement par le BR des fiches de notification </w:t>
      </w:r>
      <w:r w:rsidR="00247E8F" w:rsidRPr="006E6FB9">
        <w:rPr>
          <w:rFonts w:asciiTheme="minorHAnsi" w:hAnsiTheme="minorHAnsi"/>
          <w:sz w:val="24"/>
          <w:szCs w:val="24"/>
        </w:rPr>
        <w:t xml:space="preserve">des </w:t>
      </w:r>
      <w:r w:rsidR="00781FC7" w:rsidRPr="006E6FB9">
        <w:rPr>
          <w:rFonts w:asciiTheme="minorHAnsi" w:hAnsiTheme="minorHAnsi"/>
          <w:sz w:val="24"/>
          <w:szCs w:val="24"/>
        </w:rPr>
        <w:t xml:space="preserve">vastes </w:t>
      </w:r>
      <w:r w:rsidR="00247E8F" w:rsidRPr="006E6FB9">
        <w:rPr>
          <w:rFonts w:asciiTheme="minorHAnsi" w:hAnsiTheme="minorHAnsi"/>
          <w:sz w:val="24"/>
          <w:szCs w:val="24"/>
        </w:rPr>
        <w:t xml:space="preserve">réseaux du SFS </w:t>
      </w:r>
      <w:r w:rsidRPr="006E6FB9">
        <w:rPr>
          <w:rFonts w:asciiTheme="minorHAnsi" w:hAnsiTheme="minorHAnsi"/>
          <w:sz w:val="24"/>
          <w:szCs w:val="24"/>
        </w:rPr>
        <w:t>non</w:t>
      </w:r>
      <w:r w:rsidR="00247E8F" w:rsidRPr="006E6FB9">
        <w:rPr>
          <w:rFonts w:asciiTheme="minorHAnsi" w:hAnsiTheme="minorHAnsi"/>
          <w:sz w:val="24"/>
          <w:szCs w:val="24"/>
        </w:rPr>
        <w:t xml:space="preserve"> </w:t>
      </w:r>
      <w:r w:rsidRPr="006E6FB9">
        <w:rPr>
          <w:rFonts w:asciiTheme="minorHAnsi" w:hAnsiTheme="minorHAnsi"/>
          <w:sz w:val="24"/>
          <w:szCs w:val="24"/>
        </w:rPr>
        <w:t>OSG:</w:t>
      </w:r>
    </w:p>
    <w:p w14:paraId="0DE277A3" w14:textId="6AAF3240" w:rsidR="00247E8F" w:rsidRPr="006E6FB9" w:rsidRDefault="006155D1" w:rsidP="0068153A">
      <w:pPr>
        <w:pStyle w:val="enumlev1"/>
      </w:pPr>
      <w:r w:rsidRPr="006E6FB9">
        <w:t>–</w:t>
      </w:r>
      <w:r w:rsidRPr="006E6FB9">
        <w:tab/>
      </w:r>
      <w:r w:rsidR="0068153A">
        <w:t>C</w:t>
      </w:r>
      <w:r w:rsidR="00247E8F" w:rsidRPr="006E6FB9">
        <w:t>ompenser le</w:t>
      </w:r>
      <w:r w:rsidR="00781FC7" w:rsidRPr="006E6FB9">
        <w:t>s</w:t>
      </w:r>
      <w:r w:rsidR="00247E8F" w:rsidRPr="006E6FB9">
        <w:t xml:space="preserve"> coût</w:t>
      </w:r>
      <w:r w:rsidR="00781FC7" w:rsidRPr="006E6FB9">
        <w:t>s</w:t>
      </w:r>
      <w:r w:rsidR="00247E8F" w:rsidRPr="006E6FB9">
        <w:t xml:space="preserve"> du traitement par le BR des fiches de notification du SFS non </w:t>
      </w:r>
      <w:r w:rsidR="00781FC7" w:rsidRPr="006E6FB9">
        <w:t>OSG</w:t>
      </w:r>
      <w:r w:rsidR="00247E8F" w:rsidRPr="006E6FB9">
        <w:t xml:space="preserve"> dan</w:t>
      </w:r>
      <w:r w:rsidR="00412235">
        <w:t>s le cadre du budget de l'UIT. A</w:t>
      </w:r>
      <w:r w:rsidR="00247E8F" w:rsidRPr="006E6FB9">
        <w:t xml:space="preserve"> cette fin, le Directeur du BR est invité à évaluer et à communiquer au Conseil à sa session de 2017 les éventuels coûts qui n'ont pas pu être recouvrés pour les fiches de notification </w:t>
      </w:r>
      <w:r w:rsidR="00781FC7" w:rsidRPr="006E6FB9">
        <w:t xml:space="preserve">du </w:t>
      </w:r>
      <w:r w:rsidR="00247E8F" w:rsidRPr="006E6FB9">
        <w:t xml:space="preserve">SFS non OSG par suite de l'application de la Décision 482 du Conseil en vigueur. Il est à noter que cette augmentation du budget devrait inclure un apport financier pour le développement futur du logiciel de validation de l'EPFD une fois que la Recommandation UIT-R S.1503-2 </w:t>
      </w:r>
      <w:r w:rsidR="0068153A">
        <w:t>aura été complétée.</w:t>
      </w:r>
    </w:p>
    <w:p w14:paraId="621D75D7" w14:textId="77777777" w:rsidR="0068153A" w:rsidRDefault="0068153A" w:rsidP="00FF0A61">
      <w:pPr>
        <w:pStyle w:val="enumlev1"/>
      </w:pPr>
      <w:r>
        <w:br w:type="page"/>
      </w:r>
    </w:p>
    <w:p w14:paraId="4211DC9F" w14:textId="41C59AFD" w:rsidR="00F83745" w:rsidRPr="006E6FB9" w:rsidRDefault="006155D1" w:rsidP="00FF0A61">
      <w:pPr>
        <w:pStyle w:val="enumlev1"/>
      </w:pPr>
      <w:r w:rsidRPr="006E6FB9">
        <w:lastRenderedPageBreak/>
        <w:t>–</w:t>
      </w:r>
      <w:r w:rsidRPr="006E6FB9">
        <w:tab/>
      </w:r>
      <w:r w:rsidR="0068153A">
        <w:t>R</w:t>
      </w:r>
      <w:r w:rsidR="00F83745" w:rsidRPr="006E6FB9">
        <w:t>éviser la Déc</w:t>
      </w:r>
      <w:r w:rsidR="006E6FB9" w:rsidRPr="006E6FB9">
        <w:t>ision 482 du Conseil en définissant</w:t>
      </w:r>
      <w:r w:rsidR="00F83745" w:rsidRPr="006E6FB9">
        <w:t xml:space="preserve"> une procédure spécifique de recouvrement des coûts pour les </w:t>
      </w:r>
      <w:r w:rsidR="006E6FB9" w:rsidRPr="006E6FB9">
        <w:t xml:space="preserve">vastes réseaux </w:t>
      </w:r>
      <w:r w:rsidR="0068153A">
        <w:t>du SFS non OSG. A</w:t>
      </w:r>
      <w:r w:rsidR="00F83745" w:rsidRPr="006E6FB9">
        <w:t xml:space="preserve"> cette fin, le Directeur du BR est invité à clarifier les aspects techniques d'une telle procédure, en concertation avec les Commissions d'études concernées de l'UIT-R et le RRB, en particulier à déterminer s'il est possible que </w:t>
      </w:r>
      <w:r w:rsidR="001C2BA3" w:rsidRPr="006E6FB9">
        <w:t xml:space="preserve">les </w:t>
      </w:r>
      <w:r w:rsidR="00F83745" w:rsidRPr="006E6FB9">
        <w:t>fiche</w:t>
      </w:r>
      <w:r w:rsidR="001C2BA3" w:rsidRPr="006E6FB9">
        <w:t>s</w:t>
      </w:r>
      <w:r w:rsidR="00F83745" w:rsidRPr="006E6FB9">
        <w:t xml:space="preserve"> de notification individuelles de</w:t>
      </w:r>
      <w:r w:rsidR="006E6FB9" w:rsidRPr="006E6FB9">
        <w:t>s</w:t>
      </w:r>
      <w:r w:rsidR="00F83745" w:rsidRPr="006E6FB9">
        <w:t xml:space="preserve"> systèmes non OSG (API/coordination/notification) contenant:</w:t>
      </w:r>
    </w:p>
    <w:p w14:paraId="4C743DAB" w14:textId="2B20CF64" w:rsidR="00A54D2A" w:rsidRPr="006E6FB9" w:rsidRDefault="00811B4C" w:rsidP="00FF0A61">
      <w:pPr>
        <w:pStyle w:val="enumlev2"/>
      </w:pPr>
      <w:r w:rsidRPr="006E6FB9">
        <w:t>a)</w:t>
      </w:r>
      <w:r w:rsidRPr="006E6FB9">
        <w:tab/>
        <w:t xml:space="preserve">des orbites de satellites non homogènes caractérisées par des altitudes </w:t>
      </w:r>
      <w:r w:rsidR="00FF0A61">
        <w:t>et des inclinaisons différentes;</w:t>
      </w:r>
      <w:r w:rsidRPr="006E6FB9">
        <w:t xml:space="preserve"> ou</w:t>
      </w:r>
    </w:p>
    <w:p w14:paraId="226EAFDA" w14:textId="1848194F" w:rsidR="00A54D2A" w:rsidRPr="006E6FB9" w:rsidRDefault="00811B4C" w:rsidP="00FF0A61">
      <w:pPr>
        <w:pStyle w:val="enumlev2"/>
      </w:pPr>
      <w:r w:rsidRPr="006E6FB9">
        <w:t>b)</w:t>
      </w:r>
      <w:r w:rsidRPr="006E6FB9">
        <w:tab/>
        <w:t>différentes configurations de constellations</w:t>
      </w:r>
      <w:r w:rsidR="00FF0A61">
        <w:t>;</w:t>
      </w:r>
    </w:p>
    <w:p w14:paraId="0B5CF2CC" w14:textId="3605704E" w:rsidR="00A54D2A" w:rsidRPr="006E6FB9" w:rsidRDefault="006155D1" w:rsidP="00FF0A61">
      <w:pPr>
        <w:pStyle w:val="enumlev1"/>
      </w:pPr>
      <w:r w:rsidRPr="006E6FB9">
        <w:tab/>
      </w:r>
      <w:r w:rsidR="00C14D5B" w:rsidRPr="006E6FB9">
        <w:t xml:space="preserve">soient subdivisées en </w:t>
      </w:r>
      <w:r w:rsidR="001C2BA3" w:rsidRPr="006E6FB9">
        <w:t xml:space="preserve">différentes </w:t>
      </w:r>
      <w:r w:rsidR="00C14D5B" w:rsidRPr="006E6FB9">
        <w:t>fiches de notification, une pour chaque constellation particulière ou chaque type d'orbite de satellite</w:t>
      </w:r>
      <w:r w:rsidR="006E6FB9" w:rsidRPr="006E6FB9">
        <w:t>,</w:t>
      </w:r>
      <w:r w:rsidR="00C14D5B" w:rsidRPr="006E6FB9">
        <w:t xml:space="preserve"> aux fins du traitement</w:t>
      </w:r>
      <w:r w:rsidR="001C2BA3" w:rsidRPr="006E6FB9">
        <w:t xml:space="preserve"> par le BR</w:t>
      </w:r>
      <w:r w:rsidR="00A54D2A" w:rsidRPr="006E6FB9">
        <w:t>.</w:t>
      </w:r>
    </w:p>
    <w:p w14:paraId="0F7222E6" w14:textId="19E37809" w:rsidR="001C2BA3" w:rsidRPr="006E6FB9" w:rsidRDefault="001C2BA3"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S'agissant de la question de savoir comment le BR doit traiter les modifications apportées aux fiches de notification de</w:t>
      </w:r>
      <w:r w:rsidR="006E6FB9" w:rsidRPr="006E6FB9">
        <w:rPr>
          <w:rFonts w:asciiTheme="minorHAnsi" w:hAnsiTheme="minorHAnsi"/>
          <w:sz w:val="24"/>
          <w:szCs w:val="24"/>
        </w:rPr>
        <w:t>s</w:t>
      </w:r>
      <w:r w:rsidRPr="006E6FB9">
        <w:rPr>
          <w:rFonts w:asciiTheme="minorHAnsi" w:hAnsiTheme="minorHAnsi"/>
          <w:sz w:val="24"/>
          <w:szCs w:val="24"/>
        </w:rPr>
        <w:t xml:space="preserve"> systèmes non OSG lorsque des caractéristiques orbitales spécifiques sont modifiées (faut-il ou non autoriser une certaine souplesse), il est à noter que cette question est </w:t>
      </w:r>
      <w:r w:rsidR="006E6FB9" w:rsidRPr="006E6FB9">
        <w:rPr>
          <w:rFonts w:asciiTheme="minorHAnsi" w:hAnsiTheme="minorHAnsi"/>
          <w:sz w:val="24"/>
          <w:szCs w:val="24"/>
        </w:rPr>
        <w:t>actuellement étudiée par le GT</w:t>
      </w:r>
      <w:r w:rsidR="00FF0A61">
        <w:rPr>
          <w:rFonts w:asciiTheme="minorHAnsi" w:hAnsiTheme="minorHAnsi"/>
          <w:sz w:val="24"/>
          <w:szCs w:val="24"/>
        </w:rPr>
        <w:t xml:space="preserve"> </w:t>
      </w:r>
      <w:r w:rsidRPr="006E6FB9">
        <w:rPr>
          <w:rFonts w:asciiTheme="minorHAnsi" w:hAnsiTheme="minorHAnsi"/>
          <w:sz w:val="24"/>
          <w:szCs w:val="24"/>
        </w:rPr>
        <w:t>4A dans le cadre de la question de l'évolution future de la Recommandation UIT-R S.1503.</w:t>
      </w:r>
    </w:p>
    <w:p w14:paraId="58A54CB1" w14:textId="6F26311F" w:rsidR="001C2BA3" w:rsidRPr="006E6FB9" w:rsidRDefault="001C2BA3"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 xml:space="preserve">Le GCR a en outre invité le Directeur à demander au Conseil de fournir des indications sur la manière de traiter la question du recouvrement des coûts pour les fiches de notification </w:t>
      </w:r>
      <w:r w:rsidR="006E6FB9" w:rsidRPr="006E6FB9">
        <w:rPr>
          <w:rFonts w:asciiTheme="minorHAnsi" w:hAnsiTheme="minorHAnsi"/>
          <w:sz w:val="24"/>
          <w:szCs w:val="24"/>
        </w:rPr>
        <w:t>du</w:t>
      </w:r>
      <w:r w:rsidRPr="006E6FB9">
        <w:rPr>
          <w:rFonts w:asciiTheme="minorHAnsi" w:hAnsiTheme="minorHAnsi"/>
          <w:sz w:val="24"/>
          <w:szCs w:val="24"/>
        </w:rPr>
        <w:t xml:space="preserve"> SFS non OSG sans</w:t>
      </w:r>
      <w:r w:rsidR="006E6FB9" w:rsidRPr="006E6FB9">
        <w:rPr>
          <w:rFonts w:asciiTheme="minorHAnsi" w:hAnsiTheme="minorHAnsi"/>
          <w:sz w:val="24"/>
          <w:szCs w:val="24"/>
        </w:rPr>
        <w:t xml:space="preserve"> qu'il y ait d'incidences</w:t>
      </w:r>
      <w:r w:rsidRPr="006E6FB9">
        <w:rPr>
          <w:rFonts w:asciiTheme="minorHAnsi" w:hAnsiTheme="minorHAnsi"/>
          <w:sz w:val="24"/>
          <w:szCs w:val="24"/>
        </w:rPr>
        <w:t xml:space="preserve"> négatives sur le processus de notification des réseaux à satellite à l'UIT.</w:t>
      </w:r>
    </w:p>
    <w:p w14:paraId="1E090701" w14:textId="20FFBA14" w:rsidR="00A54D2A" w:rsidRPr="00412235" w:rsidRDefault="00A54D2A" w:rsidP="00FF0A61">
      <w:pPr>
        <w:pStyle w:val="Heading2"/>
        <w:rPr>
          <w:i/>
          <w:iCs/>
          <w:lang w:eastAsia="zh-CN"/>
        </w:rPr>
      </w:pPr>
      <w:r w:rsidRPr="006E6FB9">
        <w:rPr>
          <w:lang w:eastAsia="zh-CN"/>
        </w:rPr>
        <w:t>6.3</w:t>
      </w:r>
      <w:r w:rsidRPr="006E6FB9">
        <w:rPr>
          <w:lang w:eastAsia="zh-CN"/>
        </w:rPr>
        <w:tab/>
      </w:r>
      <w:r w:rsidR="00C14D5B" w:rsidRPr="006E6FB9">
        <w:rPr>
          <w:lang w:eastAsia="zh-CN"/>
        </w:rPr>
        <w:t xml:space="preserve">Stratégie de coordination des efforts entre les trois Secteurs de l'Union </w:t>
      </w:r>
      <w:r w:rsidR="00FF0A61">
        <w:rPr>
          <w:lang w:eastAsia="zh-CN"/>
        </w:rPr>
        <w:br/>
      </w:r>
      <w:r w:rsidR="00C14D5B" w:rsidRPr="006E6FB9">
        <w:rPr>
          <w:lang w:eastAsia="zh-CN"/>
        </w:rPr>
        <w:t>(</w:t>
      </w:r>
      <w:r w:rsidR="00C14D5B" w:rsidRPr="006E6FB9">
        <w:rPr>
          <w:i/>
          <w:iCs/>
          <w:lang w:eastAsia="zh-CN"/>
        </w:rPr>
        <w:t>Rés</w:t>
      </w:r>
      <w:r w:rsidR="00EF6606" w:rsidRPr="006E6FB9">
        <w:rPr>
          <w:i/>
          <w:iCs/>
          <w:lang w:eastAsia="zh-CN"/>
        </w:rPr>
        <w:t xml:space="preserve">. </w:t>
      </w:r>
      <w:r w:rsidR="00C14D5B" w:rsidRPr="006E6FB9">
        <w:rPr>
          <w:i/>
          <w:iCs/>
          <w:lang w:eastAsia="zh-CN"/>
        </w:rPr>
        <w:t>191</w:t>
      </w:r>
      <w:r w:rsidR="00C14D5B" w:rsidRPr="006E6FB9">
        <w:rPr>
          <w:lang w:eastAsia="zh-CN"/>
        </w:rPr>
        <w:t xml:space="preserve">) </w:t>
      </w:r>
      <w:r w:rsidRPr="00412235">
        <w:rPr>
          <w:i/>
          <w:iCs/>
          <w:lang w:eastAsia="zh-CN"/>
        </w:rPr>
        <w:t>(</w:t>
      </w:r>
      <w:r w:rsidR="00C14D5B" w:rsidRPr="00412235">
        <w:rPr>
          <w:i/>
          <w:iCs/>
          <w:lang w:eastAsia="zh-CN"/>
        </w:rPr>
        <w:t xml:space="preserve">point </w:t>
      </w:r>
      <w:r w:rsidR="00EF6606" w:rsidRPr="00412235">
        <w:rPr>
          <w:i/>
          <w:iCs/>
          <w:lang w:eastAsia="zh-CN"/>
        </w:rPr>
        <w:t xml:space="preserve">ADM 17 </w:t>
      </w:r>
      <w:r w:rsidR="00C14D5B" w:rsidRPr="00412235">
        <w:rPr>
          <w:i/>
          <w:iCs/>
          <w:lang w:eastAsia="zh-CN"/>
        </w:rPr>
        <w:t>de l'ordre du jour</w:t>
      </w:r>
      <w:r w:rsidRPr="00412235">
        <w:rPr>
          <w:i/>
          <w:iCs/>
          <w:lang w:eastAsia="zh-CN"/>
        </w:rPr>
        <w:t>)</w:t>
      </w:r>
    </w:p>
    <w:p w14:paraId="114DB1E8" w14:textId="39CE07D0" w:rsidR="00083857" w:rsidRPr="006E6FB9" w:rsidRDefault="00083857"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examiné le Doc. RAG17/5 du Président de la Commission d'études 1 de l'UIT-R, relatif à l'interaction entre la CE 1 de</w:t>
      </w:r>
      <w:r w:rsidR="006E6FB9" w:rsidRPr="006E6FB9">
        <w:rPr>
          <w:rFonts w:asciiTheme="minorHAnsi" w:hAnsiTheme="minorHAnsi"/>
          <w:sz w:val="24"/>
          <w:szCs w:val="24"/>
        </w:rPr>
        <w:t xml:space="preserve"> l'UIT-R et la CE 1 de l'UIT-D concernant</w:t>
      </w:r>
      <w:r w:rsidRPr="006E6FB9">
        <w:rPr>
          <w:rFonts w:asciiTheme="minorHAnsi" w:hAnsiTheme="minorHAnsi"/>
          <w:sz w:val="24"/>
          <w:szCs w:val="24"/>
        </w:rPr>
        <w:t xml:space="preserve"> les activités menées au</w:t>
      </w:r>
      <w:r w:rsidR="0068153A">
        <w:rPr>
          <w:rFonts w:asciiTheme="minorHAnsi" w:hAnsiTheme="minorHAnsi"/>
          <w:sz w:val="24"/>
          <w:szCs w:val="24"/>
        </w:rPr>
        <w:t xml:space="preserve"> titre de la Résolution 9 (</w:t>
      </w:r>
      <w:proofErr w:type="spellStart"/>
      <w:r w:rsidR="0068153A">
        <w:rPr>
          <w:rFonts w:asciiTheme="minorHAnsi" w:hAnsiTheme="minorHAnsi"/>
          <w:sz w:val="24"/>
          <w:szCs w:val="24"/>
        </w:rPr>
        <w:t>Rév.</w:t>
      </w:r>
      <w:r w:rsidRPr="006E6FB9">
        <w:rPr>
          <w:rFonts w:asciiTheme="minorHAnsi" w:hAnsiTheme="minorHAnsi"/>
          <w:sz w:val="24"/>
          <w:szCs w:val="24"/>
        </w:rPr>
        <w:t>Dubaï</w:t>
      </w:r>
      <w:proofErr w:type="spellEnd"/>
      <w:r w:rsidRPr="006E6FB9">
        <w:rPr>
          <w:rFonts w:asciiTheme="minorHAnsi" w:hAnsiTheme="minorHAnsi"/>
          <w:sz w:val="24"/>
          <w:szCs w:val="24"/>
        </w:rPr>
        <w:t>, 2014) de la CMDT entre 2014 et 2017. Le GCR a reconnu que, malgré les no</w:t>
      </w:r>
      <w:r w:rsidR="006E6FB9" w:rsidRPr="006E6FB9">
        <w:rPr>
          <w:rFonts w:asciiTheme="minorHAnsi" w:hAnsiTheme="minorHAnsi"/>
          <w:sz w:val="24"/>
          <w:szCs w:val="24"/>
        </w:rPr>
        <w:t>mbreux échanges entre les deux Secteurs</w:t>
      </w:r>
      <w:r w:rsidRPr="006E6FB9">
        <w:rPr>
          <w:rFonts w:asciiTheme="minorHAnsi" w:hAnsiTheme="minorHAnsi"/>
          <w:sz w:val="24"/>
          <w:szCs w:val="24"/>
        </w:rPr>
        <w:t xml:space="preserve"> comme indiqué dans le Doc. INFO/3, les commentaires formulés par l'UIT-R n'ont pas été pleinement pris en compte et reflétés de manière appropriée dans la rédaction du rapport final sur la Résolution 9. Le GCR a souligné qu'il fallait veiller à ce que l'</w:t>
      </w:r>
      <w:r w:rsidR="00C02217" w:rsidRPr="006E6FB9">
        <w:rPr>
          <w:rFonts w:asciiTheme="minorHAnsi" w:hAnsiTheme="minorHAnsi"/>
          <w:sz w:val="24"/>
          <w:szCs w:val="24"/>
        </w:rPr>
        <w:t xml:space="preserve">orientation générale </w:t>
      </w:r>
      <w:r w:rsidRPr="006E6FB9">
        <w:rPr>
          <w:rFonts w:asciiTheme="minorHAnsi" w:hAnsiTheme="minorHAnsi"/>
          <w:sz w:val="24"/>
          <w:szCs w:val="24"/>
        </w:rPr>
        <w:t xml:space="preserve">de la Résolution 9, </w:t>
      </w:r>
      <w:r w:rsidR="00C02217" w:rsidRPr="006E6FB9">
        <w:rPr>
          <w:rFonts w:asciiTheme="minorHAnsi" w:hAnsiTheme="minorHAnsi"/>
          <w:sz w:val="24"/>
          <w:szCs w:val="24"/>
        </w:rPr>
        <w:t xml:space="preserve">qui est </w:t>
      </w:r>
      <w:r w:rsidRPr="006E6FB9">
        <w:rPr>
          <w:rFonts w:asciiTheme="minorHAnsi" w:hAnsiTheme="minorHAnsi"/>
          <w:sz w:val="24"/>
          <w:szCs w:val="24"/>
        </w:rPr>
        <w:t xml:space="preserve">toujours valable, </w:t>
      </w:r>
      <w:r w:rsidR="00C02217" w:rsidRPr="006E6FB9">
        <w:rPr>
          <w:rFonts w:asciiTheme="minorHAnsi" w:hAnsiTheme="minorHAnsi"/>
          <w:sz w:val="24"/>
          <w:szCs w:val="24"/>
        </w:rPr>
        <w:t xml:space="preserve">soit mise en </w:t>
      </w:r>
      <w:proofErr w:type="spellStart"/>
      <w:r w:rsidR="00412235">
        <w:rPr>
          <w:rFonts w:asciiTheme="minorHAnsi" w:hAnsiTheme="minorHAnsi"/>
          <w:sz w:val="24"/>
          <w:szCs w:val="24"/>
        </w:rPr>
        <w:t>oe</w:t>
      </w:r>
      <w:r w:rsidR="00536BC1" w:rsidRPr="006E6FB9">
        <w:rPr>
          <w:rFonts w:asciiTheme="minorHAnsi" w:hAnsiTheme="minorHAnsi"/>
          <w:sz w:val="24"/>
          <w:szCs w:val="24"/>
        </w:rPr>
        <w:t>uvre</w:t>
      </w:r>
      <w:proofErr w:type="spellEnd"/>
      <w:r w:rsidR="00C02217" w:rsidRPr="006E6FB9">
        <w:rPr>
          <w:rFonts w:asciiTheme="minorHAnsi" w:hAnsiTheme="minorHAnsi"/>
          <w:sz w:val="24"/>
          <w:szCs w:val="24"/>
        </w:rPr>
        <w:t xml:space="preserve"> </w:t>
      </w:r>
      <w:r w:rsidRPr="006E6FB9">
        <w:rPr>
          <w:rFonts w:asciiTheme="minorHAnsi" w:hAnsiTheme="minorHAnsi"/>
          <w:sz w:val="24"/>
          <w:szCs w:val="24"/>
        </w:rPr>
        <w:t xml:space="preserve">sans </w:t>
      </w:r>
      <w:r w:rsidR="006E6FB9" w:rsidRPr="006E6FB9">
        <w:rPr>
          <w:rFonts w:asciiTheme="minorHAnsi" w:hAnsiTheme="minorHAnsi"/>
          <w:sz w:val="24"/>
          <w:szCs w:val="24"/>
        </w:rPr>
        <w:t xml:space="preserve">qu'il y ait de </w:t>
      </w:r>
      <w:r w:rsidR="00C02217" w:rsidRPr="006E6FB9">
        <w:rPr>
          <w:rFonts w:asciiTheme="minorHAnsi" w:hAnsiTheme="minorHAnsi"/>
          <w:sz w:val="24"/>
          <w:szCs w:val="24"/>
        </w:rPr>
        <w:t xml:space="preserve">redondance des tâches </w:t>
      </w:r>
      <w:r w:rsidRPr="006E6FB9">
        <w:rPr>
          <w:rFonts w:asciiTheme="minorHAnsi" w:hAnsiTheme="minorHAnsi"/>
          <w:sz w:val="24"/>
          <w:szCs w:val="24"/>
        </w:rPr>
        <w:t xml:space="preserve">dans les deux </w:t>
      </w:r>
      <w:r w:rsidR="00C02217" w:rsidRPr="006E6FB9">
        <w:rPr>
          <w:rFonts w:asciiTheme="minorHAnsi" w:hAnsiTheme="minorHAnsi"/>
          <w:sz w:val="24"/>
          <w:szCs w:val="24"/>
        </w:rPr>
        <w:t>S</w:t>
      </w:r>
      <w:r w:rsidRPr="006E6FB9">
        <w:rPr>
          <w:rFonts w:asciiTheme="minorHAnsi" w:hAnsiTheme="minorHAnsi"/>
          <w:sz w:val="24"/>
          <w:szCs w:val="24"/>
        </w:rPr>
        <w:t>ecteurs, tout en s'assurant que les travaux menés par l'UIT-D sont cohérents avec ceux menés par l'UIT-R.</w:t>
      </w:r>
    </w:p>
    <w:p w14:paraId="19C40F33" w14:textId="7FE2F73F" w:rsidR="00C02217" w:rsidRPr="006E6FB9" w:rsidRDefault="00C02217" w:rsidP="00FF0A61">
      <w:pPr>
        <w:pStyle w:val="Tabletext"/>
        <w:snapToGrid w:val="0"/>
        <w:spacing w:before="120" w:after="120"/>
        <w:rPr>
          <w:rFonts w:asciiTheme="minorHAnsi" w:hAnsiTheme="minorHAnsi"/>
          <w:sz w:val="24"/>
          <w:szCs w:val="24"/>
        </w:rPr>
      </w:pPr>
      <w:r w:rsidRPr="006E6FB9">
        <w:rPr>
          <w:rFonts w:asciiTheme="minorHAnsi" w:hAnsiTheme="minorHAnsi"/>
          <w:sz w:val="24"/>
          <w:szCs w:val="24"/>
        </w:rPr>
        <w:t>Le GCR a également examiné le Doc. RAG17/15 de la France, dans lequel il est proposé d'envoyer une note de liaison au GCDT au sujet des préoccupations susmentionnées. Le GCR a décidé d'envoyer une note de liaison au GCDT pour lui faire part de ces préoccupations et suggérer des améliorations qui pourraient être apport</w:t>
      </w:r>
      <w:bookmarkStart w:id="8" w:name="_GoBack"/>
      <w:bookmarkEnd w:id="8"/>
      <w:r w:rsidRPr="006E6FB9">
        <w:rPr>
          <w:rFonts w:asciiTheme="minorHAnsi" w:hAnsiTheme="minorHAnsi"/>
          <w:sz w:val="24"/>
          <w:szCs w:val="24"/>
        </w:rPr>
        <w:t xml:space="preserve">ées concernant la coopération et la coordination entre l'UIT-R et l'UIT-D sur la Résolution 9 de la CMDT. </w:t>
      </w:r>
      <w:r w:rsidR="009D4740" w:rsidRPr="006E6FB9">
        <w:rPr>
          <w:rFonts w:asciiTheme="minorHAnsi" w:hAnsiTheme="minorHAnsi"/>
          <w:sz w:val="24"/>
          <w:szCs w:val="24"/>
        </w:rPr>
        <w:t>Dans l</w:t>
      </w:r>
      <w:r w:rsidRPr="006E6FB9">
        <w:rPr>
          <w:rFonts w:asciiTheme="minorHAnsi" w:hAnsiTheme="minorHAnsi"/>
          <w:sz w:val="24"/>
          <w:szCs w:val="24"/>
        </w:rPr>
        <w:t>a note de liaison</w:t>
      </w:r>
      <w:r w:rsidR="009D4740" w:rsidRPr="006E6FB9">
        <w:rPr>
          <w:rFonts w:asciiTheme="minorHAnsi" w:hAnsiTheme="minorHAnsi"/>
          <w:sz w:val="24"/>
          <w:szCs w:val="24"/>
        </w:rPr>
        <w:t>,</w:t>
      </w:r>
      <w:r w:rsidRPr="006E6FB9">
        <w:rPr>
          <w:rFonts w:asciiTheme="minorHAnsi" w:hAnsiTheme="minorHAnsi"/>
          <w:sz w:val="24"/>
          <w:szCs w:val="24"/>
        </w:rPr>
        <w:t xml:space="preserve"> </w:t>
      </w:r>
      <w:r w:rsidR="009D4740" w:rsidRPr="006E6FB9">
        <w:rPr>
          <w:rFonts w:asciiTheme="minorHAnsi" w:hAnsiTheme="minorHAnsi"/>
          <w:sz w:val="24"/>
          <w:szCs w:val="24"/>
        </w:rPr>
        <w:t>le GCR fait aussi part de son point de vue quant à la nécessité de tenir compte d</w:t>
      </w:r>
      <w:r w:rsidRPr="006E6FB9">
        <w:rPr>
          <w:rFonts w:asciiTheme="minorHAnsi" w:hAnsiTheme="minorHAnsi"/>
          <w:sz w:val="24"/>
          <w:szCs w:val="24"/>
        </w:rPr>
        <w:t xml:space="preserve">es préoccupations de l'UIT-R </w:t>
      </w:r>
      <w:r w:rsidR="009D4740" w:rsidRPr="006E6FB9">
        <w:rPr>
          <w:rFonts w:asciiTheme="minorHAnsi" w:hAnsiTheme="minorHAnsi"/>
          <w:sz w:val="24"/>
          <w:szCs w:val="24"/>
        </w:rPr>
        <w:t xml:space="preserve">concernant </w:t>
      </w:r>
      <w:r w:rsidRPr="006E6FB9">
        <w:rPr>
          <w:rFonts w:asciiTheme="minorHAnsi" w:hAnsiTheme="minorHAnsi"/>
          <w:sz w:val="24"/>
          <w:szCs w:val="24"/>
        </w:rPr>
        <w:t xml:space="preserve">le rapport </w:t>
      </w:r>
      <w:r w:rsidR="009D4740" w:rsidRPr="006E6FB9">
        <w:rPr>
          <w:rFonts w:asciiTheme="minorHAnsi" w:hAnsiTheme="minorHAnsi"/>
          <w:sz w:val="24"/>
          <w:szCs w:val="24"/>
        </w:rPr>
        <w:t xml:space="preserve">sur la </w:t>
      </w:r>
      <w:proofErr w:type="spellStart"/>
      <w:r w:rsidRPr="006E6FB9">
        <w:rPr>
          <w:rFonts w:asciiTheme="minorHAnsi" w:hAnsiTheme="minorHAnsi"/>
          <w:sz w:val="24"/>
          <w:szCs w:val="24"/>
        </w:rPr>
        <w:t>R</w:t>
      </w:r>
      <w:r w:rsidR="009D4740" w:rsidRPr="006E6FB9">
        <w:rPr>
          <w:rFonts w:asciiTheme="minorHAnsi" w:hAnsiTheme="minorHAnsi"/>
          <w:sz w:val="24"/>
          <w:szCs w:val="24"/>
        </w:rPr>
        <w:t>é</w:t>
      </w:r>
      <w:r w:rsidRPr="006E6FB9">
        <w:rPr>
          <w:rFonts w:asciiTheme="minorHAnsi" w:hAnsiTheme="minorHAnsi"/>
          <w:sz w:val="24"/>
          <w:szCs w:val="24"/>
        </w:rPr>
        <w:t>s</w:t>
      </w:r>
      <w:proofErr w:type="spellEnd"/>
      <w:r w:rsidRPr="006E6FB9">
        <w:rPr>
          <w:rFonts w:asciiTheme="minorHAnsi" w:hAnsiTheme="minorHAnsi"/>
          <w:sz w:val="24"/>
          <w:szCs w:val="24"/>
        </w:rPr>
        <w:t>.</w:t>
      </w:r>
      <w:r w:rsidR="00412235">
        <w:rPr>
          <w:rFonts w:asciiTheme="minorHAnsi" w:hAnsiTheme="minorHAnsi"/>
          <w:sz w:val="24"/>
          <w:szCs w:val="24"/>
        </w:rPr>
        <w:t xml:space="preserve"> </w:t>
      </w:r>
      <w:r w:rsidRPr="006E6FB9">
        <w:rPr>
          <w:rFonts w:asciiTheme="minorHAnsi" w:hAnsiTheme="minorHAnsi"/>
          <w:sz w:val="24"/>
          <w:szCs w:val="24"/>
        </w:rPr>
        <w:t xml:space="preserve">9 </w:t>
      </w:r>
      <w:r w:rsidR="009D4740" w:rsidRPr="006E6FB9">
        <w:rPr>
          <w:rFonts w:asciiTheme="minorHAnsi" w:hAnsiTheme="minorHAnsi"/>
          <w:sz w:val="24"/>
          <w:szCs w:val="24"/>
        </w:rPr>
        <w:t>avant que celui-ci</w:t>
      </w:r>
      <w:r w:rsidRPr="006E6FB9">
        <w:rPr>
          <w:rFonts w:asciiTheme="minorHAnsi" w:hAnsiTheme="minorHAnsi"/>
          <w:sz w:val="24"/>
          <w:szCs w:val="24"/>
        </w:rPr>
        <w:t xml:space="preserve"> ne soit publié et examiné par la CMDT-17.</w:t>
      </w:r>
    </w:p>
    <w:p w14:paraId="7D8032CB" w14:textId="7F829E7D" w:rsidR="00A54D2A" w:rsidRDefault="009D4740" w:rsidP="00FF0A61">
      <w:pPr>
        <w:pStyle w:val="Tabletext"/>
        <w:keepNext/>
        <w:keepLines/>
        <w:snapToGrid w:val="0"/>
        <w:spacing w:before="120" w:after="120"/>
        <w:rPr>
          <w:rFonts w:asciiTheme="minorHAnsi" w:hAnsiTheme="minorHAnsi"/>
          <w:sz w:val="24"/>
          <w:szCs w:val="24"/>
        </w:rPr>
      </w:pPr>
      <w:r w:rsidRPr="006E6FB9">
        <w:rPr>
          <w:rFonts w:asciiTheme="minorHAnsi" w:hAnsiTheme="minorHAnsi"/>
          <w:sz w:val="24"/>
          <w:szCs w:val="24"/>
        </w:rPr>
        <w:t xml:space="preserve">Le GCR a examiné le Doc. RAG17/8 de la Fédération de Russie, dans lequel il est proposé de créer un Comité mixte de coordination de l'UIT pour le vocabulaire. Le GCR a appuyé la proposition et a noté qu'elle avait été </w:t>
      </w:r>
      <w:r w:rsidR="006E6FB9" w:rsidRPr="006E6FB9">
        <w:rPr>
          <w:rFonts w:asciiTheme="minorHAnsi" w:hAnsiTheme="minorHAnsi"/>
          <w:sz w:val="24"/>
          <w:szCs w:val="24"/>
        </w:rPr>
        <w:t>soumise</w:t>
      </w:r>
      <w:r w:rsidRPr="006E6FB9">
        <w:rPr>
          <w:rFonts w:asciiTheme="minorHAnsi" w:hAnsiTheme="minorHAnsi"/>
          <w:sz w:val="24"/>
          <w:szCs w:val="24"/>
        </w:rPr>
        <w:t xml:space="preserve"> au Conseil pour examen.</w:t>
      </w:r>
    </w:p>
    <w:p w14:paraId="51071925" w14:textId="54D7A5F0" w:rsidR="00FF0A61" w:rsidRPr="00FF0A61" w:rsidRDefault="00FF0A61" w:rsidP="0068153A">
      <w:pPr>
        <w:spacing w:before="360"/>
        <w:jc w:val="center"/>
        <w:rPr>
          <w:rFonts w:asciiTheme="minorHAnsi" w:hAnsiTheme="minorHAnsi"/>
          <w:szCs w:val="24"/>
        </w:rPr>
      </w:pPr>
      <w:r>
        <w:t>______________</w:t>
      </w:r>
    </w:p>
    <w:sectPr w:rsidR="00FF0A61" w:rsidRPr="00FF0A61"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FA8C4" w14:textId="77777777" w:rsidR="00990055" w:rsidRDefault="00990055">
      <w:r>
        <w:separator/>
      </w:r>
    </w:p>
  </w:endnote>
  <w:endnote w:type="continuationSeparator" w:id="0">
    <w:p w14:paraId="55AD5626" w14:textId="77777777" w:rsidR="00990055" w:rsidRDefault="0099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4DAF" w14:textId="77777777" w:rsidR="00732045" w:rsidRPr="00A11B80" w:rsidRDefault="002565DC">
    <w:pPr>
      <w:pStyle w:val="Footer"/>
    </w:pPr>
    <w:r>
      <w:fldChar w:fldCharType="begin"/>
    </w:r>
    <w:r w:rsidRPr="00A11B80">
      <w:instrText xml:space="preserve"> FILENAME \p \* MERGEFORMAT </w:instrText>
    </w:r>
    <w:r>
      <w:fldChar w:fldCharType="separate"/>
    </w:r>
    <w:r w:rsidR="00A11B80">
      <w:t>P:\FRA\SG\CONSEIL\C17\100\111F.docx</w:t>
    </w:r>
    <w:r>
      <w:fldChar w:fldCharType="end"/>
    </w:r>
    <w:r w:rsidR="00732045" w:rsidRPr="00A11B80">
      <w:tab/>
    </w:r>
    <w:r w:rsidR="002F1B76">
      <w:fldChar w:fldCharType="begin"/>
    </w:r>
    <w:r w:rsidR="00732045">
      <w:instrText xml:space="preserve"> savedate \@ dd.MM.yy </w:instrText>
    </w:r>
    <w:r w:rsidR="002F1B76">
      <w:fldChar w:fldCharType="separate"/>
    </w:r>
    <w:r w:rsidR="00F473C7">
      <w:t>08.05.17</w:t>
    </w:r>
    <w:r w:rsidR="002F1B76">
      <w:fldChar w:fldCharType="end"/>
    </w:r>
    <w:r w:rsidR="00732045" w:rsidRPr="00A11B80">
      <w:tab/>
    </w:r>
    <w:r w:rsidR="002F1B76">
      <w:fldChar w:fldCharType="begin"/>
    </w:r>
    <w:r w:rsidR="00732045">
      <w:instrText xml:space="preserve"> printdate \@ dd.MM.yy </w:instrText>
    </w:r>
    <w:r w:rsidR="002F1B76">
      <w:fldChar w:fldCharType="separate"/>
    </w:r>
    <w:r w:rsidR="00A11B80">
      <w:t>05.05.17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97D4" w14:textId="7D58A6A3" w:rsidR="00732045" w:rsidRPr="006E6FB9" w:rsidRDefault="000A6293" w:rsidP="00923187">
    <w:pPr>
      <w:pStyle w:val="Footer"/>
    </w:pPr>
    <w:r>
      <w:fldChar w:fldCharType="begin"/>
    </w:r>
    <w:r>
      <w:instrText xml:space="preserve"> FILENAME \p \* MERGEFORMAT </w:instrText>
    </w:r>
    <w:r>
      <w:fldChar w:fldCharType="separate"/>
    </w:r>
    <w:r w:rsidR="00A11B80">
      <w:t>P:\FRA\SG\CONSEIL\C17\100\111F.docx</w:t>
    </w:r>
    <w:r>
      <w:fldChar w:fldCharType="end"/>
    </w:r>
    <w:r w:rsidR="00923187">
      <w:t>(417611)</w:t>
    </w:r>
    <w:r w:rsidR="00923187">
      <w:tab/>
    </w:r>
    <w:r w:rsidR="00923187">
      <w:fldChar w:fldCharType="begin"/>
    </w:r>
    <w:r w:rsidR="00923187">
      <w:instrText xml:space="preserve"> savedate \@ dd.MM.yy </w:instrText>
    </w:r>
    <w:r w:rsidR="00923187">
      <w:fldChar w:fldCharType="separate"/>
    </w:r>
    <w:r w:rsidR="00F473C7">
      <w:t>08.05.17</w:t>
    </w:r>
    <w:r w:rsidR="00923187">
      <w:fldChar w:fldCharType="end"/>
    </w:r>
    <w:r w:rsidR="00923187">
      <w:tab/>
    </w:r>
    <w:r w:rsidR="00923187">
      <w:fldChar w:fldCharType="begin"/>
    </w:r>
    <w:r w:rsidR="00923187">
      <w:instrText xml:space="preserve"> printdate \@ dd.MM.yy </w:instrText>
    </w:r>
    <w:r w:rsidR="00923187">
      <w:fldChar w:fldCharType="separate"/>
    </w:r>
    <w:r w:rsidR="00A11B80">
      <w:t>05.05.17</w:t>
    </w:r>
    <w:r w:rsidR="0092318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B957" w14:textId="77777777" w:rsidR="00732045" w:rsidRDefault="00732045">
    <w:pPr>
      <w:spacing w:after="120"/>
      <w:jc w:val="center"/>
    </w:pPr>
    <w:r>
      <w:t xml:space="preserve">• </w:t>
    </w:r>
    <w:hyperlink r:id="rId1" w:history="1">
      <w:r>
        <w:rPr>
          <w:rStyle w:val="Hyperlink"/>
        </w:rPr>
        <w:t>http://www.itu.int/council</w:t>
      </w:r>
    </w:hyperlink>
    <w:r>
      <w:t xml:space="preserve"> •</w:t>
    </w:r>
  </w:p>
  <w:p w14:paraId="24EF04F7" w14:textId="2A0B842E" w:rsidR="00732045" w:rsidRPr="006E6FB9" w:rsidRDefault="000A6293" w:rsidP="00923187">
    <w:pPr>
      <w:pStyle w:val="Footer"/>
    </w:pPr>
    <w:r>
      <w:fldChar w:fldCharType="begin"/>
    </w:r>
    <w:r>
      <w:instrText xml:space="preserve"> </w:instrText>
    </w:r>
    <w:r>
      <w:instrText xml:space="preserve">FILENAME \p \* MERGEFORMAT </w:instrText>
    </w:r>
    <w:r>
      <w:fldChar w:fldCharType="separate"/>
    </w:r>
    <w:r w:rsidR="00A11B80">
      <w:t>P:\FRA\SG\CONSEIL\C17\100\111F.docx</w:t>
    </w:r>
    <w:r>
      <w:fldChar w:fldCharType="end"/>
    </w:r>
    <w:r w:rsidR="00923187">
      <w:t>(417611)</w:t>
    </w:r>
    <w:r w:rsidR="00923187">
      <w:tab/>
    </w:r>
    <w:r w:rsidR="00923187">
      <w:fldChar w:fldCharType="begin"/>
    </w:r>
    <w:r w:rsidR="00923187">
      <w:instrText xml:space="preserve"> savedate \@ dd.MM.yy </w:instrText>
    </w:r>
    <w:r w:rsidR="00923187">
      <w:fldChar w:fldCharType="separate"/>
    </w:r>
    <w:r w:rsidR="00F473C7">
      <w:t>08.05.17</w:t>
    </w:r>
    <w:r w:rsidR="00923187">
      <w:fldChar w:fldCharType="end"/>
    </w:r>
    <w:r w:rsidR="00923187">
      <w:tab/>
    </w:r>
    <w:r w:rsidR="00923187">
      <w:fldChar w:fldCharType="begin"/>
    </w:r>
    <w:r w:rsidR="00923187">
      <w:instrText xml:space="preserve"> printdate \@ dd.MM.yy </w:instrText>
    </w:r>
    <w:r w:rsidR="00923187">
      <w:fldChar w:fldCharType="separate"/>
    </w:r>
    <w:r w:rsidR="00A11B80">
      <w:t>05.05.17</w:t>
    </w:r>
    <w:r w:rsidR="009231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E661" w14:textId="77777777" w:rsidR="00990055" w:rsidRDefault="00990055">
      <w:r>
        <w:t>____________________</w:t>
      </w:r>
    </w:p>
  </w:footnote>
  <w:footnote w:type="continuationSeparator" w:id="0">
    <w:p w14:paraId="675C78E4" w14:textId="77777777" w:rsidR="00990055" w:rsidRDefault="00990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304B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78BE84"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8B22" w14:textId="77777777" w:rsidR="00732045" w:rsidRDefault="00C27A7C" w:rsidP="00475FB3">
    <w:pPr>
      <w:pStyle w:val="Header"/>
    </w:pPr>
    <w:r>
      <w:fldChar w:fldCharType="begin"/>
    </w:r>
    <w:r>
      <w:instrText>PAGE</w:instrText>
    </w:r>
    <w:r>
      <w:fldChar w:fldCharType="separate"/>
    </w:r>
    <w:r w:rsidR="000A6293">
      <w:rPr>
        <w:noProof/>
      </w:rPr>
      <w:t>4</w:t>
    </w:r>
    <w:r>
      <w:rPr>
        <w:noProof/>
      </w:rPr>
      <w:fldChar w:fldCharType="end"/>
    </w:r>
  </w:p>
  <w:p w14:paraId="48607A8E" w14:textId="77777777" w:rsidR="00732045" w:rsidRDefault="00732045" w:rsidP="0093234A">
    <w:pPr>
      <w:pStyle w:val="Header"/>
    </w:pPr>
    <w:r>
      <w:t>C1</w:t>
    </w:r>
    <w:r w:rsidR="0093234A">
      <w:t>7</w:t>
    </w:r>
    <w:r w:rsidR="00A54D2A">
      <w:t>/111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55"/>
    <w:rsid w:val="000014AC"/>
    <w:rsid w:val="00016861"/>
    <w:rsid w:val="00083857"/>
    <w:rsid w:val="000A6293"/>
    <w:rsid w:val="000B46E3"/>
    <w:rsid w:val="000D0D0A"/>
    <w:rsid w:val="00103163"/>
    <w:rsid w:val="0010699E"/>
    <w:rsid w:val="0011593C"/>
    <w:rsid w:val="00115D93"/>
    <w:rsid w:val="001247A8"/>
    <w:rsid w:val="001378C0"/>
    <w:rsid w:val="00157093"/>
    <w:rsid w:val="00182C36"/>
    <w:rsid w:val="0018694A"/>
    <w:rsid w:val="001A3287"/>
    <w:rsid w:val="001A6508"/>
    <w:rsid w:val="001B4642"/>
    <w:rsid w:val="001C2BA3"/>
    <w:rsid w:val="001D4C31"/>
    <w:rsid w:val="001E4D21"/>
    <w:rsid w:val="001E6C40"/>
    <w:rsid w:val="00207CD1"/>
    <w:rsid w:val="002477A2"/>
    <w:rsid w:val="00247E8F"/>
    <w:rsid w:val="0025465F"/>
    <w:rsid w:val="002565DC"/>
    <w:rsid w:val="00263A51"/>
    <w:rsid w:val="00267E02"/>
    <w:rsid w:val="002774B5"/>
    <w:rsid w:val="0028048F"/>
    <w:rsid w:val="002826E4"/>
    <w:rsid w:val="002A5D44"/>
    <w:rsid w:val="002E0BC4"/>
    <w:rsid w:val="002F1B76"/>
    <w:rsid w:val="00310EB7"/>
    <w:rsid w:val="00355FF5"/>
    <w:rsid w:val="003562C7"/>
    <w:rsid w:val="00361350"/>
    <w:rsid w:val="0037107D"/>
    <w:rsid w:val="004038CB"/>
    <w:rsid w:val="0040546F"/>
    <w:rsid w:val="00412235"/>
    <w:rsid w:val="0042404A"/>
    <w:rsid w:val="0044618F"/>
    <w:rsid w:val="00453D4E"/>
    <w:rsid w:val="0046769A"/>
    <w:rsid w:val="00475FB3"/>
    <w:rsid w:val="004C37A9"/>
    <w:rsid w:val="004F259E"/>
    <w:rsid w:val="00511F1D"/>
    <w:rsid w:val="00520F36"/>
    <w:rsid w:val="00536BC1"/>
    <w:rsid w:val="00540615"/>
    <w:rsid w:val="00540A6D"/>
    <w:rsid w:val="00571EEA"/>
    <w:rsid w:val="00575417"/>
    <w:rsid w:val="005768E1"/>
    <w:rsid w:val="005C3890"/>
    <w:rsid w:val="005E6E00"/>
    <w:rsid w:val="005F551D"/>
    <w:rsid w:val="005F7BFE"/>
    <w:rsid w:val="00600017"/>
    <w:rsid w:val="006155D1"/>
    <w:rsid w:val="006235CA"/>
    <w:rsid w:val="006643AB"/>
    <w:rsid w:val="0068153A"/>
    <w:rsid w:val="006C58E5"/>
    <w:rsid w:val="006D1F72"/>
    <w:rsid w:val="006E014E"/>
    <w:rsid w:val="006E6FB9"/>
    <w:rsid w:val="007210CD"/>
    <w:rsid w:val="00732045"/>
    <w:rsid w:val="007369DB"/>
    <w:rsid w:val="00773D6E"/>
    <w:rsid w:val="00781FC7"/>
    <w:rsid w:val="007956C2"/>
    <w:rsid w:val="007A187E"/>
    <w:rsid w:val="007C72C2"/>
    <w:rsid w:val="007D4436"/>
    <w:rsid w:val="007F257A"/>
    <w:rsid w:val="007F3665"/>
    <w:rsid w:val="007F718A"/>
    <w:rsid w:val="00800037"/>
    <w:rsid w:val="00811B4C"/>
    <w:rsid w:val="00812E5D"/>
    <w:rsid w:val="00822689"/>
    <w:rsid w:val="00861D73"/>
    <w:rsid w:val="00863344"/>
    <w:rsid w:val="00892492"/>
    <w:rsid w:val="008A4E87"/>
    <w:rsid w:val="008D5BD1"/>
    <w:rsid w:val="008D76E6"/>
    <w:rsid w:val="00923187"/>
    <w:rsid w:val="0092392D"/>
    <w:rsid w:val="0093234A"/>
    <w:rsid w:val="00934D24"/>
    <w:rsid w:val="00990055"/>
    <w:rsid w:val="009A0819"/>
    <w:rsid w:val="009B32D4"/>
    <w:rsid w:val="009C307F"/>
    <w:rsid w:val="009D4740"/>
    <w:rsid w:val="00A11B80"/>
    <w:rsid w:val="00A2113E"/>
    <w:rsid w:val="00A23A51"/>
    <w:rsid w:val="00A24607"/>
    <w:rsid w:val="00A25CD3"/>
    <w:rsid w:val="00A54D2A"/>
    <w:rsid w:val="00A57C02"/>
    <w:rsid w:val="00A82767"/>
    <w:rsid w:val="00AA332F"/>
    <w:rsid w:val="00AA7BBB"/>
    <w:rsid w:val="00AB261F"/>
    <w:rsid w:val="00AB64A8"/>
    <w:rsid w:val="00AC0266"/>
    <w:rsid w:val="00AC19F6"/>
    <w:rsid w:val="00AD24EC"/>
    <w:rsid w:val="00AF7FB2"/>
    <w:rsid w:val="00B309F9"/>
    <w:rsid w:val="00B32B60"/>
    <w:rsid w:val="00B61047"/>
    <w:rsid w:val="00B61619"/>
    <w:rsid w:val="00B67208"/>
    <w:rsid w:val="00B77EED"/>
    <w:rsid w:val="00BB0341"/>
    <w:rsid w:val="00BB4545"/>
    <w:rsid w:val="00BD5873"/>
    <w:rsid w:val="00C02217"/>
    <w:rsid w:val="00C04BE3"/>
    <w:rsid w:val="00C14D5B"/>
    <w:rsid w:val="00C2047F"/>
    <w:rsid w:val="00C25D29"/>
    <w:rsid w:val="00C27A7C"/>
    <w:rsid w:val="00C5657F"/>
    <w:rsid w:val="00C76A71"/>
    <w:rsid w:val="00C77B1E"/>
    <w:rsid w:val="00CA08ED"/>
    <w:rsid w:val="00CE0C34"/>
    <w:rsid w:val="00CF183B"/>
    <w:rsid w:val="00D375CD"/>
    <w:rsid w:val="00D553A2"/>
    <w:rsid w:val="00D774D3"/>
    <w:rsid w:val="00D904E8"/>
    <w:rsid w:val="00D93786"/>
    <w:rsid w:val="00DA08C3"/>
    <w:rsid w:val="00DB5A3E"/>
    <w:rsid w:val="00DC22AA"/>
    <w:rsid w:val="00DF74DD"/>
    <w:rsid w:val="00E25AD0"/>
    <w:rsid w:val="00EB6350"/>
    <w:rsid w:val="00EF6606"/>
    <w:rsid w:val="00F023E4"/>
    <w:rsid w:val="00F15B57"/>
    <w:rsid w:val="00F427DB"/>
    <w:rsid w:val="00F473C7"/>
    <w:rsid w:val="00F810AF"/>
    <w:rsid w:val="00F83745"/>
    <w:rsid w:val="00FA5EB1"/>
    <w:rsid w:val="00FA7439"/>
    <w:rsid w:val="00FB294F"/>
    <w:rsid w:val="00FB535E"/>
    <w:rsid w:val="00FC0F3D"/>
    <w:rsid w:val="00FC4EC0"/>
    <w:rsid w:val="00FF0181"/>
    <w:rsid w:val="00FF0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42714B"/>
  <w15:docId w15:val="{E7A65AD1-05C9-47BF-B071-D56F168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uiPriority w:val="99"/>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TabletextChar">
    <w:name w:val="Table_text Char"/>
    <w:basedOn w:val="DefaultParagraphFont"/>
    <w:link w:val="Tabletext"/>
    <w:uiPriority w:val="99"/>
    <w:locked/>
    <w:rsid w:val="00A54D2A"/>
    <w:rPr>
      <w:rFonts w:ascii="Calibri" w:hAnsi="Calibri"/>
      <w:sz w:val="22"/>
      <w:lang w:val="fr-FR" w:eastAsia="en-US"/>
    </w:rPr>
  </w:style>
  <w:style w:type="character" w:styleId="CommentReference">
    <w:name w:val="annotation reference"/>
    <w:basedOn w:val="DefaultParagraphFont"/>
    <w:semiHidden/>
    <w:unhideWhenUsed/>
    <w:rsid w:val="002774B5"/>
    <w:rPr>
      <w:sz w:val="16"/>
      <w:szCs w:val="16"/>
    </w:rPr>
  </w:style>
  <w:style w:type="paragraph" w:styleId="CommentText">
    <w:name w:val="annotation text"/>
    <w:basedOn w:val="Normal"/>
    <w:link w:val="CommentTextChar"/>
    <w:semiHidden/>
    <w:unhideWhenUsed/>
    <w:rsid w:val="002774B5"/>
    <w:rPr>
      <w:sz w:val="20"/>
    </w:rPr>
  </w:style>
  <w:style w:type="character" w:customStyle="1" w:styleId="CommentTextChar">
    <w:name w:val="Comment Text Char"/>
    <w:basedOn w:val="DefaultParagraphFont"/>
    <w:link w:val="CommentText"/>
    <w:semiHidden/>
    <w:rsid w:val="002774B5"/>
    <w:rPr>
      <w:rFonts w:ascii="Calibri" w:hAnsi="Calibri"/>
      <w:lang w:val="fr-FR" w:eastAsia="en-US"/>
    </w:rPr>
  </w:style>
  <w:style w:type="paragraph" w:styleId="CommentSubject">
    <w:name w:val="annotation subject"/>
    <w:basedOn w:val="CommentText"/>
    <w:next w:val="CommentText"/>
    <w:link w:val="CommentSubjectChar"/>
    <w:semiHidden/>
    <w:unhideWhenUsed/>
    <w:rsid w:val="002774B5"/>
    <w:rPr>
      <w:b/>
      <w:bCs/>
    </w:rPr>
  </w:style>
  <w:style w:type="character" w:customStyle="1" w:styleId="CommentSubjectChar">
    <w:name w:val="Comment Subject Char"/>
    <w:basedOn w:val="CommentTextChar"/>
    <w:link w:val="CommentSubject"/>
    <w:semiHidden/>
    <w:rsid w:val="002774B5"/>
    <w:rPr>
      <w:rFonts w:ascii="Calibri" w:hAnsi="Calibri"/>
      <w:b/>
      <w:bCs/>
      <w:lang w:val="fr-FR" w:eastAsia="en-US"/>
    </w:rPr>
  </w:style>
  <w:style w:type="paragraph" w:styleId="Revision">
    <w:name w:val="Revision"/>
    <w:hidden/>
    <w:uiPriority w:val="99"/>
    <w:semiHidden/>
    <w:rsid w:val="002774B5"/>
    <w:rPr>
      <w:rFonts w:ascii="Calibri" w:hAnsi="Calibri"/>
      <w:sz w:val="24"/>
      <w:lang w:val="fr-FR" w:eastAsia="en-US"/>
    </w:rPr>
  </w:style>
  <w:style w:type="paragraph" w:styleId="BalloonText">
    <w:name w:val="Balloon Text"/>
    <w:basedOn w:val="Normal"/>
    <w:link w:val="BalloonTextChar"/>
    <w:semiHidden/>
    <w:unhideWhenUsed/>
    <w:rsid w:val="002774B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74B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36">
      <w:bodyDiv w:val="1"/>
      <w:marLeft w:val="0"/>
      <w:marRight w:val="0"/>
      <w:marTop w:val="0"/>
      <w:marBottom w:val="0"/>
      <w:divBdr>
        <w:top w:val="none" w:sz="0" w:space="0" w:color="auto"/>
        <w:left w:val="none" w:sz="0" w:space="0" w:color="auto"/>
        <w:bottom w:val="none" w:sz="0" w:space="0" w:color="auto"/>
        <w:right w:val="none" w:sz="0" w:space="0" w:color="auto"/>
      </w:divBdr>
    </w:div>
    <w:div w:id="197475335">
      <w:bodyDiv w:val="1"/>
      <w:marLeft w:val="0"/>
      <w:marRight w:val="0"/>
      <w:marTop w:val="0"/>
      <w:marBottom w:val="0"/>
      <w:divBdr>
        <w:top w:val="none" w:sz="0" w:space="0" w:color="auto"/>
        <w:left w:val="none" w:sz="0" w:space="0" w:color="auto"/>
        <w:bottom w:val="none" w:sz="0" w:space="0" w:color="auto"/>
        <w:right w:val="none" w:sz="0" w:space="0" w:color="auto"/>
      </w:divBdr>
    </w:div>
    <w:div w:id="299261879">
      <w:bodyDiv w:val="1"/>
      <w:marLeft w:val="0"/>
      <w:marRight w:val="0"/>
      <w:marTop w:val="0"/>
      <w:marBottom w:val="0"/>
      <w:divBdr>
        <w:top w:val="none" w:sz="0" w:space="0" w:color="auto"/>
        <w:left w:val="none" w:sz="0" w:space="0" w:color="auto"/>
        <w:bottom w:val="none" w:sz="0" w:space="0" w:color="auto"/>
        <w:right w:val="none" w:sz="0" w:space="0" w:color="auto"/>
      </w:divBdr>
    </w:div>
    <w:div w:id="350377489">
      <w:bodyDiv w:val="1"/>
      <w:marLeft w:val="0"/>
      <w:marRight w:val="0"/>
      <w:marTop w:val="0"/>
      <w:marBottom w:val="0"/>
      <w:divBdr>
        <w:top w:val="none" w:sz="0" w:space="0" w:color="auto"/>
        <w:left w:val="none" w:sz="0" w:space="0" w:color="auto"/>
        <w:bottom w:val="none" w:sz="0" w:space="0" w:color="auto"/>
        <w:right w:val="none" w:sz="0" w:space="0" w:color="auto"/>
      </w:divBdr>
    </w:div>
    <w:div w:id="357899231">
      <w:bodyDiv w:val="1"/>
      <w:marLeft w:val="0"/>
      <w:marRight w:val="0"/>
      <w:marTop w:val="0"/>
      <w:marBottom w:val="0"/>
      <w:divBdr>
        <w:top w:val="none" w:sz="0" w:space="0" w:color="auto"/>
        <w:left w:val="none" w:sz="0" w:space="0" w:color="auto"/>
        <w:bottom w:val="none" w:sz="0" w:space="0" w:color="auto"/>
        <w:right w:val="none" w:sz="0" w:space="0" w:color="auto"/>
      </w:divBdr>
    </w:div>
    <w:div w:id="502400271">
      <w:bodyDiv w:val="1"/>
      <w:marLeft w:val="0"/>
      <w:marRight w:val="0"/>
      <w:marTop w:val="0"/>
      <w:marBottom w:val="0"/>
      <w:divBdr>
        <w:top w:val="none" w:sz="0" w:space="0" w:color="auto"/>
        <w:left w:val="none" w:sz="0" w:space="0" w:color="auto"/>
        <w:bottom w:val="none" w:sz="0" w:space="0" w:color="auto"/>
        <w:right w:val="none" w:sz="0" w:space="0" w:color="auto"/>
      </w:divBdr>
    </w:div>
    <w:div w:id="666178517">
      <w:bodyDiv w:val="1"/>
      <w:marLeft w:val="0"/>
      <w:marRight w:val="0"/>
      <w:marTop w:val="0"/>
      <w:marBottom w:val="0"/>
      <w:divBdr>
        <w:top w:val="none" w:sz="0" w:space="0" w:color="auto"/>
        <w:left w:val="none" w:sz="0" w:space="0" w:color="auto"/>
        <w:bottom w:val="none" w:sz="0" w:space="0" w:color="auto"/>
        <w:right w:val="none" w:sz="0" w:space="0" w:color="auto"/>
      </w:divBdr>
    </w:div>
    <w:div w:id="698972195">
      <w:bodyDiv w:val="1"/>
      <w:marLeft w:val="0"/>
      <w:marRight w:val="0"/>
      <w:marTop w:val="0"/>
      <w:marBottom w:val="0"/>
      <w:divBdr>
        <w:top w:val="none" w:sz="0" w:space="0" w:color="auto"/>
        <w:left w:val="none" w:sz="0" w:space="0" w:color="auto"/>
        <w:bottom w:val="none" w:sz="0" w:space="0" w:color="auto"/>
        <w:right w:val="none" w:sz="0" w:space="0" w:color="auto"/>
      </w:divBdr>
    </w:div>
    <w:div w:id="824856356">
      <w:bodyDiv w:val="1"/>
      <w:marLeft w:val="0"/>
      <w:marRight w:val="0"/>
      <w:marTop w:val="0"/>
      <w:marBottom w:val="0"/>
      <w:divBdr>
        <w:top w:val="none" w:sz="0" w:space="0" w:color="auto"/>
        <w:left w:val="none" w:sz="0" w:space="0" w:color="auto"/>
        <w:bottom w:val="none" w:sz="0" w:space="0" w:color="auto"/>
        <w:right w:val="none" w:sz="0" w:space="0" w:color="auto"/>
      </w:divBdr>
    </w:div>
    <w:div w:id="958025140">
      <w:bodyDiv w:val="1"/>
      <w:marLeft w:val="0"/>
      <w:marRight w:val="0"/>
      <w:marTop w:val="0"/>
      <w:marBottom w:val="0"/>
      <w:divBdr>
        <w:top w:val="none" w:sz="0" w:space="0" w:color="auto"/>
        <w:left w:val="none" w:sz="0" w:space="0" w:color="auto"/>
        <w:bottom w:val="none" w:sz="0" w:space="0" w:color="auto"/>
        <w:right w:val="none" w:sz="0" w:space="0" w:color="auto"/>
      </w:divBdr>
    </w:div>
    <w:div w:id="1018964800">
      <w:bodyDiv w:val="1"/>
      <w:marLeft w:val="0"/>
      <w:marRight w:val="0"/>
      <w:marTop w:val="0"/>
      <w:marBottom w:val="0"/>
      <w:divBdr>
        <w:top w:val="none" w:sz="0" w:space="0" w:color="auto"/>
        <w:left w:val="none" w:sz="0" w:space="0" w:color="auto"/>
        <w:bottom w:val="none" w:sz="0" w:space="0" w:color="auto"/>
        <w:right w:val="none" w:sz="0" w:space="0" w:color="auto"/>
      </w:divBdr>
    </w:div>
    <w:div w:id="1236672162">
      <w:bodyDiv w:val="1"/>
      <w:marLeft w:val="0"/>
      <w:marRight w:val="0"/>
      <w:marTop w:val="0"/>
      <w:marBottom w:val="0"/>
      <w:divBdr>
        <w:top w:val="none" w:sz="0" w:space="0" w:color="auto"/>
        <w:left w:val="none" w:sz="0" w:space="0" w:color="auto"/>
        <w:bottom w:val="none" w:sz="0" w:space="0" w:color="auto"/>
        <w:right w:val="none" w:sz="0" w:space="0" w:color="auto"/>
      </w:divBdr>
    </w:div>
    <w:div w:id="1392314296">
      <w:bodyDiv w:val="1"/>
      <w:marLeft w:val="0"/>
      <w:marRight w:val="0"/>
      <w:marTop w:val="0"/>
      <w:marBottom w:val="0"/>
      <w:divBdr>
        <w:top w:val="none" w:sz="0" w:space="0" w:color="auto"/>
        <w:left w:val="none" w:sz="0" w:space="0" w:color="auto"/>
        <w:bottom w:val="none" w:sz="0" w:space="0" w:color="auto"/>
        <w:right w:val="none" w:sz="0" w:space="0" w:color="auto"/>
      </w:divBdr>
    </w:div>
    <w:div w:id="1579556907">
      <w:bodyDiv w:val="1"/>
      <w:marLeft w:val="0"/>
      <w:marRight w:val="0"/>
      <w:marTop w:val="0"/>
      <w:marBottom w:val="0"/>
      <w:divBdr>
        <w:top w:val="none" w:sz="0" w:space="0" w:color="auto"/>
        <w:left w:val="none" w:sz="0" w:space="0" w:color="auto"/>
        <w:bottom w:val="none" w:sz="0" w:space="0" w:color="auto"/>
        <w:right w:val="none" w:sz="0" w:space="0" w:color="auto"/>
      </w:divBdr>
    </w:div>
    <w:div w:id="1618682621">
      <w:bodyDiv w:val="1"/>
      <w:marLeft w:val="0"/>
      <w:marRight w:val="0"/>
      <w:marTop w:val="0"/>
      <w:marBottom w:val="0"/>
      <w:divBdr>
        <w:top w:val="none" w:sz="0" w:space="0" w:color="auto"/>
        <w:left w:val="none" w:sz="0" w:space="0" w:color="auto"/>
        <w:bottom w:val="none" w:sz="0" w:space="0" w:color="auto"/>
        <w:right w:val="none" w:sz="0" w:space="0" w:color="auto"/>
      </w:divBdr>
    </w:div>
    <w:div w:id="1718092390">
      <w:bodyDiv w:val="1"/>
      <w:marLeft w:val="0"/>
      <w:marRight w:val="0"/>
      <w:marTop w:val="0"/>
      <w:marBottom w:val="0"/>
      <w:divBdr>
        <w:top w:val="none" w:sz="0" w:space="0" w:color="auto"/>
        <w:left w:val="none" w:sz="0" w:space="0" w:color="auto"/>
        <w:bottom w:val="none" w:sz="0" w:space="0" w:color="auto"/>
        <w:right w:val="none" w:sz="0" w:space="0" w:color="auto"/>
      </w:divBdr>
    </w:div>
    <w:div w:id="1738940333">
      <w:bodyDiv w:val="1"/>
      <w:marLeft w:val="0"/>
      <w:marRight w:val="0"/>
      <w:marTop w:val="0"/>
      <w:marBottom w:val="0"/>
      <w:divBdr>
        <w:top w:val="none" w:sz="0" w:space="0" w:color="auto"/>
        <w:left w:val="none" w:sz="0" w:space="0" w:color="auto"/>
        <w:bottom w:val="none" w:sz="0" w:space="0" w:color="auto"/>
        <w:right w:val="none" w:sz="0" w:space="0" w:color="auto"/>
      </w:divBdr>
    </w:div>
    <w:div w:id="18351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66E4-A96D-4A40-AEFF-9B48E47C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168</TotalTime>
  <Pages>5</Pages>
  <Words>2389</Words>
  <Characters>12175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14535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Royer, Veronique</cp:lastModifiedBy>
  <cp:revision>10</cp:revision>
  <cp:lastPrinted>2017-05-05T14:14:00Z</cp:lastPrinted>
  <dcterms:created xsi:type="dcterms:W3CDTF">2017-05-05T13:02:00Z</dcterms:created>
  <dcterms:modified xsi:type="dcterms:W3CDTF">2017-05-08T08:51:00Z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