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BC7556">
        <w:trPr>
          <w:cantSplit/>
        </w:trPr>
        <w:tc>
          <w:tcPr>
            <w:tcW w:w="6912" w:type="dxa"/>
          </w:tcPr>
          <w:p w:rsidR="00520F36" w:rsidRPr="00BC7556" w:rsidRDefault="00520F36" w:rsidP="00520F36">
            <w:pPr>
              <w:spacing w:before="360"/>
            </w:pPr>
            <w:bookmarkStart w:id="0" w:name="dc06"/>
            <w:bookmarkEnd w:id="0"/>
            <w:r w:rsidRPr="00BC7556">
              <w:rPr>
                <w:b/>
                <w:bCs/>
                <w:sz w:val="30"/>
                <w:szCs w:val="30"/>
              </w:rPr>
              <w:t>Conseil 2017</w:t>
            </w:r>
            <w:r w:rsidRPr="00BC7556">
              <w:rPr>
                <w:rFonts w:ascii="Verdana" w:hAnsi="Verdana"/>
                <w:b/>
                <w:bCs/>
                <w:sz w:val="26"/>
                <w:szCs w:val="26"/>
              </w:rPr>
              <w:br/>
            </w:r>
            <w:r w:rsidRPr="00BC7556">
              <w:rPr>
                <w:b/>
                <w:bCs/>
                <w:szCs w:val="24"/>
              </w:rPr>
              <w:t>Genève, 15-25 mai 2017</w:t>
            </w:r>
          </w:p>
        </w:tc>
        <w:tc>
          <w:tcPr>
            <w:tcW w:w="3261" w:type="dxa"/>
          </w:tcPr>
          <w:p w:rsidR="00520F36" w:rsidRPr="00BC7556" w:rsidRDefault="00520F36" w:rsidP="00520F36">
            <w:pPr>
              <w:spacing w:before="0"/>
              <w:jc w:val="right"/>
            </w:pPr>
            <w:bookmarkStart w:id="1" w:name="ditulogo"/>
            <w:bookmarkEnd w:id="1"/>
            <w:r w:rsidRPr="00BC7556">
              <w:rPr>
                <w:rFonts w:cstheme="minorHAnsi"/>
                <w:b/>
                <w:bCs/>
                <w:noProof/>
                <w:lang w:val="en-US" w:eastAsia="zh-CN"/>
              </w:rPr>
              <w:drawing>
                <wp:inline distT="0" distB="0" distL="0" distR="0" wp14:anchorId="483F5B98" wp14:editId="41A9B441">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20F36" w:rsidRPr="00BC7556" w:rsidTr="00EF41DD">
        <w:trPr>
          <w:cantSplit/>
          <w:trHeight w:val="20"/>
        </w:trPr>
        <w:tc>
          <w:tcPr>
            <w:tcW w:w="6912" w:type="dxa"/>
            <w:tcBorders>
              <w:bottom w:val="single" w:sz="12" w:space="0" w:color="auto"/>
            </w:tcBorders>
            <w:vAlign w:val="center"/>
          </w:tcPr>
          <w:p w:rsidR="00520F36" w:rsidRPr="00BC7556" w:rsidRDefault="00520F36" w:rsidP="004C37A9">
            <w:pPr>
              <w:spacing w:before="0"/>
              <w:rPr>
                <w:b/>
                <w:bCs/>
                <w:sz w:val="26"/>
                <w:szCs w:val="26"/>
              </w:rPr>
            </w:pPr>
          </w:p>
        </w:tc>
        <w:tc>
          <w:tcPr>
            <w:tcW w:w="3261" w:type="dxa"/>
            <w:tcBorders>
              <w:bottom w:val="single" w:sz="12" w:space="0" w:color="auto"/>
            </w:tcBorders>
          </w:tcPr>
          <w:p w:rsidR="00520F36" w:rsidRPr="00BC7556" w:rsidRDefault="00520F36" w:rsidP="00DF74DD">
            <w:pPr>
              <w:spacing w:before="0"/>
              <w:rPr>
                <w:b/>
                <w:bCs/>
              </w:rPr>
            </w:pPr>
          </w:p>
        </w:tc>
      </w:tr>
      <w:tr w:rsidR="00520F36" w:rsidRPr="00BC7556">
        <w:trPr>
          <w:cantSplit/>
          <w:trHeight w:val="20"/>
        </w:trPr>
        <w:tc>
          <w:tcPr>
            <w:tcW w:w="6912" w:type="dxa"/>
            <w:tcBorders>
              <w:top w:val="single" w:sz="12" w:space="0" w:color="auto"/>
            </w:tcBorders>
          </w:tcPr>
          <w:p w:rsidR="00520F36" w:rsidRPr="00BC7556" w:rsidRDefault="00520F36" w:rsidP="00DF74DD">
            <w:pPr>
              <w:spacing w:before="0"/>
              <w:rPr>
                <w:smallCaps/>
                <w:sz w:val="22"/>
              </w:rPr>
            </w:pPr>
          </w:p>
        </w:tc>
        <w:tc>
          <w:tcPr>
            <w:tcW w:w="3261" w:type="dxa"/>
            <w:tcBorders>
              <w:top w:val="single" w:sz="12" w:space="0" w:color="auto"/>
            </w:tcBorders>
          </w:tcPr>
          <w:p w:rsidR="00520F36" w:rsidRPr="00BC7556" w:rsidRDefault="00520F36" w:rsidP="00DF74DD">
            <w:pPr>
              <w:spacing w:before="0"/>
              <w:rPr>
                <w:b/>
                <w:bCs/>
              </w:rPr>
            </w:pPr>
          </w:p>
        </w:tc>
      </w:tr>
      <w:tr w:rsidR="00520F36" w:rsidRPr="00BC7556">
        <w:trPr>
          <w:cantSplit/>
          <w:trHeight w:val="20"/>
        </w:trPr>
        <w:tc>
          <w:tcPr>
            <w:tcW w:w="6912" w:type="dxa"/>
            <w:vMerge w:val="restart"/>
          </w:tcPr>
          <w:p w:rsidR="00520F36" w:rsidRPr="00BC7556" w:rsidRDefault="00520F36" w:rsidP="00DF74DD">
            <w:pPr>
              <w:spacing w:before="0"/>
              <w:rPr>
                <w:rFonts w:cs="Times"/>
                <w:b/>
                <w:bCs/>
                <w:szCs w:val="24"/>
              </w:rPr>
            </w:pPr>
            <w:bookmarkStart w:id="2" w:name="dnum" w:colFirst="1" w:colLast="1"/>
            <w:bookmarkStart w:id="3" w:name="dmeeting" w:colFirst="0" w:colLast="0"/>
          </w:p>
        </w:tc>
        <w:tc>
          <w:tcPr>
            <w:tcW w:w="3261" w:type="dxa"/>
          </w:tcPr>
          <w:p w:rsidR="00520F36" w:rsidRPr="00BC7556" w:rsidRDefault="00520F36" w:rsidP="00520F36">
            <w:pPr>
              <w:spacing w:before="0"/>
              <w:rPr>
                <w:b/>
                <w:bCs/>
              </w:rPr>
            </w:pPr>
            <w:r w:rsidRPr="00BC7556">
              <w:rPr>
                <w:b/>
                <w:bCs/>
              </w:rPr>
              <w:t>Document C17/</w:t>
            </w:r>
            <w:r w:rsidR="0019052D" w:rsidRPr="00BC7556">
              <w:rPr>
                <w:b/>
                <w:bCs/>
              </w:rPr>
              <w:t>116</w:t>
            </w:r>
            <w:r w:rsidRPr="00BC7556">
              <w:rPr>
                <w:b/>
                <w:bCs/>
              </w:rPr>
              <w:t>-F</w:t>
            </w:r>
          </w:p>
        </w:tc>
      </w:tr>
      <w:tr w:rsidR="00520F36" w:rsidRPr="00BC7556">
        <w:trPr>
          <w:cantSplit/>
          <w:trHeight w:val="20"/>
        </w:trPr>
        <w:tc>
          <w:tcPr>
            <w:tcW w:w="6912" w:type="dxa"/>
            <w:vMerge/>
          </w:tcPr>
          <w:p w:rsidR="00520F36" w:rsidRPr="00BC7556" w:rsidRDefault="00520F36" w:rsidP="00DF74DD">
            <w:pPr>
              <w:shd w:val="solid" w:color="FFFFFF" w:fill="FFFFFF"/>
              <w:spacing w:before="180"/>
              <w:rPr>
                <w:smallCaps/>
              </w:rPr>
            </w:pPr>
            <w:bookmarkStart w:id="4" w:name="ddate" w:colFirst="1" w:colLast="1"/>
            <w:bookmarkEnd w:id="2"/>
            <w:bookmarkEnd w:id="3"/>
          </w:p>
        </w:tc>
        <w:tc>
          <w:tcPr>
            <w:tcW w:w="3261" w:type="dxa"/>
          </w:tcPr>
          <w:p w:rsidR="00520F36" w:rsidRPr="00BC7556" w:rsidRDefault="0019052D" w:rsidP="00520F36">
            <w:pPr>
              <w:spacing w:before="0"/>
              <w:rPr>
                <w:b/>
                <w:bCs/>
              </w:rPr>
            </w:pPr>
            <w:r w:rsidRPr="00BC7556">
              <w:rPr>
                <w:b/>
                <w:bCs/>
              </w:rPr>
              <w:t>7 juin</w:t>
            </w:r>
            <w:r w:rsidR="00520F36" w:rsidRPr="00BC7556">
              <w:rPr>
                <w:b/>
                <w:bCs/>
              </w:rPr>
              <w:t xml:space="preserve"> 2017</w:t>
            </w:r>
          </w:p>
        </w:tc>
      </w:tr>
      <w:tr w:rsidR="00520F36" w:rsidRPr="00BC7556">
        <w:trPr>
          <w:cantSplit/>
          <w:trHeight w:val="20"/>
        </w:trPr>
        <w:tc>
          <w:tcPr>
            <w:tcW w:w="6912" w:type="dxa"/>
            <w:vMerge/>
          </w:tcPr>
          <w:p w:rsidR="00520F36" w:rsidRPr="00BC7556" w:rsidRDefault="00520F36" w:rsidP="00DF74DD">
            <w:pPr>
              <w:shd w:val="solid" w:color="FFFFFF" w:fill="FFFFFF"/>
              <w:spacing w:before="180"/>
              <w:rPr>
                <w:smallCaps/>
              </w:rPr>
            </w:pPr>
            <w:bookmarkStart w:id="5" w:name="dorlang" w:colFirst="1" w:colLast="1"/>
            <w:bookmarkEnd w:id="4"/>
          </w:p>
        </w:tc>
        <w:tc>
          <w:tcPr>
            <w:tcW w:w="3261" w:type="dxa"/>
          </w:tcPr>
          <w:p w:rsidR="00520F36" w:rsidRPr="00BC7556" w:rsidRDefault="00520F36" w:rsidP="0019052D">
            <w:pPr>
              <w:spacing w:before="0"/>
              <w:rPr>
                <w:b/>
                <w:bCs/>
              </w:rPr>
            </w:pPr>
            <w:r w:rsidRPr="00BC7556">
              <w:rPr>
                <w:b/>
                <w:bCs/>
              </w:rPr>
              <w:t xml:space="preserve">Original: </w:t>
            </w:r>
            <w:r w:rsidR="0019052D" w:rsidRPr="00BC7556">
              <w:rPr>
                <w:b/>
                <w:bCs/>
              </w:rPr>
              <w:t>français</w:t>
            </w:r>
          </w:p>
        </w:tc>
      </w:tr>
      <w:tr w:rsidR="00520F36" w:rsidRPr="00BC7556">
        <w:trPr>
          <w:cantSplit/>
        </w:trPr>
        <w:tc>
          <w:tcPr>
            <w:tcW w:w="10173" w:type="dxa"/>
            <w:gridSpan w:val="2"/>
          </w:tcPr>
          <w:p w:rsidR="0019052D" w:rsidRPr="00BC7556" w:rsidRDefault="0019052D" w:rsidP="0019052D">
            <w:pPr>
              <w:pStyle w:val="Title1"/>
            </w:pPr>
            <w:bookmarkStart w:id="6" w:name="dtitle1" w:colFirst="0" w:colLast="0"/>
            <w:bookmarkEnd w:id="5"/>
            <w:r w:rsidRPr="00BC7556">
              <w:t xml:space="preserve">COMPTE RENDU </w:t>
            </w:r>
          </w:p>
          <w:p w:rsidR="0019052D" w:rsidRPr="00BC7556" w:rsidRDefault="0019052D" w:rsidP="0019052D">
            <w:pPr>
              <w:pStyle w:val="Title1"/>
            </w:pPr>
            <w:r w:rsidRPr="00BC7556">
              <w:t xml:space="preserve">DE LA </w:t>
            </w:r>
          </w:p>
          <w:p w:rsidR="00520F36" w:rsidRPr="00BC7556" w:rsidRDefault="0019052D" w:rsidP="0019052D">
            <w:pPr>
              <w:pStyle w:val="Title1"/>
            </w:pPr>
            <w:r w:rsidRPr="00BC7556">
              <w:t>DEUXIÈME SÉANCE PLÉNIÈRE</w:t>
            </w:r>
          </w:p>
        </w:tc>
      </w:tr>
      <w:tr w:rsidR="0019052D" w:rsidRPr="00BC7556">
        <w:trPr>
          <w:cantSplit/>
        </w:trPr>
        <w:tc>
          <w:tcPr>
            <w:tcW w:w="10173" w:type="dxa"/>
            <w:gridSpan w:val="2"/>
          </w:tcPr>
          <w:p w:rsidR="0019052D" w:rsidRPr="00BC7556" w:rsidRDefault="0019052D" w:rsidP="0019052D">
            <w:pPr>
              <w:pStyle w:val="Title1"/>
              <w:tabs>
                <w:tab w:val="clear" w:pos="1134"/>
                <w:tab w:val="clear" w:pos="1701"/>
                <w:tab w:val="clear" w:pos="2268"/>
                <w:tab w:val="clear" w:pos="2835"/>
                <w:tab w:val="left" w:pos="6135"/>
              </w:tabs>
            </w:pPr>
            <w:r w:rsidRPr="00BC7556">
              <w:rPr>
                <w:rFonts w:asciiTheme="minorHAnsi" w:hAnsiTheme="minorHAnsi"/>
                <w:caps w:val="0"/>
                <w:sz w:val="24"/>
                <w:szCs w:val="24"/>
              </w:rPr>
              <w:t xml:space="preserve">Mardi 16 mai </w:t>
            </w:r>
            <w:r w:rsidRPr="00BC7556">
              <w:rPr>
                <w:rFonts w:asciiTheme="minorHAnsi" w:hAnsiTheme="minorHAnsi"/>
                <w:sz w:val="24"/>
                <w:szCs w:val="24"/>
              </w:rPr>
              <w:t xml:space="preserve">2017, </w:t>
            </w:r>
            <w:r w:rsidRPr="00BC7556">
              <w:rPr>
                <w:rFonts w:asciiTheme="minorHAnsi" w:hAnsiTheme="minorHAnsi"/>
                <w:caps w:val="0"/>
                <w:sz w:val="24"/>
                <w:szCs w:val="24"/>
              </w:rPr>
              <w:t>de 9 h 35 à 12 h 10</w:t>
            </w:r>
          </w:p>
        </w:tc>
      </w:tr>
      <w:tr w:rsidR="0019052D" w:rsidRPr="00BC7556">
        <w:trPr>
          <w:cantSplit/>
        </w:trPr>
        <w:tc>
          <w:tcPr>
            <w:tcW w:w="10173" w:type="dxa"/>
            <w:gridSpan w:val="2"/>
          </w:tcPr>
          <w:p w:rsidR="0019052D" w:rsidRPr="00BC7556" w:rsidRDefault="0019052D" w:rsidP="0019052D">
            <w:pPr>
              <w:pStyle w:val="Title1"/>
            </w:pPr>
            <w:r w:rsidRPr="00BC7556">
              <w:rPr>
                <w:rFonts w:asciiTheme="minorHAnsi" w:hAnsiTheme="minorHAnsi"/>
                <w:b/>
                <w:bCs/>
                <w:caps w:val="0"/>
                <w:sz w:val="24"/>
                <w:szCs w:val="24"/>
              </w:rPr>
              <w:t>Présidente:</w:t>
            </w:r>
            <w:r w:rsidRPr="00BC7556">
              <w:rPr>
                <w:rFonts w:asciiTheme="minorHAnsi" w:hAnsiTheme="minorHAnsi"/>
                <w:caps w:val="0"/>
                <w:sz w:val="24"/>
                <w:szCs w:val="24"/>
              </w:rPr>
              <w:t xml:space="preserve"> Dr E. SPINA (Italie)</w:t>
            </w:r>
          </w:p>
        </w:tc>
      </w:tr>
      <w:bookmarkEnd w:id="6"/>
    </w:tbl>
    <w:p w:rsidR="0019052D" w:rsidRPr="00BC7556" w:rsidRDefault="0019052D" w:rsidP="0019052D">
      <w:pPr>
        <w:spacing w:before="840"/>
      </w:pPr>
    </w:p>
    <w:tbl>
      <w:tblPr>
        <w:tblW w:w="5233" w:type="pct"/>
        <w:tblLook w:val="0000" w:firstRow="0" w:lastRow="0" w:firstColumn="0" w:lastColumn="0" w:noHBand="0" w:noVBand="0"/>
      </w:tblPr>
      <w:tblGrid>
        <w:gridCol w:w="506"/>
        <w:gridCol w:w="7572"/>
        <w:gridCol w:w="2010"/>
      </w:tblGrid>
      <w:tr w:rsidR="0019052D" w:rsidRPr="00BC7556" w:rsidTr="00B04ECF">
        <w:tc>
          <w:tcPr>
            <w:tcW w:w="251" w:type="pct"/>
          </w:tcPr>
          <w:p w:rsidR="0019052D" w:rsidRPr="00BC7556" w:rsidRDefault="0019052D" w:rsidP="00B04ECF">
            <w:pPr>
              <w:pStyle w:val="toc0"/>
              <w:tabs>
                <w:tab w:val="clear" w:pos="9781"/>
              </w:tabs>
              <w:snapToGrid w:val="0"/>
              <w:spacing w:before="40" w:after="120"/>
              <w:rPr>
                <w:rFonts w:asciiTheme="minorHAnsi" w:hAnsiTheme="minorHAnsi"/>
              </w:rPr>
            </w:pPr>
          </w:p>
        </w:tc>
        <w:tc>
          <w:tcPr>
            <w:tcW w:w="3753" w:type="pct"/>
          </w:tcPr>
          <w:p w:rsidR="0019052D" w:rsidRPr="00BC7556" w:rsidRDefault="0019052D" w:rsidP="00B04ECF">
            <w:pPr>
              <w:pStyle w:val="toc0"/>
              <w:tabs>
                <w:tab w:val="clear" w:pos="9781"/>
              </w:tabs>
              <w:snapToGrid w:val="0"/>
              <w:spacing w:before="40" w:after="120"/>
              <w:rPr>
                <w:rFonts w:asciiTheme="minorHAnsi" w:hAnsiTheme="minorHAnsi"/>
              </w:rPr>
            </w:pPr>
            <w:r w:rsidRPr="00BC7556">
              <w:rPr>
                <w:rFonts w:asciiTheme="minorHAnsi" w:hAnsiTheme="minorHAnsi"/>
              </w:rPr>
              <w:t>Sujets traités</w:t>
            </w:r>
          </w:p>
        </w:tc>
        <w:tc>
          <w:tcPr>
            <w:tcW w:w="996" w:type="pct"/>
          </w:tcPr>
          <w:p w:rsidR="0019052D" w:rsidRPr="00BC7556" w:rsidRDefault="0019052D" w:rsidP="00B04ECF">
            <w:pPr>
              <w:pStyle w:val="toc0"/>
              <w:tabs>
                <w:tab w:val="clear" w:pos="9781"/>
              </w:tabs>
              <w:snapToGrid w:val="0"/>
              <w:spacing w:before="40" w:after="120"/>
              <w:jc w:val="center"/>
              <w:rPr>
                <w:rFonts w:asciiTheme="minorHAnsi" w:hAnsiTheme="minorHAnsi"/>
              </w:rPr>
            </w:pPr>
            <w:r w:rsidRPr="00BC7556">
              <w:rPr>
                <w:rFonts w:asciiTheme="minorHAnsi" w:hAnsiTheme="minorHAnsi"/>
              </w:rPr>
              <w:t>Documents</w:t>
            </w:r>
          </w:p>
        </w:tc>
      </w:tr>
      <w:tr w:rsidR="0019052D" w:rsidRPr="00BC7556" w:rsidTr="00B04ECF">
        <w:tc>
          <w:tcPr>
            <w:tcW w:w="251" w:type="pct"/>
          </w:tcPr>
          <w:p w:rsidR="0019052D" w:rsidRPr="00BC7556" w:rsidRDefault="0019052D" w:rsidP="00B04ECF">
            <w:pPr>
              <w:pStyle w:val="toc0"/>
              <w:tabs>
                <w:tab w:val="clear" w:pos="9781"/>
              </w:tabs>
              <w:snapToGrid w:val="0"/>
              <w:spacing w:after="120"/>
              <w:rPr>
                <w:rFonts w:asciiTheme="minorHAnsi" w:hAnsiTheme="minorHAnsi"/>
                <w:b w:val="0"/>
                <w:bCs/>
              </w:rPr>
            </w:pPr>
            <w:r w:rsidRPr="00BC7556">
              <w:rPr>
                <w:rFonts w:asciiTheme="minorHAnsi" w:hAnsiTheme="minorHAnsi"/>
                <w:b w:val="0"/>
                <w:bCs/>
              </w:rPr>
              <w:t>1</w:t>
            </w:r>
          </w:p>
        </w:tc>
        <w:tc>
          <w:tcPr>
            <w:tcW w:w="3753" w:type="pct"/>
          </w:tcPr>
          <w:p w:rsidR="0019052D" w:rsidRPr="00BC7556" w:rsidRDefault="0019052D" w:rsidP="00B04ECF">
            <w:pPr>
              <w:pStyle w:val="toc0"/>
              <w:tabs>
                <w:tab w:val="clear" w:pos="9781"/>
              </w:tabs>
              <w:snapToGrid w:val="0"/>
              <w:spacing w:after="120"/>
              <w:rPr>
                <w:rFonts w:asciiTheme="minorHAnsi" w:hAnsiTheme="minorHAnsi"/>
                <w:b w:val="0"/>
                <w:bCs/>
              </w:rPr>
            </w:pPr>
            <w:r w:rsidRPr="00BC7556">
              <w:rPr>
                <w:rFonts w:asciiTheme="minorHAnsi" w:hAnsiTheme="minorHAnsi"/>
                <w:b w:val="0"/>
                <w:bCs/>
              </w:rPr>
              <w:t>Suivi de l</w:t>
            </w:r>
            <w:r w:rsidR="007E757B">
              <w:rPr>
                <w:rFonts w:asciiTheme="minorHAnsi" w:hAnsiTheme="minorHAnsi"/>
                <w:b w:val="0"/>
                <w:bCs/>
              </w:rPr>
              <w:t>'</w:t>
            </w:r>
            <w:r w:rsidRPr="00BC7556">
              <w:rPr>
                <w:rFonts w:asciiTheme="minorHAnsi" w:hAnsiTheme="minorHAnsi"/>
                <w:b w:val="0"/>
                <w:bCs/>
              </w:rPr>
              <w:t>examen de la gestion et de l</w:t>
            </w:r>
            <w:r w:rsidR="007E757B">
              <w:rPr>
                <w:rFonts w:asciiTheme="minorHAnsi" w:hAnsiTheme="minorHAnsi"/>
                <w:b w:val="0"/>
                <w:bCs/>
              </w:rPr>
              <w:t>'</w:t>
            </w:r>
            <w:r w:rsidRPr="00BC7556">
              <w:rPr>
                <w:rFonts w:asciiTheme="minorHAnsi" w:hAnsiTheme="minorHAnsi"/>
                <w:b w:val="0"/>
                <w:bCs/>
              </w:rPr>
              <w:t>administration de l</w:t>
            </w:r>
            <w:r w:rsidR="007E757B">
              <w:rPr>
                <w:rFonts w:asciiTheme="minorHAnsi" w:hAnsiTheme="minorHAnsi"/>
                <w:b w:val="0"/>
                <w:bCs/>
              </w:rPr>
              <w:t>'</w:t>
            </w:r>
            <w:r w:rsidRPr="00BC7556">
              <w:rPr>
                <w:rFonts w:asciiTheme="minorHAnsi" w:hAnsiTheme="minorHAnsi"/>
                <w:b w:val="0"/>
                <w:bCs/>
              </w:rPr>
              <w:t>UIT par le Corps commun d</w:t>
            </w:r>
            <w:r w:rsidR="007E757B">
              <w:rPr>
                <w:rFonts w:asciiTheme="minorHAnsi" w:hAnsiTheme="minorHAnsi"/>
                <w:b w:val="0"/>
                <w:bCs/>
              </w:rPr>
              <w:t>'</w:t>
            </w:r>
            <w:r w:rsidRPr="00BC7556">
              <w:rPr>
                <w:rFonts w:asciiTheme="minorHAnsi" w:hAnsiTheme="minorHAnsi"/>
                <w:b w:val="0"/>
                <w:bCs/>
              </w:rPr>
              <w:t>inspection</w:t>
            </w:r>
          </w:p>
        </w:tc>
        <w:tc>
          <w:tcPr>
            <w:tcW w:w="996" w:type="pct"/>
          </w:tcPr>
          <w:p w:rsidR="0019052D" w:rsidRPr="00BC7556" w:rsidRDefault="00AE3801" w:rsidP="00B04ECF">
            <w:pPr>
              <w:pStyle w:val="toc0"/>
              <w:tabs>
                <w:tab w:val="clear" w:pos="9781"/>
              </w:tabs>
              <w:snapToGrid w:val="0"/>
              <w:spacing w:after="120"/>
              <w:jc w:val="center"/>
              <w:rPr>
                <w:rFonts w:asciiTheme="minorHAnsi" w:hAnsiTheme="minorHAnsi"/>
                <w:b w:val="0"/>
                <w:bCs/>
              </w:rPr>
            </w:pPr>
            <w:hyperlink r:id="rId8" w:history="1">
              <w:r w:rsidR="0019052D" w:rsidRPr="00BC7556">
                <w:rPr>
                  <w:rStyle w:val="Hyperlink"/>
                  <w:rFonts w:asciiTheme="minorHAnsi" w:hAnsiTheme="minorHAnsi"/>
                  <w:b w:val="0"/>
                  <w:bCs/>
                </w:rPr>
                <w:t>C17/49</w:t>
              </w:r>
            </w:hyperlink>
          </w:p>
        </w:tc>
      </w:tr>
      <w:tr w:rsidR="0019052D" w:rsidRPr="00BC7556" w:rsidTr="00B04ECF">
        <w:tc>
          <w:tcPr>
            <w:tcW w:w="251" w:type="pct"/>
          </w:tcPr>
          <w:p w:rsidR="0019052D" w:rsidRPr="00BC7556" w:rsidRDefault="0019052D" w:rsidP="00B04ECF">
            <w:pPr>
              <w:pStyle w:val="toc0"/>
              <w:tabs>
                <w:tab w:val="clear" w:pos="9781"/>
              </w:tabs>
              <w:snapToGrid w:val="0"/>
              <w:spacing w:after="120"/>
              <w:rPr>
                <w:rFonts w:asciiTheme="minorHAnsi" w:hAnsiTheme="minorHAnsi"/>
                <w:b w:val="0"/>
                <w:bCs/>
              </w:rPr>
            </w:pPr>
            <w:r w:rsidRPr="00BC7556">
              <w:rPr>
                <w:rFonts w:asciiTheme="minorHAnsi" w:hAnsiTheme="minorHAnsi"/>
                <w:b w:val="0"/>
                <w:bCs/>
              </w:rPr>
              <w:t>2</w:t>
            </w:r>
          </w:p>
        </w:tc>
        <w:tc>
          <w:tcPr>
            <w:tcW w:w="3753" w:type="pct"/>
          </w:tcPr>
          <w:p w:rsidR="0019052D" w:rsidRPr="00BC7556" w:rsidRDefault="0019052D" w:rsidP="00BC7556">
            <w:pPr>
              <w:pStyle w:val="toc0"/>
              <w:tabs>
                <w:tab w:val="clear" w:pos="9781"/>
              </w:tabs>
              <w:snapToGrid w:val="0"/>
              <w:spacing w:after="120"/>
              <w:rPr>
                <w:b w:val="0"/>
                <w:bCs/>
              </w:rPr>
            </w:pPr>
            <w:r w:rsidRPr="00BC7556">
              <w:rPr>
                <w:rFonts w:asciiTheme="minorHAnsi" w:hAnsiTheme="minorHAnsi"/>
                <w:b w:val="0"/>
                <w:bCs/>
              </w:rPr>
              <w:t>Elaboration des plans stratégique et finan</w:t>
            </w:r>
            <w:r w:rsidR="007E757B">
              <w:rPr>
                <w:rFonts w:asciiTheme="minorHAnsi" w:hAnsiTheme="minorHAnsi"/>
                <w:b w:val="0"/>
                <w:bCs/>
              </w:rPr>
              <w:t>cier de l'Union pour la période </w:t>
            </w:r>
            <w:r w:rsidRPr="00BC7556">
              <w:rPr>
                <w:rFonts w:asciiTheme="minorHAnsi" w:hAnsiTheme="minorHAnsi"/>
                <w:b w:val="0"/>
                <w:bCs/>
              </w:rPr>
              <w:t>2020-2023</w:t>
            </w:r>
          </w:p>
        </w:tc>
        <w:tc>
          <w:tcPr>
            <w:tcW w:w="996" w:type="pct"/>
          </w:tcPr>
          <w:p w:rsidR="0019052D" w:rsidRPr="00BC7556" w:rsidRDefault="00AE3801" w:rsidP="00B04ECF">
            <w:pPr>
              <w:pStyle w:val="TOC1"/>
              <w:tabs>
                <w:tab w:val="clear" w:pos="964"/>
                <w:tab w:val="clear" w:pos="8789"/>
                <w:tab w:val="clear" w:pos="9639"/>
              </w:tabs>
              <w:snapToGrid w:val="0"/>
              <w:spacing w:before="120" w:after="120"/>
              <w:jc w:val="center"/>
            </w:pPr>
            <w:hyperlink r:id="rId9" w:history="1">
              <w:r w:rsidR="0019052D" w:rsidRPr="00BC7556">
                <w:rPr>
                  <w:rStyle w:val="Hyperlink"/>
                  <w:rFonts w:asciiTheme="minorHAnsi" w:hAnsiTheme="minorHAnsi"/>
                  <w:bCs/>
                </w:rPr>
                <w:t>C17/75</w:t>
              </w:r>
            </w:hyperlink>
            <w:r w:rsidR="0019052D" w:rsidRPr="00BC7556">
              <w:rPr>
                <w:rFonts w:asciiTheme="minorHAnsi" w:hAnsiTheme="minorHAnsi"/>
                <w:bCs/>
              </w:rPr>
              <w:t xml:space="preserve">, </w:t>
            </w:r>
            <w:hyperlink r:id="rId10" w:history="1">
              <w:r w:rsidR="0019052D" w:rsidRPr="00BC7556">
                <w:rPr>
                  <w:rStyle w:val="Hyperlink"/>
                  <w:rFonts w:asciiTheme="minorHAnsi" w:hAnsiTheme="minorHAnsi"/>
                  <w:bCs/>
                </w:rPr>
                <w:t>C17/111</w:t>
              </w:r>
            </w:hyperlink>
          </w:p>
        </w:tc>
      </w:tr>
      <w:tr w:rsidR="0019052D" w:rsidRPr="00BC7556" w:rsidTr="00B04ECF">
        <w:tc>
          <w:tcPr>
            <w:tcW w:w="251" w:type="pct"/>
          </w:tcPr>
          <w:p w:rsidR="0019052D" w:rsidRPr="00BC7556" w:rsidRDefault="0019052D" w:rsidP="00B04ECF">
            <w:pPr>
              <w:pStyle w:val="toc0"/>
              <w:tabs>
                <w:tab w:val="clear" w:pos="9781"/>
              </w:tabs>
              <w:snapToGrid w:val="0"/>
              <w:spacing w:after="120"/>
              <w:rPr>
                <w:rFonts w:asciiTheme="minorHAnsi" w:hAnsiTheme="minorHAnsi"/>
                <w:b w:val="0"/>
                <w:bCs/>
              </w:rPr>
            </w:pPr>
            <w:r w:rsidRPr="00BC7556">
              <w:rPr>
                <w:rFonts w:asciiTheme="minorHAnsi" w:hAnsiTheme="minorHAnsi"/>
                <w:b w:val="0"/>
                <w:bCs/>
              </w:rPr>
              <w:t>3</w:t>
            </w:r>
          </w:p>
        </w:tc>
        <w:tc>
          <w:tcPr>
            <w:tcW w:w="3753" w:type="pct"/>
          </w:tcPr>
          <w:p w:rsidR="0019052D" w:rsidRPr="00BC7556" w:rsidRDefault="0019052D" w:rsidP="00F83569">
            <w:pPr>
              <w:pStyle w:val="toc0"/>
              <w:tabs>
                <w:tab w:val="clear" w:pos="9781"/>
              </w:tabs>
              <w:snapToGrid w:val="0"/>
              <w:spacing w:after="120"/>
              <w:rPr>
                <w:rFonts w:asciiTheme="minorHAnsi" w:hAnsiTheme="minorHAnsi"/>
                <w:b w:val="0"/>
                <w:bCs/>
              </w:rPr>
            </w:pPr>
            <w:r w:rsidRPr="00BC7556">
              <w:rPr>
                <w:b w:val="0"/>
                <w:bCs/>
              </w:rPr>
              <w:t>Rapport sur les</w:t>
            </w:r>
            <w:r w:rsidR="00F83569">
              <w:rPr>
                <w:b w:val="0"/>
                <w:bCs/>
              </w:rPr>
              <w:t xml:space="preserve"> résultats des activités du GTC</w:t>
            </w:r>
            <w:r w:rsidR="00F83569" w:rsidRPr="00F83569">
              <w:rPr>
                <w:b w:val="0"/>
                <w:bCs/>
              </w:rPr>
              <w:noBreakHyphen/>
            </w:r>
            <w:r w:rsidRPr="00BC7556">
              <w:rPr>
                <w:b w:val="0"/>
                <w:bCs/>
              </w:rPr>
              <w:t xml:space="preserve">SMSI depuis la </w:t>
            </w:r>
            <w:r w:rsidR="007E757B">
              <w:rPr>
                <w:b w:val="0"/>
                <w:bCs/>
              </w:rPr>
              <w:t>session de </w:t>
            </w:r>
            <w:r w:rsidRPr="00BC7556">
              <w:rPr>
                <w:b w:val="0"/>
                <w:bCs/>
              </w:rPr>
              <w:t>2016 du Conseil</w:t>
            </w:r>
          </w:p>
        </w:tc>
        <w:tc>
          <w:tcPr>
            <w:tcW w:w="996" w:type="pct"/>
          </w:tcPr>
          <w:p w:rsidR="0019052D" w:rsidRPr="00BC7556" w:rsidRDefault="00AE3801" w:rsidP="00B04ECF">
            <w:pPr>
              <w:pStyle w:val="TOC1"/>
              <w:tabs>
                <w:tab w:val="clear" w:pos="964"/>
                <w:tab w:val="clear" w:pos="8789"/>
                <w:tab w:val="clear" w:pos="9639"/>
              </w:tabs>
              <w:snapToGrid w:val="0"/>
              <w:spacing w:before="120" w:after="120"/>
              <w:jc w:val="center"/>
            </w:pPr>
            <w:hyperlink r:id="rId11" w:history="1">
              <w:r w:rsidR="0019052D" w:rsidRPr="00BC7556">
                <w:rPr>
                  <w:rStyle w:val="Hyperlink"/>
                  <w:bCs/>
                </w:rPr>
                <w:t>C17/8</w:t>
              </w:r>
            </w:hyperlink>
          </w:p>
        </w:tc>
      </w:tr>
      <w:tr w:rsidR="0019052D" w:rsidRPr="00BC7556" w:rsidTr="00B04ECF">
        <w:tc>
          <w:tcPr>
            <w:tcW w:w="251" w:type="pct"/>
          </w:tcPr>
          <w:p w:rsidR="0019052D" w:rsidRPr="00BC7556" w:rsidRDefault="0019052D" w:rsidP="00B04ECF">
            <w:pPr>
              <w:pStyle w:val="toc0"/>
              <w:tabs>
                <w:tab w:val="clear" w:pos="9781"/>
              </w:tabs>
              <w:snapToGrid w:val="0"/>
              <w:spacing w:after="120"/>
              <w:rPr>
                <w:rFonts w:asciiTheme="minorHAnsi" w:hAnsiTheme="minorHAnsi"/>
                <w:b w:val="0"/>
                <w:bCs/>
              </w:rPr>
            </w:pPr>
            <w:r w:rsidRPr="00BC7556">
              <w:rPr>
                <w:rFonts w:asciiTheme="minorHAnsi" w:hAnsiTheme="minorHAnsi"/>
                <w:b w:val="0"/>
                <w:bCs/>
              </w:rPr>
              <w:t>4</w:t>
            </w:r>
          </w:p>
        </w:tc>
        <w:tc>
          <w:tcPr>
            <w:tcW w:w="3753" w:type="pct"/>
          </w:tcPr>
          <w:p w:rsidR="0019052D" w:rsidRPr="00BC7556" w:rsidRDefault="0019052D" w:rsidP="00B04ECF">
            <w:pPr>
              <w:pStyle w:val="toc0"/>
              <w:tabs>
                <w:tab w:val="clear" w:pos="9781"/>
              </w:tabs>
              <w:snapToGrid w:val="0"/>
              <w:spacing w:after="120"/>
              <w:rPr>
                <w:rFonts w:asciiTheme="minorHAnsi" w:hAnsiTheme="minorHAnsi"/>
                <w:b w:val="0"/>
                <w:bCs/>
              </w:rPr>
            </w:pPr>
            <w:r w:rsidRPr="00BC7556">
              <w:rPr>
                <w:rFonts w:asciiTheme="minorHAnsi" w:hAnsiTheme="minorHAnsi"/>
                <w:b w:val="0"/>
                <w:bCs/>
              </w:rPr>
              <w:t>Déclaration du Vice-Ministre de l</w:t>
            </w:r>
            <w:r w:rsidR="007E757B">
              <w:rPr>
                <w:rFonts w:asciiTheme="minorHAnsi" w:hAnsiTheme="minorHAnsi"/>
                <w:b w:val="0"/>
                <w:bCs/>
              </w:rPr>
              <w:t>'</w:t>
            </w:r>
            <w:r w:rsidRPr="00BC7556">
              <w:rPr>
                <w:rFonts w:asciiTheme="minorHAnsi" w:hAnsiTheme="minorHAnsi"/>
                <w:b w:val="0"/>
                <w:bCs/>
              </w:rPr>
              <w:t>Industrie et des technologies de l</w:t>
            </w:r>
            <w:r w:rsidR="007E757B">
              <w:rPr>
                <w:rFonts w:asciiTheme="minorHAnsi" w:hAnsiTheme="minorHAnsi"/>
                <w:b w:val="0"/>
                <w:bCs/>
              </w:rPr>
              <w:t>'</w:t>
            </w:r>
            <w:r w:rsidRPr="00BC7556">
              <w:rPr>
                <w:rFonts w:asciiTheme="minorHAnsi" w:hAnsiTheme="minorHAnsi"/>
                <w:b w:val="0"/>
                <w:bCs/>
              </w:rPr>
              <w:t>information de la Chine</w:t>
            </w:r>
          </w:p>
        </w:tc>
        <w:tc>
          <w:tcPr>
            <w:tcW w:w="996" w:type="pct"/>
          </w:tcPr>
          <w:p w:rsidR="0019052D" w:rsidRPr="00BC7556" w:rsidRDefault="0019052D" w:rsidP="00B04ECF">
            <w:pPr>
              <w:tabs>
                <w:tab w:val="clear" w:pos="567"/>
                <w:tab w:val="clear" w:pos="1134"/>
                <w:tab w:val="clear" w:pos="1701"/>
                <w:tab w:val="clear" w:pos="2268"/>
                <w:tab w:val="clear" w:pos="2835"/>
              </w:tabs>
              <w:snapToGrid w:val="0"/>
              <w:spacing w:after="120"/>
              <w:jc w:val="center"/>
            </w:pPr>
            <w:r w:rsidRPr="00BC7556">
              <w:t>–</w:t>
            </w:r>
          </w:p>
        </w:tc>
      </w:tr>
      <w:tr w:rsidR="0019052D" w:rsidRPr="00BC7556" w:rsidTr="00B04ECF">
        <w:tc>
          <w:tcPr>
            <w:tcW w:w="251" w:type="pct"/>
          </w:tcPr>
          <w:p w:rsidR="0019052D" w:rsidRPr="00BC7556" w:rsidRDefault="0019052D" w:rsidP="00B04ECF">
            <w:pPr>
              <w:pStyle w:val="toc0"/>
              <w:tabs>
                <w:tab w:val="clear" w:pos="9781"/>
              </w:tabs>
              <w:snapToGrid w:val="0"/>
              <w:spacing w:after="120"/>
              <w:rPr>
                <w:rFonts w:asciiTheme="minorHAnsi" w:hAnsiTheme="minorHAnsi"/>
                <w:b w:val="0"/>
                <w:bCs/>
              </w:rPr>
            </w:pPr>
            <w:r w:rsidRPr="00BC7556">
              <w:rPr>
                <w:rFonts w:asciiTheme="minorHAnsi" w:hAnsiTheme="minorHAnsi"/>
                <w:b w:val="0"/>
                <w:bCs/>
              </w:rPr>
              <w:t>5</w:t>
            </w:r>
          </w:p>
        </w:tc>
        <w:tc>
          <w:tcPr>
            <w:tcW w:w="3753" w:type="pct"/>
          </w:tcPr>
          <w:p w:rsidR="0019052D" w:rsidRPr="00BC7556" w:rsidRDefault="0019052D" w:rsidP="00BC7556">
            <w:pPr>
              <w:pStyle w:val="toc0"/>
              <w:tabs>
                <w:tab w:val="clear" w:pos="9781"/>
              </w:tabs>
              <w:snapToGrid w:val="0"/>
              <w:spacing w:after="120"/>
              <w:rPr>
                <w:rFonts w:asciiTheme="minorHAnsi" w:hAnsiTheme="minorHAnsi"/>
                <w:b w:val="0"/>
                <w:bCs/>
              </w:rPr>
            </w:pPr>
            <w:r w:rsidRPr="00BC7556">
              <w:rPr>
                <w:b w:val="0"/>
                <w:bCs/>
              </w:rPr>
              <w:t>Les TIC au service des ODD: rapport exhaustif sur la mise en oeuvre des résultats du SMSI et du Programme de dévelop</w:t>
            </w:r>
            <w:r w:rsidR="00BC7556">
              <w:rPr>
                <w:b w:val="0"/>
                <w:bCs/>
              </w:rPr>
              <w:t>pement durable à l</w:t>
            </w:r>
            <w:r w:rsidR="007E757B">
              <w:rPr>
                <w:b w:val="0"/>
                <w:bCs/>
              </w:rPr>
              <w:t>'horizon </w:t>
            </w:r>
            <w:r w:rsidR="00BC7556">
              <w:rPr>
                <w:b w:val="0"/>
                <w:bCs/>
              </w:rPr>
              <w:t>2030</w:t>
            </w:r>
          </w:p>
        </w:tc>
        <w:tc>
          <w:tcPr>
            <w:tcW w:w="996" w:type="pct"/>
          </w:tcPr>
          <w:p w:rsidR="0019052D" w:rsidRPr="00BC7556" w:rsidRDefault="00AE3801" w:rsidP="00B04ECF">
            <w:pPr>
              <w:tabs>
                <w:tab w:val="clear" w:pos="567"/>
                <w:tab w:val="clear" w:pos="1134"/>
                <w:tab w:val="clear" w:pos="1701"/>
                <w:tab w:val="clear" w:pos="2268"/>
                <w:tab w:val="clear" w:pos="2835"/>
              </w:tabs>
              <w:snapToGrid w:val="0"/>
              <w:spacing w:after="120"/>
              <w:jc w:val="center"/>
            </w:pPr>
            <w:hyperlink r:id="rId12" w:history="1">
              <w:r w:rsidR="0019052D" w:rsidRPr="00BC7556">
                <w:rPr>
                  <w:rStyle w:val="Hyperlink"/>
                  <w:bCs/>
                </w:rPr>
                <w:t>C17/47</w:t>
              </w:r>
            </w:hyperlink>
          </w:p>
        </w:tc>
      </w:tr>
      <w:tr w:rsidR="0019052D" w:rsidRPr="00BC7556" w:rsidTr="00B04ECF">
        <w:tc>
          <w:tcPr>
            <w:tcW w:w="251" w:type="pct"/>
          </w:tcPr>
          <w:p w:rsidR="0019052D" w:rsidRPr="00BC7556" w:rsidRDefault="0019052D" w:rsidP="00B04ECF">
            <w:pPr>
              <w:pStyle w:val="toc0"/>
              <w:tabs>
                <w:tab w:val="clear" w:pos="9781"/>
              </w:tabs>
              <w:snapToGrid w:val="0"/>
              <w:spacing w:after="120"/>
              <w:rPr>
                <w:rFonts w:asciiTheme="minorHAnsi" w:hAnsiTheme="minorHAnsi"/>
                <w:b w:val="0"/>
                <w:bCs/>
              </w:rPr>
            </w:pPr>
            <w:r w:rsidRPr="00BC7556">
              <w:rPr>
                <w:rFonts w:asciiTheme="minorHAnsi" w:hAnsiTheme="minorHAnsi"/>
                <w:b w:val="0"/>
                <w:bCs/>
              </w:rPr>
              <w:t>6</w:t>
            </w:r>
          </w:p>
        </w:tc>
        <w:tc>
          <w:tcPr>
            <w:tcW w:w="3753" w:type="pct"/>
          </w:tcPr>
          <w:p w:rsidR="0019052D" w:rsidRPr="00BC7556" w:rsidRDefault="0019052D" w:rsidP="00B04ECF">
            <w:pPr>
              <w:pStyle w:val="toc0"/>
              <w:tabs>
                <w:tab w:val="clear" w:pos="9781"/>
              </w:tabs>
              <w:snapToGrid w:val="0"/>
              <w:spacing w:after="120"/>
              <w:rPr>
                <w:rFonts w:asciiTheme="minorHAnsi" w:hAnsiTheme="minorHAnsi"/>
                <w:b w:val="0"/>
                <w:bCs/>
              </w:rPr>
            </w:pPr>
            <w:r w:rsidRPr="00BC7556">
              <w:rPr>
                <w:rFonts w:asciiTheme="minorHAnsi" w:hAnsiTheme="minorHAnsi"/>
                <w:b w:val="0"/>
                <w:bCs/>
              </w:rPr>
              <w:t>Présentation du projet de budget de l</w:t>
            </w:r>
            <w:r w:rsidR="007E757B">
              <w:rPr>
                <w:rFonts w:asciiTheme="minorHAnsi" w:hAnsiTheme="minorHAnsi"/>
                <w:b w:val="0"/>
                <w:bCs/>
              </w:rPr>
              <w:t>'</w:t>
            </w:r>
            <w:r w:rsidRPr="00BC7556">
              <w:rPr>
                <w:rFonts w:asciiTheme="minorHAnsi" w:hAnsiTheme="minorHAnsi"/>
                <w:b w:val="0"/>
                <w:bCs/>
              </w:rPr>
              <w:t>Union pour 2018-2019</w:t>
            </w:r>
          </w:p>
        </w:tc>
        <w:tc>
          <w:tcPr>
            <w:tcW w:w="996" w:type="pct"/>
          </w:tcPr>
          <w:p w:rsidR="0019052D" w:rsidRPr="00BC7556" w:rsidRDefault="00AE3801" w:rsidP="00B04ECF">
            <w:pPr>
              <w:tabs>
                <w:tab w:val="clear" w:pos="567"/>
                <w:tab w:val="clear" w:pos="1134"/>
                <w:tab w:val="clear" w:pos="1701"/>
                <w:tab w:val="clear" w:pos="2268"/>
                <w:tab w:val="clear" w:pos="2835"/>
              </w:tabs>
              <w:snapToGrid w:val="0"/>
              <w:spacing w:after="120"/>
              <w:jc w:val="center"/>
            </w:pPr>
            <w:hyperlink r:id="rId13" w:history="1">
              <w:r w:rsidR="0019052D" w:rsidRPr="00BC7556">
                <w:rPr>
                  <w:rStyle w:val="Hyperlink"/>
                </w:rPr>
                <w:t>C17/10</w:t>
              </w:r>
            </w:hyperlink>
          </w:p>
        </w:tc>
      </w:tr>
      <w:tr w:rsidR="0019052D" w:rsidRPr="00BC7556" w:rsidTr="00B04ECF">
        <w:tc>
          <w:tcPr>
            <w:tcW w:w="251" w:type="pct"/>
          </w:tcPr>
          <w:p w:rsidR="0019052D" w:rsidRPr="00BC7556" w:rsidRDefault="0019052D" w:rsidP="00B04ECF">
            <w:pPr>
              <w:pStyle w:val="toc0"/>
              <w:tabs>
                <w:tab w:val="clear" w:pos="9781"/>
              </w:tabs>
              <w:snapToGrid w:val="0"/>
              <w:spacing w:after="120"/>
              <w:rPr>
                <w:rFonts w:asciiTheme="minorHAnsi" w:hAnsiTheme="minorHAnsi"/>
                <w:b w:val="0"/>
                <w:bCs/>
              </w:rPr>
            </w:pPr>
            <w:r w:rsidRPr="00BC7556">
              <w:rPr>
                <w:rFonts w:asciiTheme="minorHAnsi" w:hAnsiTheme="minorHAnsi"/>
                <w:b w:val="0"/>
                <w:bCs/>
              </w:rPr>
              <w:t>7</w:t>
            </w:r>
          </w:p>
        </w:tc>
        <w:tc>
          <w:tcPr>
            <w:tcW w:w="3753" w:type="pct"/>
          </w:tcPr>
          <w:p w:rsidR="0019052D" w:rsidRPr="00BC7556" w:rsidRDefault="0019052D" w:rsidP="00B04ECF">
            <w:pPr>
              <w:pStyle w:val="toc0"/>
              <w:tabs>
                <w:tab w:val="clear" w:pos="9781"/>
              </w:tabs>
              <w:snapToGrid w:val="0"/>
              <w:spacing w:after="120"/>
              <w:rPr>
                <w:rFonts w:asciiTheme="minorHAnsi" w:hAnsiTheme="minorHAnsi"/>
                <w:b w:val="0"/>
                <w:bCs/>
              </w:rPr>
            </w:pPr>
            <w:r w:rsidRPr="00BC7556">
              <w:rPr>
                <w:b w:val="0"/>
                <w:bCs/>
              </w:rPr>
              <w:t xml:space="preserve">Déclaration </w:t>
            </w:r>
            <w:r w:rsidRPr="00BC7556">
              <w:rPr>
                <w:b w:val="0"/>
              </w:rPr>
              <w:t>du Ministre chargé des Médias, de l</w:t>
            </w:r>
            <w:r w:rsidR="007E757B">
              <w:rPr>
                <w:b w:val="0"/>
              </w:rPr>
              <w:t>'</w:t>
            </w:r>
            <w:r w:rsidRPr="00BC7556">
              <w:rPr>
                <w:b w:val="0"/>
              </w:rPr>
              <w:t>information et de la radiodiffusion du Zimbabwe</w:t>
            </w:r>
          </w:p>
        </w:tc>
        <w:tc>
          <w:tcPr>
            <w:tcW w:w="996" w:type="pct"/>
          </w:tcPr>
          <w:p w:rsidR="0019052D" w:rsidRPr="00BC7556" w:rsidRDefault="007E757B" w:rsidP="00B04ECF">
            <w:pPr>
              <w:tabs>
                <w:tab w:val="clear" w:pos="567"/>
                <w:tab w:val="clear" w:pos="1134"/>
                <w:tab w:val="clear" w:pos="1701"/>
                <w:tab w:val="clear" w:pos="2268"/>
                <w:tab w:val="clear" w:pos="2835"/>
              </w:tabs>
              <w:snapToGrid w:val="0"/>
              <w:spacing w:after="120"/>
              <w:jc w:val="center"/>
            </w:pPr>
            <w:r w:rsidRPr="00BC7556">
              <w:t>–</w:t>
            </w:r>
          </w:p>
        </w:tc>
      </w:tr>
    </w:tbl>
    <w:p w:rsidR="0019052D" w:rsidRPr="00BC7556" w:rsidRDefault="0019052D" w:rsidP="0019052D"/>
    <w:p w:rsidR="0019052D" w:rsidRPr="00BC7556" w:rsidRDefault="0019052D" w:rsidP="0019052D">
      <w:pPr>
        <w:tabs>
          <w:tab w:val="clear" w:pos="567"/>
          <w:tab w:val="clear" w:pos="1134"/>
          <w:tab w:val="clear" w:pos="1701"/>
          <w:tab w:val="clear" w:pos="2268"/>
          <w:tab w:val="clear" w:pos="2835"/>
        </w:tabs>
        <w:overflowPunct/>
        <w:autoSpaceDE/>
        <w:autoSpaceDN/>
        <w:adjustRightInd/>
        <w:spacing w:before="0"/>
        <w:textAlignment w:val="auto"/>
      </w:pPr>
      <w:r w:rsidRPr="00BC7556">
        <w:br w:type="page"/>
      </w:r>
    </w:p>
    <w:p w:rsidR="0019052D" w:rsidRPr="007E757B" w:rsidRDefault="0019052D" w:rsidP="007E757B">
      <w:pPr>
        <w:pStyle w:val="Heading1"/>
      </w:pPr>
      <w:r w:rsidRPr="007E757B">
        <w:lastRenderedPageBreak/>
        <w:t>1</w:t>
      </w:r>
      <w:r w:rsidRPr="007E757B">
        <w:tab/>
        <w:t>Suivi de l</w:t>
      </w:r>
      <w:r w:rsidR="007E757B" w:rsidRPr="007E757B">
        <w:t>'</w:t>
      </w:r>
      <w:r w:rsidRPr="007E757B">
        <w:t>examen de la gestion et de l</w:t>
      </w:r>
      <w:r w:rsidR="007E757B" w:rsidRPr="007E757B">
        <w:t>'</w:t>
      </w:r>
      <w:r w:rsidRPr="007E757B">
        <w:t>administration de l</w:t>
      </w:r>
      <w:r w:rsidR="007E757B" w:rsidRPr="007E757B">
        <w:t>'</w:t>
      </w:r>
      <w:r w:rsidRPr="007E757B">
        <w:t>UIT par le Corps commun d</w:t>
      </w:r>
      <w:r w:rsidR="007E757B" w:rsidRPr="007E757B">
        <w:t>'</w:t>
      </w:r>
      <w:r w:rsidRPr="007E757B">
        <w:t xml:space="preserve">inspection (Document </w:t>
      </w:r>
      <w:hyperlink r:id="rId14" w:history="1">
        <w:r w:rsidR="007E757B" w:rsidRPr="007E757B">
          <w:rPr>
            <w:rStyle w:val="Hyperlink"/>
            <w:rFonts w:asciiTheme="minorHAnsi" w:hAnsiTheme="minorHAnsi"/>
          </w:rPr>
          <w:t>C17/49</w:t>
        </w:r>
      </w:hyperlink>
      <w:r w:rsidRPr="007E757B">
        <w:t>)</w:t>
      </w:r>
    </w:p>
    <w:p w:rsidR="0019052D" w:rsidRPr="00BC7556" w:rsidRDefault="0019052D" w:rsidP="00CA0589">
      <w:pPr>
        <w:tabs>
          <w:tab w:val="clear" w:pos="567"/>
          <w:tab w:val="clear" w:pos="1134"/>
          <w:tab w:val="clear" w:pos="1701"/>
          <w:tab w:val="clear" w:pos="2268"/>
          <w:tab w:val="clear" w:pos="2835"/>
        </w:tabs>
        <w:snapToGrid w:val="0"/>
        <w:spacing w:after="120"/>
        <w:rPr>
          <w:szCs w:val="24"/>
        </w:rPr>
      </w:pPr>
      <w:r w:rsidRPr="00BC7556">
        <w:rPr>
          <w:szCs w:val="24"/>
        </w:rPr>
        <w:t>1.1</w:t>
      </w:r>
      <w:r w:rsidRPr="00BC7556">
        <w:rPr>
          <w:szCs w:val="24"/>
        </w:rPr>
        <w:tab/>
        <w:t>Le Vice-Secrétaire général salue la présence de M. Tarasov et M. Achamkulangare, inspecteurs du Corps commun d</w:t>
      </w:r>
      <w:r w:rsidR="007E757B">
        <w:rPr>
          <w:szCs w:val="24"/>
        </w:rPr>
        <w:t>'</w:t>
      </w:r>
      <w:r w:rsidRPr="00BC7556">
        <w:rPr>
          <w:szCs w:val="24"/>
        </w:rPr>
        <w:t>inspection (CCI), et présente le Document C17/49, qui rend compte de l</w:t>
      </w:r>
      <w:r w:rsidR="007E757B">
        <w:rPr>
          <w:szCs w:val="24"/>
        </w:rPr>
        <w:t>'</w:t>
      </w:r>
      <w:r w:rsidRPr="00BC7556">
        <w:rPr>
          <w:szCs w:val="24"/>
        </w:rPr>
        <w:t>état d</w:t>
      </w:r>
      <w:r w:rsidR="007E757B">
        <w:rPr>
          <w:szCs w:val="24"/>
        </w:rPr>
        <w:t>'</w:t>
      </w:r>
      <w:r w:rsidRPr="00BC7556">
        <w:rPr>
          <w:szCs w:val="24"/>
        </w:rPr>
        <w:t xml:space="preserve">avancement et du plan de mise en oeuvre des recommandations </w:t>
      </w:r>
      <w:r w:rsidR="007E757B">
        <w:rPr>
          <w:szCs w:val="24"/>
        </w:rPr>
        <w:t>–</w:t>
      </w:r>
      <w:r w:rsidRPr="00BC7556">
        <w:rPr>
          <w:szCs w:val="24"/>
        </w:rPr>
        <w:t xml:space="preserve"> officielles et non officielles </w:t>
      </w:r>
      <w:r w:rsidR="00CA0589">
        <w:rPr>
          <w:szCs w:val="24"/>
        </w:rPr>
        <w:t>–</w:t>
      </w:r>
      <w:r w:rsidRPr="00BC7556">
        <w:rPr>
          <w:szCs w:val="24"/>
        </w:rPr>
        <w:t xml:space="preserve"> formulées par le CCI dans le rapport intitulé "Examen de la gestion et de l</w:t>
      </w:r>
      <w:r w:rsidR="007E757B">
        <w:rPr>
          <w:szCs w:val="24"/>
        </w:rPr>
        <w:t>'</w:t>
      </w:r>
      <w:r w:rsidRPr="00BC7556">
        <w:rPr>
          <w:szCs w:val="24"/>
        </w:rPr>
        <w:t>administration de l</w:t>
      </w:r>
      <w:r w:rsidR="007E757B">
        <w:rPr>
          <w:szCs w:val="24"/>
        </w:rPr>
        <w:t>'</w:t>
      </w:r>
      <w:r w:rsidRPr="00BC7556">
        <w:rPr>
          <w:szCs w:val="24"/>
        </w:rPr>
        <w:t>UIT". Le secrétariat a accepté toutes les recommandations.</w:t>
      </w:r>
    </w:p>
    <w:p w:rsidR="0019052D" w:rsidRPr="00BC7556" w:rsidRDefault="0019052D" w:rsidP="007E757B">
      <w:pPr>
        <w:tabs>
          <w:tab w:val="clear" w:pos="567"/>
          <w:tab w:val="clear" w:pos="1134"/>
          <w:tab w:val="clear" w:pos="1701"/>
          <w:tab w:val="clear" w:pos="2268"/>
          <w:tab w:val="clear" w:pos="2835"/>
        </w:tabs>
        <w:snapToGrid w:val="0"/>
        <w:spacing w:after="120"/>
        <w:rPr>
          <w:szCs w:val="24"/>
          <w:lang w:eastAsia="zh-CN"/>
        </w:rPr>
      </w:pPr>
      <w:r w:rsidRPr="00BC7556">
        <w:rPr>
          <w:szCs w:val="24"/>
        </w:rPr>
        <w:t>1.2</w:t>
      </w:r>
      <w:r w:rsidRPr="00BC7556">
        <w:rPr>
          <w:szCs w:val="24"/>
        </w:rPr>
        <w:tab/>
        <w:t xml:space="preserve">Une conseillère souhaiterait avoir des précisions sur la mise en oeuvre de </w:t>
      </w:r>
      <w:r w:rsidR="007E757B">
        <w:rPr>
          <w:szCs w:val="24"/>
        </w:rPr>
        <w:t>la R</w:t>
      </w:r>
      <w:r w:rsidRPr="00BC7556">
        <w:rPr>
          <w:szCs w:val="24"/>
        </w:rPr>
        <w:t xml:space="preserve">ecommandation 161, relative à la fonction de médiation, et exprime son appui à </w:t>
      </w:r>
      <w:r w:rsidR="007E757B">
        <w:rPr>
          <w:szCs w:val="24"/>
        </w:rPr>
        <w:t>la R</w:t>
      </w:r>
      <w:r w:rsidRPr="00BC7556">
        <w:rPr>
          <w:szCs w:val="24"/>
        </w:rPr>
        <w:t>ecommandation 176, selon laquelle la Charte d</w:t>
      </w:r>
      <w:r w:rsidR="007E757B">
        <w:rPr>
          <w:szCs w:val="24"/>
        </w:rPr>
        <w:t>'</w:t>
      </w:r>
      <w:r w:rsidRPr="00BC7556">
        <w:rPr>
          <w:szCs w:val="24"/>
        </w:rPr>
        <w:t>audit interne devrait être soumise au Conseil pour approbation. Le Vice-Secrétaire général répond que des mesures ont été prises en vue de procéder à des nominations pour renforcer la fonction de médiation, et que la recommandation relative à l</w:t>
      </w:r>
      <w:r w:rsidR="007E757B">
        <w:rPr>
          <w:szCs w:val="24"/>
        </w:rPr>
        <w:t>'</w:t>
      </w:r>
      <w:r w:rsidRPr="00BC7556">
        <w:rPr>
          <w:szCs w:val="24"/>
        </w:rPr>
        <w:t>examen de la Charte d</w:t>
      </w:r>
      <w:r w:rsidR="007E757B">
        <w:rPr>
          <w:szCs w:val="24"/>
        </w:rPr>
        <w:t>'</w:t>
      </w:r>
      <w:r w:rsidRPr="00BC7556">
        <w:rPr>
          <w:szCs w:val="24"/>
        </w:rPr>
        <w:t>audit interne par le Conseil a été acceptée et s</w:t>
      </w:r>
      <w:r w:rsidR="007E757B">
        <w:rPr>
          <w:szCs w:val="24"/>
        </w:rPr>
        <w:t>'</w:t>
      </w:r>
      <w:r w:rsidRPr="00BC7556">
        <w:rPr>
          <w:szCs w:val="24"/>
        </w:rPr>
        <w:t>appliquera à la prochaine mise à jour de la Charte.</w:t>
      </w:r>
    </w:p>
    <w:p w:rsidR="0019052D" w:rsidRPr="00BC7556" w:rsidRDefault="0019052D" w:rsidP="0019052D">
      <w:pPr>
        <w:tabs>
          <w:tab w:val="clear" w:pos="567"/>
          <w:tab w:val="clear" w:pos="1134"/>
          <w:tab w:val="clear" w:pos="1701"/>
          <w:tab w:val="clear" w:pos="2268"/>
          <w:tab w:val="clear" w:pos="2835"/>
        </w:tabs>
        <w:snapToGrid w:val="0"/>
        <w:spacing w:after="120"/>
        <w:rPr>
          <w:szCs w:val="24"/>
        </w:rPr>
      </w:pPr>
      <w:r w:rsidRPr="00BC7556">
        <w:rPr>
          <w:szCs w:val="24"/>
        </w:rPr>
        <w:t>1.3</w:t>
      </w:r>
      <w:r w:rsidRPr="00BC7556">
        <w:rPr>
          <w:szCs w:val="24"/>
        </w:rPr>
        <w:tab/>
        <w:t xml:space="preserve">Il est </w:t>
      </w:r>
      <w:r w:rsidRPr="00BC7556">
        <w:rPr>
          <w:b/>
          <w:bCs/>
          <w:szCs w:val="24"/>
        </w:rPr>
        <w:t>pris note</w:t>
      </w:r>
      <w:r w:rsidRPr="00BC7556">
        <w:rPr>
          <w:szCs w:val="24"/>
        </w:rPr>
        <w:t xml:space="preserve"> du Document C17/49.</w:t>
      </w:r>
    </w:p>
    <w:p w:rsidR="0019052D" w:rsidRPr="00BC7556" w:rsidRDefault="0019052D" w:rsidP="00BC7556">
      <w:pPr>
        <w:pStyle w:val="Heading1"/>
      </w:pPr>
      <w:r w:rsidRPr="00BC7556">
        <w:t>2</w:t>
      </w:r>
      <w:r w:rsidRPr="00BC7556">
        <w:tab/>
        <w:t>Elaboration des plans stratégique et financier de l</w:t>
      </w:r>
      <w:r w:rsidR="007E757B">
        <w:t>'</w:t>
      </w:r>
      <w:r w:rsidR="00CA0589">
        <w:t>Union pour la période </w:t>
      </w:r>
      <w:r w:rsidRPr="00BC7556">
        <w:t xml:space="preserve">2020-2023 (Documents </w:t>
      </w:r>
      <w:hyperlink r:id="rId15" w:history="1">
        <w:r w:rsidRPr="00BC7556">
          <w:rPr>
            <w:rStyle w:val="Hyperlink"/>
            <w:bCs/>
            <w:szCs w:val="24"/>
          </w:rPr>
          <w:t>C17/75</w:t>
        </w:r>
      </w:hyperlink>
      <w:r w:rsidRPr="00BC7556">
        <w:t xml:space="preserve"> et </w:t>
      </w:r>
      <w:hyperlink r:id="rId16" w:history="1">
        <w:r w:rsidRPr="00BC7556">
          <w:rPr>
            <w:rStyle w:val="Hyperlink"/>
            <w:bCs/>
            <w:szCs w:val="24"/>
          </w:rPr>
          <w:t>C17/111</w:t>
        </w:r>
      </w:hyperlink>
      <w:r w:rsidRPr="00BC7556">
        <w:t>)</w:t>
      </w:r>
    </w:p>
    <w:p w:rsidR="0019052D" w:rsidRPr="00BC7556" w:rsidRDefault="0019052D" w:rsidP="00CA0589">
      <w:pPr>
        <w:tabs>
          <w:tab w:val="clear" w:pos="567"/>
          <w:tab w:val="clear" w:pos="1134"/>
          <w:tab w:val="clear" w:pos="1701"/>
          <w:tab w:val="clear" w:pos="2268"/>
          <w:tab w:val="clear" w:pos="2835"/>
        </w:tabs>
        <w:snapToGrid w:val="0"/>
        <w:spacing w:after="120"/>
        <w:rPr>
          <w:szCs w:val="24"/>
        </w:rPr>
      </w:pPr>
      <w:r w:rsidRPr="00BC7556">
        <w:rPr>
          <w:szCs w:val="24"/>
        </w:rPr>
        <w:t>2.1</w:t>
      </w:r>
      <w:r w:rsidRPr="00BC7556">
        <w:rPr>
          <w:szCs w:val="24"/>
        </w:rPr>
        <w:tab/>
        <w:t>La Chef du Département de la Planification stratégique et</w:t>
      </w:r>
      <w:r w:rsidR="00CA0589">
        <w:rPr>
          <w:szCs w:val="24"/>
        </w:rPr>
        <w:t xml:space="preserve"> des relations avec les membres </w:t>
      </w:r>
      <w:r w:rsidRPr="00BC7556">
        <w:rPr>
          <w:szCs w:val="24"/>
        </w:rPr>
        <w:t>(SPM), présentant le Document C17/75, fait référence au numéro 62A de la Convention de l</w:t>
      </w:r>
      <w:r w:rsidR="007E757B">
        <w:rPr>
          <w:szCs w:val="24"/>
        </w:rPr>
        <w:t>'</w:t>
      </w:r>
      <w:r w:rsidRPr="00BC7556">
        <w:rPr>
          <w:szCs w:val="24"/>
        </w:rPr>
        <w:t>UIT. Compte tenu de la procédure suivie pour l</w:t>
      </w:r>
      <w:r w:rsidR="007E757B">
        <w:rPr>
          <w:szCs w:val="24"/>
        </w:rPr>
        <w:t>'</w:t>
      </w:r>
      <w:r w:rsidRPr="00BC7556">
        <w:rPr>
          <w:szCs w:val="24"/>
        </w:rPr>
        <w:t>élaboration de l</w:t>
      </w:r>
      <w:r w:rsidR="007E757B">
        <w:rPr>
          <w:szCs w:val="24"/>
        </w:rPr>
        <w:t>'</w:t>
      </w:r>
      <w:r w:rsidRPr="00BC7556">
        <w:rPr>
          <w:szCs w:val="24"/>
        </w:rPr>
        <w:t>actuel plan stratégique et de l</w:t>
      </w:r>
      <w:r w:rsidR="007E757B">
        <w:rPr>
          <w:szCs w:val="24"/>
        </w:rPr>
        <w:t>'</w:t>
      </w:r>
      <w:r w:rsidRPr="00BC7556">
        <w:rPr>
          <w:szCs w:val="24"/>
        </w:rPr>
        <w:t>actuel plan financier (période 2016-2019), le Conseil pourrait envisager de créer un groupe de travail du Conseil chargé d</w:t>
      </w:r>
      <w:r w:rsidR="007E757B">
        <w:rPr>
          <w:szCs w:val="24"/>
        </w:rPr>
        <w:t>'</w:t>
      </w:r>
      <w:r w:rsidRPr="00BC7556">
        <w:rPr>
          <w:szCs w:val="24"/>
        </w:rPr>
        <w:t>élaborer le plan straté</w:t>
      </w:r>
      <w:r w:rsidR="00F83569">
        <w:rPr>
          <w:szCs w:val="24"/>
        </w:rPr>
        <w:t>gique et le plan financier (GTC</w:t>
      </w:r>
      <w:r w:rsidR="00F83569" w:rsidRPr="00F83569">
        <w:rPr>
          <w:szCs w:val="24"/>
        </w:rPr>
        <w:noBreakHyphen/>
      </w:r>
      <w:r w:rsidRPr="00BC7556">
        <w:rPr>
          <w:szCs w:val="24"/>
        </w:rPr>
        <w:t>SFP) pour la période 2020-2023. Un projet de Résolution relatif à l</w:t>
      </w:r>
      <w:r w:rsidR="007E757B">
        <w:rPr>
          <w:szCs w:val="24"/>
        </w:rPr>
        <w:t>'</w:t>
      </w:r>
      <w:r w:rsidRPr="00BC7556">
        <w:rPr>
          <w:szCs w:val="24"/>
        </w:rPr>
        <w:t>établissement d</w:t>
      </w:r>
      <w:r w:rsidR="007E757B">
        <w:rPr>
          <w:szCs w:val="24"/>
        </w:rPr>
        <w:t>'</w:t>
      </w:r>
      <w:r w:rsidRPr="00BC7556">
        <w:rPr>
          <w:szCs w:val="24"/>
        </w:rPr>
        <w:t>un tel groupe est reproduit dans l</w:t>
      </w:r>
      <w:r w:rsidR="007E757B">
        <w:rPr>
          <w:szCs w:val="24"/>
        </w:rPr>
        <w:t>'</w:t>
      </w:r>
      <w:r w:rsidRPr="00BC7556">
        <w:rPr>
          <w:szCs w:val="24"/>
        </w:rPr>
        <w:t>annexe du document.</w:t>
      </w:r>
    </w:p>
    <w:p w:rsidR="0019052D" w:rsidRPr="00BC7556" w:rsidRDefault="0019052D" w:rsidP="0019052D">
      <w:pPr>
        <w:tabs>
          <w:tab w:val="clear" w:pos="567"/>
          <w:tab w:val="clear" w:pos="1134"/>
          <w:tab w:val="clear" w:pos="1701"/>
          <w:tab w:val="clear" w:pos="2268"/>
          <w:tab w:val="clear" w:pos="2835"/>
        </w:tabs>
        <w:snapToGrid w:val="0"/>
        <w:spacing w:after="120"/>
        <w:rPr>
          <w:szCs w:val="24"/>
        </w:rPr>
      </w:pPr>
      <w:r w:rsidRPr="00BC7556">
        <w:rPr>
          <w:szCs w:val="24"/>
        </w:rPr>
        <w:t>2.2</w:t>
      </w:r>
      <w:r w:rsidRPr="00BC7556">
        <w:rPr>
          <w:szCs w:val="24"/>
        </w:rPr>
        <w:tab/>
        <w:t>Le Directeur du BR dit qu</w:t>
      </w:r>
      <w:r w:rsidR="007E757B">
        <w:rPr>
          <w:szCs w:val="24"/>
        </w:rPr>
        <w:t>'</w:t>
      </w:r>
      <w:r w:rsidRPr="00BC7556">
        <w:rPr>
          <w:szCs w:val="24"/>
        </w:rPr>
        <w:t>il commentera le Document C17/111, qui contient les conclusions de la réunion du GCR, lors de la discussion sur les plans stratégique et financier.</w:t>
      </w:r>
    </w:p>
    <w:p w:rsidR="0019052D" w:rsidRPr="00BC7556" w:rsidRDefault="0019052D" w:rsidP="0019052D">
      <w:pPr>
        <w:tabs>
          <w:tab w:val="clear" w:pos="567"/>
          <w:tab w:val="clear" w:pos="1134"/>
          <w:tab w:val="clear" w:pos="1701"/>
          <w:tab w:val="clear" w:pos="2268"/>
          <w:tab w:val="clear" w:pos="2835"/>
        </w:tabs>
        <w:snapToGrid w:val="0"/>
        <w:spacing w:after="120"/>
        <w:rPr>
          <w:szCs w:val="24"/>
        </w:rPr>
      </w:pPr>
      <w:r w:rsidRPr="00BC7556">
        <w:rPr>
          <w:szCs w:val="24"/>
        </w:rPr>
        <w:t>2.3</w:t>
      </w:r>
      <w:r w:rsidRPr="00BC7556">
        <w:rPr>
          <w:szCs w:val="24"/>
        </w:rPr>
        <w:tab/>
        <w:t>La plupart des conseillers approuvent la création d</w:t>
      </w:r>
      <w:r w:rsidR="007E757B">
        <w:rPr>
          <w:szCs w:val="24"/>
        </w:rPr>
        <w:t>'</w:t>
      </w:r>
      <w:r w:rsidRPr="00BC7556">
        <w:rPr>
          <w:szCs w:val="24"/>
        </w:rPr>
        <w:t>un GTC chargé d</w:t>
      </w:r>
      <w:r w:rsidR="007E757B">
        <w:rPr>
          <w:szCs w:val="24"/>
        </w:rPr>
        <w:t>'</w:t>
      </w:r>
      <w:r w:rsidRPr="00BC7556">
        <w:rPr>
          <w:szCs w:val="24"/>
        </w:rPr>
        <w:t>élaborer le plan stratégique et le plan financier pour la période 2020-2023. Suite à une remarque, la Chef du Département SPM dit que, dans le projet de Résolution, le c) du décide sera reformulé car ce n</w:t>
      </w:r>
      <w:r w:rsidR="007E757B">
        <w:rPr>
          <w:szCs w:val="24"/>
        </w:rPr>
        <w:t>'</w:t>
      </w:r>
      <w:r w:rsidRPr="00BC7556">
        <w:rPr>
          <w:szCs w:val="24"/>
        </w:rPr>
        <w:t xml:space="preserve">est pas au GTC mais au Secrétaire général de poster sur le site web de la PP-18 le projet de nouveau plan stratégique coordonné quatre mois avant la conférence. </w:t>
      </w:r>
    </w:p>
    <w:p w:rsidR="0019052D" w:rsidRPr="00BC7556" w:rsidRDefault="0019052D" w:rsidP="00CA0589">
      <w:pPr>
        <w:tabs>
          <w:tab w:val="clear" w:pos="567"/>
          <w:tab w:val="clear" w:pos="1134"/>
          <w:tab w:val="clear" w:pos="1701"/>
          <w:tab w:val="clear" w:pos="2268"/>
          <w:tab w:val="clear" w:pos="2835"/>
        </w:tabs>
        <w:snapToGrid w:val="0"/>
        <w:spacing w:after="120"/>
        <w:rPr>
          <w:szCs w:val="24"/>
        </w:rPr>
      </w:pPr>
      <w:r w:rsidRPr="00BC7556">
        <w:rPr>
          <w:szCs w:val="24"/>
        </w:rPr>
        <w:t>2.4</w:t>
      </w:r>
      <w:r w:rsidRPr="00BC7556">
        <w:rPr>
          <w:szCs w:val="24"/>
        </w:rPr>
        <w:tab/>
        <w:t>Certains conseillers sont réticents à créer un autre GTC, craignant la dispersion des ressources et les doubles emplois;</w:t>
      </w:r>
      <w:r w:rsidR="008075E1">
        <w:rPr>
          <w:szCs w:val="24"/>
        </w:rPr>
        <w:t xml:space="preserve"> le mandat envisagé pour le GTC</w:t>
      </w:r>
      <w:r w:rsidR="008075E1" w:rsidRPr="008075E1">
        <w:rPr>
          <w:szCs w:val="24"/>
        </w:rPr>
        <w:noBreakHyphen/>
      </w:r>
      <w:r w:rsidRPr="00BC7556">
        <w:rPr>
          <w:szCs w:val="24"/>
        </w:rPr>
        <w:t>SF</w:t>
      </w:r>
      <w:r w:rsidR="00CA0589">
        <w:rPr>
          <w:szCs w:val="24"/>
        </w:rPr>
        <w:t>P pourrait être attribué au </w:t>
      </w:r>
      <w:r w:rsidR="008075E1">
        <w:rPr>
          <w:szCs w:val="24"/>
        </w:rPr>
        <w:t>GTC</w:t>
      </w:r>
      <w:r w:rsidR="008075E1" w:rsidRPr="008075E1">
        <w:rPr>
          <w:szCs w:val="24"/>
        </w:rPr>
        <w:noBreakHyphen/>
      </w:r>
      <w:r w:rsidRPr="00BC7556">
        <w:rPr>
          <w:szCs w:val="24"/>
        </w:rPr>
        <w:t xml:space="preserve">FHR. Les </w:t>
      </w:r>
      <w:r w:rsidR="00BC7556" w:rsidRPr="00BC7556">
        <w:rPr>
          <w:szCs w:val="24"/>
        </w:rPr>
        <w:t>conseillers,</w:t>
      </w:r>
      <w:r w:rsidRPr="00BC7556">
        <w:rPr>
          <w:szCs w:val="24"/>
        </w:rPr>
        <w:t xml:space="preserve"> dans leur majorité, pensent qu</w:t>
      </w:r>
      <w:r w:rsidR="007E757B">
        <w:rPr>
          <w:szCs w:val="24"/>
        </w:rPr>
        <w:t>'</w:t>
      </w:r>
      <w:r w:rsidRPr="00BC7556">
        <w:rPr>
          <w:szCs w:val="24"/>
        </w:rPr>
        <w:t>il est important de constituer un GTC distinct, indépendant, qui rendrait compte directement au Conseil, étant entendu qu</w:t>
      </w:r>
      <w:r w:rsidR="007E757B">
        <w:rPr>
          <w:szCs w:val="24"/>
        </w:rPr>
        <w:t>'</w:t>
      </w:r>
      <w:r w:rsidRPr="00BC7556">
        <w:rPr>
          <w:szCs w:val="24"/>
        </w:rPr>
        <w:t>il devrait bénéficier de services d</w:t>
      </w:r>
      <w:r w:rsidR="007E757B">
        <w:rPr>
          <w:szCs w:val="24"/>
        </w:rPr>
        <w:t>'</w:t>
      </w:r>
      <w:r w:rsidRPr="00BC7556">
        <w:rPr>
          <w:szCs w:val="24"/>
        </w:rPr>
        <w:t>interprétation dans les six langues.</w:t>
      </w:r>
    </w:p>
    <w:p w:rsidR="0019052D" w:rsidRPr="00BC7556" w:rsidRDefault="0019052D" w:rsidP="0019052D">
      <w:pPr>
        <w:tabs>
          <w:tab w:val="clear" w:pos="567"/>
          <w:tab w:val="clear" w:pos="1134"/>
          <w:tab w:val="clear" w:pos="1701"/>
          <w:tab w:val="clear" w:pos="2268"/>
          <w:tab w:val="clear" w:pos="2835"/>
        </w:tabs>
        <w:snapToGrid w:val="0"/>
        <w:spacing w:after="120"/>
        <w:rPr>
          <w:szCs w:val="24"/>
        </w:rPr>
      </w:pPr>
      <w:r w:rsidRPr="00BC7556">
        <w:rPr>
          <w:szCs w:val="24"/>
        </w:rPr>
        <w:t>2.5</w:t>
      </w:r>
      <w:r w:rsidRPr="00BC7556">
        <w:rPr>
          <w:szCs w:val="24"/>
        </w:rPr>
        <w:tab/>
        <w:t>Le projet de Résolution reproduit dans l</w:t>
      </w:r>
      <w:r w:rsidR="007E757B">
        <w:rPr>
          <w:szCs w:val="24"/>
        </w:rPr>
        <w:t>'</w:t>
      </w:r>
      <w:r w:rsidRPr="00BC7556">
        <w:rPr>
          <w:szCs w:val="24"/>
        </w:rPr>
        <w:t xml:space="preserve">annexe du Document C17/75, tel que modifié, est </w:t>
      </w:r>
      <w:r w:rsidRPr="00BC7556">
        <w:rPr>
          <w:b/>
          <w:bCs/>
          <w:szCs w:val="24"/>
        </w:rPr>
        <w:t>adopté</w:t>
      </w:r>
      <w:r w:rsidRPr="00BC7556">
        <w:rPr>
          <w:szCs w:val="24"/>
        </w:rPr>
        <w:t>.</w:t>
      </w:r>
    </w:p>
    <w:p w:rsidR="0019052D" w:rsidRPr="00BC7556" w:rsidRDefault="0019052D" w:rsidP="008075E1">
      <w:pPr>
        <w:tabs>
          <w:tab w:val="clear" w:pos="567"/>
          <w:tab w:val="clear" w:pos="1134"/>
          <w:tab w:val="clear" w:pos="1701"/>
          <w:tab w:val="clear" w:pos="2268"/>
          <w:tab w:val="clear" w:pos="2835"/>
        </w:tabs>
        <w:snapToGrid w:val="0"/>
        <w:spacing w:after="120"/>
        <w:rPr>
          <w:szCs w:val="24"/>
        </w:rPr>
      </w:pPr>
      <w:r w:rsidRPr="00BC7556">
        <w:rPr>
          <w:szCs w:val="24"/>
        </w:rPr>
        <w:t>2.6</w:t>
      </w:r>
      <w:r w:rsidRPr="00BC7556">
        <w:rPr>
          <w:szCs w:val="24"/>
        </w:rPr>
        <w:tab/>
        <w:t>Le Secrétaire général invite les délégations à lui faire parvenir sans tarder les noms des candidats aux postes de pré</w:t>
      </w:r>
      <w:r w:rsidR="008075E1">
        <w:rPr>
          <w:szCs w:val="24"/>
        </w:rPr>
        <w:t>sident et vice-président du GTC</w:t>
      </w:r>
      <w:r w:rsidR="008075E1" w:rsidRPr="008075E1">
        <w:rPr>
          <w:szCs w:val="24"/>
        </w:rPr>
        <w:noBreakHyphen/>
      </w:r>
      <w:r w:rsidRPr="00BC7556">
        <w:rPr>
          <w:szCs w:val="24"/>
        </w:rPr>
        <w:t>SFP. La Présidente dit que ce groupe tiendra sa première réunion le 23 mai.</w:t>
      </w:r>
    </w:p>
    <w:p w:rsidR="0019052D" w:rsidRPr="00BC7556" w:rsidRDefault="0019052D" w:rsidP="008075E1">
      <w:pPr>
        <w:pStyle w:val="Heading1"/>
      </w:pPr>
      <w:r w:rsidRPr="00BC7556">
        <w:lastRenderedPageBreak/>
        <w:t>3</w:t>
      </w:r>
      <w:r w:rsidRPr="00BC7556">
        <w:tab/>
        <w:t>Rapport sur les</w:t>
      </w:r>
      <w:r w:rsidR="008075E1">
        <w:t xml:space="preserve"> résultats des activités du GTC</w:t>
      </w:r>
      <w:r w:rsidR="008075E1" w:rsidRPr="00B853FC">
        <w:noBreakHyphen/>
      </w:r>
      <w:r w:rsidRPr="00BC7556">
        <w:t xml:space="preserve">SMSI depuis la session de 2016 du Conseil (Document </w:t>
      </w:r>
      <w:hyperlink r:id="rId17" w:history="1">
        <w:r w:rsidRPr="00BC7556">
          <w:rPr>
            <w:rStyle w:val="Hyperlink"/>
            <w:bCs/>
            <w:szCs w:val="24"/>
          </w:rPr>
          <w:t>C17/8</w:t>
        </w:r>
      </w:hyperlink>
      <w:r w:rsidRPr="00BC7556">
        <w:t>)</w:t>
      </w:r>
    </w:p>
    <w:p w:rsidR="0019052D" w:rsidRPr="00BC7556" w:rsidRDefault="008075E1" w:rsidP="008075E1">
      <w:pPr>
        <w:tabs>
          <w:tab w:val="clear" w:pos="567"/>
          <w:tab w:val="clear" w:pos="1134"/>
          <w:tab w:val="clear" w:pos="1701"/>
          <w:tab w:val="clear" w:pos="2268"/>
          <w:tab w:val="clear" w:pos="2835"/>
        </w:tabs>
        <w:snapToGrid w:val="0"/>
        <w:spacing w:after="120"/>
        <w:rPr>
          <w:szCs w:val="24"/>
        </w:rPr>
      </w:pPr>
      <w:r>
        <w:rPr>
          <w:szCs w:val="24"/>
        </w:rPr>
        <w:t>3.1</w:t>
      </w:r>
      <w:r>
        <w:rPr>
          <w:szCs w:val="24"/>
        </w:rPr>
        <w:tab/>
        <w:t>Le Président du GTC</w:t>
      </w:r>
      <w:r w:rsidRPr="008075E1">
        <w:rPr>
          <w:szCs w:val="24"/>
        </w:rPr>
        <w:noBreakHyphen/>
      </w:r>
      <w:r w:rsidR="0019052D" w:rsidRPr="00BC7556">
        <w:rPr>
          <w:szCs w:val="24"/>
        </w:rPr>
        <w:t>SMSI présente le Document C17/8, qui récapitule les principaux résultats des 29ème et 30ème réunions du groupe.</w:t>
      </w:r>
    </w:p>
    <w:p w:rsidR="0019052D" w:rsidRPr="00BC7556" w:rsidRDefault="0019052D" w:rsidP="008075E1">
      <w:pPr>
        <w:tabs>
          <w:tab w:val="clear" w:pos="567"/>
          <w:tab w:val="clear" w:pos="1134"/>
          <w:tab w:val="clear" w:pos="1701"/>
          <w:tab w:val="clear" w:pos="2268"/>
          <w:tab w:val="clear" w:pos="2835"/>
        </w:tabs>
        <w:snapToGrid w:val="0"/>
        <w:spacing w:after="120"/>
        <w:rPr>
          <w:szCs w:val="24"/>
        </w:rPr>
      </w:pPr>
      <w:r w:rsidRPr="00BC7556">
        <w:rPr>
          <w:szCs w:val="24"/>
        </w:rPr>
        <w:t>3.2</w:t>
      </w:r>
      <w:r w:rsidRPr="00BC7556">
        <w:rPr>
          <w:szCs w:val="24"/>
        </w:rPr>
        <w:tab/>
        <w:t>Les conseillers qui prennent la parole remercient le GTC</w:t>
      </w:r>
      <w:r w:rsidR="008075E1" w:rsidRPr="008075E1">
        <w:rPr>
          <w:szCs w:val="24"/>
        </w:rPr>
        <w:noBreakHyphen/>
      </w:r>
      <w:r w:rsidRPr="00BC7556">
        <w:rPr>
          <w:szCs w:val="24"/>
        </w:rPr>
        <w:t>SM</w:t>
      </w:r>
      <w:r w:rsidR="00CA0589">
        <w:rPr>
          <w:szCs w:val="24"/>
        </w:rPr>
        <w:t>SI et son président, soulignant </w:t>
      </w:r>
      <w:r w:rsidRPr="00BC7556">
        <w:rPr>
          <w:szCs w:val="24"/>
        </w:rPr>
        <w:t>combien le Groupe a contribué à ce que l</w:t>
      </w:r>
      <w:r w:rsidR="007E757B">
        <w:rPr>
          <w:szCs w:val="24"/>
        </w:rPr>
        <w:t>'</w:t>
      </w:r>
      <w:r w:rsidRPr="00BC7556">
        <w:rPr>
          <w:szCs w:val="24"/>
        </w:rPr>
        <w:t>UIT s</w:t>
      </w:r>
      <w:r w:rsidR="007E757B">
        <w:rPr>
          <w:szCs w:val="24"/>
        </w:rPr>
        <w:t>'</w:t>
      </w:r>
      <w:r w:rsidRPr="00BC7556">
        <w:rPr>
          <w:szCs w:val="24"/>
        </w:rPr>
        <w:t>acquitte avec succès de la mission qui lui incombe dans le cadre des Nations Unies et combien il est important de progresser dans la réalisation des ODD. Certains, se référant à la Résolution 111 de la Conférence de plénipotentiaires (Rév. Busan, 2014), souhaiteraient que l</w:t>
      </w:r>
      <w:r w:rsidR="007E757B">
        <w:rPr>
          <w:szCs w:val="24"/>
        </w:rPr>
        <w:t>'</w:t>
      </w:r>
      <w:r w:rsidRPr="00BC7556">
        <w:rPr>
          <w:szCs w:val="24"/>
        </w:rPr>
        <w:t xml:space="preserve">édition 2018 du Forum du SMSI ne se tienne pas pendant la période du ramadan. La Présidente dit que le secrétariat prendra cette remarque en considération. </w:t>
      </w:r>
    </w:p>
    <w:p w:rsidR="0019052D" w:rsidRPr="00BC7556" w:rsidRDefault="008075E1" w:rsidP="0019052D">
      <w:pPr>
        <w:tabs>
          <w:tab w:val="clear" w:pos="567"/>
          <w:tab w:val="clear" w:pos="1134"/>
          <w:tab w:val="clear" w:pos="1701"/>
          <w:tab w:val="clear" w:pos="2268"/>
          <w:tab w:val="clear" w:pos="2835"/>
        </w:tabs>
        <w:snapToGrid w:val="0"/>
        <w:spacing w:after="120"/>
        <w:rPr>
          <w:szCs w:val="24"/>
        </w:rPr>
      </w:pPr>
      <w:r>
        <w:rPr>
          <w:szCs w:val="24"/>
        </w:rPr>
        <w:t>3.3</w:t>
      </w:r>
      <w:r>
        <w:rPr>
          <w:szCs w:val="24"/>
        </w:rPr>
        <w:tab/>
        <w:t>Le rapport du GTC</w:t>
      </w:r>
      <w:r w:rsidRPr="008075E1">
        <w:rPr>
          <w:szCs w:val="24"/>
        </w:rPr>
        <w:noBreakHyphen/>
      </w:r>
      <w:r w:rsidR="0019052D" w:rsidRPr="00BC7556">
        <w:rPr>
          <w:szCs w:val="24"/>
        </w:rPr>
        <w:t xml:space="preserve">SMSI ainsi que les recommandations qui y figurent (Document C17/8) sont </w:t>
      </w:r>
      <w:r w:rsidR="0019052D" w:rsidRPr="00BC7556">
        <w:rPr>
          <w:b/>
          <w:bCs/>
          <w:szCs w:val="24"/>
        </w:rPr>
        <w:t>approuvés</w:t>
      </w:r>
      <w:r w:rsidR="0019052D" w:rsidRPr="00BC7556">
        <w:rPr>
          <w:szCs w:val="24"/>
        </w:rPr>
        <w:t>.</w:t>
      </w:r>
    </w:p>
    <w:p w:rsidR="0019052D" w:rsidRPr="00BC7556" w:rsidRDefault="00CA0589" w:rsidP="00BC7556">
      <w:pPr>
        <w:pStyle w:val="Heading1"/>
      </w:pPr>
      <w:r>
        <w:t>4</w:t>
      </w:r>
      <w:r w:rsidR="0019052D" w:rsidRPr="00BC7556">
        <w:tab/>
        <w:t>Déclaration du Vice-Ministre de l</w:t>
      </w:r>
      <w:r w:rsidR="007E757B">
        <w:t>'</w:t>
      </w:r>
      <w:r w:rsidR="0019052D" w:rsidRPr="00BC7556">
        <w:t>Industrie et des technologies de l</w:t>
      </w:r>
      <w:r w:rsidR="007E757B">
        <w:t>'</w:t>
      </w:r>
      <w:r w:rsidR="0019052D" w:rsidRPr="00BC7556">
        <w:t>information de la Chine</w:t>
      </w:r>
    </w:p>
    <w:p w:rsidR="0019052D" w:rsidRPr="00BC7556" w:rsidRDefault="0019052D" w:rsidP="0019052D">
      <w:pPr>
        <w:tabs>
          <w:tab w:val="clear" w:pos="567"/>
          <w:tab w:val="clear" w:pos="1134"/>
          <w:tab w:val="clear" w:pos="1701"/>
          <w:tab w:val="clear" w:pos="2268"/>
          <w:tab w:val="clear" w:pos="2835"/>
        </w:tabs>
        <w:snapToGrid w:val="0"/>
        <w:spacing w:after="120"/>
        <w:rPr>
          <w:rFonts w:asciiTheme="minorHAnsi" w:hAnsiTheme="minorHAnsi"/>
          <w:szCs w:val="24"/>
        </w:rPr>
      </w:pPr>
      <w:r w:rsidRPr="00BC7556">
        <w:rPr>
          <w:rFonts w:asciiTheme="minorHAnsi" w:hAnsiTheme="minorHAnsi"/>
          <w:szCs w:val="24"/>
        </w:rPr>
        <w:t>4.1</w:t>
      </w:r>
      <w:r w:rsidRPr="00BC7556">
        <w:rPr>
          <w:rFonts w:asciiTheme="minorHAnsi" w:hAnsiTheme="minorHAnsi"/>
          <w:szCs w:val="24"/>
        </w:rPr>
        <w:tab/>
        <w:t>M. Liu Lihua, Vice-Ministre de l</w:t>
      </w:r>
      <w:r w:rsidR="007E757B">
        <w:rPr>
          <w:rFonts w:asciiTheme="minorHAnsi" w:hAnsiTheme="minorHAnsi"/>
          <w:szCs w:val="24"/>
        </w:rPr>
        <w:t>'</w:t>
      </w:r>
      <w:r w:rsidRPr="00BC7556">
        <w:rPr>
          <w:rFonts w:asciiTheme="minorHAnsi" w:hAnsiTheme="minorHAnsi"/>
          <w:szCs w:val="24"/>
        </w:rPr>
        <w:t>Industrie et des technologies de l</w:t>
      </w:r>
      <w:r w:rsidR="007E757B">
        <w:rPr>
          <w:rFonts w:asciiTheme="minorHAnsi" w:hAnsiTheme="minorHAnsi"/>
          <w:szCs w:val="24"/>
        </w:rPr>
        <w:t>'</w:t>
      </w:r>
      <w:r w:rsidRPr="00BC7556">
        <w:rPr>
          <w:rFonts w:asciiTheme="minorHAnsi" w:hAnsiTheme="minorHAnsi"/>
          <w:szCs w:val="24"/>
        </w:rPr>
        <w:t>information de la Chine, fait la déclaration reproduite à l</w:t>
      </w:r>
      <w:r w:rsidR="007E757B">
        <w:rPr>
          <w:rFonts w:asciiTheme="minorHAnsi" w:hAnsiTheme="minorHAnsi"/>
          <w:szCs w:val="24"/>
        </w:rPr>
        <w:t>'</w:t>
      </w:r>
      <w:r w:rsidRPr="00BC7556">
        <w:rPr>
          <w:rFonts w:asciiTheme="minorHAnsi" w:hAnsiTheme="minorHAnsi"/>
          <w:szCs w:val="24"/>
        </w:rPr>
        <w:t xml:space="preserve">adresse suivante: </w:t>
      </w:r>
      <w:hyperlink r:id="rId18" w:history="1">
        <w:r w:rsidRPr="00BC7556">
          <w:rPr>
            <w:rStyle w:val="Hyperlink"/>
            <w:rFonts w:asciiTheme="minorHAnsi" w:hAnsiTheme="minorHAnsi"/>
            <w:szCs w:val="24"/>
          </w:rPr>
          <w:t>http://www.itu.int/en/council/2017/Documents/SR/China.pdf</w:t>
        </w:r>
      </w:hyperlink>
      <w:r w:rsidRPr="00BC7556">
        <w:rPr>
          <w:rFonts w:asciiTheme="minorHAnsi" w:hAnsiTheme="minorHAnsi"/>
          <w:szCs w:val="24"/>
        </w:rPr>
        <w:t>. Il annonce qu</w:t>
      </w:r>
      <w:r w:rsidR="007E757B">
        <w:rPr>
          <w:rFonts w:asciiTheme="minorHAnsi" w:hAnsiTheme="minorHAnsi"/>
          <w:szCs w:val="24"/>
        </w:rPr>
        <w:t>'</w:t>
      </w:r>
      <w:r w:rsidRPr="00BC7556">
        <w:rPr>
          <w:rFonts w:asciiTheme="minorHAnsi" w:hAnsiTheme="minorHAnsi"/>
          <w:szCs w:val="24"/>
        </w:rPr>
        <w:t>à partir de 2018 la Chine accroîtra sa contribution à l</w:t>
      </w:r>
      <w:r w:rsidR="007E757B">
        <w:rPr>
          <w:rFonts w:asciiTheme="minorHAnsi" w:hAnsiTheme="minorHAnsi"/>
          <w:szCs w:val="24"/>
        </w:rPr>
        <w:t>'</w:t>
      </w:r>
      <w:r w:rsidRPr="00BC7556">
        <w:rPr>
          <w:rFonts w:asciiTheme="minorHAnsi" w:hAnsiTheme="minorHAnsi"/>
          <w:szCs w:val="24"/>
        </w:rPr>
        <w:t>UIT de 6 unités contributives, ce qui la portera à 20 unités contributives. En outre, le Gouvernement chinois a décidé de présenter la candidature de M. Zhao pour un second mandat au poste de Secrétaire général de l</w:t>
      </w:r>
      <w:r w:rsidR="007E757B">
        <w:rPr>
          <w:rFonts w:asciiTheme="minorHAnsi" w:hAnsiTheme="minorHAnsi"/>
          <w:szCs w:val="24"/>
        </w:rPr>
        <w:t>'</w:t>
      </w:r>
      <w:r w:rsidRPr="00BC7556">
        <w:rPr>
          <w:rFonts w:asciiTheme="minorHAnsi" w:hAnsiTheme="minorHAnsi"/>
          <w:szCs w:val="24"/>
        </w:rPr>
        <w:t>UIT.</w:t>
      </w:r>
    </w:p>
    <w:p w:rsidR="0019052D" w:rsidRPr="00BC7556" w:rsidRDefault="0019052D" w:rsidP="0019052D">
      <w:pPr>
        <w:tabs>
          <w:tab w:val="clear" w:pos="567"/>
          <w:tab w:val="clear" w:pos="1134"/>
          <w:tab w:val="clear" w:pos="1701"/>
          <w:tab w:val="clear" w:pos="2268"/>
          <w:tab w:val="clear" w:pos="2835"/>
        </w:tabs>
        <w:snapToGrid w:val="0"/>
        <w:spacing w:after="120"/>
        <w:rPr>
          <w:szCs w:val="24"/>
        </w:rPr>
      </w:pPr>
      <w:r w:rsidRPr="00BC7556">
        <w:rPr>
          <w:rFonts w:asciiTheme="minorHAnsi" w:hAnsiTheme="minorHAnsi"/>
          <w:szCs w:val="24"/>
        </w:rPr>
        <w:t>4.2</w:t>
      </w:r>
      <w:r w:rsidRPr="00BC7556">
        <w:rPr>
          <w:rFonts w:asciiTheme="minorHAnsi" w:hAnsiTheme="minorHAnsi"/>
          <w:szCs w:val="24"/>
        </w:rPr>
        <w:tab/>
        <w:t>Le Secrétaire général se dit très heureux de la décision du Gouvernement chinois d</w:t>
      </w:r>
      <w:r w:rsidR="007E757B">
        <w:rPr>
          <w:rFonts w:asciiTheme="minorHAnsi" w:hAnsiTheme="minorHAnsi"/>
          <w:szCs w:val="24"/>
        </w:rPr>
        <w:t>'</w:t>
      </w:r>
      <w:r w:rsidRPr="00BC7556">
        <w:rPr>
          <w:rFonts w:asciiTheme="minorHAnsi" w:hAnsiTheme="minorHAnsi"/>
          <w:szCs w:val="24"/>
        </w:rPr>
        <w:t>augmenter significativement le montant de sa contribution. Il rend hommage à M. Liu qui, depuis de nombreuses années, suit et soutient les activités de l</w:t>
      </w:r>
      <w:r w:rsidR="007E757B">
        <w:rPr>
          <w:rFonts w:asciiTheme="minorHAnsi" w:hAnsiTheme="minorHAnsi"/>
          <w:szCs w:val="24"/>
        </w:rPr>
        <w:t>'</w:t>
      </w:r>
      <w:r w:rsidRPr="00BC7556">
        <w:rPr>
          <w:rFonts w:asciiTheme="minorHAnsi" w:hAnsiTheme="minorHAnsi"/>
          <w:szCs w:val="24"/>
        </w:rPr>
        <w:t>UIT. Il remercie le Gouvernement chinois de lui offrir la possibilité d</w:t>
      </w:r>
      <w:r w:rsidR="007E757B">
        <w:rPr>
          <w:rFonts w:asciiTheme="minorHAnsi" w:hAnsiTheme="minorHAnsi"/>
          <w:szCs w:val="24"/>
        </w:rPr>
        <w:t>'</w:t>
      </w:r>
      <w:r w:rsidRPr="00BC7556">
        <w:rPr>
          <w:rFonts w:asciiTheme="minorHAnsi" w:hAnsiTheme="minorHAnsi"/>
          <w:szCs w:val="24"/>
        </w:rPr>
        <w:t>être à nouveau candidat au poste de Secrétaire général.</w:t>
      </w:r>
    </w:p>
    <w:p w:rsidR="0019052D" w:rsidRPr="00CA0589" w:rsidRDefault="0019052D" w:rsidP="0019052D">
      <w:pPr>
        <w:pStyle w:val="Heading1"/>
        <w:keepNext w:val="0"/>
        <w:keepLines w:val="0"/>
        <w:tabs>
          <w:tab w:val="clear" w:pos="567"/>
          <w:tab w:val="clear" w:pos="1134"/>
          <w:tab w:val="clear" w:pos="1701"/>
          <w:tab w:val="clear" w:pos="2268"/>
          <w:tab w:val="clear" w:pos="2835"/>
        </w:tabs>
        <w:snapToGrid w:val="0"/>
        <w:spacing w:before="360" w:after="120"/>
        <w:rPr>
          <w:b w:val="0"/>
          <w:bCs/>
          <w:szCs w:val="28"/>
        </w:rPr>
      </w:pPr>
      <w:r w:rsidRPr="00CA0589">
        <w:rPr>
          <w:szCs w:val="28"/>
        </w:rPr>
        <w:t>5</w:t>
      </w:r>
      <w:r w:rsidRPr="00CA0589">
        <w:rPr>
          <w:szCs w:val="28"/>
        </w:rPr>
        <w:tab/>
        <w:t>Les TIC au service des ODD: rapport exhaustif sur la mise en œuvre des résultats du SMSI et du Programme de développement durable à l</w:t>
      </w:r>
      <w:r w:rsidR="007E757B" w:rsidRPr="00CA0589">
        <w:rPr>
          <w:szCs w:val="28"/>
        </w:rPr>
        <w:t>'</w:t>
      </w:r>
      <w:r w:rsidR="00CA0589">
        <w:rPr>
          <w:szCs w:val="28"/>
        </w:rPr>
        <w:t>horizon </w:t>
      </w:r>
      <w:r w:rsidRPr="00CA0589">
        <w:rPr>
          <w:szCs w:val="28"/>
        </w:rPr>
        <w:t xml:space="preserve">2030 (Document </w:t>
      </w:r>
      <w:hyperlink r:id="rId19" w:history="1">
        <w:r w:rsidRPr="00CA0589">
          <w:rPr>
            <w:rStyle w:val="Hyperlink"/>
            <w:szCs w:val="28"/>
          </w:rPr>
          <w:t>C17/47</w:t>
        </w:r>
      </w:hyperlink>
      <w:r w:rsidRPr="00CA0589">
        <w:rPr>
          <w:szCs w:val="28"/>
        </w:rPr>
        <w:t>)</w:t>
      </w:r>
    </w:p>
    <w:p w:rsidR="0019052D" w:rsidRPr="00BC7556" w:rsidRDefault="0019052D" w:rsidP="0019052D">
      <w:pPr>
        <w:tabs>
          <w:tab w:val="clear" w:pos="567"/>
          <w:tab w:val="clear" w:pos="1134"/>
          <w:tab w:val="clear" w:pos="1701"/>
          <w:tab w:val="clear" w:pos="2268"/>
          <w:tab w:val="clear" w:pos="2835"/>
        </w:tabs>
        <w:snapToGrid w:val="0"/>
        <w:spacing w:after="120"/>
        <w:rPr>
          <w:szCs w:val="24"/>
        </w:rPr>
      </w:pPr>
      <w:r w:rsidRPr="00BC7556">
        <w:rPr>
          <w:szCs w:val="24"/>
        </w:rPr>
        <w:t>5.1</w:t>
      </w:r>
      <w:r w:rsidRPr="00BC7556">
        <w:rPr>
          <w:szCs w:val="24"/>
        </w:rPr>
        <w:tab/>
        <w:t>La Chef du Département de la planification stratégique et des relations avec les membres (SPM) présente le Document C17/47 qui recense toutes les interventions de l</w:t>
      </w:r>
      <w:r w:rsidR="007E757B">
        <w:rPr>
          <w:szCs w:val="24"/>
        </w:rPr>
        <w:t>'</w:t>
      </w:r>
      <w:r w:rsidRPr="00BC7556">
        <w:rPr>
          <w:szCs w:val="24"/>
        </w:rPr>
        <w:t>Union dans le cadre de la mise en œuvre des résultats du SMSI et du Programme de développement durable à l</w:t>
      </w:r>
      <w:r w:rsidR="007E757B">
        <w:rPr>
          <w:szCs w:val="24"/>
        </w:rPr>
        <w:t>'</w:t>
      </w:r>
      <w:r w:rsidRPr="00BC7556">
        <w:rPr>
          <w:szCs w:val="24"/>
        </w:rPr>
        <w:t>horizon 2030.</w:t>
      </w:r>
    </w:p>
    <w:p w:rsidR="0019052D" w:rsidRPr="00BC7556" w:rsidRDefault="0019052D" w:rsidP="0019052D">
      <w:pPr>
        <w:tabs>
          <w:tab w:val="clear" w:pos="567"/>
          <w:tab w:val="clear" w:pos="1134"/>
          <w:tab w:val="clear" w:pos="1701"/>
          <w:tab w:val="clear" w:pos="2268"/>
          <w:tab w:val="clear" w:pos="2835"/>
        </w:tabs>
        <w:snapToGrid w:val="0"/>
        <w:spacing w:after="120"/>
        <w:rPr>
          <w:szCs w:val="24"/>
        </w:rPr>
      </w:pPr>
      <w:r w:rsidRPr="00BC7556">
        <w:rPr>
          <w:szCs w:val="24"/>
        </w:rPr>
        <w:t>5.2</w:t>
      </w:r>
      <w:r w:rsidRPr="00BC7556">
        <w:rPr>
          <w:szCs w:val="24"/>
        </w:rPr>
        <w:tab/>
        <w:t>Les interventions des conseillers qui prennent la parole portent sur les sujets suivants: collaboration avec l</w:t>
      </w:r>
      <w:r w:rsidR="007E757B">
        <w:rPr>
          <w:szCs w:val="24"/>
        </w:rPr>
        <w:t>'</w:t>
      </w:r>
      <w:r w:rsidRPr="00BC7556">
        <w:rPr>
          <w:szCs w:val="24"/>
        </w:rPr>
        <w:t>UNESCO, pour la science, avec la CNUCED, pour le commerce électronique, et avec le PNUD; actualisation du mandat du Groupe spécial sur le SMSI dans ses rapports avec la coordination intersectorielle; échange d</w:t>
      </w:r>
      <w:r w:rsidR="007E757B">
        <w:rPr>
          <w:szCs w:val="24"/>
        </w:rPr>
        <w:t>'</w:t>
      </w:r>
      <w:r w:rsidRPr="00BC7556">
        <w:rPr>
          <w:szCs w:val="24"/>
        </w:rPr>
        <w:t>informations concernant les activités menées au niveau des pays; difficultés rencontrées par les pays en développement, ceux d</w:t>
      </w:r>
      <w:r w:rsidR="007E757B">
        <w:rPr>
          <w:szCs w:val="24"/>
        </w:rPr>
        <w:t>'</w:t>
      </w:r>
      <w:r w:rsidRPr="00BC7556">
        <w:rPr>
          <w:szCs w:val="24"/>
        </w:rPr>
        <w:t>Afrique en particulier, et nécessité d</w:t>
      </w:r>
      <w:r w:rsidR="007E757B">
        <w:rPr>
          <w:szCs w:val="24"/>
        </w:rPr>
        <w:t>'</w:t>
      </w:r>
      <w:r w:rsidRPr="00BC7556">
        <w:rPr>
          <w:szCs w:val="24"/>
        </w:rPr>
        <w:t>un financement multilatéral et d</w:t>
      </w:r>
      <w:r w:rsidR="007E757B">
        <w:rPr>
          <w:szCs w:val="24"/>
        </w:rPr>
        <w:t>'</w:t>
      </w:r>
      <w:r w:rsidRPr="00BC7556">
        <w:rPr>
          <w:szCs w:val="24"/>
        </w:rPr>
        <w:t>une coopération internationale permettant de surmonter ces difficultés; et nécessité de privilégier les projets concrets, réalisables et convenablement financés.</w:t>
      </w:r>
    </w:p>
    <w:p w:rsidR="0019052D" w:rsidRPr="00BC7556" w:rsidRDefault="0019052D" w:rsidP="00CA0589">
      <w:pPr>
        <w:tabs>
          <w:tab w:val="clear" w:pos="567"/>
          <w:tab w:val="clear" w:pos="1134"/>
          <w:tab w:val="clear" w:pos="1701"/>
          <w:tab w:val="clear" w:pos="2268"/>
          <w:tab w:val="clear" w:pos="2835"/>
        </w:tabs>
        <w:snapToGrid w:val="0"/>
        <w:spacing w:after="120"/>
        <w:rPr>
          <w:szCs w:val="24"/>
        </w:rPr>
      </w:pPr>
      <w:r w:rsidRPr="00BC7556">
        <w:rPr>
          <w:szCs w:val="24"/>
        </w:rPr>
        <w:lastRenderedPageBreak/>
        <w:t>5.3</w:t>
      </w:r>
      <w:r w:rsidRPr="00BC7556">
        <w:rPr>
          <w:szCs w:val="24"/>
        </w:rPr>
        <w:tab/>
        <w:t>En réponse aux interventions des conseillers, la Chef du Département SPM confirme que l</w:t>
      </w:r>
      <w:r w:rsidR="007E757B">
        <w:rPr>
          <w:szCs w:val="24"/>
        </w:rPr>
        <w:t>'</w:t>
      </w:r>
      <w:r w:rsidRPr="00BC7556">
        <w:rPr>
          <w:szCs w:val="24"/>
        </w:rPr>
        <w:t xml:space="preserve">UIT collabore avec les institutions spécialisées susmentionnées. La coordination intersectorielle était confiée à une équipe spéciale dirigée par le Vice-Secrétaire général et une équipe spéciale distincte était spécifiquement chargée des ODD et du SMSI. </w:t>
      </w:r>
      <w:r w:rsidR="00CA0589">
        <w:rPr>
          <w:szCs w:val="24"/>
        </w:rPr>
        <w:t>A</w:t>
      </w:r>
      <w:r w:rsidRPr="00BC7556">
        <w:rPr>
          <w:szCs w:val="24"/>
        </w:rPr>
        <w:t xml:space="preserve"> sa session de 2016, le Conseil a demandé que les activités </w:t>
      </w:r>
      <w:r w:rsidR="00BC7556" w:rsidRPr="00BC7556">
        <w:rPr>
          <w:szCs w:val="24"/>
        </w:rPr>
        <w:t>relatives</w:t>
      </w:r>
      <w:r w:rsidRPr="00BC7556">
        <w:rPr>
          <w:szCs w:val="24"/>
        </w:rPr>
        <w:t xml:space="preserve"> aux ODD et au SMSI soient regroupées au sein d</w:t>
      </w:r>
      <w:r w:rsidR="007E757B">
        <w:rPr>
          <w:szCs w:val="24"/>
        </w:rPr>
        <w:t>'</w:t>
      </w:r>
      <w:r w:rsidRPr="00BC7556">
        <w:rPr>
          <w:szCs w:val="24"/>
        </w:rPr>
        <w:t>un seul et même groupe spécial sous la direction du Vice-Secrétaire général. Le financement et l</w:t>
      </w:r>
      <w:r w:rsidR="007E757B">
        <w:rPr>
          <w:szCs w:val="24"/>
        </w:rPr>
        <w:t>'</w:t>
      </w:r>
      <w:r w:rsidRPr="00BC7556">
        <w:rPr>
          <w:szCs w:val="24"/>
        </w:rPr>
        <w:t>appui à caractère multilatéral sont effectivement importants et le Secrétaire général ne ménage aucun effort pour promouvoir les partenariats préconisés dans l</w:t>
      </w:r>
      <w:r w:rsidR="007E757B">
        <w:rPr>
          <w:szCs w:val="24"/>
        </w:rPr>
        <w:t>'</w:t>
      </w:r>
      <w:r w:rsidRPr="00BC7556">
        <w:rPr>
          <w:szCs w:val="24"/>
        </w:rPr>
        <w:t>ODD 17, ce qui s</w:t>
      </w:r>
      <w:r w:rsidR="007E757B">
        <w:rPr>
          <w:szCs w:val="24"/>
        </w:rPr>
        <w:t>'</w:t>
      </w:r>
      <w:r w:rsidRPr="00BC7556">
        <w:rPr>
          <w:szCs w:val="24"/>
        </w:rPr>
        <w:t>est déjà concrétisé avec l</w:t>
      </w:r>
      <w:r w:rsidR="007E757B">
        <w:rPr>
          <w:szCs w:val="24"/>
        </w:rPr>
        <w:t>'</w:t>
      </w:r>
      <w:r w:rsidRPr="00BC7556">
        <w:rPr>
          <w:szCs w:val="24"/>
        </w:rPr>
        <w:t>ONUDI. Enfin, s</w:t>
      </w:r>
      <w:r w:rsidR="007E757B">
        <w:rPr>
          <w:szCs w:val="24"/>
        </w:rPr>
        <w:t>'</w:t>
      </w:r>
      <w:r w:rsidRPr="00BC7556">
        <w:rPr>
          <w:szCs w:val="24"/>
        </w:rPr>
        <w:t>agissant des initiatives régionales et nationales, lors de l</w:t>
      </w:r>
      <w:r w:rsidR="007E757B">
        <w:rPr>
          <w:szCs w:val="24"/>
        </w:rPr>
        <w:t>'</w:t>
      </w:r>
      <w:r w:rsidR="00CA0589">
        <w:rPr>
          <w:szCs w:val="24"/>
        </w:rPr>
        <w:t>élaboration des ODD, en </w:t>
      </w:r>
      <w:r w:rsidRPr="00BC7556">
        <w:rPr>
          <w:szCs w:val="24"/>
        </w:rPr>
        <w:t>2015, l</w:t>
      </w:r>
      <w:r w:rsidR="007E757B">
        <w:rPr>
          <w:szCs w:val="24"/>
        </w:rPr>
        <w:t>'</w:t>
      </w:r>
      <w:r w:rsidR="00CA0589">
        <w:rPr>
          <w:szCs w:val="24"/>
        </w:rPr>
        <w:t>UIT a demandé aux E</w:t>
      </w:r>
      <w:r w:rsidRPr="00BC7556">
        <w:rPr>
          <w:szCs w:val="24"/>
        </w:rPr>
        <w:t>tats Membres de lui faire part de leurs initiatives, expériences et enseignements, qui seraient intégrés à l</w:t>
      </w:r>
      <w:r w:rsidR="007E757B">
        <w:rPr>
          <w:szCs w:val="24"/>
        </w:rPr>
        <w:t>'</w:t>
      </w:r>
      <w:r w:rsidRPr="00BC7556">
        <w:rPr>
          <w:szCs w:val="24"/>
        </w:rPr>
        <w:t xml:space="preserve">outil de cartographie des activités axées sur ces Objectifs. </w:t>
      </w:r>
    </w:p>
    <w:p w:rsidR="0019052D" w:rsidRPr="00BC7556" w:rsidRDefault="0019052D" w:rsidP="0019052D">
      <w:pPr>
        <w:tabs>
          <w:tab w:val="clear" w:pos="567"/>
          <w:tab w:val="clear" w:pos="1134"/>
          <w:tab w:val="clear" w:pos="1701"/>
          <w:tab w:val="clear" w:pos="2268"/>
          <w:tab w:val="clear" w:pos="2835"/>
        </w:tabs>
        <w:snapToGrid w:val="0"/>
        <w:spacing w:after="120"/>
        <w:rPr>
          <w:szCs w:val="24"/>
        </w:rPr>
      </w:pPr>
      <w:r w:rsidRPr="00BC7556">
        <w:rPr>
          <w:szCs w:val="24"/>
        </w:rPr>
        <w:t>5.4</w:t>
      </w:r>
      <w:r w:rsidRPr="00BC7556">
        <w:rPr>
          <w:szCs w:val="24"/>
        </w:rPr>
        <w:tab/>
        <w:t>Le Secrétaire général souligne combien les activités découlant du SMSI facilitent la contribution des TIC au développement économique et social et combien l</w:t>
      </w:r>
      <w:r w:rsidR="007E757B">
        <w:rPr>
          <w:szCs w:val="24"/>
        </w:rPr>
        <w:t>'</w:t>
      </w:r>
      <w:r w:rsidRPr="00BC7556">
        <w:rPr>
          <w:szCs w:val="24"/>
        </w:rPr>
        <w:t>UIT joue pleinement son rôle à cet égard. Il indique à ce sujet qu</w:t>
      </w:r>
      <w:r w:rsidR="007E757B">
        <w:rPr>
          <w:szCs w:val="24"/>
        </w:rPr>
        <w:t>'</w:t>
      </w:r>
      <w:r w:rsidRPr="00BC7556">
        <w:rPr>
          <w:szCs w:val="24"/>
        </w:rPr>
        <w:t>il fera tout son possible pour que le Forum du SMSI ne coïncide pas avec la période du ramadan mais que cet objectif risque d</w:t>
      </w:r>
      <w:r w:rsidR="007E757B">
        <w:rPr>
          <w:szCs w:val="24"/>
        </w:rPr>
        <w:t>'</w:t>
      </w:r>
      <w:r w:rsidRPr="00BC7556">
        <w:rPr>
          <w:szCs w:val="24"/>
        </w:rPr>
        <w:t>être difficile à réaliser compte tenu de la multiplicité des réunions et des problèmes logistiques.</w:t>
      </w:r>
    </w:p>
    <w:p w:rsidR="0019052D" w:rsidRPr="00BC7556" w:rsidRDefault="0019052D" w:rsidP="0019052D">
      <w:pPr>
        <w:tabs>
          <w:tab w:val="clear" w:pos="567"/>
          <w:tab w:val="clear" w:pos="1134"/>
          <w:tab w:val="clear" w:pos="1701"/>
          <w:tab w:val="clear" w:pos="2268"/>
          <w:tab w:val="clear" w:pos="2835"/>
        </w:tabs>
        <w:snapToGrid w:val="0"/>
        <w:spacing w:after="120"/>
        <w:rPr>
          <w:szCs w:val="24"/>
        </w:rPr>
      </w:pPr>
      <w:r w:rsidRPr="00BC7556">
        <w:rPr>
          <w:szCs w:val="24"/>
        </w:rPr>
        <w:t>5.5</w:t>
      </w:r>
      <w:r w:rsidRPr="00BC7556">
        <w:rPr>
          <w:szCs w:val="24"/>
        </w:rPr>
        <w:tab/>
        <w:t xml:space="preserve">Il est </w:t>
      </w:r>
      <w:r w:rsidRPr="00BC7556">
        <w:rPr>
          <w:b/>
          <w:bCs/>
          <w:szCs w:val="24"/>
        </w:rPr>
        <w:t>pris note</w:t>
      </w:r>
      <w:r w:rsidRPr="00BC7556">
        <w:rPr>
          <w:szCs w:val="24"/>
        </w:rPr>
        <w:t xml:space="preserve"> du Document C17/47, compte tenu des éclaircissements apportés au cours du débat.</w:t>
      </w:r>
    </w:p>
    <w:p w:rsidR="0019052D" w:rsidRPr="00BC7556" w:rsidRDefault="0019052D" w:rsidP="0019052D">
      <w:pPr>
        <w:pStyle w:val="Heading1"/>
        <w:keepNext w:val="0"/>
        <w:keepLines w:val="0"/>
        <w:tabs>
          <w:tab w:val="clear" w:pos="567"/>
          <w:tab w:val="clear" w:pos="1134"/>
          <w:tab w:val="clear" w:pos="1701"/>
          <w:tab w:val="clear" w:pos="2268"/>
          <w:tab w:val="clear" w:pos="2835"/>
        </w:tabs>
        <w:snapToGrid w:val="0"/>
        <w:spacing w:before="360" w:after="120"/>
        <w:rPr>
          <w:sz w:val="24"/>
          <w:szCs w:val="24"/>
        </w:rPr>
      </w:pPr>
      <w:r w:rsidRPr="00BC7556">
        <w:rPr>
          <w:sz w:val="24"/>
          <w:szCs w:val="24"/>
        </w:rPr>
        <w:t>6</w:t>
      </w:r>
      <w:r w:rsidRPr="00BC7556">
        <w:rPr>
          <w:sz w:val="24"/>
          <w:szCs w:val="24"/>
        </w:rPr>
        <w:tab/>
      </w:r>
      <w:bookmarkStart w:id="7" w:name="lt_pId020"/>
      <w:r w:rsidRPr="00BC7556">
        <w:rPr>
          <w:sz w:val="24"/>
          <w:szCs w:val="24"/>
        </w:rPr>
        <w:t>Présentation du projet de budget de l</w:t>
      </w:r>
      <w:r w:rsidR="007E757B">
        <w:rPr>
          <w:sz w:val="24"/>
          <w:szCs w:val="24"/>
        </w:rPr>
        <w:t>'</w:t>
      </w:r>
      <w:r w:rsidRPr="00BC7556">
        <w:rPr>
          <w:sz w:val="24"/>
          <w:szCs w:val="24"/>
        </w:rPr>
        <w:t>Union pour 2018-2019 (Document </w:t>
      </w:r>
      <w:hyperlink r:id="rId20" w:history="1">
        <w:r w:rsidRPr="00BC7556">
          <w:rPr>
            <w:rStyle w:val="Hyperlink"/>
            <w:sz w:val="24"/>
            <w:szCs w:val="24"/>
          </w:rPr>
          <w:t>C17/10</w:t>
        </w:r>
      </w:hyperlink>
      <w:r w:rsidRPr="00BC7556">
        <w:rPr>
          <w:sz w:val="24"/>
          <w:szCs w:val="24"/>
        </w:rPr>
        <w:t>)</w:t>
      </w:r>
      <w:bookmarkEnd w:id="7"/>
    </w:p>
    <w:p w:rsidR="0019052D" w:rsidRPr="00BC7556" w:rsidRDefault="0019052D" w:rsidP="0019052D">
      <w:pPr>
        <w:tabs>
          <w:tab w:val="clear" w:pos="567"/>
          <w:tab w:val="clear" w:pos="1134"/>
          <w:tab w:val="clear" w:pos="1701"/>
          <w:tab w:val="clear" w:pos="2268"/>
          <w:tab w:val="clear" w:pos="2835"/>
        </w:tabs>
        <w:snapToGrid w:val="0"/>
        <w:spacing w:after="120"/>
        <w:rPr>
          <w:szCs w:val="24"/>
        </w:rPr>
      </w:pPr>
      <w:r w:rsidRPr="00BC7556">
        <w:rPr>
          <w:szCs w:val="24"/>
        </w:rPr>
        <w:t>6.1</w:t>
      </w:r>
      <w:r w:rsidRPr="00BC7556">
        <w:rPr>
          <w:szCs w:val="24"/>
        </w:rPr>
        <w:tab/>
      </w:r>
      <w:bookmarkStart w:id="8" w:name="lt_pId022"/>
      <w:r w:rsidRPr="00BC7556">
        <w:rPr>
          <w:szCs w:val="24"/>
        </w:rPr>
        <w:t>Le Chef du Département de la gestion des ressources financières présente le projet de budget de l</w:t>
      </w:r>
      <w:r w:rsidR="007E757B">
        <w:rPr>
          <w:szCs w:val="24"/>
        </w:rPr>
        <w:t>'</w:t>
      </w:r>
      <w:r w:rsidRPr="00BC7556">
        <w:rPr>
          <w:szCs w:val="24"/>
        </w:rPr>
        <w:t>Union pour 2018-2019, accompagné de diapositives. Il fait observer qu</w:t>
      </w:r>
      <w:r w:rsidR="007E757B">
        <w:rPr>
          <w:szCs w:val="24"/>
        </w:rPr>
        <w:t>'</w:t>
      </w:r>
      <w:r w:rsidRPr="00BC7556">
        <w:rPr>
          <w:szCs w:val="24"/>
        </w:rPr>
        <w:t>il s</w:t>
      </w:r>
      <w:r w:rsidR="007E757B">
        <w:rPr>
          <w:szCs w:val="24"/>
        </w:rPr>
        <w:t>'</w:t>
      </w:r>
      <w:r w:rsidRPr="00BC7556">
        <w:rPr>
          <w:szCs w:val="24"/>
        </w:rPr>
        <w:t>agit d</w:t>
      </w:r>
      <w:r w:rsidR="007E757B">
        <w:rPr>
          <w:szCs w:val="24"/>
        </w:rPr>
        <w:t>'</w:t>
      </w:r>
      <w:r w:rsidRPr="00BC7556">
        <w:rPr>
          <w:szCs w:val="24"/>
        </w:rPr>
        <w:t>un projet de budget en équilibre, le total des produits étant équivalent au total des charges sans qu</w:t>
      </w:r>
      <w:r w:rsidR="007E757B">
        <w:rPr>
          <w:szCs w:val="24"/>
        </w:rPr>
        <w:t>'</w:t>
      </w:r>
      <w:r w:rsidRPr="00BC7556">
        <w:rPr>
          <w:szCs w:val="24"/>
        </w:rPr>
        <w:t>il y ait au final un prélèvement sur le Fonds de réserve. Le montant total du projet de budget, pour un exercice biennal qui comprendra une conférence de plénipotentiaires et une conférence mondiale des radiocommunications, s</w:t>
      </w:r>
      <w:r w:rsidR="007E757B">
        <w:rPr>
          <w:szCs w:val="24"/>
        </w:rPr>
        <w:t>'</w:t>
      </w:r>
      <w:r w:rsidRPr="00BC7556">
        <w:rPr>
          <w:szCs w:val="24"/>
        </w:rPr>
        <w:t>établit à 320,1 millions de francs suisses, soit une diminution de 1,2 million de francs suisses par rapport au budget de l</w:t>
      </w:r>
      <w:r w:rsidR="007E757B">
        <w:rPr>
          <w:szCs w:val="24"/>
        </w:rPr>
        <w:t>'</w:t>
      </w:r>
      <w:r w:rsidRPr="00BC7556">
        <w:rPr>
          <w:szCs w:val="24"/>
        </w:rPr>
        <w:t>exercice précédent, l</w:t>
      </w:r>
      <w:r w:rsidR="007E757B">
        <w:rPr>
          <w:szCs w:val="24"/>
        </w:rPr>
        <w:t>'</w:t>
      </w:r>
      <w:r w:rsidRPr="00BC7556">
        <w:rPr>
          <w:szCs w:val="24"/>
        </w:rPr>
        <w:t>unité contributive, en croissance nominale zéro, étant donc maintenue à son niveau des budgets précédents, à savoir 318 000 francs suisses. Le montant qui serait prélevé sur le Fonds de réserve pour l</w:t>
      </w:r>
      <w:r w:rsidR="007E757B">
        <w:rPr>
          <w:szCs w:val="24"/>
        </w:rPr>
        <w:t>'</w:t>
      </w:r>
      <w:r w:rsidRPr="00BC7556">
        <w:rPr>
          <w:szCs w:val="24"/>
        </w:rPr>
        <w:t>organisation de la CMDT-17 serait compensé par les économies réalisées au titre du Programme de départs volontaires, si bien que le Fonds de réserve serait inchangé sur la période de quatre ans 2016-2019. Le projet de Résolution relatif à l</w:t>
      </w:r>
      <w:r w:rsidR="007E757B">
        <w:rPr>
          <w:szCs w:val="24"/>
        </w:rPr>
        <w:t>'</w:t>
      </w:r>
      <w:r w:rsidRPr="00BC7556">
        <w:rPr>
          <w:szCs w:val="24"/>
        </w:rPr>
        <w:t>approbation du budget pour l</w:t>
      </w:r>
      <w:r w:rsidR="007E757B">
        <w:rPr>
          <w:szCs w:val="24"/>
        </w:rPr>
        <w:t>'</w:t>
      </w:r>
      <w:r w:rsidRPr="00BC7556">
        <w:rPr>
          <w:szCs w:val="24"/>
        </w:rPr>
        <w:t>exercice biennal 2018-2019 figure dans l</w:t>
      </w:r>
      <w:r w:rsidR="007E757B">
        <w:rPr>
          <w:szCs w:val="24"/>
        </w:rPr>
        <w:t>'</w:t>
      </w:r>
      <w:r w:rsidRPr="00BC7556">
        <w:rPr>
          <w:szCs w:val="24"/>
        </w:rPr>
        <w:t>Annexe A du Document C17/10.</w:t>
      </w:r>
    </w:p>
    <w:p w:rsidR="0019052D" w:rsidRPr="00BC7556" w:rsidRDefault="0019052D" w:rsidP="0019052D">
      <w:pPr>
        <w:tabs>
          <w:tab w:val="clear" w:pos="567"/>
          <w:tab w:val="clear" w:pos="1134"/>
          <w:tab w:val="clear" w:pos="1701"/>
          <w:tab w:val="clear" w:pos="2268"/>
          <w:tab w:val="clear" w:pos="2835"/>
        </w:tabs>
        <w:snapToGrid w:val="0"/>
        <w:spacing w:after="120"/>
        <w:rPr>
          <w:szCs w:val="24"/>
        </w:rPr>
      </w:pPr>
      <w:r w:rsidRPr="00BC7556">
        <w:rPr>
          <w:szCs w:val="24"/>
        </w:rPr>
        <w:t>6.2</w:t>
      </w:r>
      <w:r w:rsidRPr="00BC7556">
        <w:rPr>
          <w:szCs w:val="24"/>
        </w:rPr>
        <w:tab/>
        <w:t>De nombreux conseillers se félicitent de la clarté et du niveau de détail de la présentation du projet de budget, ainsi que des efforts faits par le secrétariat pour établir un budget en équilibre. Un conseiller rappelle que le sort de plusieurs décisions, concernant les plans opérationnels et l</w:t>
      </w:r>
      <w:r w:rsidR="007E757B">
        <w:rPr>
          <w:szCs w:val="24"/>
        </w:rPr>
        <w:t>'</w:t>
      </w:r>
      <w:r w:rsidRPr="00BC7556">
        <w:rPr>
          <w:szCs w:val="24"/>
        </w:rPr>
        <w:t>AMNT par exemple, est tributaire des résultats des délibérations sur le budget. Une conseillère loue les efforts faits par l</w:t>
      </w:r>
      <w:r w:rsidR="007E757B">
        <w:rPr>
          <w:szCs w:val="24"/>
        </w:rPr>
        <w:t>'</w:t>
      </w:r>
      <w:r w:rsidRPr="00BC7556">
        <w:rPr>
          <w:szCs w:val="24"/>
        </w:rPr>
        <w:t>UIT pour appliquer la budgétisation et la gestion axées sur les résultats. Un autre conseiller évoque les recommandations du Corps commun d</w:t>
      </w:r>
      <w:r w:rsidR="007E757B">
        <w:rPr>
          <w:szCs w:val="24"/>
        </w:rPr>
        <w:t>'</w:t>
      </w:r>
      <w:r w:rsidRPr="00BC7556">
        <w:rPr>
          <w:szCs w:val="24"/>
        </w:rPr>
        <w:t>inspection et le travail qui reste à accomplir en ce qui concerne le Fonds ASHI. Un autre conseiller dit que l</w:t>
      </w:r>
      <w:r w:rsidR="007E757B">
        <w:rPr>
          <w:szCs w:val="24"/>
        </w:rPr>
        <w:t>'</w:t>
      </w:r>
      <w:r w:rsidRPr="00BC7556">
        <w:rPr>
          <w:szCs w:val="24"/>
        </w:rPr>
        <w:t>examen du budget pourrait se faire sur une base plus claire si le secrétariat établissait un récapitulatif de toutes les décisions susceptibles d</w:t>
      </w:r>
      <w:r w:rsidR="007E757B">
        <w:rPr>
          <w:szCs w:val="24"/>
        </w:rPr>
        <w:t>'</w:t>
      </w:r>
      <w:r w:rsidRPr="00BC7556">
        <w:rPr>
          <w:szCs w:val="24"/>
        </w:rPr>
        <w:t>entraîner un surcroît de dépenses ou de recettes.</w:t>
      </w:r>
    </w:p>
    <w:p w:rsidR="007531AE" w:rsidRDefault="007531AE" w:rsidP="0019052D">
      <w:pPr>
        <w:tabs>
          <w:tab w:val="clear" w:pos="567"/>
          <w:tab w:val="clear" w:pos="1134"/>
          <w:tab w:val="clear" w:pos="1701"/>
          <w:tab w:val="clear" w:pos="2268"/>
          <w:tab w:val="clear" w:pos="2835"/>
        </w:tabs>
        <w:snapToGrid w:val="0"/>
        <w:spacing w:after="120"/>
        <w:rPr>
          <w:szCs w:val="24"/>
        </w:rPr>
      </w:pPr>
      <w:r>
        <w:rPr>
          <w:szCs w:val="24"/>
        </w:rPr>
        <w:br w:type="page"/>
      </w:r>
    </w:p>
    <w:p w:rsidR="0019052D" w:rsidRPr="00BC7556" w:rsidRDefault="0019052D" w:rsidP="0019052D">
      <w:pPr>
        <w:tabs>
          <w:tab w:val="clear" w:pos="567"/>
          <w:tab w:val="clear" w:pos="1134"/>
          <w:tab w:val="clear" w:pos="1701"/>
          <w:tab w:val="clear" w:pos="2268"/>
          <w:tab w:val="clear" w:pos="2835"/>
        </w:tabs>
        <w:snapToGrid w:val="0"/>
        <w:spacing w:after="120"/>
        <w:rPr>
          <w:szCs w:val="24"/>
        </w:rPr>
      </w:pPr>
      <w:r w:rsidRPr="00BC7556">
        <w:rPr>
          <w:szCs w:val="24"/>
        </w:rPr>
        <w:lastRenderedPageBreak/>
        <w:t>6.3</w:t>
      </w:r>
      <w:r w:rsidRPr="00BC7556">
        <w:rPr>
          <w:szCs w:val="24"/>
        </w:rPr>
        <w:tab/>
        <w:t>Le Chef du Département de la gestion des ressources financières dit que le secrétariat est en mesure d</w:t>
      </w:r>
      <w:r w:rsidR="007E757B">
        <w:rPr>
          <w:szCs w:val="24"/>
        </w:rPr>
        <w:t>'</w:t>
      </w:r>
      <w:r w:rsidRPr="00BC7556">
        <w:rPr>
          <w:szCs w:val="24"/>
        </w:rPr>
        <w:t>établir un document temporaire récapitulant les besoins en ressources supplémentaires découlant des décisions qui n</w:t>
      </w:r>
      <w:r w:rsidR="007E757B">
        <w:rPr>
          <w:szCs w:val="24"/>
        </w:rPr>
        <w:t>'</w:t>
      </w:r>
      <w:r w:rsidRPr="00BC7556">
        <w:rPr>
          <w:szCs w:val="24"/>
        </w:rPr>
        <w:t>ont pas été prises en compte dans le projet de budget pour 2018-2019 parce qu</w:t>
      </w:r>
      <w:r w:rsidR="007E757B">
        <w:rPr>
          <w:szCs w:val="24"/>
        </w:rPr>
        <w:t>'</w:t>
      </w:r>
      <w:r w:rsidRPr="00BC7556">
        <w:rPr>
          <w:szCs w:val="24"/>
        </w:rPr>
        <w:t>elles ne figuraient pas dans le plan financier pour 2016-2019 adopté par la Conférence de plénipotentiaires en 2014.</w:t>
      </w:r>
    </w:p>
    <w:p w:rsidR="0019052D" w:rsidRPr="00BC7556" w:rsidRDefault="0019052D" w:rsidP="0019052D">
      <w:pPr>
        <w:tabs>
          <w:tab w:val="clear" w:pos="567"/>
          <w:tab w:val="clear" w:pos="1134"/>
          <w:tab w:val="clear" w:pos="1701"/>
          <w:tab w:val="clear" w:pos="2268"/>
          <w:tab w:val="clear" w:pos="2835"/>
        </w:tabs>
        <w:snapToGrid w:val="0"/>
        <w:spacing w:after="120"/>
        <w:rPr>
          <w:szCs w:val="24"/>
        </w:rPr>
      </w:pPr>
      <w:r w:rsidRPr="00BC7556">
        <w:rPr>
          <w:szCs w:val="24"/>
        </w:rPr>
        <w:t>6.4</w:t>
      </w:r>
      <w:r w:rsidRPr="00BC7556">
        <w:rPr>
          <w:szCs w:val="24"/>
        </w:rPr>
        <w:tab/>
        <w:t>La Présidente propose que l</w:t>
      </w:r>
      <w:r w:rsidR="007E757B">
        <w:rPr>
          <w:szCs w:val="24"/>
        </w:rPr>
        <w:t>'</w:t>
      </w:r>
      <w:r w:rsidRPr="00BC7556">
        <w:rPr>
          <w:szCs w:val="24"/>
        </w:rPr>
        <w:t>examen du projet de budget se poursuive en Commission permanente et que le secrétariat établisse à cette fin le document temporaire demandé.</w:t>
      </w:r>
    </w:p>
    <w:p w:rsidR="0019052D" w:rsidRPr="00BC7556" w:rsidRDefault="0019052D" w:rsidP="0019052D">
      <w:pPr>
        <w:tabs>
          <w:tab w:val="clear" w:pos="567"/>
          <w:tab w:val="clear" w:pos="1134"/>
          <w:tab w:val="clear" w:pos="1701"/>
          <w:tab w:val="clear" w:pos="2268"/>
          <w:tab w:val="clear" w:pos="2835"/>
        </w:tabs>
        <w:snapToGrid w:val="0"/>
        <w:spacing w:after="120"/>
        <w:rPr>
          <w:szCs w:val="24"/>
        </w:rPr>
      </w:pPr>
      <w:r w:rsidRPr="00BC7556">
        <w:rPr>
          <w:szCs w:val="24"/>
        </w:rPr>
        <w:t>6.5</w:t>
      </w:r>
      <w:r w:rsidRPr="00BC7556">
        <w:rPr>
          <w:szCs w:val="24"/>
        </w:rPr>
        <w:tab/>
        <w:t xml:space="preserve">Il en est ainsi </w:t>
      </w:r>
      <w:r w:rsidRPr="00BC7556">
        <w:rPr>
          <w:b/>
          <w:bCs/>
          <w:szCs w:val="24"/>
        </w:rPr>
        <w:t>décidé</w:t>
      </w:r>
      <w:r w:rsidRPr="00BC7556">
        <w:rPr>
          <w:szCs w:val="24"/>
        </w:rPr>
        <w:t>.</w:t>
      </w:r>
    </w:p>
    <w:p w:rsidR="0019052D" w:rsidRPr="00BC7556" w:rsidRDefault="0019052D" w:rsidP="00BC7556">
      <w:pPr>
        <w:pStyle w:val="Heading1"/>
      </w:pPr>
      <w:r w:rsidRPr="00BC7556">
        <w:t>7</w:t>
      </w:r>
      <w:r w:rsidRPr="00BC7556">
        <w:tab/>
        <w:t>Déclaration du Ministre chargé des Médias, de l</w:t>
      </w:r>
      <w:r w:rsidR="007E757B">
        <w:t>'</w:t>
      </w:r>
      <w:r w:rsidRPr="00BC7556">
        <w:t>information et de la radiodiffusion du Zimbabwe</w:t>
      </w:r>
    </w:p>
    <w:p w:rsidR="0019052D" w:rsidRPr="00BC7556" w:rsidRDefault="0019052D" w:rsidP="0019052D">
      <w:pPr>
        <w:tabs>
          <w:tab w:val="clear" w:pos="567"/>
          <w:tab w:val="clear" w:pos="1134"/>
          <w:tab w:val="clear" w:pos="1701"/>
          <w:tab w:val="clear" w:pos="2268"/>
          <w:tab w:val="clear" w:pos="2835"/>
        </w:tabs>
        <w:snapToGrid w:val="0"/>
        <w:spacing w:after="120"/>
        <w:rPr>
          <w:szCs w:val="24"/>
        </w:rPr>
      </w:pPr>
      <w:r w:rsidRPr="00BC7556">
        <w:rPr>
          <w:szCs w:val="24"/>
        </w:rPr>
        <w:t>7.1</w:t>
      </w:r>
      <w:r w:rsidRPr="00BC7556">
        <w:rPr>
          <w:szCs w:val="24"/>
        </w:rPr>
        <w:tab/>
        <w:t>Dr C. Mushohwe, Ministre cha</w:t>
      </w:r>
      <w:bookmarkStart w:id="9" w:name="_GoBack"/>
      <w:bookmarkEnd w:id="9"/>
      <w:r w:rsidRPr="00BC7556">
        <w:rPr>
          <w:szCs w:val="24"/>
        </w:rPr>
        <w:t>rgé des médias, de l</w:t>
      </w:r>
      <w:r w:rsidR="007E757B">
        <w:rPr>
          <w:szCs w:val="24"/>
        </w:rPr>
        <w:t>'</w:t>
      </w:r>
      <w:r w:rsidRPr="00BC7556">
        <w:rPr>
          <w:szCs w:val="24"/>
        </w:rPr>
        <w:t>information et de la radiodiffusion du Zimbabwe, prononce l</w:t>
      </w:r>
      <w:r w:rsidR="007E757B">
        <w:rPr>
          <w:szCs w:val="24"/>
        </w:rPr>
        <w:t>'</w:t>
      </w:r>
      <w:r w:rsidRPr="00BC7556">
        <w:rPr>
          <w:szCs w:val="24"/>
        </w:rPr>
        <w:t>allocution dont le texte est disponible à l</w:t>
      </w:r>
      <w:r w:rsidR="007E757B">
        <w:rPr>
          <w:szCs w:val="24"/>
        </w:rPr>
        <w:t>'</w:t>
      </w:r>
      <w:r w:rsidRPr="00BC7556">
        <w:rPr>
          <w:szCs w:val="24"/>
        </w:rPr>
        <w:t xml:space="preserve">adresse suivante: </w:t>
      </w:r>
      <w:hyperlink r:id="rId21" w:history="1">
        <w:r w:rsidRPr="00BC7556">
          <w:rPr>
            <w:rStyle w:val="Hyperlink"/>
            <w:szCs w:val="24"/>
          </w:rPr>
          <w:t>http://www.itu.int/en/council/2017/Documents/SR/Zimbabwe.doc</w:t>
        </w:r>
      </w:hyperlink>
      <w:r w:rsidR="007531AE">
        <w:rPr>
          <w:szCs w:val="24"/>
        </w:rPr>
        <w:t>. Il annonce à cette occasion </w:t>
      </w:r>
      <w:r w:rsidRPr="00BC7556">
        <w:rPr>
          <w:szCs w:val="24"/>
        </w:rPr>
        <w:t>que son pays accueillera en juillet 2017 les réunions préparatoires africaines afférentes à la CMDT-17 et à la PP-18.</w:t>
      </w:r>
      <w:bookmarkEnd w:id="8"/>
    </w:p>
    <w:p w:rsidR="0019052D" w:rsidRPr="00BC7556" w:rsidRDefault="0019052D" w:rsidP="00BC7556">
      <w:pPr>
        <w:tabs>
          <w:tab w:val="clear" w:pos="567"/>
          <w:tab w:val="clear" w:pos="1134"/>
          <w:tab w:val="clear" w:pos="1701"/>
          <w:tab w:val="clear" w:pos="2268"/>
          <w:tab w:val="clear" w:pos="2835"/>
        </w:tabs>
        <w:snapToGrid w:val="0"/>
        <w:spacing w:before="840"/>
        <w:rPr>
          <w:szCs w:val="24"/>
        </w:rPr>
      </w:pPr>
      <w:r w:rsidRPr="00BC7556">
        <w:rPr>
          <w:szCs w:val="24"/>
        </w:rPr>
        <w:t>Le Secrétaire-général:</w:t>
      </w:r>
      <w:r w:rsidRPr="00BC7556">
        <w:rPr>
          <w:szCs w:val="24"/>
        </w:rPr>
        <w:tab/>
      </w:r>
      <w:r w:rsidRPr="00BC7556">
        <w:rPr>
          <w:szCs w:val="24"/>
        </w:rPr>
        <w:tab/>
      </w:r>
      <w:r w:rsidRPr="00BC7556">
        <w:rPr>
          <w:szCs w:val="24"/>
        </w:rPr>
        <w:tab/>
      </w:r>
      <w:r w:rsidRPr="00BC7556">
        <w:rPr>
          <w:szCs w:val="24"/>
        </w:rPr>
        <w:tab/>
      </w:r>
      <w:r w:rsidRPr="00BC7556">
        <w:rPr>
          <w:szCs w:val="24"/>
        </w:rPr>
        <w:tab/>
      </w:r>
      <w:r w:rsidR="007531AE">
        <w:rPr>
          <w:szCs w:val="24"/>
        </w:rPr>
        <w:tab/>
      </w:r>
      <w:r w:rsidR="007531AE">
        <w:rPr>
          <w:szCs w:val="24"/>
        </w:rPr>
        <w:tab/>
      </w:r>
      <w:r w:rsidR="007531AE">
        <w:rPr>
          <w:szCs w:val="24"/>
        </w:rPr>
        <w:tab/>
      </w:r>
      <w:r w:rsidRPr="00BC7556">
        <w:rPr>
          <w:szCs w:val="24"/>
        </w:rPr>
        <w:t>La Présidente:</w:t>
      </w:r>
    </w:p>
    <w:p w:rsidR="0019052D" w:rsidRPr="00BC7556" w:rsidRDefault="0019052D" w:rsidP="0019052D">
      <w:pPr>
        <w:tabs>
          <w:tab w:val="clear" w:pos="567"/>
          <w:tab w:val="clear" w:pos="1134"/>
          <w:tab w:val="clear" w:pos="1701"/>
          <w:tab w:val="clear" w:pos="2268"/>
          <w:tab w:val="clear" w:pos="2835"/>
        </w:tabs>
        <w:snapToGrid w:val="0"/>
        <w:spacing w:before="0" w:after="120"/>
        <w:rPr>
          <w:szCs w:val="24"/>
        </w:rPr>
      </w:pPr>
      <w:r w:rsidRPr="00BC7556">
        <w:rPr>
          <w:szCs w:val="24"/>
        </w:rPr>
        <w:t>H. ZHAO</w:t>
      </w:r>
      <w:r w:rsidRPr="00BC7556">
        <w:rPr>
          <w:szCs w:val="24"/>
        </w:rPr>
        <w:tab/>
      </w:r>
      <w:r w:rsidRPr="00BC7556">
        <w:rPr>
          <w:szCs w:val="24"/>
        </w:rPr>
        <w:tab/>
      </w:r>
      <w:r w:rsidRPr="00BC7556">
        <w:rPr>
          <w:szCs w:val="24"/>
        </w:rPr>
        <w:tab/>
      </w:r>
      <w:r w:rsidRPr="00BC7556">
        <w:rPr>
          <w:szCs w:val="24"/>
        </w:rPr>
        <w:tab/>
      </w:r>
      <w:r w:rsidRPr="00BC7556">
        <w:rPr>
          <w:szCs w:val="24"/>
        </w:rPr>
        <w:tab/>
      </w:r>
      <w:r w:rsidRPr="00BC7556">
        <w:rPr>
          <w:szCs w:val="24"/>
        </w:rPr>
        <w:tab/>
      </w:r>
      <w:r w:rsidR="007531AE">
        <w:rPr>
          <w:szCs w:val="24"/>
        </w:rPr>
        <w:tab/>
      </w:r>
      <w:r w:rsidR="007531AE">
        <w:rPr>
          <w:szCs w:val="24"/>
        </w:rPr>
        <w:tab/>
      </w:r>
      <w:r w:rsidR="007531AE">
        <w:rPr>
          <w:szCs w:val="24"/>
        </w:rPr>
        <w:tab/>
      </w:r>
      <w:r w:rsidRPr="00BC7556">
        <w:rPr>
          <w:szCs w:val="24"/>
        </w:rPr>
        <w:t>E. SPINA</w:t>
      </w:r>
    </w:p>
    <w:sectPr w:rsidR="0019052D" w:rsidRPr="00BC7556" w:rsidSect="005C3890">
      <w:headerReference w:type="even" r:id="rId22"/>
      <w:headerReference w:type="default" r:id="rId23"/>
      <w:footerReference w:type="even" r:id="rId24"/>
      <w:footerReference w:type="default" r:id="rId25"/>
      <w:footerReference w:type="first" r:id="rId26"/>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052D" w:rsidRDefault="0019052D">
      <w:r>
        <w:separator/>
      </w:r>
    </w:p>
  </w:endnote>
  <w:endnote w:type="continuationSeparator" w:id="0">
    <w:p w:rsidR="0019052D" w:rsidRDefault="00190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AE3801">
    <w:pPr>
      <w:pStyle w:val="Footer"/>
    </w:pPr>
    <w:r>
      <w:fldChar w:fldCharType="begin"/>
    </w:r>
    <w:r>
      <w:instrText xml:space="preserve"> FILENAME \p \* MERGEFORMAT </w:instrText>
    </w:r>
    <w:r>
      <w:fldChar w:fldCharType="separate"/>
    </w:r>
    <w:r w:rsidR="00E657FC">
      <w:t>P:\FRA\SG\CONSEIL\C17\100\116F.docx</w:t>
    </w:r>
    <w:r>
      <w:fldChar w:fldCharType="end"/>
    </w:r>
    <w:r w:rsidR="00732045">
      <w:tab/>
    </w:r>
    <w:r w:rsidR="002F1B76">
      <w:fldChar w:fldCharType="begin"/>
    </w:r>
    <w:r w:rsidR="00732045">
      <w:instrText xml:space="preserve"> savedate \@ dd.MM.yy </w:instrText>
    </w:r>
    <w:r w:rsidR="002F1B76">
      <w:fldChar w:fldCharType="separate"/>
    </w:r>
    <w:r w:rsidR="007E757B">
      <w:t>09.06.17</w:t>
    </w:r>
    <w:r w:rsidR="002F1B76">
      <w:fldChar w:fldCharType="end"/>
    </w:r>
    <w:r w:rsidR="00732045">
      <w:tab/>
    </w:r>
    <w:r w:rsidR="002F1B76">
      <w:fldChar w:fldCharType="begin"/>
    </w:r>
    <w:r w:rsidR="00732045">
      <w:instrText xml:space="preserve"> printdate \@ dd.MM.yy </w:instrText>
    </w:r>
    <w:r w:rsidR="002F1B76">
      <w:fldChar w:fldCharType="separate"/>
    </w:r>
    <w:r w:rsidR="00E657FC">
      <w:t>09.06.17</w:t>
    </w:r>
    <w:r w:rsidR="002F1B7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Pr="007E757B" w:rsidRDefault="007E757B" w:rsidP="007E757B">
    <w:pPr>
      <w:pStyle w:val="Footer"/>
    </w:pPr>
    <w:r>
      <w:fldChar w:fldCharType="begin"/>
    </w:r>
    <w:r>
      <w:instrText xml:space="preserve"> FILENAME \p \* MERGEFORMAT </w:instrText>
    </w:r>
    <w:r>
      <w:fldChar w:fldCharType="separate"/>
    </w:r>
    <w:r>
      <w:t>P:\FRA\SG\CONSEIL\C17\100\116V2F.docx</w:t>
    </w:r>
    <w:r>
      <w:fldChar w:fldCharType="end"/>
    </w:r>
    <w:r>
      <w:t xml:space="preserve"> (418789)</w:t>
    </w:r>
    <w:r>
      <w:tab/>
    </w:r>
    <w:r>
      <w:fldChar w:fldCharType="begin"/>
    </w:r>
    <w:r>
      <w:instrText xml:space="preserve"> savedate \@ dd.MM.yy </w:instrText>
    </w:r>
    <w:r>
      <w:fldChar w:fldCharType="separate"/>
    </w:r>
    <w:r>
      <w:t>09.06.17</w:t>
    </w:r>
    <w:r>
      <w:fldChar w:fldCharType="end"/>
    </w:r>
    <w:r>
      <w:tab/>
    </w:r>
    <w:r>
      <w:fldChar w:fldCharType="begin"/>
    </w:r>
    <w:r>
      <w:instrText xml:space="preserve"> printdate \@ dd.MM.yy </w:instrText>
    </w:r>
    <w:r>
      <w:fldChar w:fldCharType="separate"/>
    </w:r>
    <w:r>
      <w:t>09.06.17</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732045">
    <w:pPr>
      <w:spacing w:after="120"/>
      <w:jc w:val="center"/>
    </w:pPr>
    <w:r>
      <w:t xml:space="preserve">• </w:t>
    </w:r>
    <w:hyperlink r:id="rId1" w:history="1">
      <w:r>
        <w:rPr>
          <w:rStyle w:val="Hyperlink"/>
        </w:rPr>
        <w:t>http://www.itu.int/council</w:t>
      </w:r>
    </w:hyperlink>
    <w:r>
      <w:t xml:space="preserve"> •</w:t>
    </w:r>
  </w:p>
  <w:p w:rsidR="00732045" w:rsidRDefault="00AE3801">
    <w:pPr>
      <w:pStyle w:val="Footer"/>
    </w:pPr>
    <w:r>
      <w:fldChar w:fldCharType="begin"/>
    </w:r>
    <w:r>
      <w:instrText xml:space="preserve"> FILENAME \p \* MERGEFORMAT </w:instrText>
    </w:r>
    <w:r>
      <w:fldChar w:fldCharType="separate"/>
    </w:r>
    <w:r w:rsidR="007E757B">
      <w:t>P:\FRA\SG\CONSEIL\C17\100\116V2F.docx</w:t>
    </w:r>
    <w:r>
      <w:fldChar w:fldCharType="end"/>
    </w:r>
    <w:r w:rsidR="007E757B">
      <w:t xml:space="preserve"> (418789)</w:t>
    </w:r>
    <w:r w:rsidR="00732045">
      <w:tab/>
    </w:r>
    <w:r w:rsidR="002F1B76">
      <w:fldChar w:fldCharType="begin"/>
    </w:r>
    <w:r w:rsidR="00732045">
      <w:instrText xml:space="preserve"> savedate \@ dd.MM.yy </w:instrText>
    </w:r>
    <w:r w:rsidR="002F1B76">
      <w:fldChar w:fldCharType="separate"/>
    </w:r>
    <w:r w:rsidR="007E757B">
      <w:t>09.06.17</w:t>
    </w:r>
    <w:r w:rsidR="002F1B76">
      <w:fldChar w:fldCharType="end"/>
    </w:r>
    <w:r w:rsidR="00732045">
      <w:tab/>
    </w:r>
    <w:r w:rsidR="002F1B76">
      <w:fldChar w:fldCharType="begin"/>
    </w:r>
    <w:r w:rsidR="00732045">
      <w:instrText xml:space="preserve"> printdate \@ dd.MM.yy </w:instrText>
    </w:r>
    <w:r w:rsidR="002F1B76">
      <w:fldChar w:fldCharType="separate"/>
    </w:r>
    <w:r w:rsidR="00E657FC">
      <w:t>09.06.17</w:t>
    </w:r>
    <w:r w:rsidR="002F1B76">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052D" w:rsidRDefault="0019052D">
      <w:r>
        <w:t>____________________</w:t>
      </w:r>
    </w:p>
  </w:footnote>
  <w:footnote w:type="continuationSeparator" w:id="0">
    <w:p w:rsidR="0019052D" w:rsidRDefault="001905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rsidR="00732045" w:rsidRDefault="00732045">
    <w:pPr>
      <w:pStyle w:val="Header"/>
    </w:pPr>
    <w:r>
      <w:t>C2001/#-F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C27A7C" w:rsidP="00475FB3">
    <w:pPr>
      <w:pStyle w:val="Header"/>
    </w:pPr>
    <w:r>
      <w:fldChar w:fldCharType="begin"/>
    </w:r>
    <w:r>
      <w:instrText>PAGE</w:instrText>
    </w:r>
    <w:r>
      <w:fldChar w:fldCharType="separate"/>
    </w:r>
    <w:r w:rsidR="00E2649C">
      <w:rPr>
        <w:noProof/>
      </w:rPr>
      <w:t>5</w:t>
    </w:r>
    <w:r>
      <w:rPr>
        <w:noProof/>
      </w:rPr>
      <w:fldChar w:fldCharType="end"/>
    </w:r>
  </w:p>
  <w:p w:rsidR="00732045" w:rsidRDefault="00732045" w:rsidP="00BC7556">
    <w:pPr>
      <w:pStyle w:val="Header"/>
    </w:pPr>
    <w:r>
      <w:t>C1</w:t>
    </w:r>
    <w:r w:rsidR="0093234A">
      <w:t>7</w:t>
    </w:r>
    <w:r>
      <w:t>/</w:t>
    </w:r>
    <w:r w:rsidR="00BC7556">
      <w:t>116</w:t>
    </w:r>
    <w:r>
      <w:t>-F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52D"/>
    <w:rsid w:val="000D0D0A"/>
    <w:rsid w:val="00103163"/>
    <w:rsid w:val="00115D93"/>
    <w:rsid w:val="001247A8"/>
    <w:rsid w:val="001378C0"/>
    <w:rsid w:val="0018694A"/>
    <w:rsid w:val="0019052D"/>
    <w:rsid w:val="001A3287"/>
    <w:rsid w:val="001A6508"/>
    <w:rsid w:val="001D4C31"/>
    <w:rsid w:val="001E4D21"/>
    <w:rsid w:val="00207CD1"/>
    <w:rsid w:val="00234DCE"/>
    <w:rsid w:val="002477A2"/>
    <w:rsid w:val="00263A51"/>
    <w:rsid w:val="00267E02"/>
    <w:rsid w:val="002A5D44"/>
    <w:rsid w:val="002E0BC4"/>
    <w:rsid w:val="002F1B76"/>
    <w:rsid w:val="00355FF5"/>
    <w:rsid w:val="00361350"/>
    <w:rsid w:val="004038CB"/>
    <w:rsid w:val="0040546F"/>
    <w:rsid w:val="0042404A"/>
    <w:rsid w:val="0044618F"/>
    <w:rsid w:val="0046769A"/>
    <w:rsid w:val="00475FB3"/>
    <w:rsid w:val="00486B0C"/>
    <w:rsid w:val="004C37A9"/>
    <w:rsid w:val="004F259E"/>
    <w:rsid w:val="00511F1D"/>
    <w:rsid w:val="00520F36"/>
    <w:rsid w:val="00540615"/>
    <w:rsid w:val="00540A6D"/>
    <w:rsid w:val="00571EEA"/>
    <w:rsid w:val="00575417"/>
    <w:rsid w:val="005768E1"/>
    <w:rsid w:val="005C3890"/>
    <w:rsid w:val="005F7BFE"/>
    <w:rsid w:val="00600017"/>
    <w:rsid w:val="006235CA"/>
    <w:rsid w:val="006643AB"/>
    <w:rsid w:val="007210CD"/>
    <w:rsid w:val="00732045"/>
    <w:rsid w:val="007369DB"/>
    <w:rsid w:val="007531AE"/>
    <w:rsid w:val="007956C2"/>
    <w:rsid w:val="007A187E"/>
    <w:rsid w:val="007C72C2"/>
    <w:rsid w:val="007D4436"/>
    <w:rsid w:val="007E757B"/>
    <w:rsid w:val="007F257A"/>
    <w:rsid w:val="007F3665"/>
    <w:rsid w:val="00800037"/>
    <w:rsid w:val="008075E1"/>
    <w:rsid w:val="00861D73"/>
    <w:rsid w:val="008A4E87"/>
    <w:rsid w:val="008D76E6"/>
    <w:rsid w:val="0092392D"/>
    <w:rsid w:val="0093234A"/>
    <w:rsid w:val="009C307F"/>
    <w:rsid w:val="00A2113E"/>
    <w:rsid w:val="00A23A51"/>
    <w:rsid w:val="00A24607"/>
    <w:rsid w:val="00A25CD3"/>
    <w:rsid w:val="00A82767"/>
    <w:rsid w:val="00AA332F"/>
    <w:rsid w:val="00AA7BBB"/>
    <w:rsid w:val="00AB64A8"/>
    <w:rsid w:val="00AC0266"/>
    <w:rsid w:val="00AD24EC"/>
    <w:rsid w:val="00B309F9"/>
    <w:rsid w:val="00B32B60"/>
    <w:rsid w:val="00B61619"/>
    <w:rsid w:val="00BB4545"/>
    <w:rsid w:val="00BC7556"/>
    <w:rsid w:val="00BD5873"/>
    <w:rsid w:val="00C04BE3"/>
    <w:rsid w:val="00C25D29"/>
    <w:rsid w:val="00C27A7C"/>
    <w:rsid w:val="00C41447"/>
    <w:rsid w:val="00CA0589"/>
    <w:rsid w:val="00CA08ED"/>
    <w:rsid w:val="00CF183B"/>
    <w:rsid w:val="00D375CD"/>
    <w:rsid w:val="00D553A2"/>
    <w:rsid w:val="00D774D3"/>
    <w:rsid w:val="00D904E8"/>
    <w:rsid w:val="00DA08C3"/>
    <w:rsid w:val="00DB5A3E"/>
    <w:rsid w:val="00DC22AA"/>
    <w:rsid w:val="00DF74DD"/>
    <w:rsid w:val="00E25AD0"/>
    <w:rsid w:val="00E2649C"/>
    <w:rsid w:val="00E657FC"/>
    <w:rsid w:val="00EB6350"/>
    <w:rsid w:val="00F02068"/>
    <w:rsid w:val="00F15B57"/>
    <w:rsid w:val="00F427DB"/>
    <w:rsid w:val="00F83569"/>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A13F8E74-EAAC-409C-A3DF-ABBD6C654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uiPriority w:val="39"/>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uiPriority w:val="99"/>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17-CL-C-0049/fr" TargetMode="External"/><Relationship Id="rId13" Type="http://schemas.openxmlformats.org/officeDocument/2006/relationships/hyperlink" Target="https://www.itu.int/md/S17-CL-C-0010/fr" TargetMode="External"/><Relationship Id="rId18" Type="http://schemas.openxmlformats.org/officeDocument/2006/relationships/hyperlink" Target="http://www.itu.int/en/council/2017/Documents/SR/China.pdf"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yperlink" Target="http://www.itu.int/en/council/2017/Documents/SR/Zimbabwe.doc" TargetMode="External"/><Relationship Id="rId7" Type="http://schemas.openxmlformats.org/officeDocument/2006/relationships/image" Target="media/image1.jpeg"/><Relationship Id="rId12" Type="http://schemas.openxmlformats.org/officeDocument/2006/relationships/hyperlink" Target="https://www.itu.int/md/S17-CL-C-0047/fr" TargetMode="External"/><Relationship Id="rId17" Type="http://schemas.openxmlformats.org/officeDocument/2006/relationships/hyperlink" Target="https://www.itu.int/md/S17-CL-C-0008/fr"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www.itu.int/md/S17-CL-C-0111/fr" TargetMode="External"/><Relationship Id="rId20" Type="http://schemas.openxmlformats.org/officeDocument/2006/relationships/hyperlink" Target="https://www.itu.int/md/S17-CL-C-0010/fr"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itu.int/md/S17-CL-C-0008/fr"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itu.int/md/S17-CL-C-0075/fr"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hyperlink" Target="https://www.itu.int/md/S17-CL-C-0111/fr" TargetMode="External"/><Relationship Id="rId19" Type="http://schemas.openxmlformats.org/officeDocument/2006/relationships/hyperlink" Target="https://www.itu.int/md/S17-CL-C-0047/fr" TargetMode="External"/><Relationship Id="rId4" Type="http://schemas.openxmlformats.org/officeDocument/2006/relationships/webSettings" Target="webSettings.xml"/><Relationship Id="rId9" Type="http://schemas.openxmlformats.org/officeDocument/2006/relationships/hyperlink" Target="https://www.itu.int/md/S17-CL-C-0075/fr" TargetMode="External"/><Relationship Id="rId14" Type="http://schemas.openxmlformats.org/officeDocument/2006/relationships/hyperlink" Target="https://www.itu.int/md/S17-CL-C-0049/fr" TargetMode="External"/><Relationship Id="rId22" Type="http://schemas.openxmlformats.org/officeDocument/2006/relationships/header" Target="header1.xml"/><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ntemps\AppData\Roaming\Microsoft\Templates\POOL%20F%20-%20ITU\PF_C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F1D574-DA7D-4222-9B10-7EE86EBC8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PF_C17.dotx</Template>
  <TotalTime>116</TotalTime>
  <Pages>5</Pages>
  <Words>1901</Words>
  <Characters>11161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13036</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Conseil 2010</dc:subject>
  <dc:creator>Bontemps, Johann</dc:creator>
  <cp:keywords>C2010, C10</cp:keywords>
  <dc:description>Document C17/-F  Pour: _x000d_Date du document: janvier 2017_x000d_Enregistré par ITU51009317 à 15:30:24 le 06/04/2017</dc:description>
  <cp:lastModifiedBy>Royer, Veronique</cp:lastModifiedBy>
  <cp:revision>5</cp:revision>
  <cp:lastPrinted>2017-06-09T12:40:00Z</cp:lastPrinted>
  <dcterms:created xsi:type="dcterms:W3CDTF">2017-06-09T11:58:00Z</dcterms:created>
  <dcterms:modified xsi:type="dcterms:W3CDTF">2017-06-12T08:25:00Z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