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423AD0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61622F">
              <w:rPr>
                <w:b/>
                <w:bCs/>
              </w:rPr>
              <w:t>13</w:t>
            </w:r>
            <w:r w:rsidR="00423AD0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5C37D5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61622F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6" w:name="dsource" w:colFirst="0" w:colLast="0"/>
            <w:bookmarkEnd w:id="5"/>
          </w:p>
        </w:tc>
      </w:tr>
    </w:tbl>
    <w:bookmarkEnd w:id="6"/>
    <w:p w:rsidR="00BF56D2" w:rsidRDefault="00BF56D2" w:rsidP="00423AD0">
      <w:pPr>
        <w:pStyle w:val="RecNo"/>
      </w:pPr>
      <w:r w:rsidRPr="001F6C48">
        <w:t>D</w:t>
      </w:r>
      <w:r w:rsidR="00423AD0">
        <w:t>É</w:t>
      </w:r>
      <w:r w:rsidRPr="001F6C48">
        <w:t>CISION</w:t>
      </w:r>
      <w:r w:rsidR="00423AD0">
        <w:t xml:space="preserve"> 602</w:t>
      </w:r>
    </w:p>
    <w:p w:rsidR="003779A7" w:rsidRPr="00530579" w:rsidRDefault="003779A7" w:rsidP="003779A7">
      <w:pPr>
        <w:pStyle w:val="Restitle"/>
        <w:rPr>
          <w:b w:val="0"/>
          <w:bCs/>
        </w:rPr>
      </w:pPr>
      <w:r w:rsidRPr="00530579">
        <w:rPr>
          <w:b w:val="0"/>
          <w:bCs/>
        </w:rPr>
        <w:t>(adoptée à la dixième Séance plénière)</w:t>
      </w:r>
    </w:p>
    <w:p w:rsidR="00BF56D2" w:rsidRPr="001F6C48" w:rsidRDefault="00BF56D2" w:rsidP="00BF56D2">
      <w:pPr>
        <w:pStyle w:val="Rectitle"/>
      </w:pPr>
      <w:r w:rsidRPr="001F6C48">
        <w:t>Passation par pertes et profits d'intérêts moratoires et</w:t>
      </w:r>
      <w:r w:rsidRPr="001F6C48">
        <w:br/>
        <w:t>de créances irrécupérables</w:t>
      </w:r>
    </w:p>
    <w:p w:rsidR="00BF56D2" w:rsidRPr="00C868B7" w:rsidRDefault="00BF56D2" w:rsidP="00BF56D2">
      <w:pPr>
        <w:pStyle w:val="Normalaftertitle1"/>
        <w:rPr>
          <w:rFonts w:asciiTheme="minorHAnsi" w:hAnsiTheme="minorHAnsi"/>
          <w:sz w:val="24"/>
          <w:lang w:val="fr-CH"/>
        </w:rPr>
      </w:pPr>
      <w:r w:rsidRPr="00C868B7">
        <w:rPr>
          <w:rFonts w:asciiTheme="minorHAnsi" w:hAnsiTheme="minorHAnsi"/>
          <w:sz w:val="24"/>
          <w:lang w:val="fr-CH"/>
        </w:rPr>
        <w:t>Le Conseil,</w:t>
      </w:r>
    </w:p>
    <w:p w:rsidR="00BF56D2" w:rsidRPr="001F6C48" w:rsidRDefault="00BF56D2" w:rsidP="00BF56D2">
      <w:pPr>
        <w:pStyle w:val="Call"/>
      </w:pPr>
      <w:r w:rsidRPr="001F6C48">
        <w:t>ayant examiné</w:t>
      </w:r>
    </w:p>
    <w:p w:rsidR="00BF56D2" w:rsidRPr="001F6C48" w:rsidRDefault="00BF56D2" w:rsidP="00BF56D2">
      <w:pPr>
        <w:rPr>
          <w:szCs w:val="24"/>
        </w:rPr>
      </w:pPr>
      <w:r w:rsidRPr="001F6C48">
        <w:t>le Rapport du Secrétaire général sur les arriérés et comptes spéciaux d'arriérés (Document C17/11)</w:t>
      </w:r>
      <w:r w:rsidRPr="001F6C48">
        <w:rPr>
          <w:szCs w:val="24"/>
        </w:rPr>
        <w:t>,</w:t>
      </w:r>
    </w:p>
    <w:p w:rsidR="00BF56D2" w:rsidRPr="001F6C48" w:rsidRDefault="00BF56D2" w:rsidP="00BF56D2">
      <w:pPr>
        <w:pStyle w:val="Call"/>
      </w:pPr>
      <w:r w:rsidRPr="001F6C48">
        <w:t>décide</w:t>
      </w:r>
    </w:p>
    <w:p w:rsidR="00BF56D2" w:rsidRPr="001F6C48" w:rsidRDefault="00BF56D2" w:rsidP="00BF56D2">
      <w:r w:rsidRPr="001F6C48">
        <w:t xml:space="preserve">d'approuver la passation par pertes et profits des intérêts moratoires et des créances irrécupérables suivants pour un montant total de </w:t>
      </w:r>
      <w:r w:rsidRPr="001F6C48">
        <w:rPr>
          <w:b/>
          <w:bCs/>
        </w:rPr>
        <w:t xml:space="preserve">CHF 3 007 187,45 </w:t>
      </w:r>
      <w:r w:rsidRPr="001F6C48">
        <w:t>par un prélèvement correspondant de la Provision pour comptes débiteurs: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 xml:space="preserve">Honduras, pour un montant de CHF 66 777,85 au titre des intérêts moratoires sur les contributions de 2009 </w:t>
      </w:r>
      <w:r w:rsidRPr="001F6C48">
        <w:rPr>
          <w:lang w:val="fr-CH"/>
        </w:rPr>
        <w:t>à 2016</w:t>
      </w:r>
      <w:r w:rsidRPr="001F6C48">
        <w:t>.</w:t>
      </w:r>
    </w:p>
    <w:p w:rsidR="00BF56D2" w:rsidRPr="001F6C48" w:rsidRDefault="00BF56D2" w:rsidP="00BF56D2">
      <w:pPr>
        <w:pStyle w:val="enumlev1"/>
      </w:pPr>
      <w:r>
        <w:t>•</w:t>
      </w:r>
      <w:r>
        <w:tab/>
      </w:r>
      <w:r w:rsidRPr="001F6C48">
        <w:t>Iran, pour un montant de CHF 78 245,50 au titre des intérêts moratoires sur les contributions de 2013 à 2015.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Iles Marshall, pour un montant de CHF 695 666,95 au titre des intérêts moratoires sur les contributions de 2001 à 2015.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Pakistan, </w:t>
      </w:r>
      <w:r w:rsidRPr="001F6C48">
        <w:t>pour un montant de CHF 149 022,75 au titre des intérêts moratoires sur les contributions de 2009 à 2016.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>Mitsubishi Electric Research, Etats-Unis d’Amérique, p</w:t>
      </w:r>
      <w:r w:rsidRPr="001F6C48">
        <w:t>our un montant de CHF 5 000,20 au titre des intérêts moratoires sur la contribution de 2009.</w:t>
      </w:r>
    </w:p>
    <w:p w:rsidR="00BF56D2" w:rsidRPr="001F6C48" w:rsidRDefault="00BF56D2" w:rsidP="00BF56D2">
      <w:pPr>
        <w:pStyle w:val="enumlev1"/>
      </w:pPr>
      <w:r>
        <w:t>•</w:t>
      </w:r>
      <w:r>
        <w:tab/>
      </w:r>
      <w:r w:rsidRPr="001F6C48">
        <w:t>Cynapsys, Turquie, pour un montant de CHF 1 101,50 au titre des intérêts moratoires sur les contributions de 2008 et 2009.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Cámara de Informática y Comunicaciones de la República de Argentina (CICOMRA), Argentine, pour un montant de CHF 11 392,20 au titre des contributions (CHF 4 921,85) et intérêts moratoires (CHF 6 470,35) de 2002 et 2003.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The Cyber Guardian Pty Ltd., Australie, </w:t>
      </w:r>
      <w:r w:rsidRPr="001F6C48">
        <w:t>pour un montant de CHF 8 944,45 au titre des contributions (CHF 7 950,00) et intérêts moratoires (CHF 994,45) de 2013 et 2014.</w:t>
      </w:r>
    </w:p>
    <w:p w:rsidR="00BF56D2" w:rsidRPr="001F6C48" w:rsidRDefault="00BF56D2" w:rsidP="00BF56D2">
      <w:pPr>
        <w:pStyle w:val="enumlev1"/>
      </w:pPr>
      <w:r w:rsidRPr="001F6C48">
        <w:lastRenderedPageBreak/>
        <w:t>•</w:t>
      </w:r>
      <w:r w:rsidRPr="001F6C48">
        <w:tab/>
        <w:t>Auro Technologies, Belgique, pour un montant de CHF 18 246,75 au titre des contributions (CHF 15 016,50) et intérêts moratoires (CHF 3 230,25) de 2013 et 2014.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Intelig Telecomunicaçoes Ltda., Brésil, pour un montant de CHF 149 549,90 au titre des contributions (CHF 60 375,00) et intérêts moratoires (CHF 89 174,90) de 2000 à et 2002.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Oi (Tele Norte Leste Participaçoes S.A.), Brésil, pour </w:t>
      </w:r>
      <w:r w:rsidRPr="001F6C48">
        <w:t>un montant de CHF 355 962,20 au titre des contributions (CHF 190 825,00) et intérêts moratoires (CHF 165 137,20) de 2005 à 2007.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Luxpert, Corée (Rép. de), </w:t>
      </w:r>
      <w:r w:rsidRPr="001F6C48">
        <w:t>pour un montant de CHF 17 630,55 au titre des contributions (CHF 13 249,50) et intérêts moratoires (CHF 4 381,05) de 2010 et 2011.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Sakhr Software Co, Egypte, pour un montant de CHF 9 333,80 au titre des contributions (CHF 5 300,00) et intérêts moratoires (CHF 4 033,80) de 2006 et 2007.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Quantum Group Int. Inc., Etats-Unis d’Amérique, </w:t>
      </w:r>
      <w:r w:rsidRPr="001F6C48">
        <w:t>pour un montant de CHF 47 994,15 au titre des contributions (CHF 39 750,00) et intérêts moratoires (CHF 8 244,15) de 2013 et 2014.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Sunrise Telecom Incorporated, Etats-Unis d’Amérique, </w:t>
      </w:r>
      <w:r w:rsidRPr="001F6C48">
        <w:t>pour un montant de CHF 20 826,15 au titre des contributions (CHF 15 900,00) et intérêts moratoires (CHF 4 926,15) de 2012.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Guadeloupe Téléphone Mobile, France, pour un montant de CHF 28 667,35 au titre des contributions (CHF 18 218,25) et intérêts moratoires (CHF 10 449,10) de 2008 et 2009.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Guyane Téléphone Mobile, France, pour un montant de CHF 30 561,95 au titre des contributions (CHF 19 432,80) et intérêts moratoires (CHF 11 129,15) de 2008 et 2009.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Martinique Téléphone Mobile, France, pour un montant de CHF 30 561,95 au titre des contributions (CHF 19 432,80) et intérêts moratoires (CHF 11 129,15) de 2008 et 2009.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AudioCodes Ltd., Israël, pour un montant de CHF 41 652,20 au titre des contributions (CHF 31 800,00) et intérêts moratoires (CHF 9 852,20) de 2012.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ECI Telecom Ltd., Israël, pour un montant de CHF 91 103,80 au titre des contributions (CHF 38 718,75) et intérêts moratoires (CHF 52 385,05) de 2000 à 2004.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Golden Lines International Communications Services Ltd., Israël, pour un montant de CHF 168 545,00 au titre des contributions (CHF 73 500,00) et intérêts moratoires (CHF 95 045,00) de 2001 à 2003.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Blu S.p.A., Italie, pour un montant de CHF 144 085,10 au titre des contributions</w:t>
      </w:r>
    </w:p>
    <w:p w:rsidR="00BF56D2" w:rsidRPr="001F6C48" w:rsidRDefault="00BF56D2" w:rsidP="00BF56D2">
      <w:pPr>
        <w:pStyle w:val="enumlev1"/>
      </w:pPr>
      <w:r w:rsidRPr="001F6C48">
        <w:tab/>
        <w:t>(CHF 63 000,00) et intérêts moratoires (CHF 81 085,10) de 2001 à 2003.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ELSAG S.p.A., Italie, pour un montant de CHF 84 662,70 au titre des contributions (CHF 34 125,00) et intérêts moratoires (CHF 50 537,70) de 1998 à 2002.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Polo Tecnologico Di Stato Carlo Cattaneo, Italie, pour un montant de CHF 202 126,60 au titre des contributions (CHF 89 250,00) et intérêts moratoires (CHF 112 876,60) de 2001 à 2004.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Okinawa Photonics, Inc., Japon, pour un montant de CHF 99 421,25 au titre des contributions (CHF 50 850,00) et intérêts moratoires (CHF 48 571,25) de 2002 à 2006.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Embedded Wireless Labs Sdn Bhd., Malaisie, pour un montant de CHF 13 540,70</w:t>
      </w:r>
      <w:r w:rsidRPr="001F6C48">
        <w:rPr>
          <w:rFonts w:eastAsia="SimSun"/>
          <w:szCs w:val="24"/>
          <w:lang w:eastAsia="zh-CN"/>
        </w:rPr>
        <w:t xml:space="preserve"> </w:t>
      </w:r>
      <w:r w:rsidRPr="001F6C48">
        <w:t>au titre des contributions (CHF 7 950,00) et intérêts moratoires (CHF 5 590,70) de 2006 et 2007.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Agilent Technologies UK Limited, Royaume Uni, pour un montant de CHF 49 237,05 au titre des contributions (CHF 26 500,00) et intérêts moratoires (CHF 22 737,05) de 2006.</w:t>
      </w:r>
    </w:p>
    <w:p w:rsidR="00BF56D2" w:rsidRPr="001F6C48" w:rsidRDefault="00BF56D2" w:rsidP="00BF56D2">
      <w:pPr>
        <w:pStyle w:val="enumlev1"/>
      </w:pPr>
      <w:r w:rsidRPr="001F6C48">
        <w:lastRenderedPageBreak/>
        <w:t>•</w:t>
      </w:r>
      <w:r w:rsidRPr="001F6C48">
        <w:tab/>
        <w:t>International Telemedia Association, Royaume-Uni, pour un montant de CHF 73 950,00 au titre des contributions (CHF 29 091,65) et intérêts morat</w:t>
      </w:r>
      <w:r w:rsidR="00C868B7">
        <w:t>oires (CHF 44 858,35) de 1998 à </w:t>
      </w:r>
      <w:r w:rsidRPr="001F6C48">
        <w:t>2002.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 xml:space="preserve">Sotecna </w:t>
      </w:r>
      <w:r w:rsidRPr="001F6C48">
        <w:rPr>
          <w:lang w:val="fr-CH"/>
        </w:rPr>
        <w:t>&amp; GSA Services Company Ltd., Soudan, p</w:t>
      </w:r>
      <w:r w:rsidRPr="001F6C48">
        <w:t>our un montant de CHF 5 595,85 au titre des contributions (CHF 4 637,50) et intérêts moratoires (CHF 958,35) de 2014.</w:t>
      </w:r>
    </w:p>
    <w:p w:rsidR="00BF56D2" w:rsidRPr="001F6C48" w:rsidRDefault="00BF56D2" w:rsidP="00BF56D2">
      <w:pPr>
        <w:pStyle w:val="enumlev1"/>
      </w:pPr>
      <w:r w:rsidRPr="001F6C48">
        <w:t>•</w:t>
      </w:r>
      <w:r w:rsidRPr="001F6C48">
        <w:tab/>
        <w:t>The People’s Vision SARL, Suisse, pour un montant de CHF 20 992,45 au titre des contributions (CHF 18 550,00) et intérêts moratoires (CHF 2 442,45) de 2013 et 2014.</w:t>
      </w:r>
    </w:p>
    <w:p w:rsidR="00BF56D2" w:rsidRPr="001F6C48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Tchad Mobile S.A., Tchad, </w:t>
      </w:r>
      <w:r w:rsidRPr="001F6C48">
        <w:t>pour un montant de CHF 30 485,30 au titre des contributions (CHF 15 825,00) et intérêts moratoires (CHF 14 660,30) de 2003 à 2007.</w:t>
      </w:r>
    </w:p>
    <w:p w:rsidR="00BF56D2" w:rsidRPr="001F6C48" w:rsidRDefault="00BF56D2" w:rsidP="00C868B7">
      <w:pPr>
        <w:pStyle w:val="enumlev1"/>
      </w:pPr>
      <w:r w:rsidRPr="001F6C48">
        <w:t>•</w:t>
      </w:r>
      <w:r w:rsidRPr="001F6C48">
        <w:tab/>
        <w:t>Organisation Congress Travel (OCT), Turquie, pour un montant d</w:t>
      </w:r>
      <w:r w:rsidR="00C868B7">
        <w:t>e CHF 2 200,00 au titre d’une "</w:t>
      </w:r>
      <w:r w:rsidRPr="001F6C48">
        <w:t>facture diverse</w:t>
      </w:r>
      <w:r w:rsidR="00C868B7">
        <w:t>"</w:t>
      </w:r>
      <w:r w:rsidRPr="001F6C48">
        <w:t xml:space="preserve"> de 2012 concernant des frais de voyage.</w:t>
      </w:r>
    </w:p>
    <w:p w:rsidR="00BF56D2" w:rsidRDefault="00BF56D2" w:rsidP="00BF56D2">
      <w:pPr>
        <w:pStyle w:val="enumlev1"/>
      </w:pPr>
      <w:r w:rsidRPr="001F6C48">
        <w:rPr>
          <w:lang w:val="fr-CH"/>
        </w:rPr>
        <w:t>•</w:t>
      </w:r>
      <w:r w:rsidRPr="001F6C48">
        <w:rPr>
          <w:lang w:val="fr-CH"/>
        </w:rPr>
        <w:tab/>
        <w:t xml:space="preserve">TeleAccess Zimbabwe Private Ltd., Zimbabwe, </w:t>
      </w:r>
      <w:r w:rsidRPr="001F6C48">
        <w:t xml:space="preserve">pour un montant de CHF 254 103,30 au titre </w:t>
      </w:r>
      <w:bookmarkStart w:id="7" w:name="_GoBack"/>
      <w:bookmarkEnd w:id="7"/>
      <w:r w:rsidRPr="001F6C48">
        <w:t xml:space="preserve">des contributions (CHF 128 343,75) et intérêts moratoires (CHF 125 759,55) de 2003 </w:t>
      </w:r>
      <w:r w:rsidRPr="001F6C48">
        <w:rPr>
          <w:lang w:val="fr-CH"/>
        </w:rPr>
        <w:t>à</w:t>
      </w:r>
      <w:r w:rsidRPr="001F6C48">
        <w:t xml:space="preserve"> 2006.</w:t>
      </w:r>
    </w:p>
    <w:p w:rsidR="00BF56D2" w:rsidRDefault="00BF56D2" w:rsidP="00BF56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423AD0" w:rsidRPr="00423AD0" w:rsidRDefault="00423AD0" w:rsidP="00423A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sectPr w:rsidR="00423AD0" w:rsidRPr="00423AD0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423AD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273F0">
      <w:t>P:\FRA\SG\CONSEIL\C17\100\120F.docx</w:t>
    </w:r>
    <w:r>
      <w:fldChar w:fldCharType="end"/>
    </w:r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3779A7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D0" w:rsidRDefault="00423AD0" w:rsidP="00423AD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68B7" w:rsidRPr="00423AD0" w:rsidRDefault="00C868B7" w:rsidP="0042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23AD0">
      <w:rPr>
        <w:noProof/>
      </w:rPr>
      <w:t>2</w:t>
    </w:r>
    <w:r>
      <w:rPr>
        <w:noProof/>
      </w:rPr>
      <w:fldChar w:fldCharType="end"/>
    </w:r>
  </w:p>
  <w:p w:rsidR="00C868B7" w:rsidRDefault="00C868B7" w:rsidP="00423AD0">
    <w:pPr>
      <w:pStyle w:val="Header"/>
    </w:pPr>
    <w:r>
      <w:t>C17/1</w:t>
    </w:r>
    <w:r w:rsidR="00423AD0">
      <w:t>36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3501A"/>
    <w:rsid w:val="00340907"/>
    <w:rsid w:val="00355FF5"/>
    <w:rsid w:val="00361350"/>
    <w:rsid w:val="003779A7"/>
    <w:rsid w:val="004038CB"/>
    <w:rsid w:val="0040546F"/>
    <w:rsid w:val="00411054"/>
    <w:rsid w:val="00423AD0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677F"/>
    <w:rsid w:val="008D76E6"/>
    <w:rsid w:val="00902303"/>
    <w:rsid w:val="00920858"/>
    <w:rsid w:val="0092392D"/>
    <w:rsid w:val="0093234A"/>
    <w:rsid w:val="00984C6B"/>
    <w:rsid w:val="009B2537"/>
    <w:rsid w:val="009C307F"/>
    <w:rsid w:val="009E5266"/>
    <w:rsid w:val="00A1482B"/>
    <w:rsid w:val="00A2113E"/>
    <w:rsid w:val="00A23A51"/>
    <w:rsid w:val="00A24607"/>
    <w:rsid w:val="00A25CD3"/>
    <w:rsid w:val="00A44E52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25D29"/>
    <w:rsid w:val="00C273F0"/>
    <w:rsid w:val="00C27A7C"/>
    <w:rsid w:val="00C32E6C"/>
    <w:rsid w:val="00C4390D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A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779A7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3779A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3779A7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3779A7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779A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779A7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3779A7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3779A7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3779A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779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79A7"/>
  </w:style>
  <w:style w:type="paragraph" w:styleId="TOC8">
    <w:name w:val="toc 8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3779A7"/>
    <w:pPr>
      <w:ind w:left="1698"/>
    </w:pPr>
  </w:style>
  <w:style w:type="paragraph" w:styleId="Index6">
    <w:name w:val="index 6"/>
    <w:basedOn w:val="Normal"/>
    <w:next w:val="Normal"/>
    <w:rsid w:val="003779A7"/>
    <w:pPr>
      <w:ind w:left="1415"/>
    </w:pPr>
  </w:style>
  <w:style w:type="paragraph" w:styleId="Index5">
    <w:name w:val="index 5"/>
    <w:basedOn w:val="Normal"/>
    <w:next w:val="Normal"/>
    <w:rsid w:val="003779A7"/>
    <w:pPr>
      <w:ind w:left="1132"/>
    </w:pPr>
  </w:style>
  <w:style w:type="paragraph" w:styleId="Index4">
    <w:name w:val="index 4"/>
    <w:basedOn w:val="Normal"/>
    <w:next w:val="Normal"/>
    <w:rsid w:val="003779A7"/>
    <w:pPr>
      <w:ind w:left="849"/>
    </w:pPr>
  </w:style>
  <w:style w:type="paragraph" w:styleId="Index3">
    <w:name w:val="index 3"/>
    <w:basedOn w:val="Normal"/>
    <w:next w:val="Normal"/>
    <w:rsid w:val="003779A7"/>
    <w:pPr>
      <w:ind w:left="566"/>
    </w:pPr>
  </w:style>
  <w:style w:type="paragraph" w:styleId="Index2">
    <w:name w:val="index 2"/>
    <w:basedOn w:val="Normal"/>
    <w:next w:val="Normal"/>
    <w:rsid w:val="003779A7"/>
    <w:pPr>
      <w:ind w:left="283"/>
    </w:pPr>
  </w:style>
  <w:style w:type="paragraph" w:styleId="Index1">
    <w:name w:val="index 1"/>
    <w:basedOn w:val="Normal"/>
    <w:next w:val="Normal"/>
    <w:rsid w:val="003779A7"/>
  </w:style>
  <w:style w:type="character" w:styleId="LineNumber">
    <w:name w:val="line number"/>
    <w:basedOn w:val="DefaultParagraphFont"/>
    <w:rsid w:val="003779A7"/>
  </w:style>
  <w:style w:type="paragraph" w:styleId="IndexHeading">
    <w:name w:val="index heading"/>
    <w:basedOn w:val="Normal"/>
    <w:next w:val="Index1"/>
    <w:rsid w:val="003779A7"/>
  </w:style>
  <w:style w:type="paragraph" w:styleId="Footer">
    <w:name w:val="footer"/>
    <w:aliases w:val="footer odd,fo,footer"/>
    <w:basedOn w:val="Normal"/>
    <w:link w:val="FooterChar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3779A7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3779A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779A7"/>
    <w:pPr>
      <w:ind w:left="567"/>
    </w:pPr>
  </w:style>
  <w:style w:type="paragraph" w:customStyle="1" w:styleId="enumlev1">
    <w:name w:val="enumlev1"/>
    <w:basedOn w:val="Normal"/>
    <w:link w:val="enumlev1Char"/>
    <w:rsid w:val="003779A7"/>
    <w:pPr>
      <w:spacing w:before="86"/>
      <w:ind w:left="567" w:hanging="567"/>
    </w:pPr>
  </w:style>
  <w:style w:type="paragraph" w:customStyle="1" w:styleId="enumlev2">
    <w:name w:val="enumlev2"/>
    <w:basedOn w:val="enumlev1"/>
    <w:rsid w:val="003779A7"/>
    <w:pPr>
      <w:ind w:left="1134"/>
    </w:pPr>
  </w:style>
  <w:style w:type="paragraph" w:customStyle="1" w:styleId="enumlev3">
    <w:name w:val="enumlev3"/>
    <w:basedOn w:val="enumlev2"/>
    <w:rsid w:val="003779A7"/>
    <w:pPr>
      <w:ind w:left="1701"/>
    </w:pPr>
  </w:style>
  <w:style w:type="paragraph" w:customStyle="1" w:styleId="Equation">
    <w:name w:val="Equation"/>
    <w:basedOn w:val="Normal"/>
    <w:rsid w:val="003779A7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779A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3779A7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3779A7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3779A7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779A7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3779A7"/>
  </w:style>
  <w:style w:type="paragraph" w:customStyle="1" w:styleId="meeting">
    <w:name w:val="meeting"/>
    <w:basedOn w:val="Head"/>
    <w:next w:val="Head"/>
    <w:rsid w:val="003779A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779A7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3779A7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3779A7"/>
  </w:style>
  <w:style w:type="paragraph" w:customStyle="1" w:styleId="Data">
    <w:name w:val="Data"/>
    <w:basedOn w:val="Subject"/>
    <w:next w:val="Subject"/>
    <w:rsid w:val="003779A7"/>
  </w:style>
  <w:style w:type="paragraph" w:customStyle="1" w:styleId="Headingb">
    <w:name w:val="Heading_b"/>
    <w:basedOn w:val="Heading3"/>
    <w:next w:val="Normal"/>
    <w:rsid w:val="003779A7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3779A7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3779A7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3779A7"/>
    <w:rPr>
      <w:caps w:val="0"/>
    </w:rPr>
  </w:style>
  <w:style w:type="paragraph" w:customStyle="1" w:styleId="Note">
    <w:name w:val="Note"/>
    <w:basedOn w:val="Normal"/>
    <w:rsid w:val="003779A7"/>
    <w:pPr>
      <w:spacing w:before="80"/>
    </w:pPr>
  </w:style>
  <w:style w:type="paragraph" w:styleId="TOC9">
    <w:name w:val="toc 9"/>
    <w:basedOn w:val="Normal"/>
    <w:next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3779A7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779A7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3779A7"/>
    <w:rPr>
      <w:color w:val="0000FF"/>
      <w:u w:val="single"/>
    </w:rPr>
  </w:style>
  <w:style w:type="character" w:styleId="FollowedHyperlink">
    <w:name w:val="FollowedHyperlink"/>
    <w:basedOn w:val="DefaultParagraphFont"/>
    <w:rsid w:val="003779A7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3779A7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3779A7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3779A7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3779A7"/>
  </w:style>
  <w:style w:type="paragraph" w:customStyle="1" w:styleId="Appendixref">
    <w:name w:val="Appendix_ref"/>
    <w:basedOn w:val="Annexref"/>
    <w:next w:val="Appendixtitle"/>
    <w:rsid w:val="003779A7"/>
  </w:style>
  <w:style w:type="paragraph" w:customStyle="1" w:styleId="Appendixtitle">
    <w:name w:val="Appendix_title"/>
    <w:basedOn w:val="Annextitle"/>
    <w:next w:val="Normal"/>
    <w:rsid w:val="003779A7"/>
  </w:style>
  <w:style w:type="paragraph" w:customStyle="1" w:styleId="Artheading">
    <w:name w:val="Art_heading"/>
    <w:basedOn w:val="Normal"/>
    <w:next w:val="Normalaftertitle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779A7"/>
  </w:style>
  <w:style w:type="paragraph" w:customStyle="1" w:styleId="Chaptitle">
    <w:name w:val="Chap_title"/>
    <w:basedOn w:val="Arttitle"/>
    <w:next w:val="Normal"/>
    <w:rsid w:val="003779A7"/>
  </w:style>
  <w:style w:type="paragraph" w:customStyle="1" w:styleId="Equationlegend">
    <w:name w:val="Equation_legend"/>
    <w:basedOn w:val="NormalIndent"/>
    <w:rsid w:val="003779A7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3779A7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3779A7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3779A7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3779A7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3779A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779A7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3779A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779A7"/>
  </w:style>
  <w:style w:type="paragraph" w:customStyle="1" w:styleId="Partref">
    <w:name w:val="Part_ref"/>
    <w:basedOn w:val="Annexref"/>
    <w:next w:val="Normalaftertitle"/>
    <w:rsid w:val="003779A7"/>
  </w:style>
  <w:style w:type="paragraph" w:customStyle="1" w:styleId="Parttitle">
    <w:name w:val="Part_title"/>
    <w:basedOn w:val="Annextitle"/>
    <w:next w:val="Partref"/>
    <w:rsid w:val="003779A7"/>
  </w:style>
  <w:style w:type="paragraph" w:customStyle="1" w:styleId="RecNo">
    <w:name w:val="Rec_No"/>
    <w:basedOn w:val="Normal"/>
    <w:next w:val="Rectitle"/>
    <w:rsid w:val="003779A7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3779A7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3779A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779A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79A7"/>
  </w:style>
  <w:style w:type="paragraph" w:customStyle="1" w:styleId="QuestionNo">
    <w:name w:val="Question_No"/>
    <w:basedOn w:val="RecNo"/>
    <w:next w:val="Questiontitle"/>
    <w:rsid w:val="003779A7"/>
  </w:style>
  <w:style w:type="paragraph" w:customStyle="1" w:styleId="Questionref">
    <w:name w:val="Question_ref"/>
    <w:basedOn w:val="Recref"/>
    <w:next w:val="Questiondate"/>
    <w:rsid w:val="003779A7"/>
  </w:style>
  <w:style w:type="paragraph" w:customStyle="1" w:styleId="Questiontitle">
    <w:name w:val="Question_title"/>
    <w:basedOn w:val="Rectitle"/>
    <w:next w:val="Questionref"/>
    <w:rsid w:val="003779A7"/>
  </w:style>
  <w:style w:type="paragraph" w:customStyle="1" w:styleId="Reftext">
    <w:name w:val="Ref_text"/>
    <w:basedOn w:val="Normal"/>
    <w:rsid w:val="003779A7"/>
    <w:pPr>
      <w:ind w:left="567" w:hanging="567"/>
    </w:pPr>
  </w:style>
  <w:style w:type="paragraph" w:customStyle="1" w:styleId="Reftitle">
    <w:name w:val="Ref_title"/>
    <w:basedOn w:val="Normal"/>
    <w:next w:val="Reftext"/>
    <w:rsid w:val="003779A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3779A7"/>
  </w:style>
  <w:style w:type="paragraph" w:customStyle="1" w:styleId="RepNo">
    <w:name w:val="Rep_No"/>
    <w:basedOn w:val="RecNo"/>
    <w:next w:val="Reptitle"/>
    <w:rsid w:val="003779A7"/>
  </w:style>
  <w:style w:type="paragraph" w:customStyle="1" w:styleId="Repref">
    <w:name w:val="Rep_ref"/>
    <w:basedOn w:val="Recref"/>
    <w:next w:val="Repdate"/>
    <w:rsid w:val="003779A7"/>
  </w:style>
  <w:style w:type="paragraph" w:customStyle="1" w:styleId="Reptitle">
    <w:name w:val="Rep_title"/>
    <w:basedOn w:val="Rectitle"/>
    <w:next w:val="Repref"/>
    <w:rsid w:val="003779A7"/>
  </w:style>
  <w:style w:type="paragraph" w:customStyle="1" w:styleId="Resdate">
    <w:name w:val="Res_date"/>
    <w:basedOn w:val="Recdate"/>
    <w:next w:val="Normalaftertitle"/>
    <w:rsid w:val="003779A7"/>
  </w:style>
  <w:style w:type="paragraph" w:customStyle="1" w:styleId="ResNo">
    <w:name w:val="Res_No"/>
    <w:basedOn w:val="AnnexNo"/>
    <w:next w:val="Restitle"/>
    <w:rsid w:val="003779A7"/>
  </w:style>
  <w:style w:type="paragraph" w:customStyle="1" w:styleId="Resref">
    <w:name w:val="Res_ref"/>
    <w:basedOn w:val="Recref"/>
    <w:next w:val="Resdate"/>
    <w:rsid w:val="003779A7"/>
  </w:style>
  <w:style w:type="paragraph" w:customStyle="1" w:styleId="Restitle">
    <w:name w:val="Res_title"/>
    <w:basedOn w:val="Annextitle"/>
    <w:next w:val="Normal"/>
    <w:link w:val="RestitleChar"/>
    <w:rsid w:val="003779A7"/>
  </w:style>
  <w:style w:type="paragraph" w:customStyle="1" w:styleId="SectionNo">
    <w:name w:val="Section_No"/>
    <w:basedOn w:val="AnnexNo"/>
    <w:next w:val="Sectiontitle"/>
    <w:rsid w:val="003779A7"/>
  </w:style>
  <w:style w:type="paragraph" w:customStyle="1" w:styleId="Sectiontitle">
    <w:name w:val="Section_title"/>
    <w:basedOn w:val="Normal"/>
    <w:next w:val="Normalaftertitle"/>
    <w:rsid w:val="003779A7"/>
    <w:rPr>
      <w:sz w:val="28"/>
    </w:rPr>
  </w:style>
  <w:style w:type="paragraph" w:customStyle="1" w:styleId="SpecialFooter">
    <w:name w:val="Special Footer"/>
    <w:basedOn w:val="Footer"/>
    <w:rsid w:val="003779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3779A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3779A7"/>
    <w:pPr>
      <w:spacing w:before="120"/>
    </w:pPr>
  </w:style>
  <w:style w:type="paragraph" w:customStyle="1" w:styleId="Tableref">
    <w:name w:val="Table_ref"/>
    <w:basedOn w:val="Normal"/>
    <w:next w:val="Tabletitle"/>
    <w:rsid w:val="003779A7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3779A7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3779A7"/>
    <w:rPr>
      <w:caps w:val="0"/>
    </w:rPr>
  </w:style>
  <w:style w:type="paragraph" w:customStyle="1" w:styleId="Title4">
    <w:name w:val="Title 4"/>
    <w:basedOn w:val="Title3"/>
    <w:next w:val="Heading1"/>
    <w:rsid w:val="003779A7"/>
    <w:rPr>
      <w:b/>
    </w:rPr>
  </w:style>
  <w:style w:type="paragraph" w:customStyle="1" w:styleId="FigureNo">
    <w:name w:val="Figure_No"/>
    <w:basedOn w:val="Normal"/>
    <w:next w:val="Figuretitle"/>
    <w:rsid w:val="003779A7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3779A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3779A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3</Pages>
  <Words>979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5987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2017-06-06T14:38:00Z</dcterms:created>
  <dcterms:modified xsi:type="dcterms:W3CDTF">2017-06-06T14:39:00Z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