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06738A" w:rsidRPr="00813E5E">
        <w:trPr>
          <w:cantSplit/>
        </w:trPr>
        <w:tc>
          <w:tcPr>
            <w:tcW w:w="6911" w:type="dxa"/>
          </w:tcPr>
          <w:p w:rsidR="0006738A" w:rsidRPr="00813E5E" w:rsidRDefault="0006738A" w:rsidP="0006738A">
            <w:pPr>
              <w:spacing w:before="360" w:after="48" w:line="240" w:lineRule="atLeast"/>
              <w:rPr>
                <w:position w:val="6"/>
              </w:rPr>
            </w:pPr>
            <w:bookmarkStart w:id="0" w:name="dc06"/>
            <w:bookmarkEnd w:id="0"/>
            <w:r w:rsidRPr="0006738A">
              <w:rPr>
                <w:b/>
                <w:bCs/>
                <w:position w:val="6"/>
                <w:sz w:val="30"/>
                <w:szCs w:val="30"/>
                <w:lang w:val="fr-CH"/>
              </w:rPr>
              <w:t>Council 2017</w:t>
            </w:r>
            <w:r w:rsidRPr="0006738A">
              <w:rPr>
                <w:rFonts w:cs="Times"/>
                <w:b/>
                <w:position w:val="6"/>
                <w:sz w:val="26"/>
                <w:szCs w:val="26"/>
                <w:lang w:val="en-US"/>
              </w:rPr>
              <w:br/>
            </w:r>
            <w:r w:rsidRPr="0006738A">
              <w:rPr>
                <w:b/>
                <w:bCs/>
                <w:position w:val="6"/>
                <w:szCs w:val="24"/>
                <w:lang w:val="fr-CH"/>
              </w:rPr>
              <w:t>Geneva, 15-25 May 2017</w:t>
            </w:r>
          </w:p>
        </w:tc>
        <w:tc>
          <w:tcPr>
            <w:tcW w:w="3120" w:type="dxa"/>
          </w:tcPr>
          <w:p w:rsidR="0006738A" w:rsidRPr="00813E5E" w:rsidRDefault="0006738A" w:rsidP="0006738A">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06738A" w:rsidRPr="00813E5E">
        <w:trPr>
          <w:cantSplit/>
        </w:trPr>
        <w:tc>
          <w:tcPr>
            <w:tcW w:w="6911" w:type="dxa"/>
            <w:tcBorders>
              <w:bottom w:val="single" w:sz="12" w:space="0" w:color="auto"/>
            </w:tcBorders>
          </w:tcPr>
          <w:p w:rsidR="0006738A" w:rsidRPr="00813E5E" w:rsidRDefault="0006738A">
            <w:pPr>
              <w:spacing w:before="0" w:after="48" w:line="240" w:lineRule="atLeast"/>
              <w:rPr>
                <w:b/>
                <w:smallCaps/>
                <w:szCs w:val="24"/>
              </w:rPr>
            </w:pPr>
          </w:p>
        </w:tc>
        <w:tc>
          <w:tcPr>
            <w:tcW w:w="3120" w:type="dxa"/>
            <w:tcBorders>
              <w:bottom w:val="single" w:sz="12" w:space="0" w:color="auto"/>
            </w:tcBorders>
          </w:tcPr>
          <w:p w:rsidR="0006738A" w:rsidRPr="00813E5E" w:rsidRDefault="0006738A">
            <w:pPr>
              <w:spacing w:before="0" w:line="240" w:lineRule="atLeast"/>
              <w:rPr>
                <w:szCs w:val="24"/>
              </w:rPr>
            </w:pPr>
          </w:p>
        </w:tc>
      </w:tr>
      <w:tr w:rsidR="0006738A" w:rsidRPr="00813E5E">
        <w:trPr>
          <w:cantSplit/>
        </w:trPr>
        <w:tc>
          <w:tcPr>
            <w:tcW w:w="6911" w:type="dxa"/>
            <w:tcBorders>
              <w:top w:val="single" w:sz="12" w:space="0" w:color="auto"/>
            </w:tcBorders>
          </w:tcPr>
          <w:p w:rsidR="0006738A" w:rsidRPr="00813E5E" w:rsidRDefault="0006738A" w:rsidP="00967882">
            <w:pPr>
              <w:spacing w:before="0" w:line="240" w:lineRule="atLeast"/>
              <w:rPr>
                <w:b/>
                <w:smallCaps/>
                <w:szCs w:val="24"/>
              </w:rPr>
            </w:pPr>
            <w:bookmarkStart w:id="2" w:name="_GoBack"/>
            <w:bookmarkEnd w:id="2"/>
          </w:p>
        </w:tc>
        <w:tc>
          <w:tcPr>
            <w:tcW w:w="3120" w:type="dxa"/>
            <w:tcBorders>
              <w:top w:val="single" w:sz="12" w:space="0" w:color="auto"/>
            </w:tcBorders>
          </w:tcPr>
          <w:p w:rsidR="0006738A" w:rsidRPr="00813E5E" w:rsidRDefault="0006738A" w:rsidP="00967882">
            <w:pPr>
              <w:spacing w:before="0" w:line="240" w:lineRule="atLeast"/>
              <w:rPr>
                <w:szCs w:val="24"/>
              </w:rPr>
            </w:pPr>
          </w:p>
        </w:tc>
      </w:tr>
      <w:tr w:rsidR="0006738A" w:rsidRPr="00813E5E">
        <w:trPr>
          <w:cantSplit/>
          <w:trHeight w:val="23"/>
        </w:trPr>
        <w:tc>
          <w:tcPr>
            <w:tcW w:w="6911" w:type="dxa"/>
            <w:vMerge w:val="restart"/>
          </w:tcPr>
          <w:p w:rsidR="0006738A" w:rsidRPr="0006738A" w:rsidRDefault="0006738A">
            <w:pPr>
              <w:tabs>
                <w:tab w:val="left" w:pos="851"/>
              </w:tabs>
              <w:spacing w:line="240" w:lineRule="atLeast"/>
              <w:rPr>
                <w:b/>
              </w:rPr>
            </w:pPr>
            <w:bookmarkStart w:id="3" w:name="dmeeting" w:colFirst="0" w:colLast="0"/>
            <w:bookmarkStart w:id="4" w:name="dnum" w:colFirst="1" w:colLast="1"/>
          </w:p>
        </w:tc>
        <w:tc>
          <w:tcPr>
            <w:tcW w:w="3120" w:type="dxa"/>
          </w:tcPr>
          <w:p w:rsidR="0006738A" w:rsidRPr="0006738A" w:rsidRDefault="0006738A" w:rsidP="0006738A">
            <w:pPr>
              <w:tabs>
                <w:tab w:val="left" w:pos="851"/>
              </w:tabs>
              <w:spacing w:before="0" w:line="240" w:lineRule="atLeast"/>
              <w:rPr>
                <w:b/>
              </w:rPr>
            </w:pPr>
            <w:r>
              <w:rPr>
                <w:b/>
              </w:rPr>
              <w:t>Document C17/INF/10-E</w:t>
            </w:r>
          </w:p>
        </w:tc>
      </w:tr>
      <w:tr w:rsidR="0006738A" w:rsidRPr="00813E5E">
        <w:trPr>
          <w:cantSplit/>
          <w:trHeight w:val="23"/>
        </w:trPr>
        <w:tc>
          <w:tcPr>
            <w:tcW w:w="6911" w:type="dxa"/>
            <w:vMerge/>
          </w:tcPr>
          <w:p w:rsidR="0006738A" w:rsidRPr="00813E5E" w:rsidRDefault="0006738A">
            <w:pPr>
              <w:tabs>
                <w:tab w:val="left" w:pos="851"/>
              </w:tabs>
              <w:spacing w:line="240" w:lineRule="atLeast"/>
              <w:rPr>
                <w:b/>
              </w:rPr>
            </w:pPr>
            <w:bookmarkStart w:id="5" w:name="ddate" w:colFirst="1" w:colLast="1"/>
            <w:bookmarkEnd w:id="3"/>
            <w:bookmarkEnd w:id="4"/>
          </w:p>
        </w:tc>
        <w:tc>
          <w:tcPr>
            <w:tcW w:w="3120" w:type="dxa"/>
          </w:tcPr>
          <w:p w:rsidR="0006738A" w:rsidRPr="0006738A" w:rsidRDefault="00740611" w:rsidP="0006738A">
            <w:pPr>
              <w:tabs>
                <w:tab w:val="left" w:pos="993"/>
              </w:tabs>
              <w:spacing w:before="0"/>
              <w:rPr>
                <w:b/>
              </w:rPr>
            </w:pPr>
            <w:r>
              <w:rPr>
                <w:b/>
              </w:rPr>
              <w:t>10 April</w:t>
            </w:r>
            <w:r w:rsidR="0006738A">
              <w:rPr>
                <w:b/>
              </w:rPr>
              <w:t xml:space="preserve"> 2017</w:t>
            </w:r>
          </w:p>
        </w:tc>
      </w:tr>
      <w:tr w:rsidR="0006738A" w:rsidRPr="00813E5E">
        <w:trPr>
          <w:cantSplit/>
          <w:trHeight w:val="23"/>
        </w:trPr>
        <w:tc>
          <w:tcPr>
            <w:tcW w:w="6911" w:type="dxa"/>
            <w:vMerge/>
          </w:tcPr>
          <w:p w:rsidR="0006738A" w:rsidRPr="00813E5E" w:rsidRDefault="0006738A">
            <w:pPr>
              <w:tabs>
                <w:tab w:val="left" w:pos="851"/>
              </w:tabs>
              <w:spacing w:line="240" w:lineRule="atLeast"/>
              <w:rPr>
                <w:b/>
              </w:rPr>
            </w:pPr>
            <w:bookmarkStart w:id="6" w:name="dorlang" w:colFirst="1" w:colLast="1"/>
            <w:bookmarkEnd w:id="5"/>
          </w:p>
        </w:tc>
        <w:tc>
          <w:tcPr>
            <w:tcW w:w="3120" w:type="dxa"/>
          </w:tcPr>
          <w:p w:rsidR="0006738A" w:rsidRPr="0006738A" w:rsidRDefault="0006738A" w:rsidP="0006738A">
            <w:pPr>
              <w:tabs>
                <w:tab w:val="left" w:pos="993"/>
              </w:tabs>
              <w:spacing w:before="0"/>
              <w:rPr>
                <w:b/>
              </w:rPr>
            </w:pPr>
            <w:r>
              <w:rPr>
                <w:b/>
              </w:rPr>
              <w:t>English only</w:t>
            </w:r>
          </w:p>
        </w:tc>
      </w:tr>
      <w:tr w:rsidR="0006738A" w:rsidRPr="00813E5E">
        <w:trPr>
          <w:cantSplit/>
        </w:trPr>
        <w:tc>
          <w:tcPr>
            <w:tcW w:w="10031" w:type="dxa"/>
            <w:gridSpan w:val="2"/>
          </w:tcPr>
          <w:p w:rsidR="0006738A" w:rsidRPr="00813E5E" w:rsidRDefault="0006738A">
            <w:pPr>
              <w:pStyle w:val="Source"/>
            </w:pPr>
            <w:bookmarkStart w:id="7" w:name="dsource" w:colFirst="0" w:colLast="0"/>
            <w:bookmarkEnd w:id="6"/>
            <w:r>
              <w:t>Report by the Secretary-General</w:t>
            </w:r>
          </w:p>
        </w:tc>
      </w:tr>
      <w:tr w:rsidR="0006738A" w:rsidRPr="00813E5E">
        <w:trPr>
          <w:cantSplit/>
        </w:trPr>
        <w:tc>
          <w:tcPr>
            <w:tcW w:w="10031" w:type="dxa"/>
            <w:gridSpan w:val="2"/>
          </w:tcPr>
          <w:p w:rsidR="0006738A" w:rsidRPr="00813E5E" w:rsidRDefault="0006738A">
            <w:pPr>
              <w:pStyle w:val="Title1"/>
            </w:pPr>
            <w:bookmarkStart w:id="8" w:name="dtitle1" w:colFirst="0" w:colLast="0"/>
            <w:bookmarkEnd w:id="7"/>
            <w:r w:rsidRPr="0006738A">
              <w:t>COLLABORATION WITH THE UNITED NATIONS SYSTEM</w:t>
            </w:r>
          </w:p>
        </w:tc>
      </w:tr>
      <w:bookmarkEnd w:id="8"/>
    </w:tbl>
    <w:p w:rsidR="0006738A" w:rsidRPr="00813E5E" w:rsidRDefault="0006738A"/>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6738A" w:rsidRPr="00813E5E">
        <w:trPr>
          <w:trHeight w:val="3372"/>
        </w:trPr>
        <w:tc>
          <w:tcPr>
            <w:tcW w:w="8080" w:type="dxa"/>
            <w:tcBorders>
              <w:top w:val="single" w:sz="12" w:space="0" w:color="auto"/>
              <w:left w:val="single" w:sz="12" w:space="0" w:color="auto"/>
              <w:bottom w:val="single" w:sz="12" w:space="0" w:color="auto"/>
              <w:right w:val="single" w:sz="12" w:space="0" w:color="auto"/>
            </w:tcBorders>
          </w:tcPr>
          <w:p w:rsidR="0006738A" w:rsidRPr="00813E5E" w:rsidRDefault="0006738A">
            <w:pPr>
              <w:pStyle w:val="Headingb"/>
            </w:pPr>
            <w:r w:rsidRPr="00813E5E">
              <w:t>Summary</w:t>
            </w:r>
          </w:p>
          <w:p w:rsidR="0006738A" w:rsidRPr="00813E5E" w:rsidRDefault="0006738A">
            <w:r w:rsidRPr="0006738A">
              <w:t>This report presents an overview of ITU’s activities and relationship with the UN system since Council 2016.</w:t>
            </w:r>
          </w:p>
          <w:p w:rsidR="0006738A" w:rsidRPr="00813E5E" w:rsidRDefault="0006738A">
            <w:pPr>
              <w:pStyle w:val="Headingb"/>
            </w:pPr>
            <w:r w:rsidRPr="00813E5E">
              <w:t>Action required</w:t>
            </w:r>
          </w:p>
          <w:p w:rsidR="0006738A" w:rsidRPr="00813E5E" w:rsidRDefault="0006738A">
            <w:r w:rsidRPr="0006738A">
              <w:t xml:space="preserve">This report is transmitted to the Council </w:t>
            </w:r>
            <w:r w:rsidRPr="0006738A">
              <w:rPr>
                <w:b/>
                <w:bCs/>
              </w:rPr>
              <w:t>for information</w:t>
            </w:r>
            <w:r w:rsidRPr="0006738A">
              <w:t>.</w:t>
            </w:r>
          </w:p>
          <w:p w:rsidR="0006738A" w:rsidRPr="00813E5E" w:rsidRDefault="0006738A">
            <w:pPr>
              <w:pStyle w:val="Table"/>
              <w:keepNext w:val="0"/>
              <w:spacing w:before="0" w:after="0"/>
              <w:rPr>
                <w:rFonts w:ascii="Calibri" w:hAnsi="Calibri"/>
                <w:caps w:val="0"/>
                <w:sz w:val="22"/>
              </w:rPr>
            </w:pPr>
            <w:r w:rsidRPr="00813E5E">
              <w:rPr>
                <w:rFonts w:ascii="Calibri" w:hAnsi="Calibri"/>
                <w:caps w:val="0"/>
                <w:sz w:val="22"/>
              </w:rPr>
              <w:t>____________</w:t>
            </w:r>
          </w:p>
          <w:p w:rsidR="0006738A" w:rsidRPr="00813E5E" w:rsidRDefault="0006738A">
            <w:pPr>
              <w:pStyle w:val="Headingb"/>
            </w:pPr>
            <w:r w:rsidRPr="00813E5E">
              <w:t>References</w:t>
            </w:r>
          </w:p>
          <w:p w:rsidR="0006738A" w:rsidRPr="00813E5E" w:rsidRDefault="0006738A" w:rsidP="0006738A">
            <w:pPr>
              <w:spacing w:after="120"/>
              <w:rPr>
                <w:i/>
                <w:iCs/>
              </w:rPr>
            </w:pPr>
            <w:r w:rsidRPr="003A7848">
              <w:rPr>
                <w:rFonts w:asciiTheme="minorHAnsi" w:hAnsiTheme="minorHAnsi"/>
                <w:szCs w:val="24"/>
              </w:rPr>
              <w:t xml:space="preserve">Documents </w:t>
            </w:r>
            <w:hyperlink r:id="rId9" w:history="1">
              <w:r w:rsidRPr="003A7848">
                <w:rPr>
                  <w:rStyle w:val="Hyperlink"/>
                  <w:rFonts w:asciiTheme="minorHAnsi" w:hAnsiTheme="minorHAnsi"/>
                  <w:szCs w:val="24"/>
                </w:rPr>
                <w:t>C08/INF/8</w:t>
              </w:r>
            </w:hyperlink>
            <w:r w:rsidRPr="003A7848">
              <w:rPr>
                <w:rFonts w:asciiTheme="minorHAnsi" w:hAnsiTheme="minorHAnsi"/>
                <w:szCs w:val="24"/>
              </w:rPr>
              <w:t xml:space="preserve">, </w:t>
            </w:r>
            <w:hyperlink r:id="rId10" w:history="1">
              <w:r w:rsidRPr="003A7848">
                <w:rPr>
                  <w:rStyle w:val="Hyperlink"/>
                  <w:rFonts w:asciiTheme="minorHAnsi" w:hAnsiTheme="minorHAnsi" w:cs="Arial"/>
                  <w:szCs w:val="24"/>
                </w:rPr>
                <w:t>C11/INF/6</w:t>
              </w:r>
            </w:hyperlink>
            <w:r w:rsidRPr="003A7848">
              <w:rPr>
                <w:rStyle w:val="Hyperlink"/>
                <w:rFonts w:asciiTheme="minorHAnsi" w:hAnsiTheme="minorHAnsi" w:cs="Arial"/>
                <w:szCs w:val="24"/>
              </w:rPr>
              <w:t xml:space="preserve">, </w:t>
            </w:r>
            <w:hyperlink r:id="rId11" w:history="1">
              <w:r w:rsidRPr="003A7848">
                <w:rPr>
                  <w:rStyle w:val="Hyperlink"/>
                  <w:rFonts w:asciiTheme="minorHAnsi" w:hAnsiTheme="minorHAnsi" w:cs="Calibri"/>
                  <w:szCs w:val="24"/>
                </w:rPr>
                <w:t>C12/INF/1(Rev.1)</w:t>
              </w:r>
            </w:hyperlink>
            <w:r w:rsidRPr="003A7848">
              <w:rPr>
                <w:rStyle w:val="Hyperlink"/>
                <w:rFonts w:asciiTheme="minorHAnsi" w:hAnsiTheme="minorHAnsi" w:cs="Calibri"/>
                <w:szCs w:val="24"/>
              </w:rPr>
              <w:t xml:space="preserve">, </w:t>
            </w:r>
            <w:hyperlink r:id="rId12" w:history="1">
              <w:r w:rsidRPr="003A7848">
                <w:rPr>
                  <w:rStyle w:val="Hyperlink"/>
                  <w:rFonts w:asciiTheme="minorHAnsi" w:hAnsiTheme="minorHAnsi" w:cs="Calibri"/>
                  <w:bCs/>
                  <w:szCs w:val="24"/>
                </w:rPr>
                <w:t>C13/INF/10</w:t>
              </w:r>
            </w:hyperlink>
            <w:r>
              <w:rPr>
                <w:szCs w:val="24"/>
              </w:rPr>
              <w:t xml:space="preserve">, </w:t>
            </w:r>
            <w:hyperlink r:id="rId13" w:history="1">
              <w:r w:rsidRPr="003A7848">
                <w:rPr>
                  <w:rStyle w:val="Hyperlink"/>
                  <w:rFonts w:asciiTheme="minorHAnsi" w:hAnsiTheme="minorHAnsi" w:cs="Calibri"/>
                  <w:szCs w:val="24"/>
                </w:rPr>
                <w:t>C14/INF/7</w:t>
              </w:r>
            </w:hyperlink>
            <w:r>
              <w:t xml:space="preserve">, </w:t>
            </w:r>
            <w:hyperlink r:id="rId14" w:history="1">
              <w:r w:rsidRPr="00D20072">
                <w:rPr>
                  <w:rStyle w:val="Hyperlink"/>
                  <w:bCs/>
                </w:rPr>
                <w:t>C15/INF/4</w:t>
              </w:r>
            </w:hyperlink>
            <w:r w:rsidRPr="0006738A">
              <w:rPr>
                <w:rStyle w:val="Hyperlink"/>
                <w:bCs/>
                <w:u w:val="none"/>
              </w:rPr>
              <w:t xml:space="preserve"> </w:t>
            </w:r>
            <w:r w:rsidRPr="0006738A">
              <w:rPr>
                <w:rStyle w:val="Hyperlink"/>
                <w:bCs/>
                <w:color w:val="auto"/>
                <w:u w:val="none"/>
              </w:rPr>
              <w:t xml:space="preserve">and </w:t>
            </w:r>
            <w:hyperlink r:id="rId15" w:history="1">
              <w:r w:rsidRPr="0006738A">
                <w:rPr>
                  <w:rStyle w:val="Hyperlink"/>
                  <w:bCs/>
                </w:rPr>
                <w:t>C16/57</w:t>
              </w:r>
            </w:hyperlink>
          </w:p>
        </w:tc>
      </w:tr>
    </w:tbl>
    <w:p w:rsidR="0006738A" w:rsidRPr="006D6143" w:rsidRDefault="0006738A" w:rsidP="0006738A">
      <w:pPr>
        <w:tabs>
          <w:tab w:val="clear" w:pos="567"/>
          <w:tab w:val="clear" w:pos="1134"/>
          <w:tab w:val="clear" w:pos="1701"/>
          <w:tab w:val="clear" w:pos="2268"/>
          <w:tab w:val="clear" w:pos="2835"/>
        </w:tabs>
        <w:snapToGrid w:val="0"/>
        <w:spacing w:before="600" w:after="120"/>
        <w:rPr>
          <w:rFonts w:asciiTheme="minorHAnsi" w:hAnsiTheme="minorHAnsi"/>
          <w:b/>
          <w:bCs/>
          <w:szCs w:val="24"/>
        </w:rPr>
      </w:pPr>
      <w:bookmarkStart w:id="9" w:name="dstart"/>
      <w:bookmarkStart w:id="10" w:name="dbreak"/>
      <w:bookmarkEnd w:id="9"/>
      <w:bookmarkEnd w:id="10"/>
      <w:r>
        <w:rPr>
          <w:rFonts w:asciiTheme="minorHAnsi" w:hAnsiTheme="minorHAnsi"/>
          <w:b/>
          <w:bCs/>
          <w:szCs w:val="24"/>
        </w:rPr>
        <w:t>1.</w:t>
      </w:r>
      <w:r>
        <w:rPr>
          <w:rFonts w:asciiTheme="minorHAnsi" w:hAnsiTheme="minorHAnsi"/>
          <w:b/>
          <w:bCs/>
          <w:szCs w:val="24"/>
        </w:rPr>
        <w:tab/>
      </w:r>
      <w:r w:rsidRPr="006D6143">
        <w:rPr>
          <w:rFonts w:asciiTheme="minorHAnsi" w:hAnsiTheme="minorHAnsi"/>
          <w:b/>
          <w:bCs/>
          <w:szCs w:val="24"/>
        </w:rPr>
        <w:t>Introduction</w:t>
      </w:r>
    </w:p>
    <w:p w:rsidR="0006738A" w:rsidRDefault="0006738A" w:rsidP="005B5425">
      <w:pPr>
        <w:tabs>
          <w:tab w:val="clear" w:pos="567"/>
          <w:tab w:val="clear" w:pos="1134"/>
          <w:tab w:val="clear" w:pos="1701"/>
          <w:tab w:val="clear" w:pos="2268"/>
          <w:tab w:val="clear" w:pos="2835"/>
        </w:tabs>
        <w:snapToGrid w:val="0"/>
        <w:spacing w:after="120"/>
        <w:jc w:val="both"/>
        <w:rPr>
          <w:rFonts w:asciiTheme="minorHAnsi" w:hAnsiTheme="minorHAnsi"/>
          <w:szCs w:val="24"/>
        </w:rPr>
      </w:pPr>
      <w:r>
        <w:rPr>
          <w:rFonts w:asciiTheme="minorHAnsi" w:hAnsiTheme="minorHAnsi"/>
          <w:szCs w:val="24"/>
        </w:rPr>
        <w:t>1.1</w:t>
      </w:r>
      <w:r>
        <w:rPr>
          <w:rFonts w:asciiTheme="minorHAnsi" w:hAnsiTheme="minorHAnsi"/>
          <w:szCs w:val="24"/>
        </w:rPr>
        <w:tab/>
      </w:r>
      <w:r w:rsidRPr="00352774">
        <w:rPr>
          <w:rFonts w:asciiTheme="minorHAnsi" w:hAnsiTheme="minorHAnsi"/>
          <w:szCs w:val="24"/>
        </w:rPr>
        <w:t>As a United Nations Specialized Agency, ITU collaborates, participates, and interacts within the United Nations system, its governance processes, subsidiary mechanisms,</w:t>
      </w:r>
      <w:r w:rsidR="005B5425">
        <w:rPr>
          <w:rFonts w:asciiTheme="minorHAnsi" w:hAnsiTheme="minorHAnsi"/>
          <w:szCs w:val="24"/>
        </w:rPr>
        <w:t xml:space="preserve"> and</w:t>
      </w:r>
      <w:r w:rsidRPr="00352774">
        <w:rPr>
          <w:rFonts w:asciiTheme="minorHAnsi" w:hAnsiTheme="minorHAnsi"/>
          <w:szCs w:val="24"/>
        </w:rPr>
        <w:t xml:space="preserve"> inter-agency coordination networks</w:t>
      </w:r>
      <w:r w:rsidR="005B5425">
        <w:rPr>
          <w:rFonts w:asciiTheme="minorHAnsi" w:hAnsiTheme="minorHAnsi"/>
          <w:szCs w:val="24"/>
        </w:rPr>
        <w:t>, as well as</w:t>
      </w:r>
      <w:r w:rsidRPr="00352774">
        <w:rPr>
          <w:rFonts w:asciiTheme="minorHAnsi" w:hAnsiTheme="minorHAnsi"/>
          <w:szCs w:val="24"/>
        </w:rPr>
        <w:t xml:space="preserve"> through joint initiatives, to strengthen synergies and foster greater cooperation and information-sharing in order to deliver programmatic, operational</w:t>
      </w:r>
      <w:r w:rsidR="005B5425">
        <w:rPr>
          <w:rFonts w:asciiTheme="minorHAnsi" w:hAnsiTheme="minorHAnsi"/>
          <w:szCs w:val="24"/>
        </w:rPr>
        <w:t>,</w:t>
      </w:r>
      <w:r w:rsidRPr="00352774">
        <w:rPr>
          <w:rFonts w:asciiTheme="minorHAnsi" w:hAnsiTheme="minorHAnsi"/>
          <w:szCs w:val="24"/>
        </w:rPr>
        <w:t xml:space="preserve"> and management mandates in a more c</w:t>
      </w:r>
      <w:r>
        <w:rPr>
          <w:rFonts w:asciiTheme="minorHAnsi" w:hAnsiTheme="minorHAnsi"/>
          <w:szCs w:val="24"/>
        </w:rPr>
        <w:t>oherent and coordinated manner.</w:t>
      </w:r>
    </w:p>
    <w:p w:rsidR="0006738A" w:rsidRDefault="0006738A" w:rsidP="0006738A">
      <w:pPr>
        <w:tabs>
          <w:tab w:val="clear" w:pos="567"/>
          <w:tab w:val="clear" w:pos="1134"/>
          <w:tab w:val="clear" w:pos="1701"/>
          <w:tab w:val="clear" w:pos="2268"/>
          <w:tab w:val="clear" w:pos="2835"/>
        </w:tabs>
        <w:snapToGrid w:val="0"/>
        <w:spacing w:after="120"/>
        <w:jc w:val="both"/>
        <w:rPr>
          <w:rFonts w:asciiTheme="minorHAnsi" w:eastAsia="SimSun" w:hAnsiTheme="minorHAnsi" w:cs="Calibri"/>
          <w:szCs w:val="24"/>
          <w:lang w:eastAsia="zh-CN"/>
        </w:rPr>
      </w:pPr>
      <w:r w:rsidRPr="00352774">
        <w:rPr>
          <w:rFonts w:asciiTheme="minorHAnsi" w:hAnsiTheme="minorHAnsi" w:cs="Arial"/>
          <w:szCs w:val="24"/>
        </w:rPr>
        <w:t>The ITU General Secretariat, assisted by the UN Liaison Office in New York, coordinates ITU’s external relations and ensures that its priorities are strengthened and reflected in the UN system.</w:t>
      </w:r>
      <w:r w:rsidRPr="00352774">
        <w:rPr>
          <w:rFonts w:asciiTheme="minorHAnsi" w:eastAsia="Batang" w:hAnsiTheme="minorHAnsi"/>
          <w:szCs w:val="24"/>
          <w:lang w:eastAsia="ja-JP"/>
        </w:rPr>
        <w:t xml:space="preserve"> Over recent years, these </w:t>
      </w:r>
      <w:r w:rsidRPr="00352774">
        <w:rPr>
          <w:rFonts w:asciiTheme="minorHAnsi" w:eastAsia="SimSun" w:hAnsiTheme="minorHAnsi"/>
          <w:szCs w:val="24"/>
        </w:rPr>
        <w:t>efforts</w:t>
      </w:r>
      <w:r w:rsidRPr="00352774">
        <w:rPr>
          <w:rFonts w:asciiTheme="minorHAnsi" w:eastAsia="Batang" w:hAnsiTheme="minorHAnsi"/>
          <w:szCs w:val="24"/>
          <w:lang w:eastAsia="ja-JP"/>
        </w:rPr>
        <w:t xml:space="preserve"> have resulted in </w:t>
      </w:r>
      <w:r w:rsidRPr="00352774">
        <w:rPr>
          <w:rFonts w:asciiTheme="minorHAnsi" w:eastAsia="SimSun" w:hAnsiTheme="minorHAnsi" w:cs="Calibri"/>
          <w:szCs w:val="24"/>
          <w:lang w:eastAsia="zh-CN"/>
        </w:rPr>
        <w:t xml:space="preserve">greater </w:t>
      </w:r>
      <w:r>
        <w:rPr>
          <w:rFonts w:asciiTheme="minorHAnsi" w:eastAsia="SimSun" w:hAnsiTheme="minorHAnsi" w:cs="Calibri"/>
          <w:szCs w:val="24"/>
          <w:lang w:eastAsia="zh-CN"/>
        </w:rPr>
        <w:t xml:space="preserve">visibility for the work of ITU and acknowledgment of </w:t>
      </w:r>
      <w:r w:rsidRPr="00352774">
        <w:rPr>
          <w:rFonts w:asciiTheme="minorHAnsi" w:eastAsia="SimSun" w:hAnsiTheme="minorHAnsi" w:cs="Calibri"/>
          <w:szCs w:val="24"/>
          <w:lang w:eastAsia="zh-CN"/>
        </w:rPr>
        <w:t>telecom</w:t>
      </w:r>
      <w:r>
        <w:rPr>
          <w:rFonts w:asciiTheme="minorHAnsi" w:eastAsia="SimSun" w:hAnsiTheme="minorHAnsi" w:cs="Calibri"/>
          <w:szCs w:val="24"/>
          <w:lang w:eastAsia="zh-CN"/>
        </w:rPr>
        <w:t xml:space="preserve">munications/ICTs as an important cross-cutting tool for </w:t>
      </w:r>
      <w:r w:rsidRPr="00352774">
        <w:rPr>
          <w:rFonts w:asciiTheme="minorHAnsi" w:eastAsia="SimSun" w:hAnsiTheme="minorHAnsi" w:cs="Calibri"/>
          <w:szCs w:val="24"/>
          <w:lang w:eastAsia="zh-CN"/>
        </w:rPr>
        <w:t>economic, social</w:t>
      </w:r>
      <w:r>
        <w:rPr>
          <w:rFonts w:asciiTheme="minorHAnsi" w:eastAsia="SimSun" w:hAnsiTheme="minorHAnsi" w:cs="Calibri"/>
          <w:szCs w:val="24"/>
          <w:lang w:eastAsia="zh-CN"/>
        </w:rPr>
        <w:t>,</w:t>
      </w:r>
      <w:r w:rsidRPr="00352774">
        <w:rPr>
          <w:rFonts w:asciiTheme="minorHAnsi" w:eastAsia="SimSun" w:hAnsiTheme="minorHAnsi" w:cs="Calibri"/>
          <w:szCs w:val="24"/>
          <w:lang w:eastAsia="zh-CN"/>
        </w:rPr>
        <w:t xml:space="preserve"> and environmental sustainable development. </w:t>
      </w:r>
    </w:p>
    <w:p w:rsidR="0006738A" w:rsidRPr="00352774" w:rsidRDefault="0006738A" w:rsidP="005B5425">
      <w:pPr>
        <w:tabs>
          <w:tab w:val="clear" w:pos="567"/>
          <w:tab w:val="clear" w:pos="1134"/>
          <w:tab w:val="clear" w:pos="1701"/>
          <w:tab w:val="clear" w:pos="2268"/>
          <w:tab w:val="clear" w:pos="2835"/>
        </w:tabs>
        <w:snapToGrid w:val="0"/>
        <w:spacing w:after="120"/>
        <w:jc w:val="both"/>
        <w:rPr>
          <w:rFonts w:asciiTheme="minorHAnsi" w:eastAsia="SimSun" w:hAnsiTheme="minorHAnsi" w:cs="Calibri"/>
          <w:szCs w:val="24"/>
          <w:lang w:eastAsia="zh-CN"/>
        </w:rPr>
      </w:pPr>
      <w:r w:rsidRPr="00F6339E">
        <w:rPr>
          <w:rFonts w:asciiTheme="minorHAnsi" w:eastAsia="SimSun" w:hAnsiTheme="minorHAnsi" w:cs="Calibri"/>
          <w:szCs w:val="24"/>
          <w:lang w:eastAsia="zh-CN"/>
        </w:rPr>
        <w:t>ITU continued to play a key advocacy role for increased visibility of ITU’s mandate within the UN system and of ICTs in the internationally agreed development agenda, and strengthen</w:t>
      </w:r>
      <w:r w:rsidR="005B5425">
        <w:rPr>
          <w:rFonts w:asciiTheme="minorHAnsi" w:eastAsia="SimSun" w:hAnsiTheme="minorHAnsi" w:cs="Calibri"/>
          <w:szCs w:val="24"/>
          <w:lang w:eastAsia="zh-CN"/>
        </w:rPr>
        <w:t>ed</w:t>
      </w:r>
      <w:r w:rsidRPr="00F6339E">
        <w:rPr>
          <w:rFonts w:asciiTheme="minorHAnsi" w:eastAsia="SimSun" w:hAnsiTheme="minorHAnsi" w:cs="Calibri"/>
          <w:szCs w:val="24"/>
          <w:lang w:eastAsia="zh-CN"/>
        </w:rPr>
        <w:t xml:space="preserve"> relationships with different stakeholders and partnerships.</w:t>
      </w:r>
    </w:p>
    <w:p w:rsidR="0006738A" w:rsidRPr="00DB7A17" w:rsidRDefault="0006738A" w:rsidP="0006738A">
      <w:pPr>
        <w:keepNext/>
        <w:keepLines/>
        <w:tabs>
          <w:tab w:val="clear" w:pos="567"/>
          <w:tab w:val="clear" w:pos="1134"/>
          <w:tab w:val="clear" w:pos="1701"/>
          <w:tab w:val="clear" w:pos="2268"/>
          <w:tab w:val="clear" w:pos="2835"/>
        </w:tabs>
        <w:snapToGrid w:val="0"/>
        <w:spacing w:after="120"/>
        <w:jc w:val="both"/>
        <w:rPr>
          <w:b/>
          <w:bCs/>
        </w:rPr>
      </w:pPr>
      <w:r>
        <w:rPr>
          <w:b/>
          <w:bCs/>
        </w:rPr>
        <w:lastRenderedPageBreak/>
        <w:t>2030 Agenda for Sustainable Development</w:t>
      </w:r>
    </w:p>
    <w:p w:rsidR="0006738A" w:rsidRDefault="0006738A" w:rsidP="0006738A">
      <w:pPr>
        <w:keepNext/>
        <w:keepLines/>
        <w:tabs>
          <w:tab w:val="clear" w:pos="567"/>
          <w:tab w:val="clear" w:pos="1134"/>
          <w:tab w:val="clear" w:pos="1701"/>
          <w:tab w:val="clear" w:pos="2268"/>
          <w:tab w:val="clear" w:pos="2835"/>
        </w:tabs>
        <w:snapToGrid w:val="0"/>
        <w:spacing w:after="120"/>
        <w:jc w:val="both"/>
      </w:pPr>
      <w:r w:rsidRPr="00AA3D65">
        <w:t>2016 was a ground-breaking year for the United Nations with the coming into effect, on the first of January, of the newly adopted 2030 Agenda for Sustainab</w:t>
      </w:r>
      <w:r>
        <w:t xml:space="preserve">le Development, comprising the </w:t>
      </w:r>
      <w:r w:rsidRPr="00AA3D65">
        <w:t>17 Sustainable Development Goals and 169 targets</w:t>
      </w:r>
      <w:r>
        <w:t>.</w:t>
      </w:r>
    </w:p>
    <w:p w:rsidR="0006738A" w:rsidRDefault="0006738A" w:rsidP="0006738A">
      <w:pPr>
        <w:tabs>
          <w:tab w:val="clear" w:pos="567"/>
          <w:tab w:val="clear" w:pos="1134"/>
          <w:tab w:val="clear" w:pos="1701"/>
          <w:tab w:val="clear" w:pos="2268"/>
          <w:tab w:val="clear" w:pos="2835"/>
        </w:tabs>
        <w:snapToGrid w:val="0"/>
        <w:spacing w:after="120"/>
        <w:jc w:val="both"/>
      </w:pPr>
      <w:r w:rsidRPr="005144E0">
        <w:t xml:space="preserve">ITU’s </w:t>
      </w:r>
      <w:r>
        <w:t>activities with respect to the 2030 Agenda</w:t>
      </w:r>
      <w:r w:rsidRPr="005144E0">
        <w:t xml:space="preserve"> </w:t>
      </w:r>
      <w:r>
        <w:t xml:space="preserve">in 2016 </w:t>
      </w:r>
      <w:r w:rsidRPr="005144E0">
        <w:t>includ</w:t>
      </w:r>
      <w:r>
        <w:t>ed, among others, participation in</w:t>
      </w:r>
      <w:r w:rsidRPr="005144E0">
        <w:t xml:space="preserve"> the High</w:t>
      </w:r>
      <w:r>
        <w:t>-</w:t>
      </w:r>
      <w:r w:rsidRPr="005144E0">
        <w:t xml:space="preserve">Level Political Forum </w:t>
      </w:r>
      <w:r>
        <w:t xml:space="preserve">for Sustainable Development </w:t>
      </w:r>
      <w:r w:rsidRPr="005144E0">
        <w:t xml:space="preserve">(HLPF), held </w:t>
      </w:r>
      <w:r>
        <w:t xml:space="preserve">annually </w:t>
      </w:r>
      <w:r w:rsidRPr="005144E0">
        <w:t>under the auspices of the Economic and Social Council (ECOSOC)</w:t>
      </w:r>
      <w:r>
        <w:t xml:space="preserve">, from 11-20 July at UN headquarters in New York and </w:t>
      </w:r>
      <w:r w:rsidRPr="005144E0">
        <w:t xml:space="preserve">related mechanisms and forums, such as the Forum on Partnerships (31 March, New York); Financing for Development Forum (18-22 April, New York); Integration Forum (2-4 May, New York); and the </w:t>
      </w:r>
      <w:r w:rsidRPr="007A420E">
        <w:t>Multi-stakeholder Forum on Science, Technology and Innovation for the Sustainable Development Goals (STI Forum)</w:t>
      </w:r>
      <w:r w:rsidRPr="005144E0">
        <w:t xml:space="preserve"> (6-7 June, N</w:t>
      </w:r>
      <w:r>
        <w:t xml:space="preserve">ew York). Activities </w:t>
      </w:r>
      <w:r w:rsidRPr="005144E0">
        <w:t xml:space="preserve">included the following: hosting side events in various forums with partners such as </w:t>
      </w:r>
      <w:proofErr w:type="spellStart"/>
      <w:r w:rsidRPr="005144E0">
        <w:t>GeSI</w:t>
      </w:r>
      <w:proofErr w:type="spellEnd"/>
      <w:r w:rsidRPr="005144E0">
        <w:t xml:space="preserve">, GSMA, WEF, Accenture, Verizon, IBM Research, Aspen Institute, Symantec Corporation; inputs to the HLPF process from the Chair of </w:t>
      </w:r>
      <w:r>
        <w:t xml:space="preserve">the </w:t>
      </w:r>
      <w:r w:rsidRPr="005144E0">
        <w:t>ITU Council,</w:t>
      </w:r>
      <w:r>
        <w:t xml:space="preserve"> as well as contributions from the WSIS Forum and </w:t>
      </w:r>
      <w:r w:rsidRPr="005144E0">
        <w:t xml:space="preserve">Broadband Commission; </w:t>
      </w:r>
      <w:r>
        <w:t xml:space="preserve">inputs to </w:t>
      </w:r>
      <w:r w:rsidRPr="005144E0">
        <w:t>issue briefs on “Inclusive Digital Financing Services” and on “Financing for ICT Infrastructure”</w:t>
      </w:r>
      <w:r>
        <w:t xml:space="preserve"> of the Financing for Development annual report</w:t>
      </w:r>
      <w:r w:rsidRPr="005144E0">
        <w:t xml:space="preserve">; </w:t>
      </w:r>
      <w:r>
        <w:t xml:space="preserve">and also </w:t>
      </w:r>
      <w:r w:rsidRPr="005144E0">
        <w:t xml:space="preserve">collaboration with the Technology Facilitation Mechanism’s </w:t>
      </w:r>
      <w:r>
        <w:t xml:space="preserve">stream of work on the development of an online platform of </w:t>
      </w:r>
      <w:r w:rsidRPr="005144E0">
        <w:t>science, technology and innovation (ST</w:t>
      </w:r>
      <w:r>
        <w:t>I) initiatives and programmes.</w:t>
      </w:r>
    </w:p>
    <w:p w:rsidR="0006738A" w:rsidRDefault="0006738A" w:rsidP="0006738A">
      <w:pPr>
        <w:tabs>
          <w:tab w:val="clear" w:pos="567"/>
          <w:tab w:val="clear" w:pos="1134"/>
          <w:tab w:val="clear" w:pos="1701"/>
          <w:tab w:val="clear" w:pos="2268"/>
          <w:tab w:val="clear" w:pos="2835"/>
        </w:tabs>
        <w:snapToGrid w:val="0"/>
        <w:spacing w:before="360" w:after="120"/>
        <w:rPr>
          <w:rFonts w:asciiTheme="minorHAnsi" w:hAnsiTheme="minorHAnsi"/>
          <w:b/>
          <w:bCs/>
          <w:szCs w:val="24"/>
        </w:rPr>
      </w:pPr>
      <w:r w:rsidRPr="006D6143">
        <w:rPr>
          <w:rFonts w:asciiTheme="minorHAnsi" w:hAnsiTheme="minorHAnsi"/>
          <w:b/>
          <w:bCs/>
          <w:szCs w:val="24"/>
        </w:rPr>
        <w:t>UN Governance and subsidiary mechanisms</w:t>
      </w:r>
    </w:p>
    <w:p w:rsidR="0006738A" w:rsidRPr="00F6339E" w:rsidRDefault="0006738A" w:rsidP="00740611">
      <w:pPr>
        <w:tabs>
          <w:tab w:val="clear" w:pos="567"/>
          <w:tab w:val="clear" w:pos="1134"/>
          <w:tab w:val="clear" w:pos="1701"/>
          <w:tab w:val="clear" w:pos="2268"/>
          <w:tab w:val="clear" w:pos="2835"/>
        </w:tabs>
        <w:snapToGrid w:val="0"/>
        <w:spacing w:after="120"/>
        <w:jc w:val="both"/>
        <w:rPr>
          <w:b/>
          <w:bCs/>
        </w:rPr>
      </w:pPr>
      <w:r w:rsidRPr="00550CD9">
        <w:t xml:space="preserve">ITU participates annually, as </w:t>
      </w:r>
      <w:r>
        <w:t xml:space="preserve">an </w:t>
      </w:r>
      <w:r w:rsidRPr="00550CD9">
        <w:t xml:space="preserve">observer, in </w:t>
      </w:r>
      <w:r>
        <w:t>the United Nations</w:t>
      </w:r>
      <w:r w:rsidRPr="00550CD9">
        <w:t xml:space="preserve"> General Assembly (</w:t>
      </w:r>
      <w:r>
        <w:t>UN</w:t>
      </w:r>
      <w:r w:rsidRPr="00550CD9">
        <w:t xml:space="preserve">GA), the Economic and Social Council (ECOSOC), </w:t>
      </w:r>
      <w:r w:rsidRPr="00550CD9">
        <w:rPr>
          <w:rFonts w:eastAsia="SimSun"/>
        </w:rPr>
        <w:t>the</w:t>
      </w:r>
      <w:r w:rsidRPr="00550CD9">
        <w:t xml:space="preserve"> Commission on Science and Technology for Development (CSTD)</w:t>
      </w:r>
      <w:r>
        <w:t>,</w:t>
      </w:r>
      <w:r w:rsidRPr="00550CD9">
        <w:t xml:space="preserve"> </w:t>
      </w:r>
      <w:r>
        <w:t>Commission on the Status of Women (CSW)</w:t>
      </w:r>
      <w:r w:rsidR="005B5425">
        <w:t>,</w:t>
      </w:r>
      <w:r w:rsidRPr="00550CD9">
        <w:t xml:space="preserve"> and the Statis</w:t>
      </w:r>
      <w:r>
        <w:t>tical Commission, among others.</w:t>
      </w:r>
    </w:p>
    <w:p w:rsidR="0006738A" w:rsidRDefault="0006738A" w:rsidP="00740611">
      <w:pPr>
        <w:tabs>
          <w:tab w:val="clear" w:pos="567"/>
          <w:tab w:val="clear" w:pos="1134"/>
          <w:tab w:val="clear" w:pos="1701"/>
          <w:tab w:val="clear" w:pos="2268"/>
          <w:tab w:val="clear" w:pos="2835"/>
        </w:tabs>
        <w:snapToGrid w:val="0"/>
        <w:spacing w:after="120"/>
        <w:jc w:val="both"/>
      </w:pPr>
      <w:r w:rsidRPr="00F6339E">
        <w:t>During 2016, ITU continued to make all possible efforts to include the work of ITU in relevant General Assembly, ECOSOC</w:t>
      </w:r>
      <w:r w:rsidR="005B5425">
        <w:t>,</w:t>
      </w:r>
      <w:r w:rsidRPr="00F6339E">
        <w:t xml:space="preserve"> and CSTD resolutions and to a number of UN Secretary-General’s annual reports presented to these bodies. </w:t>
      </w:r>
    </w:p>
    <w:p w:rsidR="0006738A" w:rsidRPr="00F6339E" w:rsidRDefault="0006738A" w:rsidP="00740611">
      <w:pPr>
        <w:tabs>
          <w:tab w:val="clear" w:pos="567"/>
          <w:tab w:val="clear" w:pos="1134"/>
          <w:tab w:val="clear" w:pos="1701"/>
          <w:tab w:val="clear" w:pos="2268"/>
          <w:tab w:val="clear" w:pos="2835"/>
        </w:tabs>
        <w:snapToGrid w:val="0"/>
        <w:spacing w:after="120"/>
        <w:jc w:val="both"/>
      </w:pPr>
      <w:r w:rsidRPr="00F6339E">
        <w:t xml:space="preserve">Key </w:t>
      </w:r>
      <w:r>
        <w:t>issues and contributions</w:t>
      </w:r>
      <w:r w:rsidRPr="00F6339E">
        <w:t xml:space="preserve"> include</w:t>
      </w:r>
      <w:r>
        <w:t xml:space="preserve">: </w:t>
      </w:r>
      <w:r w:rsidRPr="00F6339E">
        <w:t>ICTs for sustainable development (digital divide, social inclusion, including empowerment of women and girls, youth,</w:t>
      </w:r>
      <w:r>
        <w:t xml:space="preserve"> and people with disabilities; </w:t>
      </w:r>
      <w:r w:rsidRPr="00F6339E">
        <w:t>climate change, disaster risk management and emergency telecommunication; LDCs, LLDC, SIDS, technology transfer, capacity building; m-health); ITU/ICT-related issues (Cyber Security, Internet Governance); and the World Summit for the Information Society (WSIS) follow-up process (the annual outcomes of the WSIS implementation process, including the WSIS Forum, WSIS Prizes, WSIS Stocktaking, UNGIS and Partnership on Measuring ICT for development, submitted to the CSTD).</w:t>
      </w:r>
    </w:p>
    <w:p w:rsidR="0006738A" w:rsidRDefault="0006738A" w:rsidP="00740611">
      <w:pPr>
        <w:tabs>
          <w:tab w:val="clear" w:pos="567"/>
          <w:tab w:val="clear" w:pos="1134"/>
          <w:tab w:val="clear" w:pos="1701"/>
          <w:tab w:val="clear" w:pos="2268"/>
          <w:tab w:val="clear" w:pos="2835"/>
        </w:tabs>
        <w:snapToGrid w:val="0"/>
        <w:spacing w:after="120"/>
        <w:jc w:val="both"/>
      </w:pPr>
      <w:r w:rsidRPr="00F6339E">
        <w:t>The ITU Secretary-General’s mission to New York in 2016 for the annual opening of the General Debate of the United Nations General Assembly, included attending the Broadband Commission meetings, participation in plenaries, thematic High Level panels, side-events, report launches</w:t>
      </w:r>
      <w:r w:rsidR="005B5425">
        <w:t>,</w:t>
      </w:r>
      <w:r w:rsidRPr="00F6339E">
        <w:t xml:space="preserve"> and bilateral meetings among others. </w:t>
      </w:r>
    </w:p>
    <w:p w:rsidR="0006738A" w:rsidRPr="00F6339E" w:rsidRDefault="0006738A" w:rsidP="00740611">
      <w:pPr>
        <w:tabs>
          <w:tab w:val="clear" w:pos="567"/>
          <w:tab w:val="clear" w:pos="1134"/>
          <w:tab w:val="clear" w:pos="1701"/>
          <w:tab w:val="clear" w:pos="2268"/>
          <w:tab w:val="clear" w:pos="2835"/>
        </w:tabs>
        <w:snapToGrid w:val="0"/>
        <w:spacing w:after="120"/>
        <w:jc w:val="both"/>
      </w:pPr>
      <w:r w:rsidRPr="00426D11">
        <w:t xml:space="preserve">ITU also attends meetings of the governing bodies of sister UN bodies, particularly </w:t>
      </w:r>
      <w:r>
        <w:t xml:space="preserve">those of </w:t>
      </w:r>
      <w:r w:rsidRPr="00426D11">
        <w:t>UNESCO</w:t>
      </w:r>
      <w:r>
        <w:t>’s</w:t>
      </w:r>
      <w:r w:rsidRPr="00426D11">
        <w:t>, WMO,</w:t>
      </w:r>
      <w:r>
        <w:t xml:space="preserve"> WIPO, WHO</w:t>
      </w:r>
      <w:r w:rsidR="005B5425">
        <w:t>,</w:t>
      </w:r>
      <w:r>
        <w:t xml:space="preserve"> and the</w:t>
      </w:r>
      <w:r w:rsidRPr="00426D11">
        <w:t xml:space="preserve"> Human Rights Council</w:t>
      </w:r>
      <w:r>
        <w:t>.</w:t>
      </w:r>
      <w:r w:rsidRPr="00426D11">
        <w:t xml:space="preserve"> </w:t>
      </w:r>
    </w:p>
    <w:p w:rsidR="0006738A" w:rsidRPr="006D6143" w:rsidRDefault="0006738A" w:rsidP="0006738A">
      <w:pPr>
        <w:keepNext/>
        <w:keepLines/>
        <w:tabs>
          <w:tab w:val="clear" w:pos="567"/>
          <w:tab w:val="clear" w:pos="1134"/>
          <w:tab w:val="clear" w:pos="1701"/>
          <w:tab w:val="clear" w:pos="2268"/>
          <w:tab w:val="clear" w:pos="2835"/>
        </w:tabs>
        <w:snapToGrid w:val="0"/>
        <w:spacing w:after="120"/>
        <w:jc w:val="both"/>
        <w:rPr>
          <w:rFonts w:asciiTheme="minorHAnsi" w:hAnsiTheme="minorHAnsi"/>
          <w:b/>
          <w:bCs/>
          <w:szCs w:val="24"/>
        </w:rPr>
      </w:pPr>
      <w:r>
        <w:rPr>
          <w:rFonts w:asciiTheme="minorHAnsi" w:hAnsiTheme="minorHAnsi"/>
          <w:b/>
          <w:bCs/>
          <w:szCs w:val="24"/>
        </w:rPr>
        <w:lastRenderedPageBreak/>
        <w:t>3.</w:t>
      </w:r>
      <w:r>
        <w:rPr>
          <w:rFonts w:asciiTheme="minorHAnsi" w:hAnsiTheme="minorHAnsi"/>
          <w:b/>
          <w:bCs/>
          <w:szCs w:val="24"/>
        </w:rPr>
        <w:tab/>
      </w:r>
      <w:r w:rsidRPr="006D6143">
        <w:rPr>
          <w:rFonts w:asciiTheme="minorHAnsi" w:hAnsiTheme="minorHAnsi"/>
          <w:b/>
          <w:bCs/>
          <w:szCs w:val="24"/>
        </w:rPr>
        <w:t>UN Summits and Conferences</w:t>
      </w:r>
    </w:p>
    <w:p w:rsidR="0006738A" w:rsidRDefault="0006738A" w:rsidP="005B5425">
      <w:pPr>
        <w:keepNext/>
        <w:keepLines/>
        <w:tabs>
          <w:tab w:val="clear" w:pos="567"/>
          <w:tab w:val="clear" w:pos="1134"/>
          <w:tab w:val="clear" w:pos="1701"/>
          <w:tab w:val="clear" w:pos="2268"/>
          <w:tab w:val="clear" w:pos="2835"/>
        </w:tabs>
        <w:snapToGrid w:val="0"/>
        <w:spacing w:after="120"/>
        <w:jc w:val="both"/>
      </w:pPr>
      <w:r w:rsidRPr="00426D11">
        <w:t>ITU’s work with the United Nations during this period was also driven by the Union’s participation in and contributions to other major conferences, summits</w:t>
      </w:r>
      <w:r w:rsidR="005B5425">
        <w:t>,</w:t>
      </w:r>
      <w:r w:rsidRPr="00426D11">
        <w:t xml:space="preserve"> and high</w:t>
      </w:r>
      <w:r w:rsidR="005B5425">
        <w:t>-</w:t>
      </w:r>
      <w:r w:rsidRPr="00426D11">
        <w:t xml:space="preserve">level meetings, including: </w:t>
      </w:r>
      <w:r w:rsidR="005B5425">
        <w:t>t</w:t>
      </w:r>
      <w:r w:rsidRPr="00426D11">
        <w:t>he World Humanitarian Summit (23-24 May, Istanbul, Turkey); Hig</w:t>
      </w:r>
      <w:r>
        <w:t>h-</w:t>
      </w:r>
      <w:r w:rsidRPr="00426D11">
        <w:t xml:space="preserve">Level Midterm Review of the Implementation of the Istanbul Programme of Action for the Least Developed Countries for the Decade 2011-2020 (27-29 May, Antalya, Turkey); Habitat III (17-21 October, Quito, Ecuador); </w:t>
      </w:r>
      <w:r>
        <w:t xml:space="preserve">Climate Change Conference </w:t>
      </w:r>
      <w:r w:rsidRPr="00426D11">
        <w:t>COP 22 (7-18 November, Marrakech, Morocco); the 11th Annual Internet Governance Forum (N</w:t>
      </w:r>
      <w:r>
        <w:t xml:space="preserve">ovember, Guadalajara, Mexico). </w:t>
      </w:r>
      <w:r w:rsidRPr="00426D11">
        <w:t>Activities in these events included participation in the negotiation process of the outcome documents, side events, policy statements, and strengthening relationships with different stakeholders, including Member States and UN agencies, Sector Members, Academia</w:t>
      </w:r>
      <w:r w:rsidR="005B5425">
        <w:t>,</w:t>
      </w:r>
      <w:r w:rsidRPr="00426D11">
        <w:t xml:space="preserve"> and civil society.</w:t>
      </w:r>
    </w:p>
    <w:p w:rsidR="0006738A" w:rsidRPr="00550CD9" w:rsidRDefault="0006738A" w:rsidP="0006738A">
      <w:pPr>
        <w:tabs>
          <w:tab w:val="clear" w:pos="567"/>
          <w:tab w:val="clear" w:pos="1134"/>
          <w:tab w:val="clear" w:pos="1701"/>
          <w:tab w:val="clear" w:pos="2268"/>
          <w:tab w:val="clear" w:pos="2835"/>
        </w:tabs>
        <w:snapToGrid w:val="0"/>
        <w:spacing w:before="360" w:after="120"/>
        <w:jc w:val="both"/>
        <w:textAlignment w:val="auto"/>
        <w:rPr>
          <w:rFonts w:asciiTheme="minorHAnsi" w:hAnsiTheme="minorHAnsi"/>
          <w:b/>
          <w:bCs/>
          <w:szCs w:val="24"/>
        </w:rPr>
      </w:pPr>
      <w:r w:rsidRPr="006D6143">
        <w:rPr>
          <w:rFonts w:asciiTheme="minorHAnsi" w:hAnsiTheme="minorHAnsi"/>
          <w:b/>
          <w:bCs/>
          <w:szCs w:val="24"/>
        </w:rPr>
        <w:t>Inter-</w:t>
      </w:r>
      <w:r w:rsidRPr="00550CD9">
        <w:rPr>
          <w:rFonts w:asciiTheme="minorHAnsi" w:hAnsiTheme="minorHAnsi"/>
          <w:b/>
          <w:bCs/>
          <w:szCs w:val="24"/>
        </w:rPr>
        <w:t>agency Coordination</w:t>
      </w:r>
    </w:p>
    <w:p w:rsidR="0006738A" w:rsidRDefault="0006738A" w:rsidP="0006738A">
      <w:pPr>
        <w:tabs>
          <w:tab w:val="clear" w:pos="567"/>
          <w:tab w:val="clear" w:pos="1134"/>
          <w:tab w:val="clear" w:pos="1701"/>
          <w:tab w:val="clear" w:pos="2268"/>
          <w:tab w:val="clear" w:pos="2835"/>
        </w:tabs>
        <w:snapToGrid w:val="0"/>
        <w:spacing w:after="120"/>
        <w:jc w:val="both"/>
        <w:rPr>
          <w:rFonts w:asciiTheme="minorHAnsi" w:hAnsiTheme="minorHAnsi" w:cs="Arial"/>
          <w:szCs w:val="24"/>
        </w:rPr>
      </w:pPr>
      <w:r w:rsidRPr="00550CD9">
        <w:rPr>
          <w:rFonts w:asciiTheme="minorHAnsi" w:hAnsiTheme="minorHAnsi" w:cs="Arial"/>
          <w:szCs w:val="24"/>
        </w:rPr>
        <w:t xml:space="preserve">During this period, ITU has contributed actively </w:t>
      </w:r>
      <w:r>
        <w:rPr>
          <w:rFonts w:asciiTheme="minorHAnsi" w:hAnsiTheme="minorHAnsi" w:cs="Arial"/>
          <w:szCs w:val="24"/>
        </w:rPr>
        <w:t>to</w:t>
      </w:r>
      <w:r w:rsidRPr="00550CD9">
        <w:rPr>
          <w:rFonts w:asciiTheme="minorHAnsi" w:hAnsiTheme="minorHAnsi" w:cs="Arial"/>
          <w:szCs w:val="24"/>
        </w:rPr>
        <w:t xml:space="preserve"> the Chief Executives Board </w:t>
      </w:r>
      <w:r>
        <w:rPr>
          <w:rFonts w:asciiTheme="minorHAnsi" w:hAnsiTheme="minorHAnsi" w:cs="Arial"/>
          <w:szCs w:val="24"/>
        </w:rPr>
        <w:t xml:space="preserve">for Coordination (CEB), </w:t>
      </w:r>
      <w:r w:rsidRPr="00550CD9">
        <w:rPr>
          <w:rFonts w:asciiTheme="minorHAnsi" w:hAnsiTheme="minorHAnsi" w:cs="Arial"/>
          <w:szCs w:val="24"/>
        </w:rPr>
        <w:t>which unites the executive heads of UN bodies twice a year under the chairman</w:t>
      </w:r>
      <w:r>
        <w:rPr>
          <w:rFonts w:asciiTheme="minorHAnsi" w:hAnsiTheme="minorHAnsi" w:cs="Arial"/>
          <w:szCs w:val="24"/>
        </w:rPr>
        <w:t xml:space="preserve">ship of the UN Secretary-General, </w:t>
      </w:r>
      <w:r w:rsidRPr="00426D11">
        <w:rPr>
          <w:rFonts w:asciiTheme="minorHAnsi" w:hAnsiTheme="minorHAnsi" w:cs="Arial"/>
          <w:szCs w:val="24"/>
        </w:rPr>
        <w:t>and its three pillars (High Level Committee on Programmes (HLCP), the High Level Committee on Management (HLCM)</w:t>
      </w:r>
      <w:r w:rsidR="005B5425">
        <w:rPr>
          <w:rFonts w:asciiTheme="minorHAnsi" w:hAnsiTheme="minorHAnsi" w:cs="Arial"/>
          <w:szCs w:val="24"/>
        </w:rPr>
        <w:t>,</w:t>
      </w:r>
      <w:r w:rsidRPr="00426D11">
        <w:rPr>
          <w:rFonts w:asciiTheme="minorHAnsi" w:hAnsiTheme="minorHAnsi" w:cs="Arial"/>
          <w:szCs w:val="24"/>
        </w:rPr>
        <w:t xml:space="preserve"> and the United Nations Development Group (UNDG)</w:t>
      </w:r>
      <w:r>
        <w:rPr>
          <w:rFonts w:asciiTheme="minorHAnsi" w:hAnsiTheme="minorHAnsi" w:cs="Arial"/>
          <w:szCs w:val="24"/>
        </w:rPr>
        <w:t>.</w:t>
      </w:r>
    </w:p>
    <w:p w:rsidR="0006738A" w:rsidRDefault="0006738A" w:rsidP="005B5425">
      <w:pPr>
        <w:tabs>
          <w:tab w:val="clear" w:pos="567"/>
          <w:tab w:val="clear" w:pos="1134"/>
          <w:tab w:val="clear" w:pos="1701"/>
          <w:tab w:val="clear" w:pos="2268"/>
          <w:tab w:val="clear" w:pos="2835"/>
        </w:tabs>
        <w:snapToGrid w:val="0"/>
        <w:spacing w:after="120"/>
        <w:jc w:val="both"/>
        <w:rPr>
          <w:rFonts w:asciiTheme="minorHAnsi" w:hAnsiTheme="minorHAnsi" w:cs="Arial"/>
          <w:szCs w:val="24"/>
        </w:rPr>
      </w:pPr>
      <w:r w:rsidRPr="00426D11">
        <w:rPr>
          <w:rFonts w:asciiTheme="minorHAnsi" w:hAnsiTheme="minorHAnsi" w:cs="Arial"/>
          <w:szCs w:val="24"/>
        </w:rPr>
        <w:t xml:space="preserve">ITU’s visibility and leadership within </w:t>
      </w:r>
      <w:r>
        <w:rPr>
          <w:rFonts w:asciiTheme="minorHAnsi" w:hAnsiTheme="minorHAnsi" w:cs="Arial"/>
          <w:szCs w:val="24"/>
        </w:rPr>
        <w:t xml:space="preserve">the </w:t>
      </w:r>
      <w:r w:rsidRPr="00426D11">
        <w:rPr>
          <w:rFonts w:asciiTheme="minorHAnsi" w:hAnsiTheme="minorHAnsi" w:cs="Arial"/>
          <w:szCs w:val="24"/>
        </w:rPr>
        <w:t>CEB remained strong, by way of the ITU Secretary-General chairing the ICT-Network Information Security Special Interest Group of the HLCM and leading on Cybersecurity, WSIS</w:t>
      </w:r>
      <w:r w:rsidR="005B5425">
        <w:rPr>
          <w:rFonts w:asciiTheme="minorHAnsi" w:hAnsiTheme="minorHAnsi" w:cs="Arial"/>
          <w:szCs w:val="24"/>
        </w:rPr>
        <w:t>,</w:t>
      </w:r>
      <w:r w:rsidRPr="00426D11">
        <w:rPr>
          <w:rFonts w:asciiTheme="minorHAnsi" w:hAnsiTheme="minorHAnsi" w:cs="Arial"/>
          <w:szCs w:val="24"/>
        </w:rPr>
        <w:t xml:space="preserve"> and ICT</w:t>
      </w:r>
      <w:r w:rsidR="005B5425">
        <w:rPr>
          <w:rFonts w:asciiTheme="minorHAnsi" w:hAnsiTheme="minorHAnsi" w:cs="Arial"/>
          <w:szCs w:val="24"/>
        </w:rPr>
        <w:t>s</w:t>
      </w:r>
      <w:r w:rsidRPr="00426D11">
        <w:rPr>
          <w:rFonts w:asciiTheme="minorHAnsi" w:hAnsiTheme="minorHAnsi" w:cs="Arial"/>
          <w:szCs w:val="24"/>
        </w:rPr>
        <w:t xml:space="preserve"> for development</w:t>
      </w:r>
      <w:r w:rsidR="005B5425">
        <w:rPr>
          <w:rFonts w:asciiTheme="minorHAnsi" w:hAnsiTheme="minorHAnsi" w:cs="Arial"/>
          <w:szCs w:val="24"/>
        </w:rPr>
        <w:t>-</w:t>
      </w:r>
      <w:r w:rsidRPr="00426D11">
        <w:rPr>
          <w:rFonts w:asciiTheme="minorHAnsi" w:hAnsiTheme="minorHAnsi" w:cs="Arial"/>
          <w:szCs w:val="24"/>
        </w:rPr>
        <w:t>related issues</w:t>
      </w:r>
      <w:r>
        <w:rPr>
          <w:rFonts w:asciiTheme="minorHAnsi" w:hAnsiTheme="minorHAnsi" w:cs="Arial"/>
          <w:szCs w:val="24"/>
        </w:rPr>
        <w:t xml:space="preserve">, including new frontier issues, such as Artificial Intelligence, </w:t>
      </w:r>
      <w:r w:rsidRPr="00426D11">
        <w:rPr>
          <w:rFonts w:asciiTheme="minorHAnsi" w:hAnsiTheme="minorHAnsi" w:cs="Arial"/>
          <w:szCs w:val="24"/>
        </w:rPr>
        <w:t xml:space="preserve">within the HLCP. </w:t>
      </w:r>
    </w:p>
    <w:p w:rsidR="0006738A" w:rsidRPr="00550CD9" w:rsidRDefault="0006738A" w:rsidP="00740611">
      <w:pPr>
        <w:tabs>
          <w:tab w:val="clear" w:pos="567"/>
          <w:tab w:val="clear" w:pos="1134"/>
          <w:tab w:val="clear" w:pos="1701"/>
          <w:tab w:val="clear" w:pos="2268"/>
          <w:tab w:val="clear" w:pos="2835"/>
        </w:tabs>
        <w:snapToGrid w:val="0"/>
        <w:spacing w:after="120"/>
        <w:jc w:val="both"/>
      </w:pPr>
      <w:r w:rsidRPr="00550CD9">
        <w:rPr>
          <w:rFonts w:eastAsia="SimSun" w:cs="Arial"/>
        </w:rPr>
        <w:t xml:space="preserve">ITU </w:t>
      </w:r>
      <w:r w:rsidRPr="00550CD9">
        <w:t xml:space="preserve">participates actively in the work of various inter-agency mechanisms and networks throughout the year, </w:t>
      </w:r>
      <w:r>
        <w:t>among these the</w:t>
      </w:r>
      <w:r w:rsidRPr="00550CD9">
        <w:t xml:space="preserve"> following: </w:t>
      </w:r>
      <w:r w:rsidRPr="002F0267">
        <w:t>Inter-Agency Task Team of the Te</w:t>
      </w:r>
      <w:r>
        <w:t>chnology Facilitation Mechanism</w:t>
      </w:r>
      <w:r w:rsidR="005B5425">
        <w:t>;</w:t>
      </w:r>
      <w:r>
        <w:t xml:space="preserve"> Inter-Agency Task Team on Financing for Development</w:t>
      </w:r>
      <w:r w:rsidR="005B5425">
        <w:t>;</w:t>
      </w:r>
      <w:r>
        <w:t xml:space="preserve"> </w:t>
      </w:r>
      <w:r w:rsidRPr="002F0267">
        <w:t>Partnership on Measuring ICT for Development</w:t>
      </w:r>
      <w:r w:rsidR="005B5425">
        <w:t>;</w:t>
      </w:r>
      <w:r w:rsidRPr="002F0267">
        <w:t xml:space="preserve"> </w:t>
      </w:r>
      <w:r w:rsidRPr="00550CD9">
        <w:t>Inter-Agency Netwo</w:t>
      </w:r>
      <w:r>
        <w:t>rk on Women and Gender Equality</w:t>
      </w:r>
      <w:r w:rsidRPr="00550CD9">
        <w:t>; the Inter-</w:t>
      </w:r>
      <w:r>
        <w:t>A</w:t>
      </w:r>
      <w:r w:rsidRPr="00550CD9">
        <w:t xml:space="preserve">gency and Expert Group on Gender Statistics; </w:t>
      </w:r>
      <w:r>
        <w:t xml:space="preserve">the </w:t>
      </w:r>
      <w:r w:rsidRPr="00550CD9">
        <w:t>Inter-Agen</w:t>
      </w:r>
      <w:r>
        <w:t>cy Network on Youth Development</w:t>
      </w:r>
      <w:r w:rsidRPr="00550CD9">
        <w:t xml:space="preserve">; </w:t>
      </w:r>
      <w:r>
        <w:t xml:space="preserve">the </w:t>
      </w:r>
      <w:r w:rsidRPr="00550CD9">
        <w:t>Inter-</w:t>
      </w:r>
      <w:r>
        <w:t>A</w:t>
      </w:r>
      <w:r w:rsidRPr="00550CD9">
        <w:t xml:space="preserve">gency and </w:t>
      </w:r>
      <w:hyperlink r:id="rId16" w:history="1">
        <w:r w:rsidRPr="00550CD9">
          <w:t xml:space="preserve">Expert Group </w:t>
        </w:r>
        <w:r>
          <w:t xml:space="preserve">on SDG </w:t>
        </w:r>
        <w:r w:rsidRPr="00550CD9">
          <w:t>Indicators</w:t>
        </w:r>
      </w:hyperlink>
      <w:r w:rsidRPr="00550CD9">
        <w:t>; t</w:t>
      </w:r>
      <w:r>
        <w:t>he UN Global Working Group</w:t>
      </w:r>
      <w:r w:rsidRPr="00550CD9">
        <w:t xml:space="preserve"> on Big Data for Official Statistics;</w:t>
      </w:r>
      <w:r>
        <w:t xml:space="preserve"> the UN Global Pulse Data Privacy Advisory Group and UN Privacy Policy Group; the </w:t>
      </w:r>
      <w:hyperlink r:id="rId17" w:history="1">
        <w:r w:rsidRPr="00550CD9">
          <w:t>UN Environment Management Group</w:t>
        </w:r>
      </w:hyperlink>
      <w:r w:rsidRPr="00550CD9">
        <w:t xml:space="preserve">; </w:t>
      </w:r>
      <w:r>
        <w:t xml:space="preserve">the </w:t>
      </w:r>
      <w:r w:rsidRPr="00550CD9">
        <w:t xml:space="preserve">UN Geographic </w:t>
      </w:r>
      <w:r w:rsidRPr="00550CD9">
        <w:rPr>
          <w:rFonts w:eastAsia="SimSun"/>
        </w:rPr>
        <w:t>Information</w:t>
      </w:r>
      <w:r>
        <w:t xml:space="preserve"> Working Group</w:t>
      </w:r>
      <w:r w:rsidRPr="00550CD9">
        <w:t xml:space="preserve">; </w:t>
      </w:r>
      <w:r>
        <w:t xml:space="preserve">the </w:t>
      </w:r>
      <w:hyperlink r:id="rId18" w:history="1">
        <w:r w:rsidRPr="00550CD9">
          <w:t>Executive Committee on Economic and Social Affairs (ECESA</w:t>
        </w:r>
        <w:r>
          <w:t xml:space="preserve"> Plus</w:t>
        </w:r>
        <w:r w:rsidRPr="00550CD9">
          <w:t>)</w:t>
        </w:r>
      </w:hyperlink>
      <w:r w:rsidRPr="00550CD9">
        <w:t xml:space="preserve">; the </w:t>
      </w:r>
      <w:r w:rsidRPr="00550CD9">
        <w:rPr>
          <w:rFonts w:cs="Arial"/>
        </w:rPr>
        <w:t xml:space="preserve">Inter-Agency Task Team on Technology Bank; </w:t>
      </w:r>
      <w:r>
        <w:rPr>
          <w:rFonts w:cs="Arial"/>
        </w:rPr>
        <w:t xml:space="preserve">the </w:t>
      </w:r>
      <w:r w:rsidRPr="00550CD9">
        <w:rPr>
          <w:rFonts w:eastAsia="SimSun" w:cs="Arial"/>
        </w:rPr>
        <w:t xml:space="preserve">Inter-Agency Standing Committee on Emergency Telecommunications; </w:t>
      </w:r>
      <w:r>
        <w:rPr>
          <w:rFonts w:eastAsia="SimSun" w:cs="Arial"/>
        </w:rPr>
        <w:t xml:space="preserve">the </w:t>
      </w:r>
      <w:r w:rsidRPr="00550CD9">
        <w:rPr>
          <w:rFonts w:eastAsia="SimSun" w:cs="Arial"/>
        </w:rPr>
        <w:t xml:space="preserve">UN Committee on the Peaceful Uses of Outer Space; </w:t>
      </w:r>
      <w:r>
        <w:rPr>
          <w:rFonts w:eastAsia="SimSun" w:cs="Arial"/>
        </w:rPr>
        <w:t xml:space="preserve">the </w:t>
      </w:r>
      <w:r w:rsidRPr="00550CD9">
        <w:rPr>
          <w:rFonts w:eastAsia="SimSun" w:cs="Arial"/>
        </w:rPr>
        <w:t xml:space="preserve">UN Communication group; </w:t>
      </w:r>
      <w:r>
        <w:rPr>
          <w:rFonts w:eastAsia="SimSun" w:cs="Arial"/>
        </w:rPr>
        <w:t xml:space="preserve">the </w:t>
      </w:r>
      <w:r w:rsidRPr="00550CD9">
        <w:rPr>
          <w:rFonts w:eastAsia="SimSun" w:cs="Arial"/>
        </w:rPr>
        <w:t>Inter-Agency Task Force on Africa;</w:t>
      </w:r>
      <w:r w:rsidRPr="00550CD9">
        <w:t xml:space="preserve"> </w:t>
      </w:r>
      <w:r>
        <w:t xml:space="preserve">the </w:t>
      </w:r>
      <w:r w:rsidRPr="00550CD9">
        <w:t xml:space="preserve">Inter-agency Consultative Group of the United National system and international organizations on the implementation of the Istanbul Programme of Action for the Least Developed </w:t>
      </w:r>
      <w:r w:rsidR="00967882">
        <w:t>Countries for the Decade 2011-</w:t>
      </w:r>
      <w:r w:rsidRPr="00550CD9">
        <w:t>2020; the Inter-Agency Support Group on the Convention on the Righ</w:t>
      </w:r>
      <w:r>
        <w:t>ts of Persons with Disabilities</w:t>
      </w:r>
      <w:r w:rsidRPr="00550CD9">
        <w:t xml:space="preserve">; the </w:t>
      </w:r>
      <w:r w:rsidRPr="00550CD9">
        <w:rPr>
          <w:rFonts w:cs="Arial"/>
        </w:rPr>
        <w:t>UN Gover</w:t>
      </w:r>
      <w:r>
        <w:rPr>
          <w:rFonts w:cs="Arial"/>
        </w:rPr>
        <w:t xml:space="preserve">ning Bodies Secretariat Group; the </w:t>
      </w:r>
      <w:r w:rsidRPr="00550CD9">
        <w:t>UN Strategic Planning Network (UNSPN)</w:t>
      </w:r>
      <w:r>
        <w:t>; and the</w:t>
      </w:r>
      <w:r w:rsidRPr="00550CD9">
        <w:t xml:space="preserve"> Inter-agency Non-communicable Diseases (NCDs) Task Force</w:t>
      </w:r>
      <w:r>
        <w:t>.</w:t>
      </w:r>
      <w:r w:rsidR="00967882">
        <w:t xml:space="preserve"> The</w:t>
      </w:r>
      <w:r>
        <w:t xml:space="preserve"> </w:t>
      </w:r>
      <w:r w:rsidRPr="00550CD9">
        <w:rPr>
          <w:rFonts w:eastAsia="SimSun"/>
        </w:rPr>
        <w:t>ITU Secretary</w:t>
      </w:r>
      <w:r>
        <w:rPr>
          <w:rFonts w:eastAsia="SimSun"/>
        </w:rPr>
        <w:t>-</w:t>
      </w:r>
      <w:r w:rsidRPr="00550CD9">
        <w:rPr>
          <w:rFonts w:eastAsia="SimSun"/>
        </w:rPr>
        <w:t xml:space="preserve">General also continued to </w:t>
      </w:r>
      <w:r>
        <w:rPr>
          <w:rFonts w:eastAsia="SimSun"/>
        </w:rPr>
        <w:t>co-</w:t>
      </w:r>
      <w:r w:rsidRPr="00550CD9">
        <w:rPr>
          <w:rFonts w:eastAsia="SimSun"/>
        </w:rPr>
        <w:t>Chair the UN Group on the Information Society (UNGIS) in 201</w:t>
      </w:r>
      <w:r>
        <w:rPr>
          <w:rFonts w:eastAsia="SimSun"/>
        </w:rPr>
        <w:t xml:space="preserve">6. </w:t>
      </w:r>
    </w:p>
    <w:p w:rsidR="0006738A" w:rsidRDefault="0006738A" w:rsidP="0006738A">
      <w:pPr>
        <w:pStyle w:val="ListParagraph"/>
        <w:tabs>
          <w:tab w:val="clear" w:pos="567"/>
          <w:tab w:val="clear" w:pos="1134"/>
          <w:tab w:val="clear" w:pos="1701"/>
          <w:tab w:val="clear" w:pos="2268"/>
          <w:tab w:val="clear" w:pos="2835"/>
        </w:tabs>
        <w:snapToGrid w:val="0"/>
        <w:spacing w:after="120"/>
        <w:ind w:left="0"/>
        <w:contextualSpacing w:val="0"/>
        <w:jc w:val="both"/>
        <w:rPr>
          <w:rFonts w:asciiTheme="minorHAnsi" w:hAnsiTheme="minorHAnsi" w:cs="Arial"/>
          <w:szCs w:val="24"/>
        </w:rPr>
      </w:pPr>
      <w:r w:rsidRPr="00426D11">
        <w:rPr>
          <w:rFonts w:asciiTheme="minorHAnsi" w:hAnsiTheme="minorHAnsi" w:cs="Arial"/>
          <w:szCs w:val="24"/>
        </w:rPr>
        <w:t xml:space="preserve">Furthermore, ITU also works closely with </w:t>
      </w:r>
      <w:r>
        <w:rPr>
          <w:rFonts w:asciiTheme="minorHAnsi" w:hAnsiTheme="minorHAnsi" w:cs="Arial"/>
          <w:szCs w:val="24"/>
        </w:rPr>
        <w:t xml:space="preserve">the </w:t>
      </w:r>
      <w:r w:rsidRPr="00426D11">
        <w:rPr>
          <w:rFonts w:asciiTheme="minorHAnsi" w:hAnsiTheme="minorHAnsi" w:cs="Arial"/>
          <w:szCs w:val="24"/>
        </w:rPr>
        <w:t>UN Office of the High Representative for the Least Developed Countries, Landlocked Developing Countries and Small Island Developing States, and the UN Office of the Special Adviser on Africa to bring the potential of ICTs/broadband for sustainable development. As member of the UN Inter-Agency Group of the LDCs, ITU contributed to the toolkit for mainstreaming the Istanbul Program of Action</w:t>
      </w:r>
      <w:r>
        <w:rPr>
          <w:rFonts w:asciiTheme="minorHAnsi" w:hAnsiTheme="minorHAnsi" w:cs="Arial"/>
          <w:szCs w:val="24"/>
        </w:rPr>
        <w:t>.</w:t>
      </w:r>
    </w:p>
    <w:p w:rsidR="0006738A" w:rsidRPr="006D6143" w:rsidRDefault="0006738A" w:rsidP="0006738A">
      <w:pPr>
        <w:keepNext/>
        <w:keepLines/>
        <w:tabs>
          <w:tab w:val="clear" w:pos="567"/>
          <w:tab w:val="clear" w:pos="1134"/>
          <w:tab w:val="clear" w:pos="1701"/>
          <w:tab w:val="clear" w:pos="2268"/>
          <w:tab w:val="clear" w:pos="2835"/>
        </w:tabs>
        <w:snapToGrid w:val="0"/>
        <w:spacing w:after="120"/>
        <w:jc w:val="both"/>
        <w:rPr>
          <w:rFonts w:asciiTheme="minorHAnsi" w:eastAsia="SimSun" w:hAnsiTheme="minorHAnsi" w:cs="Arial"/>
          <w:b/>
          <w:szCs w:val="24"/>
          <w:lang w:eastAsia="zh-CN"/>
        </w:rPr>
      </w:pPr>
      <w:r w:rsidRPr="006D6143">
        <w:rPr>
          <w:rFonts w:asciiTheme="minorHAnsi" w:eastAsia="SimSun" w:hAnsiTheme="minorHAnsi" w:cs="Arial"/>
          <w:b/>
          <w:szCs w:val="24"/>
          <w:lang w:eastAsia="zh-CN"/>
        </w:rPr>
        <w:t>Key initiatives with other UN Funds, Programmes and Specialized Agencies</w:t>
      </w:r>
    </w:p>
    <w:p w:rsidR="0006738A" w:rsidRDefault="0006738A" w:rsidP="0006738A">
      <w:pPr>
        <w:pStyle w:val="ListParagraph"/>
        <w:keepNext/>
        <w:keepLines/>
        <w:tabs>
          <w:tab w:val="clear" w:pos="567"/>
          <w:tab w:val="clear" w:pos="1134"/>
          <w:tab w:val="clear" w:pos="1701"/>
          <w:tab w:val="clear" w:pos="2268"/>
          <w:tab w:val="clear" w:pos="2835"/>
        </w:tabs>
        <w:snapToGrid w:val="0"/>
        <w:spacing w:after="120"/>
        <w:ind w:left="0"/>
        <w:contextualSpacing w:val="0"/>
        <w:jc w:val="both"/>
        <w:rPr>
          <w:rFonts w:asciiTheme="minorHAnsi" w:hAnsiTheme="minorHAnsi" w:cs="Arial"/>
          <w:szCs w:val="24"/>
        </w:rPr>
      </w:pPr>
      <w:r w:rsidRPr="00F2036F">
        <w:rPr>
          <w:rFonts w:asciiTheme="minorHAnsi" w:eastAsia="SimSun" w:hAnsiTheme="minorHAnsi" w:cs="Arial"/>
          <w:bCs/>
          <w:szCs w:val="24"/>
          <w:lang w:eastAsia="zh-CN"/>
        </w:rPr>
        <w:t>T</w:t>
      </w:r>
      <w:r>
        <w:rPr>
          <w:rFonts w:asciiTheme="minorHAnsi" w:eastAsia="SimSun" w:hAnsiTheme="minorHAnsi" w:cs="Arial"/>
          <w:bCs/>
          <w:szCs w:val="24"/>
          <w:lang w:eastAsia="zh-CN"/>
        </w:rPr>
        <w:t xml:space="preserve">hroughout 2016, ITU continued to collaborate and strengthen its joint initiatives with the </w:t>
      </w:r>
      <w:r w:rsidRPr="00F65A3C">
        <w:rPr>
          <w:rFonts w:asciiTheme="minorHAnsi" w:hAnsiTheme="minorHAnsi" w:cs="Arial"/>
          <w:bCs/>
          <w:szCs w:val="24"/>
        </w:rPr>
        <w:t>UN</w:t>
      </w:r>
      <w:r>
        <w:rPr>
          <w:rFonts w:asciiTheme="minorHAnsi" w:hAnsiTheme="minorHAnsi" w:cs="Arial"/>
          <w:bCs/>
          <w:szCs w:val="24"/>
        </w:rPr>
        <w:t xml:space="preserve"> system</w:t>
      </w:r>
      <w:r w:rsidRPr="00F65A3C">
        <w:rPr>
          <w:rFonts w:asciiTheme="minorHAnsi" w:hAnsiTheme="minorHAnsi" w:cs="Arial"/>
          <w:bCs/>
          <w:szCs w:val="24"/>
        </w:rPr>
        <w:t xml:space="preserve"> organizations</w:t>
      </w:r>
      <w:r>
        <w:rPr>
          <w:rFonts w:asciiTheme="minorHAnsi" w:hAnsiTheme="minorHAnsi" w:cs="Arial"/>
          <w:bCs/>
          <w:szCs w:val="24"/>
        </w:rPr>
        <w:t xml:space="preserve">, </w:t>
      </w:r>
      <w:r w:rsidRPr="00550CD9">
        <w:rPr>
          <w:rFonts w:asciiTheme="minorHAnsi" w:hAnsiTheme="minorHAnsi" w:cs="Arial"/>
          <w:szCs w:val="24"/>
        </w:rPr>
        <w:t>on issues ranging from gender equality, youth,</w:t>
      </w:r>
      <w:r>
        <w:rPr>
          <w:rFonts w:asciiTheme="minorHAnsi" w:hAnsiTheme="minorHAnsi" w:cs="Arial"/>
          <w:szCs w:val="24"/>
        </w:rPr>
        <w:t xml:space="preserve"> accessibility for persons with disabilities, health, </w:t>
      </w:r>
      <w:r w:rsidRPr="00550CD9">
        <w:rPr>
          <w:rFonts w:asciiTheme="minorHAnsi" w:hAnsiTheme="minorHAnsi" w:cs="Arial"/>
          <w:szCs w:val="24"/>
        </w:rPr>
        <w:t xml:space="preserve">education, climate change, </w:t>
      </w:r>
      <w:r>
        <w:rPr>
          <w:rFonts w:asciiTheme="minorHAnsi" w:hAnsiTheme="minorHAnsi" w:cs="Arial"/>
          <w:szCs w:val="24"/>
        </w:rPr>
        <w:t xml:space="preserve">smart sustainable cities, e-waste, </w:t>
      </w:r>
      <w:r w:rsidRPr="00550CD9">
        <w:rPr>
          <w:rFonts w:asciiTheme="minorHAnsi" w:hAnsiTheme="minorHAnsi" w:cs="Arial"/>
          <w:szCs w:val="24"/>
        </w:rPr>
        <w:t xml:space="preserve">poverty eradication, </w:t>
      </w:r>
      <w:r>
        <w:rPr>
          <w:rFonts w:asciiTheme="minorHAnsi" w:hAnsiTheme="minorHAnsi" w:cs="Arial"/>
          <w:szCs w:val="24"/>
        </w:rPr>
        <w:t xml:space="preserve">the </w:t>
      </w:r>
      <w:r w:rsidRPr="00550CD9">
        <w:rPr>
          <w:rFonts w:asciiTheme="minorHAnsi" w:hAnsiTheme="minorHAnsi" w:cs="Arial"/>
          <w:szCs w:val="24"/>
        </w:rPr>
        <w:t>sustainable development</w:t>
      </w:r>
      <w:r>
        <w:rPr>
          <w:rFonts w:asciiTheme="minorHAnsi" w:hAnsiTheme="minorHAnsi" w:cs="Arial"/>
          <w:szCs w:val="24"/>
        </w:rPr>
        <w:t xml:space="preserve"> goals, </w:t>
      </w:r>
      <w:r w:rsidRPr="00550CD9">
        <w:rPr>
          <w:rFonts w:asciiTheme="minorHAnsi" w:hAnsiTheme="minorHAnsi" w:cs="Arial"/>
          <w:szCs w:val="24"/>
        </w:rPr>
        <w:t>countries with special needs, WSIS, cybersecurity, cybercrime, child online protection, and the p</w:t>
      </w:r>
      <w:r w:rsidRPr="00550CD9">
        <w:rPr>
          <w:rFonts w:asciiTheme="minorHAnsi" w:eastAsia="SimSun" w:hAnsiTheme="minorHAnsi" w:cs="Arial"/>
          <w:szCs w:val="24"/>
          <w:lang w:eastAsia="zh-CN"/>
        </w:rPr>
        <w:t>eaceful use of outer space</w:t>
      </w:r>
      <w:r>
        <w:rPr>
          <w:rFonts w:asciiTheme="minorHAnsi" w:hAnsiTheme="minorHAnsi" w:cs="Arial"/>
          <w:szCs w:val="24"/>
        </w:rPr>
        <w:t>, among others.</w:t>
      </w:r>
    </w:p>
    <w:p w:rsidR="0006738A" w:rsidRPr="00550CD9" w:rsidRDefault="0006738A" w:rsidP="0006738A">
      <w:pPr>
        <w:pStyle w:val="ListParagraph"/>
        <w:tabs>
          <w:tab w:val="clear" w:pos="567"/>
          <w:tab w:val="clear" w:pos="1134"/>
          <w:tab w:val="clear" w:pos="1701"/>
          <w:tab w:val="clear" w:pos="2268"/>
          <w:tab w:val="clear" w:pos="2835"/>
        </w:tabs>
        <w:snapToGrid w:val="0"/>
        <w:spacing w:after="120"/>
        <w:ind w:left="0"/>
        <w:contextualSpacing w:val="0"/>
        <w:jc w:val="both"/>
        <w:rPr>
          <w:rFonts w:asciiTheme="minorHAnsi" w:eastAsia="SimSun" w:hAnsiTheme="minorHAnsi" w:cs="Arial"/>
          <w:b/>
          <w:szCs w:val="24"/>
          <w:lang w:eastAsia="zh-CN"/>
        </w:rPr>
      </w:pPr>
      <w:r w:rsidRPr="00550CD9">
        <w:rPr>
          <w:rFonts w:asciiTheme="minorHAnsi" w:hAnsiTheme="minorHAnsi" w:cs="Arial"/>
          <w:szCs w:val="24"/>
        </w:rPr>
        <w:t xml:space="preserve">In addition, ITU </w:t>
      </w:r>
      <w:r w:rsidRPr="00550CD9">
        <w:rPr>
          <w:rFonts w:asciiTheme="minorHAnsi" w:hAnsiTheme="minorHAnsi"/>
          <w:szCs w:val="24"/>
        </w:rPr>
        <w:t>Regional Offices jointly organize events and implement</w:t>
      </w:r>
      <w:r>
        <w:rPr>
          <w:rFonts w:asciiTheme="minorHAnsi" w:hAnsiTheme="minorHAnsi"/>
          <w:szCs w:val="24"/>
        </w:rPr>
        <w:t xml:space="preserve"> programmes with other UN region</w:t>
      </w:r>
      <w:r w:rsidRPr="00550CD9">
        <w:rPr>
          <w:rFonts w:asciiTheme="minorHAnsi" w:hAnsiTheme="minorHAnsi"/>
          <w:szCs w:val="24"/>
        </w:rPr>
        <w:t xml:space="preserve">al </w:t>
      </w:r>
      <w:r>
        <w:rPr>
          <w:rFonts w:asciiTheme="minorHAnsi" w:hAnsiTheme="minorHAnsi"/>
          <w:szCs w:val="24"/>
        </w:rPr>
        <w:t xml:space="preserve">and country </w:t>
      </w:r>
      <w:r w:rsidRPr="00550CD9">
        <w:rPr>
          <w:rFonts w:asciiTheme="minorHAnsi" w:hAnsiTheme="minorHAnsi"/>
          <w:szCs w:val="24"/>
        </w:rPr>
        <w:t xml:space="preserve">teams, as well as </w:t>
      </w:r>
      <w:r>
        <w:rPr>
          <w:rFonts w:asciiTheme="minorHAnsi" w:hAnsiTheme="minorHAnsi"/>
          <w:szCs w:val="24"/>
        </w:rPr>
        <w:t>interact with the</w:t>
      </w:r>
      <w:r w:rsidRPr="00550CD9">
        <w:rPr>
          <w:rFonts w:asciiTheme="minorHAnsi" w:hAnsiTheme="minorHAnsi"/>
          <w:szCs w:val="24"/>
        </w:rPr>
        <w:t xml:space="preserve"> UN Resident Coordinator Office.</w:t>
      </w:r>
      <w:r w:rsidRPr="00550CD9" w:rsidDel="005C7E3B">
        <w:rPr>
          <w:rFonts w:asciiTheme="minorHAnsi" w:hAnsiTheme="minorHAnsi"/>
          <w:szCs w:val="24"/>
        </w:rPr>
        <w:t xml:space="preserve"> </w:t>
      </w:r>
    </w:p>
    <w:p w:rsidR="0006738A" w:rsidRPr="00550CD9" w:rsidRDefault="0006738A" w:rsidP="0006738A">
      <w:pPr>
        <w:pStyle w:val="ListParagraph"/>
        <w:tabs>
          <w:tab w:val="clear" w:pos="567"/>
          <w:tab w:val="clear" w:pos="1134"/>
          <w:tab w:val="clear" w:pos="1701"/>
          <w:tab w:val="clear" w:pos="2268"/>
          <w:tab w:val="clear" w:pos="2835"/>
        </w:tabs>
        <w:snapToGrid w:val="0"/>
        <w:spacing w:after="120"/>
        <w:ind w:left="0"/>
        <w:contextualSpacing w:val="0"/>
        <w:jc w:val="both"/>
        <w:rPr>
          <w:rFonts w:asciiTheme="minorHAnsi" w:hAnsiTheme="minorHAnsi"/>
          <w:szCs w:val="24"/>
        </w:rPr>
      </w:pPr>
      <w:r>
        <w:rPr>
          <w:rFonts w:asciiTheme="minorHAnsi" w:hAnsiTheme="minorHAnsi"/>
          <w:szCs w:val="24"/>
        </w:rPr>
        <w:t>K</w:t>
      </w:r>
      <w:r w:rsidRPr="00550CD9">
        <w:rPr>
          <w:rFonts w:asciiTheme="minorHAnsi" w:hAnsiTheme="minorHAnsi"/>
          <w:szCs w:val="24"/>
        </w:rPr>
        <w:t xml:space="preserve">ey initiatives to highlight </w:t>
      </w:r>
      <w:r>
        <w:rPr>
          <w:rFonts w:asciiTheme="minorHAnsi" w:hAnsiTheme="minorHAnsi"/>
          <w:szCs w:val="24"/>
        </w:rPr>
        <w:t>include</w:t>
      </w:r>
      <w:r w:rsidRPr="00550CD9">
        <w:rPr>
          <w:rFonts w:asciiTheme="minorHAnsi" w:hAnsiTheme="minorHAnsi"/>
          <w:szCs w:val="24"/>
        </w:rPr>
        <w:t xml:space="preserve"> the following:</w:t>
      </w:r>
    </w:p>
    <w:p w:rsidR="0006738A" w:rsidRPr="00A350B7" w:rsidRDefault="0006738A" w:rsidP="00740611">
      <w:pPr>
        <w:pStyle w:val="NoSpacing"/>
        <w:numPr>
          <w:ilvl w:val="0"/>
          <w:numId w:val="2"/>
        </w:numPr>
        <w:tabs>
          <w:tab w:val="clear" w:pos="567"/>
          <w:tab w:val="clear" w:pos="1134"/>
          <w:tab w:val="clear" w:pos="1701"/>
          <w:tab w:val="clear" w:pos="2268"/>
          <w:tab w:val="clear" w:pos="2835"/>
        </w:tabs>
        <w:snapToGrid w:val="0"/>
        <w:spacing w:before="120" w:after="120"/>
        <w:jc w:val="both"/>
        <w:rPr>
          <w:rFonts w:cs="Arial"/>
        </w:rPr>
      </w:pPr>
      <w:r w:rsidRPr="00A350B7">
        <w:t xml:space="preserve">ITU and UN Women joined forces to launch EQUALS: The Global Partnership for Gender Equality in the Digital Age, and continuation of the </w:t>
      </w:r>
      <w:r w:rsidRPr="00A350B7">
        <w:rPr>
          <w:rFonts w:eastAsiaTheme="minorEastAsia"/>
        </w:rPr>
        <w:t>GEM-TECH Awards</w:t>
      </w:r>
      <w:r w:rsidR="00967882">
        <w:rPr>
          <w:rFonts w:eastAsiaTheme="minorEastAsia"/>
        </w:rPr>
        <w:t>;</w:t>
      </w:r>
    </w:p>
    <w:p w:rsidR="0006738A" w:rsidRDefault="0006738A" w:rsidP="00740611">
      <w:pPr>
        <w:pStyle w:val="NoSpacing"/>
        <w:numPr>
          <w:ilvl w:val="0"/>
          <w:numId w:val="2"/>
        </w:numPr>
        <w:tabs>
          <w:tab w:val="clear" w:pos="567"/>
          <w:tab w:val="clear" w:pos="1134"/>
          <w:tab w:val="clear" w:pos="1701"/>
          <w:tab w:val="clear" w:pos="2268"/>
          <w:tab w:val="clear" w:pos="2835"/>
        </w:tabs>
        <w:snapToGrid w:val="0"/>
        <w:spacing w:before="120" w:after="120"/>
        <w:jc w:val="both"/>
        <w:rPr>
          <w:rFonts w:cs="Arial"/>
        </w:rPr>
      </w:pPr>
      <w:r w:rsidRPr="00A350B7">
        <w:rPr>
          <w:rFonts w:cs="Arial"/>
        </w:rPr>
        <w:t xml:space="preserve">ITU is an active member of the Partnership on Measuring ICT for Development, the international, </w:t>
      </w:r>
      <w:proofErr w:type="spellStart"/>
      <w:r w:rsidRPr="00A350B7">
        <w:rPr>
          <w:rFonts w:cs="Arial"/>
        </w:rPr>
        <w:t>multistakeholder</w:t>
      </w:r>
      <w:proofErr w:type="spellEnd"/>
      <w:r w:rsidRPr="00A350B7">
        <w:rPr>
          <w:rFonts w:cs="Arial"/>
        </w:rPr>
        <w:t xml:space="preserve"> initiative to improve the availability and qua</w:t>
      </w:r>
      <w:r w:rsidR="00967882">
        <w:rPr>
          <w:rFonts w:cs="Arial"/>
        </w:rPr>
        <w:t>lity of ICT data and indicators;</w:t>
      </w:r>
    </w:p>
    <w:p w:rsidR="0006738A" w:rsidRPr="00F44A35" w:rsidRDefault="0006738A" w:rsidP="00740611">
      <w:pPr>
        <w:pStyle w:val="NoSpacing"/>
        <w:numPr>
          <w:ilvl w:val="0"/>
          <w:numId w:val="2"/>
        </w:numPr>
        <w:tabs>
          <w:tab w:val="clear" w:pos="567"/>
          <w:tab w:val="clear" w:pos="1134"/>
          <w:tab w:val="clear" w:pos="1701"/>
          <w:tab w:val="clear" w:pos="2268"/>
          <w:tab w:val="clear" w:pos="2835"/>
        </w:tabs>
        <w:snapToGrid w:val="0"/>
        <w:spacing w:before="120" w:after="120"/>
        <w:jc w:val="both"/>
        <w:rPr>
          <w:rFonts w:eastAsia="SimSun" w:cs="Arial"/>
          <w:b/>
          <w:bCs/>
          <w:lang w:eastAsia="zh-CN"/>
        </w:rPr>
      </w:pPr>
      <w:r w:rsidRPr="00F44A35">
        <w:t xml:space="preserve">The joint WHO-ITU </w:t>
      </w:r>
      <w:proofErr w:type="spellStart"/>
      <w:r w:rsidRPr="00F44A35">
        <w:t>mHealth</w:t>
      </w:r>
      <w:proofErr w:type="spellEnd"/>
      <w:r w:rsidRPr="00F44A35">
        <w:t xml:space="preserve"> for </w:t>
      </w:r>
      <w:r w:rsidRPr="00F44A35">
        <w:rPr>
          <w:rFonts w:cs="Arial"/>
        </w:rPr>
        <w:t>Non-Communicable Diseases</w:t>
      </w:r>
      <w:r w:rsidRPr="00F44A35">
        <w:t xml:space="preserve"> (NCDs) partnership</w:t>
      </w:r>
      <w:r w:rsidRPr="00F44A35">
        <w:rPr>
          <w:rFonts w:cs="Arial"/>
        </w:rPr>
        <w:t xml:space="preserve"> </w:t>
      </w:r>
      <w:r w:rsidRPr="00263878">
        <w:t xml:space="preserve">a global initiative </w:t>
      </w:r>
      <w:r>
        <w:t xml:space="preserve">since </w:t>
      </w:r>
      <w:r w:rsidRPr="00263878">
        <w:t>2012</w:t>
      </w:r>
      <w:r w:rsidR="00967882">
        <w:t>;</w:t>
      </w:r>
    </w:p>
    <w:p w:rsidR="0006738A" w:rsidRPr="00F44A35" w:rsidRDefault="0006738A" w:rsidP="00740611">
      <w:pPr>
        <w:pStyle w:val="NoSpacing"/>
        <w:numPr>
          <w:ilvl w:val="0"/>
          <w:numId w:val="2"/>
        </w:numPr>
        <w:tabs>
          <w:tab w:val="clear" w:pos="567"/>
          <w:tab w:val="clear" w:pos="1134"/>
          <w:tab w:val="clear" w:pos="1701"/>
          <w:tab w:val="clear" w:pos="2268"/>
          <w:tab w:val="clear" w:pos="2835"/>
        </w:tabs>
        <w:snapToGrid w:val="0"/>
        <w:spacing w:before="120" w:after="120"/>
        <w:jc w:val="both"/>
        <w:rPr>
          <w:rFonts w:eastAsia="SimSun" w:cs="Arial"/>
          <w:b/>
          <w:bCs/>
          <w:lang w:eastAsia="zh-CN"/>
        </w:rPr>
      </w:pPr>
      <w:r w:rsidRPr="00F44A35">
        <w:rPr>
          <w:rFonts w:cs="Arial"/>
        </w:rPr>
        <w:t>ITU-FAO collaboration supporting countries to develop their e-agriculture strategy</w:t>
      </w:r>
      <w:r w:rsidR="00967882">
        <w:rPr>
          <w:rFonts w:cs="Arial"/>
        </w:rPr>
        <w:t>;</w:t>
      </w:r>
    </w:p>
    <w:p w:rsidR="0006738A" w:rsidRPr="00C75739" w:rsidRDefault="0006738A" w:rsidP="00740611">
      <w:pPr>
        <w:pStyle w:val="NoSpacing"/>
        <w:numPr>
          <w:ilvl w:val="0"/>
          <w:numId w:val="2"/>
        </w:numPr>
        <w:tabs>
          <w:tab w:val="clear" w:pos="567"/>
          <w:tab w:val="clear" w:pos="1134"/>
          <w:tab w:val="clear" w:pos="1701"/>
          <w:tab w:val="clear" w:pos="2268"/>
          <w:tab w:val="clear" w:pos="2835"/>
        </w:tabs>
        <w:snapToGrid w:val="0"/>
        <w:spacing w:before="120" w:after="120"/>
        <w:jc w:val="both"/>
        <w:rPr>
          <w:rFonts w:eastAsia="SimSun" w:cs="Arial"/>
          <w:b/>
          <w:bCs/>
          <w:lang w:eastAsia="zh-CN"/>
        </w:rPr>
      </w:pPr>
      <w:r w:rsidRPr="00C75739">
        <w:rPr>
          <w:rFonts w:eastAsia="SimSun" w:cs="Arial"/>
          <w:lang w:eastAsia="zh-CN"/>
        </w:rPr>
        <w:t>ITU-WMO</w:t>
      </w:r>
      <w:r w:rsidR="00967882">
        <w:rPr>
          <w:rFonts w:eastAsia="SimSun" w:cs="Arial"/>
          <w:lang w:eastAsia="zh-CN"/>
        </w:rPr>
        <w:t xml:space="preserve">-UNESCO/IOC </w:t>
      </w:r>
      <w:r w:rsidRPr="00C75739">
        <w:rPr>
          <w:rFonts w:eastAsia="SimSun" w:cs="Arial"/>
          <w:lang w:eastAsia="zh-CN"/>
        </w:rPr>
        <w:t>Joint Task Force (JTF) tasked with developing a strategy and roadmap that could lead to enabling the availability of submarine repeaters equipped with scientific sensors for ocean and climate monitoring and disaster risk reduction (tsunamis)</w:t>
      </w:r>
      <w:r w:rsidR="00967882">
        <w:rPr>
          <w:rFonts w:eastAsia="SimSun" w:cs="Arial"/>
          <w:lang w:eastAsia="zh-CN"/>
        </w:rPr>
        <w:t>.</w:t>
      </w:r>
    </w:p>
    <w:p w:rsidR="0006738A" w:rsidRDefault="0006738A" w:rsidP="00967882">
      <w:pPr>
        <w:tabs>
          <w:tab w:val="clear" w:pos="567"/>
          <w:tab w:val="clear" w:pos="1134"/>
          <w:tab w:val="clear" w:pos="1701"/>
          <w:tab w:val="clear" w:pos="2268"/>
          <w:tab w:val="clear" w:pos="2835"/>
        </w:tabs>
        <w:snapToGrid w:val="0"/>
        <w:spacing w:before="360" w:after="120"/>
        <w:jc w:val="both"/>
        <w:rPr>
          <w:rFonts w:asciiTheme="minorHAnsi" w:eastAsia="SimSun" w:hAnsiTheme="minorHAnsi" w:cs="Arial"/>
          <w:b/>
          <w:bCs/>
          <w:szCs w:val="24"/>
          <w:lang w:eastAsia="zh-CN"/>
        </w:rPr>
      </w:pPr>
      <w:r w:rsidRPr="00A350B7">
        <w:rPr>
          <w:rFonts w:asciiTheme="minorHAnsi" w:eastAsia="SimSun" w:hAnsiTheme="minorHAnsi" w:cs="Arial"/>
          <w:b/>
          <w:bCs/>
          <w:szCs w:val="24"/>
          <w:lang w:eastAsia="zh-CN"/>
        </w:rPr>
        <w:t xml:space="preserve">Collaboration with the Joint Inspection Unit of the United Nations system (JIU) </w:t>
      </w:r>
    </w:p>
    <w:p w:rsidR="0006738A" w:rsidRDefault="0006738A" w:rsidP="00967882">
      <w:pPr>
        <w:tabs>
          <w:tab w:val="clear" w:pos="567"/>
          <w:tab w:val="clear" w:pos="1134"/>
          <w:tab w:val="clear" w:pos="1701"/>
          <w:tab w:val="clear" w:pos="2268"/>
          <w:tab w:val="clear" w:pos="2835"/>
        </w:tabs>
        <w:snapToGrid w:val="0"/>
        <w:spacing w:after="120"/>
        <w:jc w:val="both"/>
        <w:rPr>
          <w:szCs w:val="24"/>
        </w:rPr>
      </w:pPr>
      <w:r w:rsidRPr="00550CD9">
        <w:rPr>
          <w:szCs w:val="24"/>
        </w:rPr>
        <w:t xml:space="preserve">ITU has continued to collaborate with the JIU, </w:t>
      </w:r>
      <w:r>
        <w:rPr>
          <w:szCs w:val="24"/>
        </w:rPr>
        <w:t xml:space="preserve">participating with dedicated thematic focal points and </w:t>
      </w:r>
      <w:r w:rsidRPr="00550CD9">
        <w:rPr>
          <w:szCs w:val="24"/>
        </w:rPr>
        <w:t>providing timely contributions</w:t>
      </w:r>
      <w:r>
        <w:rPr>
          <w:szCs w:val="24"/>
        </w:rPr>
        <w:t xml:space="preserve"> to the various JIU reviews undertaken during this period. ITU has also provided comments to JIU reports requested by the CEB for system-wide observations. </w:t>
      </w:r>
    </w:p>
    <w:p w:rsidR="0006738A" w:rsidRPr="000C69B6" w:rsidRDefault="0006738A" w:rsidP="00740611">
      <w:pPr>
        <w:tabs>
          <w:tab w:val="clear" w:pos="567"/>
          <w:tab w:val="clear" w:pos="1134"/>
          <w:tab w:val="clear" w:pos="1701"/>
          <w:tab w:val="clear" w:pos="2268"/>
          <w:tab w:val="clear" w:pos="2835"/>
        </w:tabs>
        <w:snapToGrid w:val="0"/>
        <w:spacing w:after="120"/>
        <w:jc w:val="both"/>
        <w:rPr>
          <w:rFonts w:asciiTheme="minorHAnsi" w:eastAsia="SimSun" w:hAnsiTheme="minorHAnsi" w:cs="Arial"/>
          <w:szCs w:val="24"/>
          <w:lang w:eastAsia="zh-CN"/>
        </w:rPr>
      </w:pPr>
      <w:r>
        <w:rPr>
          <w:szCs w:val="24"/>
        </w:rPr>
        <w:t>With regards to the JIU Review of ITU management and ad</w:t>
      </w:r>
      <w:r>
        <w:rPr>
          <w:rFonts w:asciiTheme="minorHAnsi" w:eastAsia="SimSun" w:hAnsiTheme="minorHAnsi" w:cs="Arial"/>
          <w:szCs w:val="24"/>
          <w:lang w:eastAsia="zh-CN"/>
        </w:rPr>
        <w:t xml:space="preserve">ministration in 2016, ITU has </w:t>
      </w:r>
      <w:r>
        <w:rPr>
          <w:szCs w:val="24"/>
        </w:rPr>
        <w:t>continued its efforts to fulfil the implementation of the JIU recommendations (</w:t>
      </w:r>
      <w:r w:rsidRPr="000C69B6">
        <w:rPr>
          <w:rFonts w:asciiTheme="minorHAnsi" w:eastAsia="SimSun" w:hAnsiTheme="minorHAnsi" w:cs="Arial"/>
          <w:szCs w:val="24"/>
          <w:lang w:eastAsia="zh-CN"/>
        </w:rPr>
        <w:t>both formal and informal</w:t>
      </w:r>
      <w:r>
        <w:rPr>
          <w:rFonts w:asciiTheme="minorHAnsi" w:eastAsia="SimSun" w:hAnsiTheme="minorHAnsi" w:cs="Arial"/>
          <w:szCs w:val="24"/>
          <w:lang w:eastAsia="zh-CN"/>
        </w:rPr>
        <w:t>), w</w:t>
      </w:r>
      <w:r w:rsidRPr="000C69B6">
        <w:rPr>
          <w:rFonts w:asciiTheme="minorHAnsi" w:eastAsia="SimSun" w:hAnsiTheme="minorHAnsi" w:cs="Arial"/>
          <w:szCs w:val="24"/>
          <w:lang w:eastAsia="zh-CN"/>
        </w:rPr>
        <w:t xml:space="preserve">ithin the </w:t>
      </w:r>
      <w:r w:rsidR="00967882">
        <w:rPr>
          <w:rFonts w:asciiTheme="minorHAnsi" w:eastAsia="SimSun" w:hAnsiTheme="minorHAnsi" w:cs="Arial"/>
          <w:szCs w:val="24"/>
          <w:lang w:eastAsia="zh-CN"/>
        </w:rPr>
        <w:t xml:space="preserve">established timescale. </w:t>
      </w:r>
      <w:r w:rsidRPr="000C69B6">
        <w:rPr>
          <w:rFonts w:asciiTheme="minorHAnsi" w:eastAsia="SimSun" w:hAnsiTheme="minorHAnsi" w:cs="Arial"/>
          <w:szCs w:val="24"/>
          <w:lang w:eastAsia="zh-CN"/>
        </w:rPr>
        <w:t>The overall progress of</w:t>
      </w:r>
      <w:r w:rsidR="003C60D7">
        <w:rPr>
          <w:rFonts w:asciiTheme="minorHAnsi" w:eastAsia="SimSun" w:hAnsiTheme="minorHAnsi" w:cs="Arial"/>
          <w:szCs w:val="24"/>
          <w:lang w:eastAsia="zh-CN"/>
        </w:rPr>
        <w:t xml:space="preserve"> the</w:t>
      </w:r>
      <w:r w:rsidRPr="000C69B6">
        <w:rPr>
          <w:rFonts w:asciiTheme="minorHAnsi" w:eastAsia="SimSun" w:hAnsiTheme="minorHAnsi" w:cs="Arial"/>
          <w:szCs w:val="24"/>
          <w:lang w:eastAsia="zh-CN"/>
        </w:rPr>
        <w:t xml:space="preserve"> implementation </w:t>
      </w:r>
      <w:r w:rsidR="003C60D7">
        <w:rPr>
          <w:rFonts w:asciiTheme="minorHAnsi" w:eastAsia="SimSun" w:hAnsiTheme="minorHAnsi" w:cs="Arial"/>
          <w:szCs w:val="24"/>
          <w:lang w:eastAsia="zh-CN"/>
        </w:rPr>
        <w:t xml:space="preserve">of </w:t>
      </w:r>
      <w:r w:rsidRPr="000C69B6">
        <w:rPr>
          <w:rFonts w:asciiTheme="minorHAnsi" w:eastAsia="SimSun" w:hAnsiTheme="minorHAnsi" w:cs="Arial"/>
          <w:szCs w:val="24"/>
          <w:lang w:eastAsia="zh-CN"/>
        </w:rPr>
        <w:t xml:space="preserve">the recommendations will be reported by the </w:t>
      </w:r>
      <w:r w:rsidR="00967882">
        <w:rPr>
          <w:rFonts w:asciiTheme="minorHAnsi" w:eastAsia="SimSun" w:hAnsiTheme="minorHAnsi" w:cs="Arial"/>
          <w:szCs w:val="24"/>
          <w:lang w:eastAsia="zh-CN"/>
        </w:rPr>
        <w:t>s</w:t>
      </w:r>
      <w:r w:rsidRPr="000C69B6">
        <w:rPr>
          <w:rFonts w:asciiTheme="minorHAnsi" w:eastAsia="SimSun" w:hAnsiTheme="minorHAnsi" w:cs="Arial"/>
          <w:szCs w:val="24"/>
          <w:lang w:eastAsia="zh-CN"/>
        </w:rPr>
        <w:t xml:space="preserve">ecretariat </w:t>
      </w:r>
      <w:r>
        <w:rPr>
          <w:rFonts w:asciiTheme="minorHAnsi" w:eastAsia="SimSun" w:hAnsiTheme="minorHAnsi" w:cs="Arial"/>
          <w:szCs w:val="24"/>
          <w:lang w:eastAsia="zh-CN"/>
        </w:rPr>
        <w:t xml:space="preserve">to </w:t>
      </w:r>
      <w:r w:rsidR="00967882">
        <w:rPr>
          <w:rFonts w:asciiTheme="minorHAnsi" w:eastAsia="SimSun" w:hAnsiTheme="minorHAnsi" w:cs="Arial"/>
          <w:szCs w:val="24"/>
          <w:lang w:eastAsia="zh-CN"/>
        </w:rPr>
        <w:t>Council-</w:t>
      </w:r>
      <w:r w:rsidRPr="000C69B6">
        <w:rPr>
          <w:rFonts w:asciiTheme="minorHAnsi" w:eastAsia="SimSun" w:hAnsiTheme="minorHAnsi" w:cs="Arial"/>
          <w:szCs w:val="24"/>
          <w:lang w:eastAsia="zh-CN"/>
        </w:rPr>
        <w:t>17</w:t>
      </w:r>
      <w:r w:rsidR="003C60D7">
        <w:rPr>
          <w:rFonts w:asciiTheme="minorHAnsi" w:eastAsia="SimSun" w:hAnsiTheme="minorHAnsi" w:cs="Arial"/>
          <w:szCs w:val="24"/>
          <w:lang w:eastAsia="zh-CN"/>
        </w:rPr>
        <w:t xml:space="preserve"> in document </w:t>
      </w:r>
      <w:hyperlink r:id="rId19" w:history="1">
        <w:r w:rsidR="003C60D7" w:rsidRPr="003C60D7">
          <w:rPr>
            <w:rStyle w:val="Hyperlink"/>
            <w:rFonts w:asciiTheme="minorHAnsi" w:eastAsia="SimSun" w:hAnsiTheme="minorHAnsi" w:cs="Arial"/>
            <w:szCs w:val="24"/>
            <w:lang w:eastAsia="zh-CN"/>
          </w:rPr>
          <w:t>C17/49</w:t>
        </w:r>
      </w:hyperlink>
      <w:r w:rsidRPr="000C69B6">
        <w:rPr>
          <w:rFonts w:asciiTheme="minorHAnsi" w:eastAsia="SimSun" w:hAnsiTheme="minorHAnsi" w:cs="Arial"/>
          <w:szCs w:val="24"/>
          <w:lang w:eastAsia="zh-CN"/>
        </w:rPr>
        <w:t>.</w:t>
      </w:r>
    </w:p>
    <w:p w:rsidR="0006738A" w:rsidRDefault="0006738A">
      <w:pPr>
        <w:tabs>
          <w:tab w:val="clear" w:pos="567"/>
          <w:tab w:val="clear" w:pos="1134"/>
          <w:tab w:val="clear" w:pos="1701"/>
          <w:tab w:val="clear" w:pos="2268"/>
          <w:tab w:val="clear" w:pos="2835"/>
        </w:tabs>
        <w:snapToGrid w:val="0"/>
        <w:spacing w:after="120"/>
        <w:jc w:val="both"/>
        <w:rPr>
          <w:rFonts w:cstheme="majorBidi"/>
        </w:rPr>
      </w:pPr>
      <w:r>
        <w:rPr>
          <w:rFonts w:cstheme="majorBidi"/>
        </w:rPr>
        <w:t>In relation to the follow-up and tracking of ITU acceptance and implementation of JIU UN system</w:t>
      </w:r>
      <w:r w:rsidR="003C60D7">
        <w:rPr>
          <w:rFonts w:cstheme="majorBidi"/>
        </w:rPr>
        <w:t>-</w:t>
      </w:r>
      <w:r>
        <w:rPr>
          <w:rFonts w:cstheme="majorBidi"/>
        </w:rPr>
        <w:t xml:space="preserve">wide reports, since 2016 </w:t>
      </w:r>
      <w:r w:rsidRPr="000C69B6">
        <w:rPr>
          <w:rFonts w:asciiTheme="minorHAnsi" w:eastAsia="SimSun" w:hAnsiTheme="minorHAnsi" w:cs="Arial"/>
          <w:szCs w:val="24"/>
          <w:lang w:eastAsia="zh-CN"/>
        </w:rPr>
        <w:t>ITU has increased the acceptance rate for the long-sta</w:t>
      </w:r>
      <w:r>
        <w:rPr>
          <w:rFonts w:asciiTheme="minorHAnsi" w:eastAsia="SimSun" w:hAnsiTheme="minorHAnsi" w:cs="Arial"/>
          <w:szCs w:val="24"/>
          <w:lang w:eastAsia="zh-CN"/>
        </w:rPr>
        <w:t xml:space="preserve">nding JIU recommendations from approximately </w:t>
      </w:r>
      <w:r w:rsidRPr="000C69B6">
        <w:rPr>
          <w:rFonts w:asciiTheme="minorHAnsi" w:eastAsia="SimSun" w:hAnsiTheme="minorHAnsi" w:cs="Arial"/>
          <w:szCs w:val="24"/>
          <w:lang w:eastAsia="zh-CN"/>
        </w:rPr>
        <w:t>50% to 87%, while the implemen</w:t>
      </w:r>
      <w:r>
        <w:rPr>
          <w:rFonts w:asciiTheme="minorHAnsi" w:eastAsia="SimSun" w:hAnsiTheme="minorHAnsi" w:cs="Arial"/>
          <w:szCs w:val="24"/>
          <w:lang w:eastAsia="zh-CN"/>
        </w:rPr>
        <w:t xml:space="preserve">tation rates have gone up from </w:t>
      </w:r>
      <w:r w:rsidRPr="000C69B6">
        <w:rPr>
          <w:rFonts w:asciiTheme="minorHAnsi" w:eastAsia="SimSun" w:hAnsiTheme="minorHAnsi" w:cs="Arial"/>
          <w:szCs w:val="24"/>
          <w:lang w:eastAsia="zh-CN"/>
        </w:rPr>
        <w:t xml:space="preserve">46% to </w:t>
      </w:r>
      <w:r>
        <w:rPr>
          <w:rFonts w:asciiTheme="minorHAnsi" w:eastAsia="SimSun" w:hAnsiTheme="minorHAnsi" w:cs="Arial"/>
          <w:szCs w:val="24"/>
          <w:lang w:eastAsia="zh-CN"/>
        </w:rPr>
        <w:t xml:space="preserve">approximately </w:t>
      </w:r>
      <w:r w:rsidRPr="000C69B6">
        <w:rPr>
          <w:rFonts w:asciiTheme="minorHAnsi" w:eastAsia="SimSun" w:hAnsiTheme="minorHAnsi" w:cs="Arial"/>
          <w:szCs w:val="24"/>
          <w:lang w:eastAsia="zh-CN"/>
        </w:rPr>
        <w:t>86% (</w:t>
      </w:r>
      <w:r>
        <w:rPr>
          <w:rFonts w:asciiTheme="minorHAnsi" w:eastAsia="SimSun" w:hAnsiTheme="minorHAnsi" w:cs="Arial"/>
          <w:szCs w:val="24"/>
          <w:lang w:eastAsia="zh-CN"/>
        </w:rPr>
        <w:t xml:space="preserve">as of December 2016) for JIU reports during the period </w:t>
      </w:r>
      <w:r w:rsidRPr="000C69B6">
        <w:rPr>
          <w:rFonts w:asciiTheme="minorHAnsi" w:eastAsia="SimSun" w:hAnsiTheme="minorHAnsi" w:cs="Arial"/>
          <w:szCs w:val="24"/>
          <w:lang w:eastAsia="zh-CN"/>
        </w:rPr>
        <w:t>2006-2014</w:t>
      </w:r>
      <w:r>
        <w:rPr>
          <w:rFonts w:asciiTheme="minorHAnsi" w:eastAsia="SimSun" w:hAnsiTheme="minorHAnsi" w:cs="Arial"/>
          <w:szCs w:val="24"/>
          <w:lang w:eastAsia="zh-CN"/>
        </w:rPr>
        <w:t>.</w:t>
      </w:r>
    </w:p>
    <w:p w:rsidR="00264425" w:rsidRPr="0006738A" w:rsidRDefault="0006738A" w:rsidP="0006738A">
      <w:pPr>
        <w:tabs>
          <w:tab w:val="clear" w:pos="567"/>
          <w:tab w:val="clear" w:pos="1134"/>
          <w:tab w:val="clear" w:pos="1701"/>
          <w:tab w:val="clear" w:pos="2268"/>
          <w:tab w:val="clear" w:pos="2835"/>
        </w:tabs>
        <w:snapToGrid w:val="0"/>
        <w:spacing w:after="120"/>
        <w:jc w:val="both"/>
        <w:rPr>
          <w:rStyle w:val="Hyperlink"/>
          <w:rFonts w:cstheme="majorBidi"/>
          <w:color w:val="auto"/>
        </w:rPr>
      </w:pPr>
      <w:r>
        <w:rPr>
          <w:rFonts w:cstheme="majorBidi"/>
        </w:rPr>
        <w:t xml:space="preserve">2016 JIU reports/recommendations and CEB comments can be obtained from the JIU website: </w:t>
      </w:r>
      <w:hyperlink r:id="rId20" w:history="1">
        <w:r w:rsidRPr="00284076">
          <w:rPr>
            <w:rStyle w:val="Hyperlink"/>
            <w:rFonts w:cstheme="majorBidi"/>
          </w:rPr>
          <w:t>https://www.unjiu.org/en/reports-notes/Pages/reports.aspx</w:t>
        </w:r>
      </w:hyperlink>
      <w:r w:rsidRPr="0006738A">
        <w:rPr>
          <w:rStyle w:val="Hyperlink"/>
          <w:rFonts w:cstheme="majorBidi"/>
          <w:color w:val="auto"/>
        </w:rPr>
        <w:t>.</w:t>
      </w:r>
    </w:p>
    <w:p w:rsidR="0006738A" w:rsidRPr="0006738A" w:rsidRDefault="0006738A" w:rsidP="0006738A">
      <w:pPr>
        <w:tabs>
          <w:tab w:val="clear" w:pos="567"/>
          <w:tab w:val="clear" w:pos="1134"/>
          <w:tab w:val="clear" w:pos="1701"/>
          <w:tab w:val="clear" w:pos="2268"/>
          <w:tab w:val="clear" w:pos="2835"/>
        </w:tabs>
        <w:snapToGrid w:val="0"/>
        <w:spacing w:before="840"/>
        <w:jc w:val="center"/>
        <w:rPr>
          <w:rFonts w:cstheme="majorBidi"/>
        </w:rPr>
      </w:pPr>
      <w:r w:rsidRPr="0006738A">
        <w:rPr>
          <w:rStyle w:val="Hyperlink"/>
          <w:rFonts w:cstheme="majorBidi"/>
          <w:color w:val="auto"/>
          <w:u w:val="none"/>
        </w:rPr>
        <w:t>________________</w:t>
      </w:r>
    </w:p>
    <w:sectPr w:rsidR="0006738A" w:rsidRPr="0006738A" w:rsidSect="004D1851">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38A" w:rsidRDefault="0006738A">
      <w:r>
        <w:separator/>
      </w:r>
    </w:p>
  </w:endnote>
  <w:endnote w:type="continuationSeparator" w:id="0">
    <w:p w:rsidR="0006738A" w:rsidRDefault="0006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967882" w:rsidRDefault="00967882">
    <w:pPr>
      <w:pStyle w:val="Footer"/>
      <w:rPr>
        <w:color w:val="D9D9D9" w:themeColor="background1" w:themeShade="D9"/>
      </w:rPr>
    </w:pPr>
    <w:r w:rsidRPr="00967882">
      <w:rPr>
        <w:color w:val="D9D9D9" w:themeColor="background1" w:themeShade="D9"/>
      </w:rPr>
      <w:fldChar w:fldCharType="begin"/>
    </w:r>
    <w:r w:rsidRPr="00967882">
      <w:rPr>
        <w:color w:val="D9D9D9" w:themeColor="background1" w:themeShade="D9"/>
      </w:rPr>
      <w:instrText xml:space="preserve"> FILENAME \p  \* MERGEFORMAT </w:instrText>
    </w:r>
    <w:r w:rsidRPr="00967882">
      <w:rPr>
        <w:color w:val="D9D9D9" w:themeColor="background1" w:themeShade="D9"/>
      </w:rPr>
      <w:fldChar w:fldCharType="separate"/>
    </w:r>
    <w:r w:rsidR="0006738A" w:rsidRPr="00967882">
      <w:rPr>
        <w:color w:val="D9D9D9" w:themeColor="background1" w:themeShade="D9"/>
      </w:rPr>
      <w:t>Document1</w:t>
    </w:r>
    <w:r w:rsidRPr="00967882">
      <w:rPr>
        <w:color w:val="D9D9D9" w:themeColor="background1" w:themeShade="D9"/>
      </w:rPr>
      <w:fldChar w:fldCharType="end"/>
    </w:r>
    <w:r w:rsidR="00CB18FF" w:rsidRPr="00967882">
      <w:rPr>
        <w:color w:val="D9D9D9" w:themeColor="background1" w:themeShade="D9"/>
      </w:rPr>
      <w:tab/>
    </w:r>
    <w:r w:rsidR="00864AFF" w:rsidRPr="00967882">
      <w:rPr>
        <w:color w:val="D9D9D9" w:themeColor="background1" w:themeShade="D9"/>
      </w:rPr>
      <w:fldChar w:fldCharType="begin"/>
    </w:r>
    <w:r w:rsidR="00CB18FF" w:rsidRPr="00967882">
      <w:rPr>
        <w:color w:val="D9D9D9" w:themeColor="background1" w:themeShade="D9"/>
      </w:rPr>
      <w:instrText xml:space="preserve"> SAVEDATE \@ DD.MM.YY </w:instrText>
    </w:r>
    <w:r w:rsidR="00864AFF" w:rsidRPr="00967882">
      <w:rPr>
        <w:color w:val="D9D9D9" w:themeColor="background1" w:themeShade="D9"/>
      </w:rPr>
      <w:fldChar w:fldCharType="separate"/>
    </w:r>
    <w:r w:rsidR="00740611">
      <w:rPr>
        <w:color w:val="D9D9D9" w:themeColor="background1" w:themeShade="D9"/>
      </w:rPr>
      <w:t>29.03.17</w:t>
    </w:r>
    <w:r w:rsidR="00864AFF" w:rsidRPr="00967882">
      <w:rPr>
        <w:color w:val="D9D9D9" w:themeColor="background1" w:themeShade="D9"/>
      </w:rPr>
      <w:fldChar w:fldCharType="end"/>
    </w:r>
    <w:r w:rsidR="00CB18FF" w:rsidRPr="00967882">
      <w:rPr>
        <w:color w:val="D9D9D9" w:themeColor="background1" w:themeShade="D9"/>
      </w:rPr>
      <w:tab/>
    </w:r>
    <w:r w:rsidR="00864AFF" w:rsidRPr="00967882">
      <w:rPr>
        <w:color w:val="D9D9D9" w:themeColor="background1" w:themeShade="D9"/>
      </w:rPr>
      <w:fldChar w:fldCharType="begin"/>
    </w:r>
    <w:r w:rsidR="00CB18FF" w:rsidRPr="00967882">
      <w:rPr>
        <w:color w:val="D9D9D9" w:themeColor="background1" w:themeShade="D9"/>
      </w:rPr>
      <w:instrText xml:space="preserve"> PRINTDATE \@ DD.MM.YY </w:instrText>
    </w:r>
    <w:r w:rsidR="00864AFF" w:rsidRPr="00967882">
      <w:rPr>
        <w:color w:val="D9D9D9" w:themeColor="background1" w:themeShade="D9"/>
      </w:rPr>
      <w:fldChar w:fldCharType="separate"/>
    </w:r>
    <w:r w:rsidR="0006738A" w:rsidRPr="00967882">
      <w:rPr>
        <w:color w:val="D9D9D9" w:themeColor="background1" w:themeShade="D9"/>
      </w:rPr>
      <w:t>18.07.00</w:t>
    </w:r>
    <w:r w:rsidR="00864AFF" w:rsidRPr="00967882">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967882" w:rsidRDefault="00967882">
    <w:pPr>
      <w:pStyle w:val="Footer"/>
      <w:rPr>
        <w:color w:val="D9D9D9" w:themeColor="background1" w:themeShade="D9"/>
      </w:rPr>
    </w:pPr>
    <w:r w:rsidRPr="00967882">
      <w:rPr>
        <w:color w:val="D9D9D9" w:themeColor="background1" w:themeShade="D9"/>
      </w:rPr>
      <w:fldChar w:fldCharType="begin"/>
    </w:r>
    <w:r w:rsidRPr="00967882">
      <w:rPr>
        <w:color w:val="D9D9D9" w:themeColor="background1" w:themeShade="D9"/>
      </w:rPr>
      <w:instrText xml:space="preserve"> FILENAME \p  \* MERGEFORMAT </w:instrText>
    </w:r>
    <w:r w:rsidRPr="00967882">
      <w:rPr>
        <w:color w:val="D9D9D9" w:themeColor="background1" w:themeShade="D9"/>
      </w:rPr>
      <w:fldChar w:fldCharType="separate"/>
    </w:r>
    <w:r w:rsidR="0006738A" w:rsidRPr="00967882">
      <w:rPr>
        <w:color w:val="D9D9D9" w:themeColor="background1" w:themeShade="D9"/>
      </w:rPr>
      <w:t>Document1</w:t>
    </w:r>
    <w:r w:rsidRPr="00967882">
      <w:rPr>
        <w:color w:val="D9D9D9" w:themeColor="background1" w:themeShade="D9"/>
      </w:rPr>
      <w:fldChar w:fldCharType="end"/>
    </w:r>
    <w:r w:rsidR="00322D0D" w:rsidRPr="00967882">
      <w:rPr>
        <w:color w:val="D9D9D9" w:themeColor="background1" w:themeShade="D9"/>
      </w:rPr>
      <w:tab/>
    </w:r>
    <w:r w:rsidR="00864AFF" w:rsidRPr="00967882">
      <w:rPr>
        <w:color w:val="D9D9D9" w:themeColor="background1" w:themeShade="D9"/>
      </w:rPr>
      <w:fldChar w:fldCharType="begin"/>
    </w:r>
    <w:r w:rsidR="00322D0D" w:rsidRPr="00967882">
      <w:rPr>
        <w:color w:val="D9D9D9" w:themeColor="background1" w:themeShade="D9"/>
      </w:rPr>
      <w:instrText xml:space="preserve"> SAVEDATE \@ DD.MM.YY </w:instrText>
    </w:r>
    <w:r w:rsidR="00864AFF" w:rsidRPr="00967882">
      <w:rPr>
        <w:color w:val="D9D9D9" w:themeColor="background1" w:themeShade="D9"/>
      </w:rPr>
      <w:fldChar w:fldCharType="separate"/>
    </w:r>
    <w:r w:rsidR="00740611">
      <w:rPr>
        <w:color w:val="D9D9D9" w:themeColor="background1" w:themeShade="D9"/>
      </w:rPr>
      <w:t>29.03.17</w:t>
    </w:r>
    <w:r w:rsidR="00864AFF" w:rsidRPr="00967882">
      <w:rPr>
        <w:color w:val="D9D9D9" w:themeColor="background1" w:themeShade="D9"/>
      </w:rPr>
      <w:fldChar w:fldCharType="end"/>
    </w:r>
    <w:r w:rsidR="00322D0D" w:rsidRPr="00967882">
      <w:rPr>
        <w:color w:val="D9D9D9" w:themeColor="background1" w:themeShade="D9"/>
      </w:rPr>
      <w:tab/>
    </w:r>
    <w:r w:rsidR="00864AFF" w:rsidRPr="00967882">
      <w:rPr>
        <w:color w:val="D9D9D9" w:themeColor="background1" w:themeShade="D9"/>
      </w:rPr>
      <w:fldChar w:fldCharType="begin"/>
    </w:r>
    <w:r w:rsidR="00322D0D" w:rsidRPr="00967882">
      <w:rPr>
        <w:color w:val="D9D9D9" w:themeColor="background1" w:themeShade="D9"/>
      </w:rPr>
      <w:instrText xml:space="preserve"> PRINTDATE \@ DD.MM.YY </w:instrText>
    </w:r>
    <w:r w:rsidR="00864AFF" w:rsidRPr="00967882">
      <w:rPr>
        <w:color w:val="D9D9D9" w:themeColor="background1" w:themeShade="D9"/>
      </w:rPr>
      <w:fldChar w:fldCharType="separate"/>
    </w:r>
    <w:r w:rsidR="0006738A" w:rsidRPr="00967882">
      <w:rPr>
        <w:color w:val="D9D9D9" w:themeColor="background1" w:themeShade="D9"/>
      </w:rPr>
      <w:t>18.07.00</w:t>
    </w:r>
    <w:r w:rsidR="00864AFF" w:rsidRPr="00967882">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38A" w:rsidRDefault="0006738A">
      <w:r>
        <w:t>____________________</w:t>
      </w:r>
    </w:p>
  </w:footnote>
  <w:footnote w:type="continuationSeparator" w:id="0">
    <w:p w:rsidR="0006738A" w:rsidRDefault="00067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740611">
      <w:rPr>
        <w:noProof/>
      </w:rPr>
      <w:t>4</w:t>
    </w:r>
    <w:r>
      <w:rPr>
        <w:noProof/>
      </w:rPr>
      <w:fldChar w:fldCharType="end"/>
    </w:r>
  </w:p>
  <w:p w:rsidR="00322D0D" w:rsidRDefault="0006738A" w:rsidP="005243FF">
    <w:pPr>
      <w:pStyle w:val="Header"/>
    </w:pPr>
    <w:r>
      <w:t>C17/INF/10-E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A728B3"/>
    <w:multiLevelType w:val="hybridMultilevel"/>
    <w:tmpl w:val="17E29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38A"/>
    <w:rsid w:val="000210D4"/>
    <w:rsid w:val="00063016"/>
    <w:rsid w:val="00066795"/>
    <w:rsid w:val="0006738A"/>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B1F58"/>
    <w:rsid w:val="002C1C7A"/>
    <w:rsid w:val="0030160F"/>
    <w:rsid w:val="00322D0D"/>
    <w:rsid w:val="003942D4"/>
    <w:rsid w:val="003958A8"/>
    <w:rsid w:val="003C2533"/>
    <w:rsid w:val="003C60D7"/>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B5425"/>
    <w:rsid w:val="0064737F"/>
    <w:rsid w:val="006535F1"/>
    <w:rsid w:val="0065557D"/>
    <w:rsid w:val="00662984"/>
    <w:rsid w:val="006716BB"/>
    <w:rsid w:val="006B6680"/>
    <w:rsid w:val="006B6DCC"/>
    <w:rsid w:val="00702DEF"/>
    <w:rsid w:val="00706861"/>
    <w:rsid w:val="00740611"/>
    <w:rsid w:val="0075051B"/>
    <w:rsid w:val="00794D34"/>
    <w:rsid w:val="00813E5E"/>
    <w:rsid w:val="0083581B"/>
    <w:rsid w:val="00864AFF"/>
    <w:rsid w:val="008B4A6A"/>
    <w:rsid w:val="008C6D70"/>
    <w:rsid w:val="008C7E27"/>
    <w:rsid w:val="009173EF"/>
    <w:rsid w:val="00932906"/>
    <w:rsid w:val="00961B0B"/>
    <w:rsid w:val="00967882"/>
    <w:rsid w:val="009B38C3"/>
    <w:rsid w:val="009E17BD"/>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47A2CE4-4984-4D48-9FE3-5132EA1F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06738A"/>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link w:val="ListParagraphChar"/>
    <w:uiPriority w:val="34"/>
    <w:qFormat/>
    <w:rsid w:val="0006738A"/>
    <w:pPr>
      <w:ind w:left="720"/>
      <w:contextualSpacing/>
    </w:pPr>
  </w:style>
  <w:style w:type="character" w:customStyle="1" w:styleId="ListParagraphChar">
    <w:name w:val="List Paragraph Char"/>
    <w:basedOn w:val="DefaultParagraphFont"/>
    <w:link w:val="ListParagraph"/>
    <w:uiPriority w:val="34"/>
    <w:locked/>
    <w:rsid w:val="0006738A"/>
    <w:rPr>
      <w:rFonts w:ascii="Calibri" w:hAnsi="Calibri"/>
      <w:sz w:val="24"/>
      <w:lang w:val="en-GB" w:eastAsia="en-US"/>
    </w:rPr>
  </w:style>
  <w:style w:type="paragraph" w:styleId="NoSpacing">
    <w:name w:val="No Spacing"/>
    <w:uiPriority w:val="1"/>
    <w:qFormat/>
    <w:rsid w:val="0006738A"/>
    <w:pPr>
      <w:tabs>
        <w:tab w:val="left" w:pos="567"/>
        <w:tab w:val="left" w:pos="1134"/>
        <w:tab w:val="left" w:pos="1701"/>
        <w:tab w:val="left" w:pos="2268"/>
        <w:tab w:val="left" w:pos="2835"/>
      </w:tabs>
      <w:overflowPunct w:val="0"/>
      <w:autoSpaceDE w:val="0"/>
      <w:autoSpaceDN w:val="0"/>
      <w:adjustRightInd w:val="0"/>
      <w:textAlignment w:val="baseline"/>
    </w:pPr>
    <w:rPr>
      <w:rFonts w:ascii="Calibri" w:hAnsi="Calibri"/>
      <w:sz w:val="24"/>
      <w:lang w:val="en-GB" w:eastAsia="en-US"/>
    </w:rPr>
  </w:style>
  <w:style w:type="paragraph" w:styleId="BalloonText">
    <w:name w:val="Balloon Text"/>
    <w:basedOn w:val="Normal"/>
    <w:link w:val="BalloonTextChar"/>
    <w:semiHidden/>
    <w:unhideWhenUsed/>
    <w:rsid w:val="005B542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B542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S14-CL-INF-0007/en" TargetMode="External"/><Relationship Id="rId18" Type="http://schemas.openxmlformats.org/officeDocument/2006/relationships/hyperlink" Target="http://www.unsceb.org/content/eces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md/S13-CL-INF-0010/en" TargetMode="External"/><Relationship Id="rId17" Type="http://schemas.openxmlformats.org/officeDocument/2006/relationships/hyperlink" Target="http://www.unsceb.org/content/em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nsceb.org/content/iaeg-mdg" TargetMode="External"/><Relationship Id="rId20" Type="http://schemas.openxmlformats.org/officeDocument/2006/relationships/hyperlink" Target="https://www.unjiu.org/en/reports-notes/Pages/report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2-CL-INF-0001/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16-CL-C-0057/en" TargetMode="External"/><Relationship Id="rId23" Type="http://schemas.openxmlformats.org/officeDocument/2006/relationships/footer" Target="footer2.xml"/><Relationship Id="rId10" Type="http://schemas.openxmlformats.org/officeDocument/2006/relationships/hyperlink" Target="http://www.itu.int/md/S11-CL-INF-0006/en" TargetMode="External"/><Relationship Id="rId19" Type="http://schemas.openxmlformats.org/officeDocument/2006/relationships/hyperlink" Target="https://www.itu.int/md/S17-CL-C-0049/en" TargetMode="External"/><Relationship Id="rId4" Type="http://schemas.openxmlformats.org/officeDocument/2006/relationships/settings" Target="settings.xml"/><Relationship Id="rId9" Type="http://schemas.openxmlformats.org/officeDocument/2006/relationships/hyperlink" Target="http://www.itu.int/md/S08-CL-INF-0008/en" TargetMode="External"/><Relationship Id="rId14" Type="http://schemas.openxmlformats.org/officeDocument/2006/relationships/hyperlink" Target="http://www.itu.int/md/S15-CL-INF-0004/en"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DEC29-1422-4975-A824-83128BAFD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collaboration with the UN system</vt:lpstr>
    </vt:vector>
  </TitlesOfParts>
  <Manager>General Secretariat - Pool</Manager>
  <Company>International Telecommunication Union (ITU)</Company>
  <LinksUpToDate>false</LinksUpToDate>
  <CharactersWithSpaces>12097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collaboration with the UN system</dc:title>
  <dc:subject>Council 2017</dc:subject>
  <dc:creator>Brouard, Ricarda</dc:creator>
  <cp:keywords>C2017, C17</cp:keywords>
  <dc:description/>
  <cp:lastModifiedBy>Janin</cp:lastModifiedBy>
  <cp:revision>4</cp:revision>
  <cp:lastPrinted>2000-07-18T13:30:00Z</cp:lastPrinted>
  <dcterms:created xsi:type="dcterms:W3CDTF">2017-03-29T12:10:00Z</dcterms:created>
  <dcterms:modified xsi:type="dcterms:W3CDTF">2017-04-10T09:00:00Z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