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31" w:type="dxa"/>
        <w:tblInd w:w="-115" w:type="dxa"/>
        <w:tblLayout w:type="fixed"/>
        <w:tblLook w:val="0000" w:firstRow="0" w:lastRow="0" w:firstColumn="0" w:lastColumn="0" w:noHBand="0" w:noVBand="0"/>
      </w:tblPr>
      <w:tblGrid>
        <w:gridCol w:w="6487"/>
        <w:gridCol w:w="3544"/>
      </w:tblGrid>
      <w:tr w:rsidR="005476DB" w:rsidRPr="005476DB" w:rsidTr="00636FBA">
        <w:tc>
          <w:tcPr>
            <w:tcW w:w="6487" w:type="dxa"/>
            <w:vAlign w:val="center"/>
          </w:tcPr>
          <w:p w:rsidR="005476DB" w:rsidRPr="005476DB" w:rsidRDefault="005476DB" w:rsidP="002B5980">
            <w:pPr>
              <w:tabs>
                <w:tab w:val="clear" w:pos="794"/>
                <w:tab w:val="clear" w:pos="1191"/>
                <w:tab w:val="clear" w:pos="1588"/>
                <w:tab w:val="clear" w:pos="1985"/>
                <w:tab w:val="left" w:pos="567"/>
                <w:tab w:val="left" w:pos="1134"/>
                <w:tab w:val="left" w:pos="1701"/>
                <w:tab w:val="left" w:pos="2268"/>
                <w:tab w:val="left" w:pos="2835"/>
              </w:tabs>
              <w:overflowPunct/>
              <w:autoSpaceDE/>
              <w:autoSpaceDN/>
              <w:snapToGrid w:val="0"/>
              <w:spacing w:before="0"/>
              <w:textAlignment w:val="auto"/>
              <w:rPr>
                <w:rFonts w:ascii="Calibri" w:eastAsia="Calibri" w:hAnsi="Calibri" w:cs="Calibri"/>
                <w:color w:val="000000"/>
                <w:szCs w:val="24"/>
              </w:rPr>
            </w:pPr>
            <w:r w:rsidRPr="005476DB">
              <w:rPr>
                <w:rFonts w:ascii="Calibri" w:eastAsia="Calibri" w:hAnsi="Calibri" w:cs="Calibri"/>
                <w:b/>
                <w:bCs/>
                <w:color w:val="000000"/>
                <w:position w:val="6"/>
                <w:sz w:val="30"/>
                <w:szCs w:val="30"/>
              </w:rPr>
              <w:t xml:space="preserve">Council Working Group </w:t>
            </w:r>
            <w:r w:rsidR="00027EFA">
              <w:rPr>
                <w:rFonts w:ascii="Calibri" w:eastAsia="Calibri" w:hAnsi="Calibri" w:cs="Calibri"/>
                <w:b/>
                <w:bCs/>
                <w:color w:val="000000"/>
                <w:position w:val="6"/>
                <w:sz w:val="30"/>
                <w:szCs w:val="30"/>
              </w:rPr>
              <w:t xml:space="preserve">for </w:t>
            </w:r>
            <w:r w:rsidR="00027EFA">
              <w:rPr>
                <w:rFonts w:ascii="Calibri" w:eastAsia="Calibri" w:hAnsi="Calibri" w:cs="Calibri"/>
                <w:b/>
                <w:bCs/>
                <w:color w:val="000000"/>
                <w:position w:val="6"/>
                <w:sz w:val="30"/>
                <w:szCs w:val="30"/>
              </w:rPr>
              <w:br/>
              <w:t xml:space="preserve">Strategic and Financial Plans for </w:t>
            </w:r>
            <w:r w:rsidR="00027EFA">
              <w:rPr>
                <w:rFonts w:ascii="Calibri" w:eastAsia="Calibri" w:hAnsi="Calibri" w:cs="Calibri"/>
                <w:b/>
                <w:bCs/>
                <w:color w:val="000000"/>
                <w:position w:val="6"/>
                <w:sz w:val="30"/>
                <w:szCs w:val="30"/>
              </w:rPr>
              <w:br/>
              <w:t>2020-2023 (CWG-SFP)</w:t>
            </w:r>
          </w:p>
        </w:tc>
        <w:tc>
          <w:tcPr>
            <w:tcW w:w="3544" w:type="dxa"/>
          </w:tcPr>
          <w:p w:rsidR="005476DB" w:rsidRPr="005476DB" w:rsidRDefault="005476DB" w:rsidP="002B5980">
            <w:pPr>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before="0"/>
              <w:textAlignment w:val="auto"/>
              <w:rPr>
                <w:rFonts w:ascii="Calibri" w:eastAsia="Calibri" w:hAnsi="Calibri" w:cs="Calibri"/>
                <w:color w:val="000000"/>
                <w:szCs w:val="24"/>
              </w:rPr>
            </w:pPr>
            <w:bookmarkStart w:id="0" w:name="h.30j0zll" w:colFirst="0" w:colLast="0"/>
            <w:bookmarkEnd w:id="0"/>
            <w:r w:rsidRPr="005476DB">
              <w:rPr>
                <w:rFonts w:ascii="Calibri" w:eastAsia="Calibri" w:hAnsi="Calibri" w:cs="Calibri"/>
                <w:noProof/>
                <w:color w:val="000000"/>
                <w:szCs w:val="24"/>
                <w:lang w:val="en-US" w:eastAsia="zh-CN"/>
              </w:rPr>
              <w:drawing>
                <wp:inline distT="0" distB="0" distL="0" distR="0" wp14:anchorId="43598FB1" wp14:editId="5DEA5AC8">
                  <wp:extent cx="1760220" cy="746760"/>
                  <wp:effectExtent l="0" t="0" r="0" b="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11"/>
                          <a:srcRect/>
                          <a:stretch>
                            <a:fillRect/>
                          </a:stretch>
                        </pic:blipFill>
                        <pic:spPr>
                          <a:xfrm>
                            <a:off x="0" y="0"/>
                            <a:ext cx="1760220" cy="746760"/>
                          </a:xfrm>
                          <a:prstGeom prst="rect">
                            <a:avLst/>
                          </a:prstGeom>
                          <a:ln/>
                        </pic:spPr>
                      </pic:pic>
                    </a:graphicData>
                  </a:graphic>
                </wp:inline>
              </w:drawing>
            </w:r>
          </w:p>
        </w:tc>
      </w:tr>
      <w:tr w:rsidR="005476DB" w:rsidRPr="005476DB" w:rsidTr="00636FBA">
        <w:tc>
          <w:tcPr>
            <w:tcW w:w="6487" w:type="dxa"/>
            <w:tcBorders>
              <w:bottom w:val="single" w:sz="12" w:space="0" w:color="000000"/>
            </w:tcBorders>
          </w:tcPr>
          <w:p w:rsidR="005476DB" w:rsidRPr="005476DB" w:rsidRDefault="00027EFA" w:rsidP="002B5980">
            <w:pPr>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before="0"/>
              <w:textAlignment w:val="auto"/>
              <w:rPr>
                <w:rFonts w:ascii="Calibri" w:eastAsia="Calibri" w:hAnsi="Calibri" w:cs="Calibri"/>
                <w:color w:val="000000"/>
                <w:szCs w:val="24"/>
              </w:rPr>
            </w:pPr>
            <w:r>
              <w:rPr>
                <w:rFonts w:ascii="Calibri" w:eastAsia="Calibri" w:hAnsi="Calibri" w:cs="Calibri"/>
                <w:b/>
                <w:color w:val="000000"/>
                <w:szCs w:val="24"/>
                <w:lang w:val="en-US"/>
              </w:rPr>
              <w:t>First</w:t>
            </w:r>
            <w:r w:rsidR="00D25DBB" w:rsidRPr="00D25DBB">
              <w:rPr>
                <w:rFonts w:ascii="Calibri" w:eastAsia="Calibri" w:hAnsi="Calibri" w:cs="Calibri"/>
                <w:b/>
                <w:color w:val="000000"/>
                <w:szCs w:val="24"/>
                <w:lang w:val="en-US"/>
              </w:rPr>
              <w:t xml:space="preserve"> meeting – Geneva, </w:t>
            </w:r>
            <w:r>
              <w:rPr>
                <w:rFonts w:ascii="Calibri" w:eastAsia="Calibri" w:hAnsi="Calibri" w:cs="Calibri"/>
                <w:b/>
                <w:color w:val="000000"/>
                <w:szCs w:val="24"/>
                <w:lang w:val="en-US"/>
              </w:rPr>
              <w:t>23 May 2017</w:t>
            </w:r>
          </w:p>
        </w:tc>
        <w:tc>
          <w:tcPr>
            <w:tcW w:w="3544" w:type="dxa"/>
            <w:tcBorders>
              <w:bottom w:val="single" w:sz="12" w:space="0" w:color="000000"/>
            </w:tcBorders>
          </w:tcPr>
          <w:p w:rsidR="005476DB" w:rsidRPr="005476DB" w:rsidRDefault="005476DB" w:rsidP="002B5980">
            <w:pPr>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before="0"/>
              <w:textAlignment w:val="auto"/>
              <w:rPr>
                <w:rFonts w:ascii="Calibri" w:eastAsia="Calibri" w:hAnsi="Calibri" w:cs="Calibri"/>
                <w:color w:val="000000"/>
                <w:szCs w:val="24"/>
              </w:rPr>
            </w:pPr>
          </w:p>
        </w:tc>
      </w:tr>
      <w:tr w:rsidR="005476DB" w:rsidRPr="005476DB" w:rsidTr="00636FBA">
        <w:tc>
          <w:tcPr>
            <w:tcW w:w="6487" w:type="dxa"/>
            <w:tcBorders>
              <w:top w:val="single" w:sz="12" w:space="0" w:color="000000"/>
            </w:tcBorders>
          </w:tcPr>
          <w:p w:rsidR="005476DB" w:rsidRPr="005476DB" w:rsidRDefault="005476DB" w:rsidP="002B5980">
            <w:pPr>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before="0"/>
              <w:textAlignment w:val="auto"/>
              <w:rPr>
                <w:rFonts w:ascii="Calibri" w:eastAsia="Calibri" w:hAnsi="Calibri" w:cs="Calibri"/>
                <w:color w:val="000000"/>
                <w:szCs w:val="24"/>
              </w:rPr>
            </w:pPr>
          </w:p>
        </w:tc>
        <w:tc>
          <w:tcPr>
            <w:tcW w:w="3544" w:type="dxa"/>
            <w:tcBorders>
              <w:top w:val="single" w:sz="12" w:space="0" w:color="000000"/>
            </w:tcBorders>
          </w:tcPr>
          <w:p w:rsidR="005476DB" w:rsidRPr="005476DB" w:rsidRDefault="005476DB" w:rsidP="002B5980">
            <w:pPr>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before="0"/>
              <w:textAlignment w:val="auto"/>
              <w:rPr>
                <w:rFonts w:ascii="Calibri" w:eastAsia="Calibri" w:hAnsi="Calibri" w:cs="Calibri"/>
                <w:color w:val="000000"/>
                <w:szCs w:val="24"/>
              </w:rPr>
            </w:pPr>
          </w:p>
        </w:tc>
      </w:tr>
      <w:tr w:rsidR="005476DB" w:rsidRPr="005476DB" w:rsidTr="00636FBA">
        <w:trPr>
          <w:trHeight w:val="20"/>
        </w:trPr>
        <w:tc>
          <w:tcPr>
            <w:tcW w:w="6487" w:type="dxa"/>
            <w:vMerge w:val="restart"/>
          </w:tcPr>
          <w:p w:rsidR="005476DB" w:rsidRPr="005476DB" w:rsidRDefault="005476DB" w:rsidP="002B5980">
            <w:pPr>
              <w:tabs>
                <w:tab w:val="clear" w:pos="794"/>
                <w:tab w:val="clear" w:pos="1191"/>
                <w:tab w:val="clear" w:pos="1588"/>
                <w:tab w:val="clear" w:pos="1985"/>
                <w:tab w:val="left" w:pos="567"/>
                <w:tab w:val="left" w:pos="851"/>
                <w:tab w:val="left" w:pos="1134"/>
                <w:tab w:val="left" w:pos="1701"/>
                <w:tab w:val="left" w:pos="2268"/>
                <w:tab w:val="left" w:pos="2835"/>
              </w:tabs>
              <w:overflowPunct/>
              <w:autoSpaceDE/>
              <w:autoSpaceDN/>
              <w:adjustRightInd/>
              <w:spacing w:before="0"/>
              <w:textAlignment w:val="auto"/>
              <w:rPr>
                <w:rFonts w:ascii="Calibri" w:eastAsia="Calibri" w:hAnsi="Calibri" w:cs="Calibri"/>
                <w:color w:val="000000"/>
                <w:szCs w:val="24"/>
              </w:rPr>
            </w:pPr>
          </w:p>
        </w:tc>
        <w:tc>
          <w:tcPr>
            <w:tcW w:w="3544" w:type="dxa"/>
          </w:tcPr>
          <w:p w:rsidR="005476DB" w:rsidRPr="005476DB" w:rsidRDefault="005476DB" w:rsidP="004B591A">
            <w:pPr>
              <w:tabs>
                <w:tab w:val="clear" w:pos="794"/>
                <w:tab w:val="clear" w:pos="1191"/>
                <w:tab w:val="clear" w:pos="1588"/>
                <w:tab w:val="clear" w:pos="1985"/>
                <w:tab w:val="left" w:pos="567"/>
                <w:tab w:val="left" w:pos="851"/>
                <w:tab w:val="left" w:pos="1134"/>
                <w:tab w:val="left" w:pos="1701"/>
                <w:tab w:val="left" w:pos="2268"/>
                <w:tab w:val="left" w:pos="2835"/>
              </w:tabs>
              <w:overflowPunct/>
              <w:autoSpaceDE/>
              <w:autoSpaceDN/>
              <w:adjustRightInd/>
              <w:spacing w:before="0"/>
              <w:textAlignment w:val="auto"/>
              <w:rPr>
                <w:rFonts w:ascii="Calibri" w:eastAsia="Calibri" w:hAnsi="Calibri" w:cs="Calibri"/>
                <w:color w:val="000000"/>
                <w:szCs w:val="24"/>
              </w:rPr>
            </w:pPr>
            <w:r w:rsidRPr="005476DB">
              <w:rPr>
                <w:rFonts w:ascii="Calibri" w:eastAsia="Calibri" w:hAnsi="Calibri" w:cs="Calibri"/>
                <w:b/>
                <w:color w:val="000000"/>
                <w:szCs w:val="24"/>
              </w:rPr>
              <w:t xml:space="preserve">Document </w:t>
            </w:r>
            <w:r w:rsidR="00027EFA">
              <w:rPr>
                <w:rFonts w:ascii="Calibri" w:eastAsia="Calibri" w:hAnsi="Calibri" w:cs="Calibri"/>
                <w:b/>
                <w:color w:val="000000"/>
                <w:szCs w:val="24"/>
                <w:lang w:val="de-CH"/>
              </w:rPr>
              <w:t>CWG-SFP-1</w:t>
            </w:r>
            <w:r w:rsidR="00E00CA5">
              <w:rPr>
                <w:rFonts w:ascii="Calibri" w:eastAsia="Calibri" w:hAnsi="Calibri" w:cs="Calibri"/>
                <w:b/>
                <w:color w:val="000000"/>
                <w:szCs w:val="24"/>
                <w:lang w:val="de-CH"/>
              </w:rPr>
              <w:t>/INF-3</w:t>
            </w:r>
            <w:r w:rsidR="00D25DBB">
              <w:rPr>
                <w:rFonts w:ascii="Calibri" w:eastAsia="Calibri" w:hAnsi="Calibri" w:cs="Calibri"/>
                <w:b/>
                <w:color w:val="000000"/>
                <w:szCs w:val="24"/>
                <w:lang w:val="de-CH"/>
              </w:rPr>
              <w:t>-E</w:t>
            </w:r>
          </w:p>
        </w:tc>
      </w:tr>
      <w:tr w:rsidR="005476DB" w:rsidRPr="005476DB" w:rsidTr="00636FBA">
        <w:trPr>
          <w:trHeight w:val="20"/>
        </w:trPr>
        <w:tc>
          <w:tcPr>
            <w:tcW w:w="6487" w:type="dxa"/>
            <w:vMerge/>
          </w:tcPr>
          <w:p w:rsidR="005476DB" w:rsidRPr="005476DB" w:rsidRDefault="005476DB" w:rsidP="002B5980">
            <w:pPr>
              <w:tabs>
                <w:tab w:val="clear" w:pos="794"/>
                <w:tab w:val="clear" w:pos="1191"/>
                <w:tab w:val="clear" w:pos="1588"/>
                <w:tab w:val="clear" w:pos="1985"/>
                <w:tab w:val="left" w:pos="567"/>
                <w:tab w:val="left" w:pos="851"/>
                <w:tab w:val="left" w:pos="1134"/>
                <w:tab w:val="left" w:pos="1701"/>
                <w:tab w:val="left" w:pos="2268"/>
                <w:tab w:val="left" w:pos="2835"/>
              </w:tabs>
              <w:overflowPunct/>
              <w:autoSpaceDE/>
              <w:autoSpaceDN/>
              <w:adjustRightInd/>
              <w:spacing w:before="0"/>
              <w:textAlignment w:val="auto"/>
              <w:rPr>
                <w:rFonts w:ascii="Calibri" w:eastAsia="Calibri" w:hAnsi="Calibri" w:cs="Calibri"/>
                <w:color w:val="000000"/>
                <w:szCs w:val="24"/>
              </w:rPr>
            </w:pPr>
          </w:p>
        </w:tc>
        <w:tc>
          <w:tcPr>
            <w:tcW w:w="3544" w:type="dxa"/>
          </w:tcPr>
          <w:p w:rsidR="005476DB" w:rsidRPr="005476DB" w:rsidRDefault="0029696E" w:rsidP="002B5980">
            <w:pPr>
              <w:tabs>
                <w:tab w:val="clear" w:pos="794"/>
                <w:tab w:val="clear" w:pos="1191"/>
                <w:tab w:val="clear" w:pos="1588"/>
                <w:tab w:val="clear" w:pos="1985"/>
                <w:tab w:val="left" w:pos="567"/>
                <w:tab w:val="left" w:pos="993"/>
                <w:tab w:val="left" w:pos="1134"/>
                <w:tab w:val="left" w:pos="1701"/>
                <w:tab w:val="left" w:pos="2268"/>
                <w:tab w:val="left" w:pos="2835"/>
              </w:tabs>
              <w:overflowPunct/>
              <w:autoSpaceDE/>
              <w:autoSpaceDN/>
              <w:adjustRightInd/>
              <w:spacing w:before="0"/>
              <w:textAlignment w:val="auto"/>
              <w:rPr>
                <w:rFonts w:ascii="Calibri" w:eastAsia="Calibri" w:hAnsi="Calibri" w:cs="Calibri"/>
                <w:color w:val="000000"/>
                <w:szCs w:val="24"/>
              </w:rPr>
            </w:pPr>
            <w:r>
              <w:rPr>
                <w:rFonts w:ascii="Calibri" w:eastAsia="Calibri" w:hAnsi="Calibri" w:cs="Calibri"/>
                <w:b/>
                <w:color w:val="000000"/>
                <w:szCs w:val="24"/>
              </w:rPr>
              <w:t>22</w:t>
            </w:r>
            <w:bookmarkStart w:id="1" w:name="_GoBack"/>
            <w:bookmarkEnd w:id="1"/>
            <w:r w:rsidR="00027EFA">
              <w:rPr>
                <w:rFonts w:ascii="Calibri" w:eastAsia="Calibri" w:hAnsi="Calibri" w:cs="Calibri"/>
                <w:b/>
                <w:color w:val="000000"/>
                <w:szCs w:val="24"/>
              </w:rPr>
              <w:t xml:space="preserve"> May</w:t>
            </w:r>
            <w:r w:rsidR="001411CE">
              <w:rPr>
                <w:rFonts w:ascii="Calibri" w:eastAsia="Calibri" w:hAnsi="Calibri" w:cs="Calibri"/>
                <w:b/>
                <w:color w:val="000000"/>
                <w:szCs w:val="24"/>
              </w:rPr>
              <w:t xml:space="preserve"> </w:t>
            </w:r>
            <w:r w:rsidR="005476DB">
              <w:rPr>
                <w:rFonts w:ascii="Calibri" w:eastAsia="Calibri" w:hAnsi="Calibri" w:cs="Calibri"/>
                <w:b/>
                <w:color w:val="000000"/>
                <w:szCs w:val="24"/>
              </w:rPr>
              <w:t>201</w:t>
            </w:r>
            <w:r w:rsidR="001411CE">
              <w:rPr>
                <w:rFonts w:ascii="Calibri" w:eastAsia="Calibri" w:hAnsi="Calibri" w:cs="Calibri"/>
                <w:b/>
                <w:color w:val="000000"/>
                <w:szCs w:val="24"/>
              </w:rPr>
              <w:t>7</w:t>
            </w:r>
          </w:p>
        </w:tc>
      </w:tr>
      <w:tr w:rsidR="005476DB" w:rsidRPr="005476DB" w:rsidTr="00636FBA">
        <w:trPr>
          <w:trHeight w:val="20"/>
        </w:trPr>
        <w:tc>
          <w:tcPr>
            <w:tcW w:w="6487" w:type="dxa"/>
            <w:vMerge/>
          </w:tcPr>
          <w:p w:rsidR="005476DB" w:rsidRPr="005476DB" w:rsidRDefault="005476DB" w:rsidP="002B5980">
            <w:pPr>
              <w:tabs>
                <w:tab w:val="clear" w:pos="794"/>
                <w:tab w:val="clear" w:pos="1191"/>
                <w:tab w:val="clear" w:pos="1588"/>
                <w:tab w:val="clear" w:pos="1985"/>
                <w:tab w:val="left" w:pos="567"/>
                <w:tab w:val="left" w:pos="851"/>
                <w:tab w:val="left" w:pos="1134"/>
                <w:tab w:val="left" w:pos="1701"/>
                <w:tab w:val="left" w:pos="2268"/>
                <w:tab w:val="left" w:pos="2835"/>
              </w:tabs>
              <w:overflowPunct/>
              <w:autoSpaceDE/>
              <w:autoSpaceDN/>
              <w:adjustRightInd/>
              <w:spacing w:before="0"/>
              <w:textAlignment w:val="auto"/>
              <w:rPr>
                <w:rFonts w:ascii="Calibri" w:eastAsia="Calibri" w:hAnsi="Calibri" w:cs="Calibri"/>
                <w:color w:val="000000"/>
                <w:szCs w:val="24"/>
              </w:rPr>
            </w:pPr>
          </w:p>
        </w:tc>
        <w:tc>
          <w:tcPr>
            <w:tcW w:w="3544" w:type="dxa"/>
          </w:tcPr>
          <w:p w:rsidR="005476DB" w:rsidRPr="005476DB" w:rsidRDefault="005476DB" w:rsidP="002B5980">
            <w:pPr>
              <w:tabs>
                <w:tab w:val="clear" w:pos="794"/>
                <w:tab w:val="clear" w:pos="1191"/>
                <w:tab w:val="clear" w:pos="1588"/>
                <w:tab w:val="clear" w:pos="1985"/>
                <w:tab w:val="left" w:pos="567"/>
                <w:tab w:val="left" w:pos="993"/>
                <w:tab w:val="left" w:pos="1134"/>
                <w:tab w:val="left" w:pos="1701"/>
                <w:tab w:val="left" w:pos="2268"/>
                <w:tab w:val="left" w:pos="2835"/>
              </w:tabs>
              <w:overflowPunct/>
              <w:autoSpaceDE/>
              <w:autoSpaceDN/>
              <w:adjustRightInd/>
              <w:spacing w:before="0"/>
              <w:textAlignment w:val="auto"/>
              <w:rPr>
                <w:rFonts w:ascii="Calibri" w:eastAsia="Calibri" w:hAnsi="Calibri" w:cs="Calibri"/>
                <w:color w:val="000000"/>
                <w:szCs w:val="24"/>
              </w:rPr>
            </w:pPr>
            <w:r w:rsidRPr="005476DB">
              <w:rPr>
                <w:rFonts w:ascii="Calibri" w:eastAsia="Calibri" w:hAnsi="Calibri" w:cs="Calibri"/>
                <w:b/>
                <w:color w:val="000000"/>
                <w:szCs w:val="24"/>
              </w:rPr>
              <w:t>English only</w:t>
            </w:r>
          </w:p>
        </w:tc>
      </w:tr>
    </w:tbl>
    <w:p w:rsidR="00E00CA5" w:rsidRDefault="00E00CA5" w:rsidP="00E00CA5">
      <w:pPr>
        <w:pStyle w:val="Restitle"/>
        <w:spacing w:before="840"/>
        <w:rPr>
          <w:rFonts w:asciiTheme="minorHAnsi" w:hAnsiTheme="minorHAnsi"/>
          <w:b w:val="0"/>
          <w:bCs/>
          <w:szCs w:val="28"/>
        </w:rPr>
      </w:pPr>
      <w:r w:rsidRPr="00E00CA5">
        <w:rPr>
          <w:rFonts w:asciiTheme="minorHAnsi" w:hAnsiTheme="minorHAnsi"/>
          <w:b w:val="0"/>
          <w:bCs/>
          <w:szCs w:val="28"/>
        </w:rPr>
        <w:t xml:space="preserve">CONCLUSIONS OF THE RADIOCOMMUNICATION ADVISORY GROUP </w:t>
      </w:r>
    </w:p>
    <w:p w:rsidR="008A6FA7" w:rsidRPr="004B591A" w:rsidRDefault="004B591A" w:rsidP="00E00CA5">
      <w:pPr>
        <w:spacing w:before="1440"/>
        <w:rPr>
          <w:rFonts w:asciiTheme="minorHAnsi" w:hAnsiTheme="minorHAnsi"/>
          <w:bCs/>
          <w:szCs w:val="24"/>
        </w:rPr>
      </w:pPr>
      <w:r w:rsidRPr="004B591A">
        <w:rPr>
          <w:rFonts w:asciiTheme="minorHAnsi" w:hAnsiTheme="minorHAnsi"/>
          <w:bCs/>
          <w:szCs w:val="24"/>
        </w:rPr>
        <w:t>Please find below</w:t>
      </w:r>
      <w:r w:rsidR="00C672BF">
        <w:rPr>
          <w:rFonts w:asciiTheme="minorHAnsi" w:hAnsiTheme="minorHAnsi"/>
          <w:bCs/>
          <w:szCs w:val="24"/>
        </w:rPr>
        <w:t xml:space="preserve"> </w:t>
      </w:r>
      <w:r w:rsidR="00E00CA5">
        <w:rPr>
          <w:rFonts w:asciiTheme="minorHAnsi" w:hAnsiTheme="minorHAnsi"/>
          <w:bCs/>
          <w:szCs w:val="24"/>
        </w:rPr>
        <w:t xml:space="preserve">the </w:t>
      </w:r>
      <w:r w:rsidR="00E00CA5" w:rsidRPr="00E00CA5">
        <w:rPr>
          <w:rFonts w:asciiTheme="minorHAnsi" w:hAnsiTheme="minorHAnsi"/>
          <w:b/>
          <w:szCs w:val="24"/>
        </w:rPr>
        <w:t>conclusions of the Radiocommunication Advisory Group</w:t>
      </w:r>
      <w:r w:rsidRPr="004B591A">
        <w:rPr>
          <w:rFonts w:asciiTheme="minorHAnsi" w:hAnsiTheme="minorHAnsi"/>
          <w:bCs/>
          <w:szCs w:val="24"/>
        </w:rPr>
        <w:t xml:space="preserve">, which </w:t>
      </w:r>
      <w:r w:rsidR="00E00CA5">
        <w:rPr>
          <w:rFonts w:asciiTheme="minorHAnsi" w:hAnsiTheme="minorHAnsi"/>
          <w:bCs/>
          <w:szCs w:val="24"/>
        </w:rPr>
        <w:t>are</w:t>
      </w:r>
      <w:r w:rsidRPr="004B591A">
        <w:rPr>
          <w:rFonts w:asciiTheme="minorHAnsi" w:hAnsiTheme="minorHAnsi"/>
          <w:bCs/>
          <w:szCs w:val="24"/>
        </w:rPr>
        <w:t xml:space="preserve"> also available at the following link: </w:t>
      </w:r>
      <w:hyperlink r:id="rId12" w:history="1">
        <w:r w:rsidR="00E00CA5" w:rsidRPr="001B4E73">
          <w:rPr>
            <w:rStyle w:val="Hyperlink"/>
            <w:rFonts w:asciiTheme="minorHAnsi" w:hAnsiTheme="minorHAnsi"/>
            <w:bCs/>
            <w:szCs w:val="24"/>
          </w:rPr>
          <w:t>https://www.itu.int/md/S17-CL-C-0111/en</w:t>
        </w:r>
      </w:hyperlink>
      <w:r w:rsidRPr="004B591A">
        <w:rPr>
          <w:rFonts w:asciiTheme="minorHAnsi" w:hAnsiTheme="minorHAnsi"/>
          <w:bCs/>
          <w:szCs w:val="24"/>
        </w:rPr>
        <w:t xml:space="preserve"> </w:t>
      </w:r>
    </w:p>
    <w:p w:rsidR="004B591A" w:rsidRDefault="004B591A">
      <w:pPr>
        <w:tabs>
          <w:tab w:val="clear" w:pos="794"/>
          <w:tab w:val="clear" w:pos="1191"/>
          <w:tab w:val="clear" w:pos="1588"/>
          <w:tab w:val="clear" w:pos="1985"/>
        </w:tabs>
        <w:overflowPunct/>
        <w:autoSpaceDE/>
        <w:autoSpaceDN/>
        <w:adjustRightInd/>
        <w:spacing w:before="0"/>
        <w:textAlignment w:val="auto"/>
        <w:rPr>
          <w:rFonts w:asciiTheme="minorHAnsi" w:hAnsiTheme="minorHAnsi"/>
        </w:rPr>
      </w:pPr>
      <w:r>
        <w:rPr>
          <w:rFonts w:asciiTheme="minorHAnsi" w:hAnsiTheme="minorHAnsi"/>
        </w:rPr>
        <w:br w:type="page"/>
      </w:r>
    </w:p>
    <w:p w:rsidR="00E00CA5" w:rsidRDefault="00E00CA5" w:rsidP="00E00CA5">
      <w:pPr>
        <w:pStyle w:val="Restitle"/>
        <w:keepNext w:val="0"/>
        <w:keepLines w:val="0"/>
        <w:rPr>
          <w:rFonts w:asciiTheme="minorHAnsi" w:hAnsiTheme="minorHAnsi"/>
          <w:b w:val="0"/>
          <w:caps/>
        </w:rPr>
      </w:pPr>
      <w:r w:rsidRPr="00E00CA5">
        <w:rPr>
          <w:rFonts w:asciiTheme="minorHAnsi" w:hAnsiTheme="minorHAnsi"/>
          <w:b w:val="0"/>
          <w:caps/>
        </w:rPr>
        <w:lastRenderedPageBreak/>
        <w:t>CONCLUSIONS OF THE RADIOCOMMUNICATION ADVISORY GROUP</w:t>
      </w:r>
    </w:p>
    <w:p w:rsidR="00E00CA5" w:rsidRPr="00D90E71" w:rsidRDefault="00E00CA5" w:rsidP="00E00CA5">
      <w:pPr>
        <w:widowControl w:val="0"/>
        <w:overflowPunct/>
        <w:snapToGrid w:val="0"/>
        <w:spacing w:before="480" w:after="120"/>
        <w:ind w:left="709" w:hanging="709"/>
        <w:textAlignment w:val="auto"/>
        <w:rPr>
          <w:rFonts w:asciiTheme="minorHAnsi" w:hAnsiTheme="minorHAnsi" w:cs="Calibri"/>
          <w:b/>
          <w:i/>
          <w:iCs/>
          <w:color w:val="000000"/>
          <w:sz w:val="26"/>
          <w:szCs w:val="26"/>
          <w:lang w:val="en-US" w:eastAsia="zh-CN"/>
        </w:rPr>
      </w:pPr>
      <w:r w:rsidRPr="00D90E71">
        <w:rPr>
          <w:rFonts w:asciiTheme="minorHAnsi" w:hAnsiTheme="minorHAnsi"/>
          <w:b/>
          <w:sz w:val="26"/>
          <w:szCs w:val="26"/>
        </w:rPr>
        <w:t>1</w:t>
      </w:r>
      <w:r w:rsidRPr="00D90E71">
        <w:rPr>
          <w:rFonts w:asciiTheme="minorHAnsi" w:hAnsiTheme="minorHAnsi"/>
          <w:b/>
          <w:sz w:val="26"/>
          <w:szCs w:val="26"/>
        </w:rPr>
        <w:tab/>
      </w:r>
      <w:r w:rsidRPr="00D90E71">
        <w:rPr>
          <w:rFonts w:asciiTheme="minorHAnsi" w:hAnsiTheme="minorHAnsi" w:cs="Calibri"/>
          <w:b/>
          <w:color w:val="000000"/>
          <w:sz w:val="26"/>
          <w:szCs w:val="26"/>
          <w:lang w:val="en-US" w:eastAsia="zh-CN"/>
        </w:rPr>
        <w:t xml:space="preserve">Report on progress on the Union's headquarters premises Varembé-2 project: status, detailed specification </w:t>
      </w:r>
      <w:r w:rsidRPr="00D90E71">
        <w:rPr>
          <w:rFonts w:asciiTheme="minorHAnsi" w:hAnsiTheme="minorHAnsi" w:cs="Calibri"/>
          <w:b/>
          <w:i/>
          <w:iCs/>
          <w:color w:val="000000"/>
          <w:sz w:val="26"/>
          <w:szCs w:val="26"/>
          <w:lang w:val="en-US" w:eastAsia="zh-CN"/>
        </w:rPr>
        <w:t>(D 588) (Council 2017 Agenda Item 1.8)</w:t>
      </w:r>
    </w:p>
    <w:p w:rsidR="00E00CA5" w:rsidRPr="00D90E71" w:rsidRDefault="00E00CA5" w:rsidP="00E00CA5">
      <w:pPr>
        <w:widowControl w:val="0"/>
        <w:overflowPunct/>
        <w:snapToGrid w:val="0"/>
        <w:spacing w:after="120"/>
        <w:textAlignment w:val="auto"/>
        <w:rPr>
          <w:rFonts w:asciiTheme="minorHAnsi" w:hAnsiTheme="minorHAnsi" w:cs="Times"/>
          <w:color w:val="000000"/>
          <w:szCs w:val="24"/>
          <w:lang w:val="en-US" w:eastAsia="zh-CN"/>
        </w:rPr>
      </w:pPr>
      <w:r w:rsidRPr="00D90E71">
        <w:rPr>
          <w:rFonts w:asciiTheme="minorHAnsi" w:hAnsiTheme="minorHAnsi"/>
          <w:szCs w:val="24"/>
        </w:rPr>
        <w:t>RAG noted the report on ITU-R Study Group activities, in particular the increased participation in Study Group meetings and the consequent logistical challenges related to adequate-sized room availability. RAG advised that an ITU-wide mechanism should be put in place to provide adequate availability of rooms for core statutory ITU activities. The issue of available rooms for official ITU meetings may become more pressing when the Headquarter premises are reconfigured. Therefore, it would be important to take into account the need for sufficient rooms in the requirements for the new ITU building. </w:t>
      </w:r>
    </w:p>
    <w:p w:rsidR="00E00CA5" w:rsidRPr="00D90E71" w:rsidRDefault="00E00CA5" w:rsidP="00E00CA5">
      <w:pPr>
        <w:widowControl w:val="0"/>
        <w:overflowPunct/>
        <w:snapToGrid w:val="0"/>
        <w:spacing w:before="360" w:after="120"/>
        <w:ind w:left="709" w:hanging="709"/>
        <w:textAlignment w:val="auto"/>
        <w:rPr>
          <w:rFonts w:asciiTheme="minorHAnsi" w:hAnsiTheme="minorHAnsi" w:cs="Calibri"/>
          <w:b/>
          <w:i/>
          <w:iCs/>
          <w:color w:val="000000"/>
          <w:sz w:val="26"/>
          <w:szCs w:val="26"/>
          <w:lang w:val="en-US" w:eastAsia="zh-CN"/>
        </w:rPr>
      </w:pPr>
      <w:r w:rsidRPr="00D90E71">
        <w:rPr>
          <w:rFonts w:asciiTheme="minorHAnsi" w:hAnsiTheme="minorHAnsi" w:cs="Calibri"/>
          <w:b/>
          <w:bCs/>
          <w:color w:val="000000"/>
          <w:sz w:val="26"/>
          <w:szCs w:val="26"/>
          <w:lang w:eastAsia="zh-CN"/>
        </w:rPr>
        <w:t>2.</w:t>
      </w:r>
      <w:r w:rsidRPr="00D90E71">
        <w:rPr>
          <w:rFonts w:asciiTheme="minorHAnsi" w:hAnsiTheme="minorHAnsi" w:cs="Calibri"/>
          <w:b/>
          <w:bCs/>
          <w:color w:val="000000"/>
          <w:sz w:val="26"/>
          <w:szCs w:val="26"/>
          <w:lang w:val="en-US" w:eastAsia="zh-CN"/>
        </w:rPr>
        <w:tab/>
      </w:r>
      <w:r w:rsidRPr="00D90E71">
        <w:rPr>
          <w:rFonts w:asciiTheme="minorHAnsi" w:hAnsiTheme="minorHAnsi" w:cs="Calibri"/>
          <w:b/>
          <w:color w:val="000000"/>
          <w:sz w:val="26"/>
          <w:szCs w:val="26"/>
          <w:lang w:val="en-US" w:eastAsia="zh-CN"/>
        </w:rPr>
        <w:t xml:space="preserve">ITU role as supervisory authority of the international registration system for space assets under the draft space protocol </w:t>
      </w:r>
      <w:r w:rsidRPr="00D90E71">
        <w:rPr>
          <w:rFonts w:asciiTheme="minorHAnsi" w:hAnsiTheme="minorHAnsi" w:cs="Calibri"/>
          <w:b/>
          <w:i/>
          <w:iCs/>
          <w:color w:val="000000"/>
          <w:sz w:val="26"/>
          <w:szCs w:val="26"/>
          <w:lang w:val="en-US" w:eastAsia="zh-CN"/>
        </w:rPr>
        <w:t xml:space="preserve">(Council D 576) </w:t>
      </w:r>
      <w:r>
        <w:rPr>
          <w:rFonts w:asciiTheme="minorHAnsi" w:hAnsiTheme="minorHAnsi" w:cs="Calibri"/>
          <w:b/>
          <w:i/>
          <w:iCs/>
          <w:color w:val="000000"/>
          <w:sz w:val="26"/>
          <w:szCs w:val="26"/>
          <w:lang w:val="en-US" w:eastAsia="zh-CN"/>
        </w:rPr>
        <w:br/>
      </w:r>
      <w:r w:rsidRPr="00D90E71">
        <w:rPr>
          <w:rFonts w:asciiTheme="minorHAnsi" w:hAnsiTheme="minorHAnsi" w:cs="Calibri"/>
          <w:b/>
          <w:i/>
          <w:iCs/>
          <w:color w:val="000000"/>
          <w:sz w:val="26"/>
          <w:szCs w:val="26"/>
          <w:lang w:val="en-US" w:eastAsia="zh-CN"/>
        </w:rPr>
        <w:t>(Council 2017 Agenda Item 1.15)</w:t>
      </w:r>
    </w:p>
    <w:p w:rsidR="00E00CA5" w:rsidRPr="00D90E71" w:rsidRDefault="00E00CA5" w:rsidP="00E00CA5">
      <w:pPr>
        <w:pStyle w:val="Tabletext"/>
        <w:snapToGrid w:val="0"/>
        <w:spacing w:before="120" w:after="120"/>
        <w:rPr>
          <w:rFonts w:asciiTheme="minorHAnsi" w:hAnsiTheme="minorHAnsi"/>
          <w:sz w:val="24"/>
          <w:szCs w:val="24"/>
        </w:rPr>
      </w:pPr>
      <w:r w:rsidRPr="00D90E71">
        <w:rPr>
          <w:rFonts w:asciiTheme="minorHAnsi" w:hAnsiTheme="minorHAnsi"/>
          <w:sz w:val="24"/>
          <w:szCs w:val="24"/>
        </w:rPr>
        <w:t>RAG noted the information provided in the Director’s report on space protocol related issues.</w:t>
      </w:r>
    </w:p>
    <w:p w:rsidR="00E00CA5" w:rsidRPr="00D90E71" w:rsidRDefault="00E00CA5" w:rsidP="00E00CA5">
      <w:pPr>
        <w:keepNext/>
        <w:keepLines/>
        <w:widowControl w:val="0"/>
        <w:overflowPunct/>
        <w:snapToGrid w:val="0"/>
        <w:spacing w:before="360" w:after="120"/>
        <w:textAlignment w:val="auto"/>
        <w:rPr>
          <w:rFonts w:asciiTheme="minorHAnsi" w:hAnsiTheme="minorHAnsi" w:cs="Calibri"/>
          <w:b/>
          <w:i/>
          <w:iCs/>
          <w:color w:val="000000"/>
          <w:sz w:val="26"/>
          <w:szCs w:val="26"/>
          <w:lang w:val="en-US" w:eastAsia="zh-CN"/>
        </w:rPr>
      </w:pPr>
      <w:r w:rsidRPr="00D90E71">
        <w:rPr>
          <w:rFonts w:asciiTheme="minorHAnsi" w:hAnsiTheme="minorHAnsi" w:cs="Calibri"/>
          <w:b/>
          <w:bCs/>
          <w:color w:val="000000"/>
          <w:sz w:val="26"/>
          <w:szCs w:val="26"/>
          <w:lang w:val="en-US" w:eastAsia="zh-CN"/>
        </w:rPr>
        <w:t>3.</w:t>
      </w:r>
      <w:r w:rsidRPr="00D90E71">
        <w:rPr>
          <w:rFonts w:asciiTheme="minorHAnsi" w:hAnsiTheme="minorHAnsi" w:cs="Calibri"/>
          <w:b/>
          <w:bCs/>
          <w:color w:val="000000"/>
          <w:sz w:val="26"/>
          <w:szCs w:val="26"/>
          <w:lang w:val="en-US" w:eastAsia="zh-CN"/>
        </w:rPr>
        <w:tab/>
      </w:r>
      <w:r w:rsidRPr="00D90E71">
        <w:rPr>
          <w:rFonts w:asciiTheme="minorHAnsi" w:hAnsiTheme="minorHAnsi" w:cs="Calibri"/>
          <w:b/>
          <w:color w:val="000000"/>
          <w:sz w:val="26"/>
          <w:szCs w:val="26"/>
          <w:lang w:val="en-US" w:eastAsia="zh-CN"/>
        </w:rPr>
        <w:t xml:space="preserve">Draft four-year rolling Operational plan </w:t>
      </w:r>
      <w:r w:rsidRPr="00D90E71">
        <w:rPr>
          <w:rFonts w:asciiTheme="minorHAnsi" w:hAnsiTheme="minorHAnsi" w:cs="Calibri"/>
          <w:b/>
          <w:i/>
          <w:iCs/>
          <w:color w:val="000000"/>
          <w:sz w:val="26"/>
          <w:szCs w:val="26"/>
          <w:lang w:val="en-US" w:eastAsia="zh-CN"/>
        </w:rPr>
        <w:t>(Council 2017 Agenda Item 1.16)</w:t>
      </w:r>
    </w:p>
    <w:p w:rsidR="00E00CA5" w:rsidRPr="00D90E71" w:rsidRDefault="00E00CA5" w:rsidP="00E00CA5">
      <w:pPr>
        <w:pStyle w:val="Tabletext"/>
        <w:keepNext/>
        <w:keepLines/>
        <w:snapToGrid w:val="0"/>
        <w:spacing w:before="120" w:after="120"/>
        <w:rPr>
          <w:rFonts w:asciiTheme="minorHAnsi" w:hAnsiTheme="minorHAnsi"/>
          <w:sz w:val="24"/>
          <w:szCs w:val="24"/>
        </w:rPr>
      </w:pPr>
      <w:r w:rsidRPr="00D90E71">
        <w:rPr>
          <w:rFonts w:asciiTheme="minorHAnsi" w:hAnsiTheme="minorHAnsi"/>
          <w:sz w:val="24"/>
          <w:szCs w:val="24"/>
        </w:rPr>
        <w:t xml:space="preserve">RAG noted the key elements of the draft rolling Operational Plan for the ITU-R for the period 2018-2021, in particular the additional outcome indicators that were included for each objective to better measure the impact of the related key performance indicator. </w:t>
      </w:r>
    </w:p>
    <w:p w:rsidR="00E00CA5" w:rsidRPr="00D90E71" w:rsidRDefault="00E00CA5" w:rsidP="00E00CA5">
      <w:pPr>
        <w:pStyle w:val="Tabletext"/>
        <w:snapToGrid w:val="0"/>
        <w:spacing w:before="120" w:after="120"/>
        <w:rPr>
          <w:rFonts w:asciiTheme="minorHAnsi" w:hAnsiTheme="minorHAnsi"/>
          <w:sz w:val="24"/>
          <w:szCs w:val="24"/>
        </w:rPr>
      </w:pPr>
      <w:r w:rsidRPr="00D90E71">
        <w:rPr>
          <w:rFonts w:asciiTheme="minorHAnsi" w:hAnsiTheme="minorHAnsi"/>
          <w:sz w:val="24"/>
          <w:szCs w:val="24"/>
        </w:rPr>
        <w:t>RAG also noted the projection of the financial resources allocation to BR outputs for 2018-2021.</w:t>
      </w:r>
    </w:p>
    <w:p w:rsidR="00E00CA5" w:rsidRPr="00D90E71" w:rsidRDefault="00E00CA5" w:rsidP="00E00CA5">
      <w:pPr>
        <w:pStyle w:val="Tabletext"/>
        <w:snapToGrid w:val="0"/>
        <w:spacing w:before="120" w:after="120"/>
        <w:rPr>
          <w:rFonts w:asciiTheme="minorHAnsi" w:hAnsiTheme="minorHAnsi"/>
          <w:sz w:val="24"/>
          <w:szCs w:val="24"/>
        </w:rPr>
      </w:pPr>
      <w:r w:rsidRPr="00D90E71">
        <w:rPr>
          <w:rFonts w:asciiTheme="minorHAnsi" w:hAnsiTheme="minorHAnsi"/>
          <w:sz w:val="24"/>
          <w:szCs w:val="24"/>
        </w:rPr>
        <w:t>RAG endorsed the proposed draft ITU-R rolling Operational Plan for 2018-2021 with some amendments, which have been incorporated in the version submitted to the Council.</w:t>
      </w:r>
    </w:p>
    <w:p w:rsidR="00E00CA5" w:rsidRPr="00D90E71" w:rsidRDefault="00E00CA5" w:rsidP="00E00CA5">
      <w:pPr>
        <w:pStyle w:val="Tabletext"/>
        <w:snapToGrid w:val="0"/>
        <w:spacing w:before="120" w:after="120"/>
        <w:rPr>
          <w:rFonts w:asciiTheme="minorHAnsi" w:hAnsiTheme="minorHAnsi"/>
          <w:sz w:val="24"/>
          <w:szCs w:val="24"/>
        </w:rPr>
      </w:pPr>
      <w:r w:rsidRPr="00D90E71">
        <w:rPr>
          <w:rFonts w:asciiTheme="minorHAnsi" w:hAnsiTheme="minorHAnsi"/>
          <w:sz w:val="24"/>
          <w:szCs w:val="24"/>
        </w:rPr>
        <w:t>RAG further noted with thanks the proposed draft rolling Operational Plan for 2018-2021 of the General Secretariat.</w:t>
      </w:r>
    </w:p>
    <w:p w:rsidR="00E00CA5" w:rsidRPr="00D90E71" w:rsidRDefault="00E00CA5" w:rsidP="00E00CA5">
      <w:pPr>
        <w:widowControl w:val="0"/>
        <w:overflowPunct/>
        <w:snapToGrid w:val="0"/>
        <w:spacing w:before="360" w:after="120"/>
        <w:ind w:left="709" w:hanging="709"/>
        <w:textAlignment w:val="auto"/>
        <w:rPr>
          <w:rFonts w:asciiTheme="minorHAnsi" w:hAnsiTheme="minorHAnsi" w:cs="Calibri"/>
          <w:b/>
          <w:i/>
          <w:iCs/>
          <w:color w:val="000000"/>
          <w:sz w:val="26"/>
          <w:szCs w:val="26"/>
          <w:lang w:val="en-US" w:eastAsia="zh-CN"/>
        </w:rPr>
      </w:pPr>
      <w:r w:rsidRPr="00D90E71">
        <w:rPr>
          <w:rFonts w:asciiTheme="minorHAnsi" w:hAnsiTheme="minorHAnsi" w:cs="Calibri"/>
          <w:b/>
          <w:bCs/>
          <w:color w:val="000000"/>
          <w:sz w:val="26"/>
          <w:szCs w:val="26"/>
          <w:lang w:val="en-US" w:eastAsia="zh-CN"/>
        </w:rPr>
        <w:t>4.</w:t>
      </w:r>
      <w:r w:rsidRPr="00D90E71">
        <w:rPr>
          <w:rFonts w:asciiTheme="minorHAnsi" w:hAnsiTheme="minorHAnsi" w:cs="Calibri"/>
          <w:b/>
          <w:bCs/>
          <w:color w:val="000000"/>
          <w:sz w:val="26"/>
          <w:szCs w:val="26"/>
          <w:lang w:val="en-US" w:eastAsia="zh-CN"/>
        </w:rPr>
        <w:tab/>
      </w:r>
      <w:r w:rsidRPr="00D90E71">
        <w:rPr>
          <w:rFonts w:asciiTheme="minorHAnsi" w:hAnsiTheme="minorHAnsi" w:cs="Calibri"/>
          <w:b/>
          <w:color w:val="000000"/>
          <w:sz w:val="26"/>
          <w:szCs w:val="26"/>
          <w:lang w:val="en-US" w:eastAsia="zh-CN"/>
        </w:rPr>
        <w:t xml:space="preserve">Elaboration of the Strategic and Financial Plans for the Union for 2020-2023 </w:t>
      </w:r>
      <w:r w:rsidRPr="00D90E71">
        <w:rPr>
          <w:rFonts w:asciiTheme="minorHAnsi" w:hAnsiTheme="minorHAnsi" w:cs="Calibri"/>
          <w:b/>
          <w:i/>
          <w:iCs/>
          <w:color w:val="000000"/>
          <w:sz w:val="26"/>
          <w:szCs w:val="26"/>
          <w:lang w:val="en-US" w:eastAsia="zh-CN"/>
        </w:rPr>
        <w:t>(Council 2017 Agenda Item 3.1)</w:t>
      </w:r>
    </w:p>
    <w:p w:rsidR="00E00CA5" w:rsidRPr="00D90E71" w:rsidRDefault="00E00CA5" w:rsidP="00E00CA5">
      <w:pPr>
        <w:pStyle w:val="Tabletext"/>
        <w:snapToGrid w:val="0"/>
        <w:spacing w:before="120" w:after="120"/>
        <w:rPr>
          <w:rFonts w:asciiTheme="minorHAnsi" w:hAnsiTheme="minorHAnsi"/>
          <w:sz w:val="24"/>
          <w:szCs w:val="24"/>
        </w:rPr>
      </w:pPr>
      <w:r w:rsidRPr="00D90E71">
        <w:rPr>
          <w:rFonts w:asciiTheme="minorHAnsi" w:hAnsiTheme="minorHAnsi"/>
          <w:sz w:val="24"/>
          <w:szCs w:val="24"/>
        </w:rPr>
        <w:t>RAG also noted the projection of the financial resources allocation to BR outputs for 2018-2021.</w:t>
      </w:r>
    </w:p>
    <w:p w:rsidR="00E00CA5" w:rsidRPr="00D90E71" w:rsidRDefault="00E00CA5" w:rsidP="00E00CA5">
      <w:pPr>
        <w:pStyle w:val="Tabletext"/>
        <w:snapToGrid w:val="0"/>
        <w:spacing w:before="120" w:after="120"/>
        <w:rPr>
          <w:rFonts w:asciiTheme="minorHAnsi" w:hAnsiTheme="minorHAnsi"/>
          <w:sz w:val="24"/>
          <w:szCs w:val="24"/>
        </w:rPr>
      </w:pPr>
      <w:r w:rsidRPr="00D90E71">
        <w:rPr>
          <w:rFonts w:asciiTheme="minorHAnsi" w:hAnsiTheme="minorHAnsi"/>
          <w:sz w:val="24"/>
          <w:szCs w:val="24"/>
        </w:rPr>
        <w:t xml:space="preserve">RAG considered Doc. RAG17/9 from the Russian Federation, which proposes additional outcome indicators and other improvements to the ITU-R Operational Plan. RAG noted that such proposal could be taken into consideration when developing the Strategic Plan and the corresponding Operational Plans for the next cycle, as the current ones were adopted by the Plenipotentiary Conference in 2014. </w:t>
      </w:r>
    </w:p>
    <w:p w:rsidR="00E00CA5" w:rsidRPr="00D90E71" w:rsidRDefault="00E00CA5" w:rsidP="00E00CA5">
      <w:pPr>
        <w:pStyle w:val="Tabletext"/>
        <w:snapToGrid w:val="0"/>
        <w:spacing w:before="120" w:after="120"/>
        <w:rPr>
          <w:rFonts w:asciiTheme="minorHAnsi" w:hAnsiTheme="minorHAnsi"/>
          <w:sz w:val="24"/>
          <w:szCs w:val="24"/>
        </w:rPr>
      </w:pPr>
      <w:r w:rsidRPr="00D90E71">
        <w:rPr>
          <w:rFonts w:asciiTheme="minorHAnsi" w:hAnsiTheme="minorHAnsi"/>
          <w:sz w:val="24"/>
          <w:szCs w:val="24"/>
        </w:rPr>
        <w:t>RAG requested the Director to take into consideration the following aspects for the preparation of the Strategic Plan and the corresponding ITU-R Operational Plans for the coming cycle:</w:t>
      </w:r>
    </w:p>
    <w:p w:rsidR="00E00CA5" w:rsidRPr="00D90E71" w:rsidRDefault="00E00CA5" w:rsidP="00E00CA5">
      <w:pPr>
        <w:pStyle w:val="Tabletext"/>
        <w:numPr>
          <w:ilvl w:val="0"/>
          <w:numId w:val="6"/>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napToGrid w:val="0"/>
        <w:spacing w:before="120" w:after="120"/>
        <w:ind w:left="284" w:hanging="284"/>
        <w:rPr>
          <w:rFonts w:asciiTheme="minorHAnsi" w:hAnsiTheme="minorHAnsi"/>
          <w:sz w:val="24"/>
          <w:szCs w:val="24"/>
        </w:rPr>
      </w:pPr>
      <w:r w:rsidRPr="00D90E71">
        <w:rPr>
          <w:rFonts w:asciiTheme="minorHAnsi" w:hAnsiTheme="minorHAnsi"/>
          <w:sz w:val="24"/>
          <w:szCs w:val="24"/>
        </w:rPr>
        <w:t>to distinguish between the objectives of the ITU-R Sector and those of the Bureau;</w:t>
      </w:r>
    </w:p>
    <w:p w:rsidR="00E00CA5" w:rsidRPr="00D90E71" w:rsidRDefault="00E00CA5" w:rsidP="00E00CA5">
      <w:pPr>
        <w:pStyle w:val="Tabletext"/>
        <w:numPr>
          <w:ilvl w:val="0"/>
          <w:numId w:val="6"/>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napToGrid w:val="0"/>
        <w:spacing w:before="120" w:after="120"/>
        <w:ind w:left="284" w:hanging="284"/>
        <w:rPr>
          <w:rFonts w:asciiTheme="minorHAnsi" w:hAnsiTheme="minorHAnsi"/>
          <w:sz w:val="24"/>
          <w:szCs w:val="24"/>
        </w:rPr>
      </w:pPr>
      <w:r w:rsidRPr="00D90E71">
        <w:rPr>
          <w:rFonts w:asciiTheme="minorHAnsi" w:hAnsiTheme="minorHAnsi"/>
          <w:sz w:val="24"/>
          <w:szCs w:val="24"/>
        </w:rPr>
        <w:t>to ensure that the statistical values (indicators) are collected from trustworthy sources</w:t>
      </w:r>
    </w:p>
    <w:p w:rsidR="00E00CA5" w:rsidRPr="00D90E71" w:rsidRDefault="00E00CA5" w:rsidP="00E00CA5">
      <w:pPr>
        <w:keepNext/>
        <w:keepLines/>
        <w:widowControl w:val="0"/>
        <w:overflowPunct/>
        <w:snapToGrid w:val="0"/>
        <w:spacing w:before="360" w:after="120"/>
        <w:ind w:left="709" w:hanging="709"/>
        <w:textAlignment w:val="auto"/>
        <w:rPr>
          <w:rFonts w:asciiTheme="minorHAnsi" w:hAnsiTheme="minorHAnsi" w:cs="Times"/>
          <w:b/>
          <w:color w:val="000000"/>
          <w:sz w:val="26"/>
          <w:szCs w:val="26"/>
          <w:lang w:val="en-US" w:eastAsia="zh-CN"/>
        </w:rPr>
      </w:pPr>
      <w:r w:rsidRPr="00D90E71">
        <w:rPr>
          <w:rFonts w:asciiTheme="minorHAnsi" w:hAnsiTheme="minorHAnsi" w:cs="Calibri"/>
          <w:b/>
          <w:bCs/>
          <w:color w:val="000000"/>
          <w:sz w:val="26"/>
          <w:szCs w:val="26"/>
          <w:lang w:val="en-US" w:eastAsia="zh-CN"/>
        </w:rPr>
        <w:lastRenderedPageBreak/>
        <w:t>5.</w:t>
      </w:r>
      <w:r w:rsidRPr="00D90E71">
        <w:rPr>
          <w:rFonts w:asciiTheme="minorHAnsi" w:hAnsiTheme="minorHAnsi" w:cs="Calibri"/>
          <w:b/>
          <w:bCs/>
          <w:color w:val="000000"/>
          <w:sz w:val="26"/>
          <w:szCs w:val="26"/>
          <w:lang w:val="en-US" w:eastAsia="zh-CN"/>
        </w:rPr>
        <w:tab/>
      </w:r>
      <w:r w:rsidRPr="00D90E71">
        <w:rPr>
          <w:rFonts w:asciiTheme="minorHAnsi" w:hAnsiTheme="minorHAnsi" w:cs="Calibri"/>
          <w:b/>
          <w:color w:val="000000"/>
          <w:sz w:val="26"/>
          <w:szCs w:val="26"/>
          <w:lang w:val="en-US" w:eastAsia="zh-CN"/>
        </w:rPr>
        <w:t xml:space="preserve">Sales of, and free online access to, ITU publications </w:t>
      </w:r>
      <w:r>
        <w:rPr>
          <w:rFonts w:asciiTheme="minorHAnsi" w:hAnsiTheme="minorHAnsi" w:cs="Calibri"/>
          <w:b/>
          <w:color w:val="000000"/>
          <w:sz w:val="26"/>
          <w:szCs w:val="26"/>
          <w:lang w:val="en-US" w:eastAsia="zh-CN"/>
        </w:rPr>
        <w:br/>
      </w:r>
      <w:r w:rsidRPr="00D90E71">
        <w:rPr>
          <w:rFonts w:asciiTheme="minorHAnsi" w:hAnsiTheme="minorHAnsi" w:cs="Calibri"/>
          <w:b/>
          <w:i/>
          <w:iCs/>
          <w:color w:val="000000"/>
          <w:sz w:val="26"/>
          <w:szCs w:val="26"/>
          <w:lang w:val="en-US" w:eastAsia="zh-CN"/>
        </w:rPr>
        <w:t>(Res. 66, Dec. 12, Council D</w:t>
      </w:r>
      <w:r>
        <w:rPr>
          <w:rFonts w:asciiTheme="minorHAnsi" w:hAnsiTheme="minorHAnsi" w:cs="Calibri"/>
          <w:b/>
          <w:i/>
          <w:iCs/>
          <w:color w:val="000000"/>
          <w:sz w:val="26"/>
          <w:szCs w:val="26"/>
          <w:lang w:val="en-US" w:eastAsia="zh-CN"/>
        </w:rPr>
        <w:t> </w:t>
      </w:r>
      <w:r w:rsidRPr="00D90E71">
        <w:rPr>
          <w:rFonts w:asciiTheme="minorHAnsi" w:hAnsiTheme="minorHAnsi" w:cs="Calibri"/>
          <w:b/>
          <w:i/>
          <w:iCs/>
          <w:color w:val="000000"/>
          <w:sz w:val="26"/>
          <w:szCs w:val="26"/>
          <w:lang w:val="en-US" w:eastAsia="zh-CN"/>
        </w:rPr>
        <w:t>571, D 574) (Council 2017 Agenda Item 4.1)</w:t>
      </w:r>
    </w:p>
    <w:p w:rsidR="00E00CA5" w:rsidRPr="00D90E71" w:rsidRDefault="00E00CA5" w:rsidP="00E00CA5">
      <w:pPr>
        <w:pStyle w:val="Tabletext"/>
        <w:keepNext/>
        <w:keepLines/>
        <w:snapToGrid w:val="0"/>
        <w:spacing w:before="120" w:after="120"/>
        <w:rPr>
          <w:rFonts w:asciiTheme="minorHAnsi" w:hAnsiTheme="minorHAnsi"/>
          <w:sz w:val="24"/>
          <w:szCs w:val="24"/>
        </w:rPr>
      </w:pPr>
      <w:r w:rsidRPr="00D90E71">
        <w:rPr>
          <w:rFonts w:asciiTheme="minorHAnsi" w:hAnsiTheme="minorHAnsi"/>
          <w:sz w:val="24"/>
          <w:szCs w:val="24"/>
        </w:rPr>
        <w:t>RAG noted with satisfaction that the free online access policy continued to provide a platform for a large dissemination of ITU-R Recommendations and welcomed the Director’s initiative to extend the free access to all ITU-R Handbooks.</w:t>
      </w:r>
    </w:p>
    <w:p w:rsidR="00E00CA5" w:rsidRPr="00D90E71" w:rsidRDefault="00E00CA5" w:rsidP="00E00CA5">
      <w:pPr>
        <w:keepNext/>
        <w:keepLines/>
        <w:widowControl w:val="0"/>
        <w:overflowPunct/>
        <w:snapToGrid w:val="0"/>
        <w:spacing w:before="360" w:after="120"/>
        <w:textAlignment w:val="auto"/>
        <w:rPr>
          <w:rFonts w:asciiTheme="minorHAnsi" w:hAnsiTheme="minorHAnsi" w:cs="Calibri"/>
          <w:b/>
          <w:i/>
          <w:iCs/>
          <w:color w:val="000000"/>
          <w:sz w:val="28"/>
          <w:szCs w:val="28"/>
          <w:lang w:val="en-US" w:eastAsia="zh-CN"/>
        </w:rPr>
      </w:pPr>
      <w:r w:rsidRPr="00D90E71">
        <w:rPr>
          <w:rFonts w:asciiTheme="minorHAnsi" w:hAnsiTheme="minorHAnsi" w:cs="Calibri"/>
          <w:b/>
          <w:bCs/>
          <w:color w:val="000000"/>
          <w:sz w:val="28"/>
          <w:szCs w:val="28"/>
          <w:lang w:val="en-US" w:eastAsia="zh-CN"/>
        </w:rPr>
        <w:t>6.</w:t>
      </w:r>
      <w:r>
        <w:rPr>
          <w:rFonts w:asciiTheme="minorHAnsi" w:hAnsiTheme="minorHAnsi" w:cs="Calibri"/>
          <w:b/>
          <w:bCs/>
          <w:color w:val="000000"/>
          <w:sz w:val="28"/>
          <w:szCs w:val="28"/>
          <w:lang w:val="en-US" w:eastAsia="zh-CN"/>
        </w:rPr>
        <w:tab/>
      </w:r>
      <w:r w:rsidRPr="00D90E71">
        <w:rPr>
          <w:rFonts w:asciiTheme="minorHAnsi" w:hAnsiTheme="minorHAnsi" w:cs="Calibri"/>
          <w:b/>
          <w:i/>
          <w:iCs/>
          <w:color w:val="000000"/>
          <w:sz w:val="28"/>
          <w:szCs w:val="28"/>
          <w:lang w:val="en-US" w:eastAsia="zh-CN"/>
        </w:rPr>
        <w:t>ADM</w:t>
      </w:r>
    </w:p>
    <w:p w:rsidR="00E00CA5" w:rsidRPr="00D90E71" w:rsidRDefault="00E00CA5" w:rsidP="00E00CA5">
      <w:pPr>
        <w:keepNext/>
        <w:keepLines/>
        <w:widowControl w:val="0"/>
        <w:overflowPunct/>
        <w:snapToGrid w:val="0"/>
        <w:spacing w:after="120"/>
        <w:textAlignment w:val="auto"/>
        <w:rPr>
          <w:rFonts w:asciiTheme="minorHAnsi" w:hAnsiTheme="minorHAnsi" w:cs="Calibri"/>
          <w:b/>
          <w:i/>
          <w:iCs/>
          <w:color w:val="000000"/>
          <w:sz w:val="26"/>
          <w:szCs w:val="26"/>
          <w:lang w:val="en-US" w:eastAsia="zh-CN"/>
        </w:rPr>
      </w:pPr>
      <w:r w:rsidRPr="00D90E71">
        <w:rPr>
          <w:rFonts w:asciiTheme="minorHAnsi" w:hAnsiTheme="minorHAnsi" w:cs="Calibri"/>
          <w:b/>
          <w:i/>
          <w:iCs/>
          <w:color w:val="000000"/>
          <w:sz w:val="26"/>
          <w:szCs w:val="26"/>
          <w:lang w:val="en-US" w:eastAsia="zh-CN"/>
        </w:rPr>
        <w:t>6.1</w:t>
      </w:r>
      <w:r>
        <w:rPr>
          <w:rFonts w:asciiTheme="minorHAnsi" w:hAnsiTheme="minorHAnsi" w:cs="Calibri"/>
          <w:b/>
          <w:i/>
          <w:iCs/>
          <w:color w:val="000000"/>
          <w:sz w:val="26"/>
          <w:szCs w:val="26"/>
          <w:lang w:val="en-US" w:eastAsia="zh-CN"/>
        </w:rPr>
        <w:tab/>
      </w:r>
      <w:r w:rsidRPr="00D90E71">
        <w:rPr>
          <w:rFonts w:asciiTheme="minorHAnsi" w:hAnsiTheme="minorHAnsi" w:cs="Calibri"/>
          <w:b/>
          <w:color w:val="000000"/>
          <w:sz w:val="26"/>
          <w:szCs w:val="26"/>
          <w:lang w:val="en-US" w:eastAsia="zh-CN"/>
        </w:rPr>
        <w:t xml:space="preserve">Draft biennial budget of the ITU for 2018-2019 </w:t>
      </w:r>
      <w:r w:rsidRPr="00D90E71">
        <w:rPr>
          <w:rFonts w:asciiTheme="minorHAnsi" w:hAnsiTheme="minorHAnsi" w:cs="Calibri"/>
          <w:b/>
          <w:i/>
          <w:iCs/>
          <w:color w:val="000000"/>
          <w:sz w:val="26"/>
          <w:szCs w:val="26"/>
          <w:lang w:val="en-US" w:eastAsia="zh-CN"/>
        </w:rPr>
        <w:t>(Dec.5) (ADM agenda item 1.1)</w:t>
      </w:r>
    </w:p>
    <w:p w:rsidR="00E00CA5" w:rsidRPr="00D90E71" w:rsidRDefault="00E00CA5" w:rsidP="00E00CA5">
      <w:pPr>
        <w:pStyle w:val="Tabletext"/>
        <w:keepNext/>
        <w:keepLines/>
        <w:snapToGrid w:val="0"/>
        <w:spacing w:before="120" w:after="120"/>
        <w:rPr>
          <w:rFonts w:asciiTheme="minorHAnsi" w:hAnsiTheme="minorHAnsi"/>
          <w:sz w:val="24"/>
          <w:szCs w:val="24"/>
          <w:lang w:val="en-US"/>
        </w:rPr>
      </w:pPr>
      <w:r w:rsidRPr="00D90E71">
        <w:rPr>
          <w:rFonts w:asciiTheme="minorHAnsi" w:hAnsiTheme="minorHAnsi"/>
          <w:sz w:val="24"/>
          <w:szCs w:val="24"/>
          <w:lang w:val="en-US"/>
        </w:rPr>
        <w:t>RAG noted the draft proposed budget for the Radiocommunication Sector for the 2018-2019 timeframe, pending the approval by Council-17 of the 2018-2019 budget of the Union.</w:t>
      </w:r>
    </w:p>
    <w:p w:rsidR="00E00CA5" w:rsidRPr="00D90E71" w:rsidRDefault="00E00CA5" w:rsidP="00E00CA5">
      <w:pPr>
        <w:pStyle w:val="Tabletext"/>
        <w:keepNext/>
        <w:keepLines/>
        <w:snapToGrid w:val="0"/>
        <w:spacing w:before="120" w:after="120"/>
        <w:rPr>
          <w:rFonts w:asciiTheme="minorHAnsi" w:hAnsiTheme="minorHAnsi"/>
          <w:sz w:val="24"/>
          <w:szCs w:val="24"/>
          <w:lang w:val="en-US"/>
        </w:rPr>
      </w:pPr>
      <w:r w:rsidRPr="00D90E71">
        <w:rPr>
          <w:rFonts w:asciiTheme="minorHAnsi" w:hAnsiTheme="minorHAnsi"/>
          <w:sz w:val="24"/>
          <w:szCs w:val="24"/>
          <w:lang w:val="en-US"/>
        </w:rPr>
        <w:t>RAG considered Doc. RAG17/10 from the Russian Federation, which draws attention to the fact that in recent decades, more and more attention has been focused on efforts to increase the efficiency of radio-spectrum and satellite-orbit use. Ample evidence of this is to be seen in the ever-increasing numbers of participants at world radiocommunication conferences (WRCs), with some 2 000 having been registered at WRC-97 (held in 1997), and over 3 300 at WRC-15 (held in 2015). At the same time, there is a significant increase in the types, complexity and volume of the tasks being accomplished by the staff of BR, which essentially constitutes the executive machinery of the international spectrum and satellite orbit management system.</w:t>
      </w:r>
    </w:p>
    <w:p w:rsidR="00E00CA5" w:rsidRPr="00D90E71" w:rsidRDefault="00E00CA5" w:rsidP="00E00CA5">
      <w:pPr>
        <w:pStyle w:val="Tabletext"/>
        <w:keepNext/>
        <w:keepLines/>
        <w:snapToGrid w:val="0"/>
        <w:spacing w:before="120" w:after="120"/>
        <w:rPr>
          <w:rFonts w:asciiTheme="minorHAnsi" w:hAnsiTheme="minorHAnsi"/>
          <w:sz w:val="24"/>
          <w:szCs w:val="24"/>
          <w:lang w:val="en-US"/>
        </w:rPr>
      </w:pPr>
      <w:r w:rsidRPr="00D90E71">
        <w:rPr>
          <w:rFonts w:asciiTheme="minorHAnsi" w:hAnsiTheme="minorHAnsi"/>
          <w:sz w:val="24"/>
          <w:szCs w:val="24"/>
          <w:lang w:val="en-US"/>
        </w:rPr>
        <w:t>The document contains an analysis of financial resources allocated to the ITU-R and human resources in the Radiocommunication Bureau during the period 1996-2017. This analysis highlights the significant reduction of the ITU-R budget during last years and draws attention to the proposed further reduction in the ITU-R draft budget for the period 2018-2019. It shows that the ITU-R budget is proposed to be reduced in a greater extend comparing with the respective budget reductions in other ITU organs for the same period. It also raises a number of issues related to BR staff reduction during last years that, as a result, leads to the situation where the BR is not able to fulfill anymore its regulatory obligations due to the lack of financial and human resources combined with increased complexity of tasks as well as the growing number and complexity of satellite network filings, which generate significant additional work for the BR.</w:t>
      </w:r>
    </w:p>
    <w:p w:rsidR="00E00CA5" w:rsidRPr="00D90E71" w:rsidRDefault="00E00CA5" w:rsidP="00E00CA5">
      <w:pPr>
        <w:pStyle w:val="Tabletext"/>
        <w:snapToGrid w:val="0"/>
        <w:spacing w:before="120" w:after="120"/>
        <w:rPr>
          <w:rFonts w:asciiTheme="minorHAnsi" w:hAnsiTheme="minorHAnsi"/>
          <w:sz w:val="24"/>
          <w:szCs w:val="24"/>
          <w:lang w:val="en-US"/>
        </w:rPr>
      </w:pPr>
      <w:r w:rsidRPr="00D90E71">
        <w:rPr>
          <w:rFonts w:asciiTheme="minorHAnsi" w:hAnsiTheme="minorHAnsi"/>
          <w:sz w:val="24"/>
          <w:szCs w:val="24"/>
          <w:lang w:val="en-US"/>
        </w:rPr>
        <w:t>The conclusion states that the problems identified above are due in large measure to a reduction in the financial and human resources made available to the Radiocommunication Sector in recent years (including a steep reduction in BR’s workforce), and that measures need to be taken rapidly to ensure fulfilment of the increasingly complex objectives of the Bureau. This position was widely supported by RAG participants.</w:t>
      </w:r>
    </w:p>
    <w:p w:rsidR="00E00CA5" w:rsidRPr="00D90E71" w:rsidRDefault="00E00CA5" w:rsidP="00E00CA5">
      <w:pPr>
        <w:pStyle w:val="Tabletext"/>
        <w:snapToGrid w:val="0"/>
        <w:spacing w:before="120" w:after="120"/>
        <w:rPr>
          <w:rFonts w:asciiTheme="minorHAnsi" w:hAnsiTheme="minorHAnsi"/>
          <w:sz w:val="24"/>
          <w:szCs w:val="24"/>
          <w:lang w:val="en-US"/>
        </w:rPr>
      </w:pPr>
      <w:r w:rsidRPr="00D90E71">
        <w:rPr>
          <w:rFonts w:asciiTheme="minorHAnsi" w:hAnsiTheme="minorHAnsi"/>
          <w:sz w:val="24"/>
          <w:szCs w:val="24"/>
          <w:lang w:val="en-US"/>
        </w:rPr>
        <w:t>An explanation was given by the Director on the variation of staff levels over the years, stemming back to the early 1990’s when there was up to a two-year delay in the processing of filings against RR No. </w:t>
      </w:r>
      <w:r w:rsidRPr="00D90E71">
        <w:rPr>
          <w:rFonts w:asciiTheme="minorHAnsi" w:hAnsiTheme="minorHAnsi"/>
          <w:b/>
          <w:bCs/>
          <w:sz w:val="24"/>
          <w:szCs w:val="24"/>
          <w:lang w:val="en-US"/>
        </w:rPr>
        <w:t>9.38</w:t>
      </w:r>
      <w:r w:rsidRPr="00D90E71">
        <w:rPr>
          <w:rFonts w:asciiTheme="minorHAnsi" w:hAnsiTheme="minorHAnsi"/>
          <w:sz w:val="24"/>
          <w:szCs w:val="24"/>
          <w:lang w:val="en-US"/>
        </w:rPr>
        <w:t xml:space="preserve"> regulatory time limit of four months for processing CR/R submissions as outlined in the Radio Regulations. He explained that when cost recovery measures were put in place there was a reduction, to some extent, in the submission of filings. This relative decrease, coupled with new software applications that made processing more efficient, allowed for the staff reduction occurred during his tenure. </w:t>
      </w:r>
    </w:p>
    <w:p w:rsidR="00E00CA5" w:rsidRPr="00C60AFD" w:rsidRDefault="00E00CA5" w:rsidP="00E00CA5">
      <w:pPr>
        <w:pStyle w:val="Tabletext"/>
        <w:snapToGrid w:val="0"/>
        <w:spacing w:before="120" w:after="120"/>
        <w:rPr>
          <w:rFonts w:asciiTheme="minorHAnsi" w:hAnsiTheme="minorHAnsi"/>
          <w:sz w:val="24"/>
          <w:szCs w:val="24"/>
          <w:lang w:val="en-US"/>
        </w:rPr>
      </w:pPr>
      <w:r w:rsidRPr="00D90E71">
        <w:rPr>
          <w:rFonts w:asciiTheme="minorHAnsi" w:hAnsiTheme="minorHAnsi"/>
          <w:sz w:val="24"/>
          <w:szCs w:val="24"/>
          <w:lang w:val="en-US"/>
        </w:rPr>
        <w:t xml:space="preserve">However, a new backlog has been developing over the past 12-18 months, due to a large increase in the number and complexity of both GSO and Non-GSO satellite network filings.  RAG concluded that Member States may bring these concerns to the Council if they so wish, for which the Summary of Conclusions of the present RAG meeting could be cited by them as a reference. RAG also stressed the need to adopt a proportional and balanced approach in the financing of the ITU Sectors and the General Secretariat that should take into account the recent increase in the </w:t>
      </w:r>
      <w:r w:rsidRPr="00D90E71">
        <w:rPr>
          <w:rFonts w:asciiTheme="minorHAnsi" w:hAnsiTheme="minorHAnsi"/>
          <w:sz w:val="24"/>
          <w:szCs w:val="24"/>
          <w:lang w:val="en-US"/>
        </w:rPr>
        <w:lastRenderedPageBreak/>
        <w:t>workload of the Radiocommunication Bureau and the related expectations of the membership. RAG also recommended to the Director to inform the Council about these concerns in his report.</w:t>
      </w:r>
    </w:p>
    <w:p w:rsidR="00E00CA5" w:rsidRPr="00D90E71" w:rsidRDefault="00E00CA5" w:rsidP="00E00CA5">
      <w:pPr>
        <w:keepNext/>
        <w:keepLines/>
        <w:widowControl w:val="0"/>
        <w:overflowPunct/>
        <w:snapToGrid w:val="0"/>
        <w:spacing w:before="240" w:after="120"/>
        <w:ind w:left="709" w:hanging="709"/>
        <w:textAlignment w:val="auto"/>
        <w:rPr>
          <w:rFonts w:asciiTheme="minorHAnsi" w:hAnsiTheme="minorHAnsi" w:cs="Calibri"/>
          <w:b/>
          <w:i/>
          <w:iCs/>
          <w:color w:val="000000"/>
          <w:sz w:val="26"/>
          <w:szCs w:val="26"/>
          <w:lang w:val="en-US" w:eastAsia="zh-CN"/>
        </w:rPr>
      </w:pPr>
      <w:r w:rsidRPr="00D90E71">
        <w:rPr>
          <w:rFonts w:asciiTheme="minorHAnsi" w:hAnsiTheme="minorHAnsi" w:cs="Calibri"/>
          <w:b/>
          <w:i/>
          <w:iCs/>
          <w:color w:val="000000"/>
          <w:sz w:val="26"/>
          <w:szCs w:val="26"/>
          <w:lang w:val="en-US" w:eastAsia="zh-CN"/>
        </w:rPr>
        <w:t>6.2</w:t>
      </w:r>
      <w:r>
        <w:rPr>
          <w:rFonts w:asciiTheme="minorHAnsi" w:hAnsiTheme="minorHAnsi" w:cs="Calibri"/>
          <w:b/>
          <w:i/>
          <w:iCs/>
          <w:color w:val="000000"/>
          <w:sz w:val="26"/>
          <w:szCs w:val="26"/>
          <w:lang w:val="en-US" w:eastAsia="zh-CN"/>
        </w:rPr>
        <w:tab/>
      </w:r>
      <w:r w:rsidRPr="00D90E71">
        <w:rPr>
          <w:rFonts w:asciiTheme="minorHAnsi" w:hAnsiTheme="minorHAnsi" w:cs="Calibri"/>
          <w:b/>
          <w:color w:val="000000"/>
          <w:sz w:val="26"/>
          <w:szCs w:val="26"/>
          <w:lang w:val="en-US" w:eastAsia="zh-CN"/>
        </w:rPr>
        <w:t xml:space="preserve">Cost Recovery for the processing of Satellite network Filings </w:t>
      </w:r>
      <w:r w:rsidRPr="00D90E71">
        <w:rPr>
          <w:rFonts w:asciiTheme="minorHAnsi" w:hAnsiTheme="minorHAnsi" w:cs="Calibri"/>
          <w:b/>
          <w:i/>
          <w:iCs/>
          <w:color w:val="000000"/>
          <w:sz w:val="26"/>
          <w:szCs w:val="26"/>
          <w:lang w:val="en-US" w:eastAsia="zh-CN"/>
        </w:rPr>
        <w:t xml:space="preserve">(D 482(MOD)) </w:t>
      </w:r>
      <w:r w:rsidRPr="00D90E71">
        <w:rPr>
          <w:rFonts w:asciiTheme="minorHAnsi" w:hAnsiTheme="minorHAnsi" w:cs="Calibri"/>
          <w:b/>
          <w:color w:val="000000"/>
          <w:sz w:val="26"/>
          <w:szCs w:val="26"/>
          <w:lang w:val="en-US" w:eastAsia="zh-CN"/>
        </w:rPr>
        <w:t xml:space="preserve">Proposed modification to Council Decision 482 </w:t>
      </w:r>
      <w:r w:rsidRPr="00D90E71">
        <w:rPr>
          <w:rFonts w:asciiTheme="minorHAnsi" w:hAnsiTheme="minorHAnsi" w:cs="Calibri"/>
          <w:b/>
          <w:i/>
          <w:iCs/>
          <w:color w:val="000000"/>
          <w:sz w:val="26"/>
          <w:szCs w:val="26"/>
          <w:lang w:val="en-US" w:eastAsia="zh-CN"/>
        </w:rPr>
        <w:t>(ADM agenda item 1.2)</w:t>
      </w:r>
    </w:p>
    <w:p w:rsidR="00E00CA5" w:rsidRPr="00D90E71" w:rsidRDefault="00E00CA5" w:rsidP="00E00CA5">
      <w:pPr>
        <w:pStyle w:val="Tabletext"/>
        <w:keepNext/>
        <w:keepLines/>
        <w:snapToGrid w:val="0"/>
        <w:spacing w:before="120" w:after="120"/>
        <w:rPr>
          <w:rFonts w:asciiTheme="minorHAnsi" w:hAnsiTheme="minorHAnsi"/>
          <w:sz w:val="24"/>
          <w:szCs w:val="24"/>
          <w:lang w:val="en-US"/>
        </w:rPr>
      </w:pPr>
      <w:r w:rsidRPr="00D90E71">
        <w:rPr>
          <w:rFonts w:asciiTheme="minorHAnsi" w:hAnsiTheme="minorHAnsi"/>
          <w:sz w:val="24"/>
          <w:szCs w:val="24"/>
        </w:rPr>
        <w:t xml:space="preserve">RAG considered Doc. RAG17/11 from the Russian Federation, </w:t>
      </w:r>
      <w:r w:rsidRPr="00D90E71">
        <w:rPr>
          <w:rFonts w:asciiTheme="minorHAnsi" w:hAnsiTheme="minorHAnsi"/>
          <w:sz w:val="24"/>
          <w:szCs w:val="24"/>
          <w:lang w:val="en-US"/>
        </w:rPr>
        <w:t>which addresses the issue of processing of filings for non-GSO FSS systems, cost recovery for such filings as well as possible actions required from the Council-17 to deal with the increase of processing time of non-GSO FSS filings and resulted in the delay of GSO FSS filings publication as well.</w:t>
      </w:r>
    </w:p>
    <w:p w:rsidR="00E00CA5" w:rsidRPr="00D90E71" w:rsidRDefault="00E00CA5" w:rsidP="00E00CA5">
      <w:pPr>
        <w:pStyle w:val="Tabletext"/>
        <w:snapToGrid w:val="0"/>
        <w:spacing w:before="120" w:after="120"/>
        <w:rPr>
          <w:rFonts w:asciiTheme="minorHAnsi" w:hAnsiTheme="minorHAnsi"/>
          <w:sz w:val="24"/>
          <w:szCs w:val="24"/>
          <w:lang w:val="en-US"/>
        </w:rPr>
      </w:pPr>
      <w:r w:rsidRPr="00D90E71">
        <w:rPr>
          <w:rFonts w:asciiTheme="minorHAnsi" w:hAnsiTheme="minorHAnsi"/>
          <w:sz w:val="24"/>
          <w:szCs w:val="24"/>
          <w:lang w:val="en-US"/>
        </w:rPr>
        <w:t>RAG noted that Council Decision 482 does not fully accommodate cost recovery for non-GSO FSS systems submitted to the BR recently (during the last 12-18 months). There is a substantial difference (in some cases more than 10 times) between the cut-off limit of units established by Council Decision 482 and the actual number of units required to process extensive non-GSO FSS networks filings. It is recognized that this is, among other issues, the result of the complexity of these non-GSO FSS systems and the huge number and complexity of their examination procedure. This resulted not only in delaying non-GSO FSS filings publication but GSO FSS filings publication as well.</w:t>
      </w:r>
    </w:p>
    <w:p w:rsidR="00E00CA5" w:rsidRPr="00D90E71" w:rsidRDefault="00E00CA5" w:rsidP="00E00CA5">
      <w:pPr>
        <w:pStyle w:val="Tabletext"/>
        <w:snapToGrid w:val="0"/>
        <w:spacing w:before="120" w:after="120"/>
        <w:rPr>
          <w:rFonts w:asciiTheme="minorHAnsi" w:hAnsiTheme="minorHAnsi"/>
          <w:sz w:val="24"/>
          <w:szCs w:val="24"/>
          <w:lang w:val="en-US"/>
        </w:rPr>
      </w:pPr>
      <w:r w:rsidRPr="00D90E71">
        <w:rPr>
          <w:rFonts w:asciiTheme="minorHAnsi" w:hAnsiTheme="minorHAnsi"/>
          <w:sz w:val="24"/>
          <w:szCs w:val="24"/>
          <w:lang w:val="en-US"/>
        </w:rPr>
        <w:t>RAG advised the BR Director to inform Council-17 of this ongoing consideration.</w:t>
      </w:r>
    </w:p>
    <w:p w:rsidR="00E00CA5" w:rsidRPr="00D90E71" w:rsidRDefault="00E00CA5" w:rsidP="00E00CA5">
      <w:pPr>
        <w:pStyle w:val="Tabletext"/>
        <w:snapToGrid w:val="0"/>
        <w:spacing w:before="120" w:after="120"/>
        <w:rPr>
          <w:rFonts w:asciiTheme="minorHAnsi" w:hAnsiTheme="minorHAnsi"/>
          <w:sz w:val="24"/>
          <w:szCs w:val="24"/>
          <w:lang w:val="en-US"/>
        </w:rPr>
      </w:pPr>
      <w:r w:rsidRPr="00D90E71">
        <w:rPr>
          <w:rFonts w:asciiTheme="minorHAnsi" w:hAnsiTheme="minorHAnsi"/>
          <w:sz w:val="24"/>
          <w:szCs w:val="24"/>
          <w:lang w:val="en-US"/>
        </w:rPr>
        <w:t xml:space="preserve">RAG also advised the BR Director to inform Council about the following two possible options for the cost recovery of processing by the BR of extensive non-GSO FSS filings: </w:t>
      </w:r>
    </w:p>
    <w:p w:rsidR="00E00CA5" w:rsidRPr="00D90E71" w:rsidRDefault="00E00CA5" w:rsidP="00E00CA5">
      <w:pPr>
        <w:pStyle w:val="Tabletext"/>
        <w:numPr>
          <w:ilvl w:val="0"/>
          <w:numId w:val="4"/>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napToGrid w:val="0"/>
        <w:spacing w:before="120" w:after="120"/>
        <w:rPr>
          <w:rFonts w:asciiTheme="minorHAnsi" w:hAnsiTheme="minorHAnsi"/>
          <w:sz w:val="24"/>
          <w:szCs w:val="24"/>
          <w:lang w:val="en-US"/>
        </w:rPr>
      </w:pPr>
      <w:r w:rsidRPr="00D90E71">
        <w:rPr>
          <w:rFonts w:asciiTheme="minorHAnsi" w:hAnsiTheme="minorHAnsi"/>
          <w:sz w:val="24"/>
          <w:szCs w:val="24"/>
          <w:lang w:val="en-US"/>
        </w:rPr>
        <w:t>to compensate the cost for processing of non-GSO FSS filings by the BR through the ITU Budget. For this purpose BR Director is invited to assess and report to the Council-17 possible cost which could not be recovered for non-GSO FSS filings when applying Council Decision 482 in force. It is noted that this increase of the budget should include financial support for future development of EPFD validation software once Recommendation ITU-R S.1503-2</w:t>
      </w:r>
      <w:r>
        <w:rPr>
          <w:rFonts w:asciiTheme="minorHAnsi" w:hAnsiTheme="minorHAnsi"/>
          <w:sz w:val="24"/>
          <w:szCs w:val="24"/>
          <w:lang w:val="en-US"/>
        </w:rPr>
        <w:t xml:space="preserve"> is completed;</w:t>
      </w:r>
    </w:p>
    <w:p w:rsidR="00E00CA5" w:rsidRPr="00D90E71" w:rsidRDefault="00E00CA5" w:rsidP="00E00CA5">
      <w:pPr>
        <w:pStyle w:val="Tabletext"/>
        <w:numPr>
          <w:ilvl w:val="0"/>
          <w:numId w:val="4"/>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napToGrid w:val="0"/>
        <w:spacing w:before="120" w:after="120"/>
        <w:rPr>
          <w:rFonts w:asciiTheme="minorHAnsi" w:hAnsiTheme="minorHAnsi"/>
          <w:sz w:val="24"/>
          <w:szCs w:val="24"/>
          <w:lang w:val="en-US"/>
        </w:rPr>
      </w:pPr>
      <w:r w:rsidRPr="00D90E71">
        <w:rPr>
          <w:rFonts w:asciiTheme="minorHAnsi" w:hAnsiTheme="minorHAnsi"/>
          <w:sz w:val="24"/>
          <w:szCs w:val="24"/>
          <w:lang w:val="en-US"/>
        </w:rPr>
        <w:t>to revise Council Decision 482 through the development of specific cost recovery procedure for extensive non-GSO FSS networks. For this purpose, the BR Director is invited to clarify technical issues of such a procedure, in consultation with relevant ITU-R Study Groups and the RRB, in particular whether there is a possibility for the individual non</w:t>
      </w:r>
      <w:r w:rsidRPr="00D90E71">
        <w:rPr>
          <w:rFonts w:asciiTheme="minorHAnsi" w:hAnsiTheme="minorHAnsi"/>
          <w:sz w:val="24"/>
          <w:szCs w:val="24"/>
          <w:lang w:val="en-US"/>
        </w:rPr>
        <w:noBreakHyphen/>
        <w:t>GSO filings (API/coordination/notification) containing:</w:t>
      </w:r>
    </w:p>
    <w:p w:rsidR="00E00CA5" w:rsidRPr="00D90E71" w:rsidRDefault="00E00CA5" w:rsidP="00E00CA5">
      <w:pPr>
        <w:pStyle w:val="Tabletext"/>
        <w:numPr>
          <w:ilvl w:val="0"/>
          <w:numId w:val="5"/>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napToGrid w:val="0"/>
        <w:spacing w:before="120" w:after="120"/>
        <w:rPr>
          <w:rFonts w:asciiTheme="minorHAnsi" w:hAnsiTheme="minorHAnsi"/>
          <w:sz w:val="24"/>
          <w:szCs w:val="24"/>
          <w:lang w:val="en-US"/>
        </w:rPr>
      </w:pPr>
      <w:r w:rsidRPr="00D90E71">
        <w:rPr>
          <w:rFonts w:asciiTheme="minorHAnsi" w:hAnsiTheme="minorHAnsi"/>
          <w:sz w:val="24"/>
          <w:szCs w:val="24"/>
          <w:lang w:val="en-US"/>
        </w:rPr>
        <w:t>non-homogeneous satellite orbits with differing altitudes and inclinations, or</w:t>
      </w:r>
    </w:p>
    <w:p w:rsidR="00E00CA5" w:rsidRPr="00D90E71" w:rsidRDefault="00E00CA5" w:rsidP="00E00CA5">
      <w:pPr>
        <w:pStyle w:val="Tabletext"/>
        <w:numPr>
          <w:ilvl w:val="0"/>
          <w:numId w:val="5"/>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napToGrid w:val="0"/>
        <w:spacing w:before="120" w:after="120"/>
        <w:rPr>
          <w:rFonts w:asciiTheme="minorHAnsi" w:hAnsiTheme="minorHAnsi"/>
          <w:sz w:val="24"/>
          <w:szCs w:val="24"/>
          <w:lang w:val="en-US"/>
        </w:rPr>
      </w:pPr>
      <w:r w:rsidRPr="00D90E71">
        <w:rPr>
          <w:rFonts w:asciiTheme="minorHAnsi" w:hAnsiTheme="minorHAnsi"/>
          <w:sz w:val="24"/>
          <w:szCs w:val="24"/>
          <w:lang w:val="en-US"/>
        </w:rPr>
        <w:t>different constellation configurations,</w:t>
      </w:r>
    </w:p>
    <w:p w:rsidR="00E00CA5" w:rsidRPr="00D90E71" w:rsidRDefault="00E00CA5" w:rsidP="00E00CA5">
      <w:pPr>
        <w:pStyle w:val="Tabletext"/>
        <w:snapToGrid w:val="0"/>
        <w:spacing w:before="120" w:after="120"/>
        <w:ind w:left="743"/>
        <w:rPr>
          <w:rFonts w:asciiTheme="minorHAnsi" w:hAnsiTheme="minorHAnsi"/>
          <w:sz w:val="24"/>
          <w:szCs w:val="24"/>
          <w:lang w:val="en-US"/>
        </w:rPr>
      </w:pPr>
      <w:r w:rsidRPr="00D90E71">
        <w:rPr>
          <w:rFonts w:asciiTheme="minorHAnsi" w:hAnsiTheme="minorHAnsi"/>
          <w:sz w:val="24"/>
          <w:szCs w:val="24"/>
          <w:lang w:val="en-US"/>
        </w:rPr>
        <w:t>to be separated into filings containing each individual constellation or individual types of satellite orbit, for the purposes of processing by the BR.</w:t>
      </w:r>
    </w:p>
    <w:p w:rsidR="00E00CA5" w:rsidRPr="00D90E71" w:rsidRDefault="00E00CA5" w:rsidP="00E00CA5">
      <w:pPr>
        <w:pStyle w:val="Tabletext"/>
        <w:snapToGrid w:val="0"/>
        <w:spacing w:before="120" w:after="120"/>
        <w:rPr>
          <w:rFonts w:asciiTheme="minorHAnsi" w:hAnsiTheme="minorHAnsi"/>
          <w:sz w:val="24"/>
          <w:szCs w:val="24"/>
        </w:rPr>
      </w:pPr>
      <w:r w:rsidRPr="00D90E71">
        <w:rPr>
          <w:rFonts w:asciiTheme="minorHAnsi" w:hAnsiTheme="minorHAnsi"/>
          <w:sz w:val="24"/>
          <w:szCs w:val="24"/>
          <w:lang w:val="en-US"/>
        </w:rPr>
        <w:t>With respect to the issue of how the BR should process modifications to non-GSO filings when specific orbital characteristics are changed (whether some flexibility should be allowed or not), it is noted that this question is currently under consideration within WP 4A under the issue of future evolution of Recommendation ITU-R S.1503.</w:t>
      </w:r>
      <w:r w:rsidRPr="00D90E71">
        <w:rPr>
          <w:rFonts w:asciiTheme="minorHAnsi" w:hAnsiTheme="minorHAnsi"/>
          <w:sz w:val="24"/>
          <w:szCs w:val="24"/>
        </w:rPr>
        <w:t xml:space="preserve"> </w:t>
      </w:r>
    </w:p>
    <w:p w:rsidR="00E00CA5" w:rsidRPr="00D90E71" w:rsidRDefault="00E00CA5" w:rsidP="00E00CA5">
      <w:pPr>
        <w:pStyle w:val="Tabletext"/>
        <w:snapToGrid w:val="0"/>
        <w:spacing w:before="120" w:after="120"/>
        <w:rPr>
          <w:rFonts w:asciiTheme="minorHAnsi" w:hAnsiTheme="minorHAnsi"/>
          <w:sz w:val="24"/>
          <w:szCs w:val="24"/>
        </w:rPr>
      </w:pPr>
      <w:r w:rsidRPr="00D90E71">
        <w:rPr>
          <w:rFonts w:asciiTheme="minorHAnsi" w:hAnsiTheme="minorHAnsi"/>
          <w:sz w:val="24"/>
          <w:szCs w:val="24"/>
          <w:lang w:val="en-US"/>
        </w:rPr>
        <w:t>RAG further invited the Director to request the Council to provide guidance on how to address the issue of cost recovery of the non-GSO FSS filings without adverse impact on the ITU’s satellite network filing process.</w:t>
      </w:r>
    </w:p>
    <w:p w:rsidR="00E00CA5" w:rsidRPr="00D90E71" w:rsidRDefault="00E00CA5" w:rsidP="00E00CA5">
      <w:pPr>
        <w:keepNext/>
        <w:keepLines/>
        <w:widowControl w:val="0"/>
        <w:overflowPunct/>
        <w:snapToGrid w:val="0"/>
        <w:spacing w:after="120"/>
        <w:ind w:left="709" w:hanging="709"/>
        <w:textAlignment w:val="auto"/>
        <w:rPr>
          <w:rFonts w:asciiTheme="minorHAnsi" w:hAnsiTheme="minorHAnsi" w:cs="Calibri"/>
          <w:b/>
          <w:i/>
          <w:iCs/>
          <w:color w:val="000000"/>
          <w:sz w:val="26"/>
          <w:szCs w:val="26"/>
          <w:lang w:val="en-US" w:eastAsia="zh-CN"/>
        </w:rPr>
      </w:pPr>
      <w:r w:rsidRPr="00D90E71">
        <w:rPr>
          <w:rFonts w:asciiTheme="minorHAnsi" w:hAnsiTheme="minorHAnsi" w:cs="Calibri"/>
          <w:b/>
          <w:i/>
          <w:iCs/>
          <w:color w:val="000000"/>
          <w:sz w:val="26"/>
          <w:szCs w:val="26"/>
          <w:lang w:eastAsia="zh-CN"/>
        </w:rPr>
        <w:lastRenderedPageBreak/>
        <w:t>6</w:t>
      </w:r>
      <w:r w:rsidRPr="00D90E71">
        <w:rPr>
          <w:rFonts w:asciiTheme="minorHAnsi" w:hAnsiTheme="minorHAnsi" w:cs="Calibri"/>
          <w:b/>
          <w:i/>
          <w:iCs/>
          <w:color w:val="000000"/>
          <w:sz w:val="26"/>
          <w:szCs w:val="26"/>
          <w:lang w:val="en-US" w:eastAsia="zh-CN"/>
        </w:rPr>
        <w:t>.3</w:t>
      </w:r>
      <w:r w:rsidRPr="00D90E71">
        <w:rPr>
          <w:rFonts w:asciiTheme="minorHAnsi" w:hAnsiTheme="minorHAnsi" w:cs="Calibri"/>
          <w:b/>
          <w:i/>
          <w:iCs/>
          <w:color w:val="000000"/>
          <w:sz w:val="26"/>
          <w:szCs w:val="26"/>
          <w:lang w:val="en-US" w:eastAsia="zh-CN"/>
        </w:rPr>
        <w:tab/>
      </w:r>
      <w:r w:rsidRPr="00D90E71">
        <w:rPr>
          <w:rFonts w:asciiTheme="minorHAnsi" w:hAnsiTheme="minorHAnsi" w:cs="Calibri"/>
          <w:b/>
          <w:color w:val="000000"/>
          <w:sz w:val="26"/>
          <w:szCs w:val="26"/>
          <w:lang w:val="en-US" w:eastAsia="zh-CN"/>
        </w:rPr>
        <w:t xml:space="preserve">Strategy for the coordination of efforts among the three Sectors of the Union </w:t>
      </w:r>
      <w:r>
        <w:rPr>
          <w:rFonts w:asciiTheme="minorHAnsi" w:hAnsiTheme="minorHAnsi" w:cs="Calibri"/>
          <w:b/>
          <w:color w:val="000000"/>
          <w:sz w:val="26"/>
          <w:szCs w:val="26"/>
          <w:lang w:val="en-US" w:eastAsia="zh-CN"/>
        </w:rPr>
        <w:br/>
      </w:r>
      <w:r w:rsidRPr="00D90E71">
        <w:rPr>
          <w:rFonts w:asciiTheme="minorHAnsi" w:hAnsiTheme="minorHAnsi" w:cs="Calibri"/>
          <w:b/>
          <w:i/>
          <w:iCs/>
          <w:color w:val="000000"/>
          <w:sz w:val="26"/>
          <w:szCs w:val="26"/>
          <w:lang w:val="en-US" w:eastAsia="zh-CN"/>
        </w:rPr>
        <w:t>(Res. 191) (ADM agenda item 17)</w:t>
      </w:r>
    </w:p>
    <w:p w:rsidR="00E00CA5" w:rsidRPr="00D90E71" w:rsidRDefault="00E00CA5" w:rsidP="00E00CA5">
      <w:pPr>
        <w:pStyle w:val="Tabletext"/>
        <w:keepNext/>
        <w:keepLines/>
        <w:snapToGrid w:val="0"/>
        <w:spacing w:before="120" w:after="120"/>
        <w:rPr>
          <w:rFonts w:asciiTheme="minorHAnsi" w:hAnsiTheme="minorHAnsi"/>
          <w:sz w:val="24"/>
          <w:szCs w:val="24"/>
        </w:rPr>
      </w:pPr>
      <w:r w:rsidRPr="00D90E71">
        <w:rPr>
          <w:rFonts w:asciiTheme="minorHAnsi" w:hAnsiTheme="minorHAnsi"/>
          <w:sz w:val="24"/>
          <w:szCs w:val="24"/>
        </w:rPr>
        <w:t>RAG considered Doc. RAG17/5 from the Chairman of ITU-R Study Group 1, on the interaction between ITU-R SG 1 and ITU-D SG 1 on the WTDC Resolution 9 (Rev. Dubai, 2014) activities between 2014 and 2017. RAG recognized that, despite the many exchanges between the two sectors as shown in Doc. INFO/3, the comments made by ITU-R were not fully taken into consideration and properly reflected in the drafting of the final report for Resolution 9. RAG stressed the need to ensure that the main thrust of Resolution 9, which is still valid, is carried out without duplicating efforts in the two Sectors, while making certain that the work carried out by ITU-D is consistent with that of ITU-R.</w:t>
      </w:r>
    </w:p>
    <w:p w:rsidR="00E00CA5" w:rsidRPr="00D90E71" w:rsidRDefault="00E00CA5" w:rsidP="00E00CA5">
      <w:pPr>
        <w:pStyle w:val="Tabletext"/>
        <w:snapToGrid w:val="0"/>
        <w:spacing w:before="120" w:after="120"/>
        <w:rPr>
          <w:rFonts w:asciiTheme="minorHAnsi" w:hAnsiTheme="minorHAnsi"/>
          <w:sz w:val="24"/>
          <w:szCs w:val="24"/>
        </w:rPr>
      </w:pPr>
      <w:r w:rsidRPr="00D90E71">
        <w:rPr>
          <w:rFonts w:asciiTheme="minorHAnsi" w:hAnsiTheme="minorHAnsi"/>
          <w:sz w:val="24"/>
          <w:szCs w:val="24"/>
        </w:rPr>
        <w:t>RAG also considered Doc. RAG17/15 from France, which proposes a Liaison Statement to be sent to the TDAG to convey the above-mentioned concerns. RAG decided to send a Liaison Statement to the TDAG to reflect those concerns and suggest possible improvements on cooperation and coordination between ITU-R and ITU-D on WTDC Resolution 9. The Liaison Statement also contains the RAG view that the concerns of ITU-R on the Res.9 Report need to be taken into account before it is published and considered by WTDC-17.</w:t>
      </w:r>
    </w:p>
    <w:p w:rsidR="00E00CA5" w:rsidRPr="00D90E71" w:rsidRDefault="00E00CA5" w:rsidP="00E00CA5">
      <w:pPr>
        <w:pStyle w:val="Tabletext"/>
        <w:snapToGrid w:val="0"/>
        <w:spacing w:before="120" w:after="120"/>
        <w:rPr>
          <w:rFonts w:asciiTheme="minorHAnsi" w:hAnsiTheme="minorHAnsi"/>
          <w:sz w:val="24"/>
          <w:szCs w:val="24"/>
        </w:rPr>
      </w:pPr>
      <w:r w:rsidRPr="00D90E71">
        <w:rPr>
          <w:rFonts w:asciiTheme="minorHAnsi" w:hAnsiTheme="minorHAnsi"/>
          <w:sz w:val="24"/>
          <w:szCs w:val="24"/>
        </w:rPr>
        <w:t>RAG considered Doc. RAG17/8 from the Russian Federation, proposing the establishment of a joint ITU Coordination Committee for Vocabulary. RAG supported the proposal, and noted that it had been sent to Council for its consideration.</w:t>
      </w:r>
    </w:p>
    <w:p w:rsidR="00E00CA5" w:rsidRPr="00E00CA5" w:rsidRDefault="00E00CA5" w:rsidP="00E00CA5">
      <w:pPr>
        <w:spacing w:before="840"/>
        <w:jc w:val="center"/>
      </w:pPr>
      <w:r>
        <w:rPr>
          <w:lang w:val="en-US"/>
        </w:rPr>
        <w:t>____________________</w:t>
      </w:r>
    </w:p>
    <w:sectPr w:rsidR="00E00CA5" w:rsidRPr="00E00CA5" w:rsidSect="002B5980">
      <w:headerReference w:type="default" r:id="rId13"/>
      <w:footerReference w:type="first" r:id="rId14"/>
      <w:pgSz w:w="11907" w:h="16834" w:code="9"/>
      <w:pgMar w:top="1021" w:right="1134" w:bottom="1134" w:left="1134" w:header="624" w:footer="720" w:gutter="0"/>
      <w:paperSrc w:first="7" w:other="7"/>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7167" w:rsidRDefault="00EB7167">
      <w:r>
        <w:separator/>
      </w:r>
    </w:p>
  </w:endnote>
  <w:endnote w:type="continuationSeparator" w:id="0">
    <w:p w:rsidR="00EB7167" w:rsidRDefault="00EB71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144D" w:rsidRPr="007C3A41" w:rsidRDefault="00D7144D" w:rsidP="007C3A41">
    <w:pPr>
      <w:spacing w:before="0"/>
      <w:rPr>
        <w:rFonts w:asciiTheme="minorHAnsi" w:hAnsiTheme="minorHAnsi"/>
        <w:sz w:val="20"/>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7167" w:rsidRDefault="00EB7167">
      <w:r>
        <w:t>____________________</w:t>
      </w:r>
    </w:p>
    <w:p w:rsidR="00EB7167" w:rsidRDefault="00EB7167"/>
  </w:footnote>
  <w:footnote w:type="continuationSeparator" w:id="0">
    <w:p w:rsidR="00EB7167" w:rsidRDefault="00EB71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144D" w:rsidRPr="00C672BF" w:rsidRDefault="00D7144D">
    <w:pPr>
      <w:pStyle w:val="Header"/>
      <w:rPr>
        <w:rFonts w:asciiTheme="minorHAnsi" w:hAnsiTheme="minorHAnsi"/>
      </w:rPr>
    </w:pPr>
    <w:r w:rsidRPr="00C672BF">
      <w:rPr>
        <w:rFonts w:asciiTheme="minorHAnsi" w:hAnsiTheme="minorHAnsi"/>
      </w:rPr>
      <w:t xml:space="preserve">- </w:t>
    </w:r>
    <w:r w:rsidRPr="00C672BF">
      <w:rPr>
        <w:rFonts w:asciiTheme="minorHAnsi" w:hAnsiTheme="minorHAnsi"/>
      </w:rPr>
      <w:fldChar w:fldCharType="begin"/>
    </w:r>
    <w:r w:rsidRPr="00C672BF">
      <w:rPr>
        <w:rFonts w:asciiTheme="minorHAnsi" w:hAnsiTheme="minorHAnsi"/>
      </w:rPr>
      <w:instrText>PAGE</w:instrText>
    </w:r>
    <w:r w:rsidRPr="00C672BF">
      <w:rPr>
        <w:rFonts w:asciiTheme="minorHAnsi" w:hAnsiTheme="minorHAnsi"/>
      </w:rPr>
      <w:fldChar w:fldCharType="separate"/>
    </w:r>
    <w:r w:rsidR="0029696E">
      <w:rPr>
        <w:rFonts w:asciiTheme="minorHAnsi" w:hAnsiTheme="minorHAnsi"/>
        <w:noProof/>
      </w:rPr>
      <w:t>5</w:t>
    </w:r>
    <w:r w:rsidRPr="00C672BF">
      <w:rPr>
        <w:rFonts w:asciiTheme="minorHAnsi" w:hAnsiTheme="minorHAnsi"/>
      </w:rPr>
      <w:fldChar w:fldCharType="end"/>
    </w:r>
    <w:r w:rsidRPr="00C672BF">
      <w:rPr>
        <w:rFonts w:asciiTheme="minorHAnsi" w:hAnsiTheme="minorHAnsi"/>
      </w:rPr>
      <w:t xml:space="preserve"> -</w:t>
    </w:r>
  </w:p>
  <w:p w:rsidR="00D7144D" w:rsidRDefault="00D7144D" w:rsidP="00C374D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05906"/>
    <w:multiLevelType w:val="multilevel"/>
    <w:tmpl w:val="65AC0EB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2B521B20"/>
    <w:multiLevelType w:val="hybridMultilevel"/>
    <w:tmpl w:val="09A43D3C"/>
    <w:lvl w:ilvl="0" w:tplc="39689C2E">
      <w:numFmt w:val="bullet"/>
      <w:lvlText w:val="-"/>
      <w:lvlJc w:val="left"/>
      <w:pPr>
        <w:ind w:left="645" w:hanging="360"/>
      </w:pPr>
      <w:rPr>
        <w:rFonts w:ascii="Calibri" w:eastAsia="Times New Roman" w:hAnsi="Calibri" w:cs="Times New Roman" w:hint="default"/>
      </w:rPr>
    </w:lvl>
    <w:lvl w:ilvl="1" w:tplc="04090003" w:tentative="1">
      <w:start w:val="1"/>
      <w:numFmt w:val="bullet"/>
      <w:lvlText w:val="o"/>
      <w:lvlJc w:val="left"/>
      <w:pPr>
        <w:ind w:left="1365" w:hanging="360"/>
      </w:pPr>
      <w:rPr>
        <w:rFonts w:ascii="Courier New" w:hAnsi="Courier New" w:cs="Courier New" w:hint="default"/>
      </w:rPr>
    </w:lvl>
    <w:lvl w:ilvl="2" w:tplc="04090005" w:tentative="1">
      <w:start w:val="1"/>
      <w:numFmt w:val="bullet"/>
      <w:lvlText w:val=""/>
      <w:lvlJc w:val="left"/>
      <w:pPr>
        <w:ind w:left="2085" w:hanging="360"/>
      </w:pPr>
      <w:rPr>
        <w:rFonts w:ascii="Wingdings" w:hAnsi="Wingdings" w:hint="default"/>
      </w:rPr>
    </w:lvl>
    <w:lvl w:ilvl="3" w:tplc="04090001" w:tentative="1">
      <w:start w:val="1"/>
      <w:numFmt w:val="bullet"/>
      <w:lvlText w:val=""/>
      <w:lvlJc w:val="left"/>
      <w:pPr>
        <w:ind w:left="2805" w:hanging="360"/>
      </w:pPr>
      <w:rPr>
        <w:rFonts w:ascii="Symbol" w:hAnsi="Symbol" w:hint="default"/>
      </w:rPr>
    </w:lvl>
    <w:lvl w:ilvl="4" w:tplc="04090003" w:tentative="1">
      <w:start w:val="1"/>
      <w:numFmt w:val="bullet"/>
      <w:lvlText w:val="o"/>
      <w:lvlJc w:val="left"/>
      <w:pPr>
        <w:ind w:left="3525" w:hanging="360"/>
      </w:pPr>
      <w:rPr>
        <w:rFonts w:ascii="Courier New" w:hAnsi="Courier New" w:cs="Courier New" w:hint="default"/>
      </w:rPr>
    </w:lvl>
    <w:lvl w:ilvl="5" w:tplc="04090005" w:tentative="1">
      <w:start w:val="1"/>
      <w:numFmt w:val="bullet"/>
      <w:lvlText w:val=""/>
      <w:lvlJc w:val="left"/>
      <w:pPr>
        <w:ind w:left="4245" w:hanging="360"/>
      </w:pPr>
      <w:rPr>
        <w:rFonts w:ascii="Wingdings" w:hAnsi="Wingdings" w:hint="default"/>
      </w:rPr>
    </w:lvl>
    <w:lvl w:ilvl="6" w:tplc="04090001" w:tentative="1">
      <w:start w:val="1"/>
      <w:numFmt w:val="bullet"/>
      <w:lvlText w:val=""/>
      <w:lvlJc w:val="left"/>
      <w:pPr>
        <w:ind w:left="4965" w:hanging="360"/>
      </w:pPr>
      <w:rPr>
        <w:rFonts w:ascii="Symbol" w:hAnsi="Symbol" w:hint="default"/>
      </w:rPr>
    </w:lvl>
    <w:lvl w:ilvl="7" w:tplc="04090003" w:tentative="1">
      <w:start w:val="1"/>
      <w:numFmt w:val="bullet"/>
      <w:lvlText w:val="o"/>
      <w:lvlJc w:val="left"/>
      <w:pPr>
        <w:ind w:left="5685" w:hanging="360"/>
      </w:pPr>
      <w:rPr>
        <w:rFonts w:ascii="Courier New" w:hAnsi="Courier New" w:cs="Courier New" w:hint="default"/>
      </w:rPr>
    </w:lvl>
    <w:lvl w:ilvl="8" w:tplc="04090005" w:tentative="1">
      <w:start w:val="1"/>
      <w:numFmt w:val="bullet"/>
      <w:lvlText w:val=""/>
      <w:lvlJc w:val="left"/>
      <w:pPr>
        <w:ind w:left="6405" w:hanging="360"/>
      </w:pPr>
      <w:rPr>
        <w:rFonts w:ascii="Wingdings" w:hAnsi="Wingdings" w:hint="default"/>
      </w:rPr>
    </w:lvl>
  </w:abstractNum>
  <w:abstractNum w:abstractNumId="2" w15:restartNumberingAfterBreak="0">
    <w:nsid w:val="2CCD667F"/>
    <w:multiLevelType w:val="hybridMultilevel"/>
    <w:tmpl w:val="D1A66DC6"/>
    <w:lvl w:ilvl="0" w:tplc="2CB0B554">
      <w:start w:val="1"/>
      <w:numFmt w:val="lowerLetter"/>
      <w:lvlText w:val="%1)"/>
      <w:lvlJc w:val="left"/>
      <w:pPr>
        <w:ind w:left="1215" w:hanging="360"/>
      </w:pPr>
      <w:rPr>
        <w:rFonts w:hint="default"/>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3" w15:restartNumberingAfterBreak="0">
    <w:nsid w:val="3D4B3569"/>
    <w:multiLevelType w:val="hybridMultilevel"/>
    <w:tmpl w:val="1E7CFA9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6CC62718"/>
    <w:multiLevelType w:val="multilevel"/>
    <w:tmpl w:val="07186D8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6F88162C"/>
    <w:multiLevelType w:val="hybridMultilevel"/>
    <w:tmpl w:val="72EC2754"/>
    <w:lvl w:ilvl="0" w:tplc="1EBA2BE8">
      <w:start w:val="1"/>
      <w:numFmt w:val="bullet"/>
      <w:lvlText w:val="-"/>
      <w:lvlJc w:val="left"/>
      <w:pPr>
        <w:ind w:left="720" w:hanging="360"/>
      </w:pPr>
      <w:rPr>
        <w:rFonts w:ascii="Calibri" w:eastAsiaTheme="minorHAnsi" w:hAnsi="Calibri" w:cstheme="minorHAns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1"/>
  </w:num>
  <w:num w:numId="5">
    <w:abstractNumId w:val="2"/>
  </w:num>
  <w:num w:numId="6">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006"/>
    <w:rsid w:val="00006803"/>
    <w:rsid w:val="00017D5F"/>
    <w:rsid w:val="00022BBD"/>
    <w:rsid w:val="00023E69"/>
    <w:rsid w:val="00025E8E"/>
    <w:rsid w:val="00027EFA"/>
    <w:rsid w:val="0003367B"/>
    <w:rsid w:val="00033C1E"/>
    <w:rsid w:val="000363F6"/>
    <w:rsid w:val="000406CF"/>
    <w:rsid w:val="000406DA"/>
    <w:rsid w:val="00044742"/>
    <w:rsid w:val="00051E9A"/>
    <w:rsid w:val="0005330D"/>
    <w:rsid w:val="0005586D"/>
    <w:rsid w:val="0006006C"/>
    <w:rsid w:val="00060490"/>
    <w:rsid w:val="00060642"/>
    <w:rsid w:val="000625EC"/>
    <w:rsid w:val="00080890"/>
    <w:rsid w:val="00082487"/>
    <w:rsid w:val="00083AB0"/>
    <w:rsid w:val="00085CF2"/>
    <w:rsid w:val="00087BB2"/>
    <w:rsid w:val="00090DB1"/>
    <w:rsid w:val="00091304"/>
    <w:rsid w:val="000914EE"/>
    <w:rsid w:val="00096678"/>
    <w:rsid w:val="000A523E"/>
    <w:rsid w:val="000A6C3C"/>
    <w:rsid w:val="000B1705"/>
    <w:rsid w:val="000B1804"/>
    <w:rsid w:val="000C0550"/>
    <w:rsid w:val="000D034D"/>
    <w:rsid w:val="000D1B19"/>
    <w:rsid w:val="000E53E0"/>
    <w:rsid w:val="001121F5"/>
    <w:rsid w:val="00112A2E"/>
    <w:rsid w:val="00115BC4"/>
    <w:rsid w:val="00126AF0"/>
    <w:rsid w:val="00126E5D"/>
    <w:rsid w:val="00132D99"/>
    <w:rsid w:val="00133A76"/>
    <w:rsid w:val="001411CE"/>
    <w:rsid w:val="00141B6D"/>
    <w:rsid w:val="00143A98"/>
    <w:rsid w:val="00143CC0"/>
    <w:rsid w:val="0014539F"/>
    <w:rsid w:val="0014759E"/>
    <w:rsid w:val="00155EF2"/>
    <w:rsid w:val="0015615B"/>
    <w:rsid w:val="00157923"/>
    <w:rsid w:val="00157E22"/>
    <w:rsid w:val="00164E99"/>
    <w:rsid w:val="00164F90"/>
    <w:rsid w:val="00167DF3"/>
    <w:rsid w:val="00171B5B"/>
    <w:rsid w:val="0017539C"/>
    <w:rsid w:val="0017609F"/>
    <w:rsid w:val="0019164E"/>
    <w:rsid w:val="00191F72"/>
    <w:rsid w:val="001947CC"/>
    <w:rsid w:val="00197BEB"/>
    <w:rsid w:val="001A258D"/>
    <w:rsid w:val="001A44BC"/>
    <w:rsid w:val="001A4F5D"/>
    <w:rsid w:val="001A5A86"/>
    <w:rsid w:val="001B1348"/>
    <w:rsid w:val="001B404B"/>
    <w:rsid w:val="001B731C"/>
    <w:rsid w:val="001C20D1"/>
    <w:rsid w:val="001C2533"/>
    <w:rsid w:val="001C628E"/>
    <w:rsid w:val="001D0282"/>
    <w:rsid w:val="001D311E"/>
    <w:rsid w:val="001E0873"/>
    <w:rsid w:val="001E0F7B"/>
    <w:rsid w:val="001E3D67"/>
    <w:rsid w:val="001E5A96"/>
    <w:rsid w:val="001E5BEE"/>
    <w:rsid w:val="001F212B"/>
    <w:rsid w:val="001F4859"/>
    <w:rsid w:val="001F565C"/>
    <w:rsid w:val="001F59DB"/>
    <w:rsid w:val="002009E4"/>
    <w:rsid w:val="002034FE"/>
    <w:rsid w:val="00204837"/>
    <w:rsid w:val="0020628E"/>
    <w:rsid w:val="00207B40"/>
    <w:rsid w:val="00211C39"/>
    <w:rsid w:val="00213E72"/>
    <w:rsid w:val="00216668"/>
    <w:rsid w:val="002173AC"/>
    <w:rsid w:val="002178B8"/>
    <w:rsid w:val="00223D03"/>
    <w:rsid w:val="00224812"/>
    <w:rsid w:val="00224F52"/>
    <w:rsid w:val="00230211"/>
    <w:rsid w:val="002323A7"/>
    <w:rsid w:val="0023345C"/>
    <w:rsid w:val="00233546"/>
    <w:rsid w:val="002372ED"/>
    <w:rsid w:val="00241C31"/>
    <w:rsid w:val="002461BA"/>
    <w:rsid w:val="002509C9"/>
    <w:rsid w:val="00252CDA"/>
    <w:rsid w:val="00262C55"/>
    <w:rsid w:val="00265875"/>
    <w:rsid w:val="002664D2"/>
    <w:rsid w:val="00266544"/>
    <w:rsid w:val="00266A38"/>
    <w:rsid w:val="00266E4B"/>
    <w:rsid w:val="0026797B"/>
    <w:rsid w:val="0027303B"/>
    <w:rsid w:val="00275642"/>
    <w:rsid w:val="0028109B"/>
    <w:rsid w:val="002866D2"/>
    <w:rsid w:val="00287A69"/>
    <w:rsid w:val="00290E00"/>
    <w:rsid w:val="00292600"/>
    <w:rsid w:val="0029642F"/>
    <w:rsid w:val="00296819"/>
    <w:rsid w:val="0029696E"/>
    <w:rsid w:val="002975E0"/>
    <w:rsid w:val="002A04DD"/>
    <w:rsid w:val="002A170F"/>
    <w:rsid w:val="002A1F81"/>
    <w:rsid w:val="002A3A0A"/>
    <w:rsid w:val="002B09AE"/>
    <w:rsid w:val="002B42B9"/>
    <w:rsid w:val="002B5980"/>
    <w:rsid w:val="002C1C7A"/>
    <w:rsid w:val="002D3CA6"/>
    <w:rsid w:val="002D448E"/>
    <w:rsid w:val="002D47F7"/>
    <w:rsid w:val="002D7FCC"/>
    <w:rsid w:val="002E0872"/>
    <w:rsid w:val="002E5A5D"/>
    <w:rsid w:val="002E5AC3"/>
    <w:rsid w:val="002F17BD"/>
    <w:rsid w:val="00302EB0"/>
    <w:rsid w:val="003104AE"/>
    <w:rsid w:val="00311C3B"/>
    <w:rsid w:val="00311DA1"/>
    <w:rsid w:val="0031367D"/>
    <w:rsid w:val="003137E7"/>
    <w:rsid w:val="00314813"/>
    <w:rsid w:val="00314D4F"/>
    <w:rsid w:val="0032203B"/>
    <w:rsid w:val="003221B7"/>
    <w:rsid w:val="003259C3"/>
    <w:rsid w:val="00325F02"/>
    <w:rsid w:val="0033378B"/>
    <w:rsid w:val="0033535B"/>
    <w:rsid w:val="0034515A"/>
    <w:rsid w:val="00346A46"/>
    <w:rsid w:val="00352973"/>
    <w:rsid w:val="0036205D"/>
    <w:rsid w:val="00362FE9"/>
    <w:rsid w:val="003642D8"/>
    <w:rsid w:val="00370861"/>
    <w:rsid w:val="00375038"/>
    <w:rsid w:val="00375CE5"/>
    <w:rsid w:val="00382DA7"/>
    <w:rsid w:val="0038348E"/>
    <w:rsid w:val="00384EED"/>
    <w:rsid w:val="00390C61"/>
    <w:rsid w:val="003942D4"/>
    <w:rsid w:val="003958A8"/>
    <w:rsid w:val="0039606B"/>
    <w:rsid w:val="003969A8"/>
    <w:rsid w:val="003A0D4B"/>
    <w:rsid w:val="003A4E18"/>
    <w:rsid w:val="003A6515"/>
    <w:rsid w:val="003A77D9"/>
    <w:rsid w:val="003A7BA2"/>
    <w:rsid w:val="003C1736"/>
    <w:rsid w:val="003C3D8D"/>
    <w:rsid w:val="003C5406"/>
    <w:rsid w:val="003D34FB"/>
    <w:rsid w:val="003D5EE4"/>
    <w:rsid w:val="003E103B"/>
    <w:rsid w:val="003E417E"/>
    <w:rsid w:val="003E6D41"/>
    <w:rsid w:val="003F59E8"/>
    <w:rsid w:val="003F5F61"/>
    <w:rsid w:val="004002BF"/>
    <w:rsid w:val="00415966"/>
    <w:rsid w:val="0041739B"/>
    <w:rsid w:val="00422F6E"/>
    <w:rsid w:val="00423CF3"/>
    <w:rsid w:val="0042461B"/>
    <w:rsid w:val="0042520B"/>
    <w:rsid w:val="00431EC5"/>
    <w:rsid w:val="00433CE8"/>
    <w:rsid w:val="00440A2A"/>
    <w:rsid w:val="00447830"/>
    <w:rsid w:val="004522A4"/>
    <w:rsid w:val="004524CB"/>
    <w:rsid w:val="004544D9"/>
    <w:rsid w:val="00454720"/>
    <w:rsid w:val="00454CE8"/>
    <w:rsid w:val="00462702"/>
    <w:rsid w:val="0046399B"/>
    <w:rsid w:val="00466356"/>
    <w:rsid w:val="00474091"/>
    <w:rsid w:val="00476CBB"/>
    <w:rsid w:val="00476EAD"/>
    <w:rsid w:val="004804F3"/>
    <w:rsid w:val="004824B2"/>
    <w:rsid w:val="004921C8"/>
    <w:rsid w:val="00494F0E"/>
    <w:rsid w:val="00497457"/>
    <w:rsid w:val="004A0168"/>
    <w:rsid w:val="004A2D22"/>
    <w:rsid w:val="004A7476"/>
    <w:rsid w:val="004B413A"/>
    <w:rsid w:val="004B591A"/>
    <w:rsid w:val="004B7CF2"/>
    <w:rsid w:val="004C1374"/>
    <w:rsid w:val="004C4CD5"/>
    <w:rsid w:val="004C581A"/>
    <w:rsid w:val="004C5F8D"/>
    <w:rsid w:val="004E1229"/>
    <w:rsid w:val="004E1AA9"/>
    <w:rsid w:val="004E1AEE"/>
    <w:rsid w:val="004E276F"/>
    <w:rsid w:val="004E2EA5"/>
    <w:rsid w:val="004E3A5D"/>
    <w:rsid w:val="004E7D16"/>
    <w:rsid w:val="004F3682"/>
    <w:rsid w:val="0050223C"/>
    <w:rsid w:val="005030F2"/>
    <w:rsid w:val="0051396C"/>
    <w:rsid w:val="005166BA"/>
    <w:rsid w:val="00516BE8"/>
    <w:rsid w:val="00525421"/>
    <w:rsid w:val="0052758B"/>
    <w:rsid w:val="00534E85"/>
    <w:rsid w:val="005352F1"/>
    <w:rsid w:val="00542420"/>
    <w:rsid w:val="005431C5"/>
    <w:rsid w:val="00546E2C"/>
    <w:rsid w:val="005476DB"/>
    <w:rsid w:val="005546E9"/>
    <w:rsid w:val="00555654"/>
    <w:rsid w:val="00557E06"/>
    <w:rsid w:val="0056199E"/>
    <w:rsid w:val="00563D37"/>
    <w:rsid w:val="00564FBC"/>
    <w:rsid w:val="005703B3"/>
    <w:rsid w:val="00571358"/>
    <w:rsid w:val="00572976"/>
    <w:rsid w:val="00573F30"/>
    <w:rsid w:val="0057486A"/>
    <w:rsid w:val="00577EE5"/>
    <w:rsid w:val="00582442"/>
    <w:rsid w:val="00594700"/>
    <w:rsid w:val="005A07F8"/>
    <w:rsid w:val="005A1CA3"/>
    <w:rsid w:val="005A473B"/>
    <w:rsid w:val="005A56BD"/>
    <w:rsid w:val="005A5763"/>
    <w:rsid w:val="005A6AA8"/>
    <w:rsid w:val="005B62CB"/>
    <w:rsid w:val="005C11F1"/>
    <w:rsid w:val="005C472C"/>
    <w:rsid w:val="005C68C8"/>
    <w:rsid w:val="005C7EFB"/>
    <w:rsid w:val="005D0F96"/>
    <w:rsid w:val="005D2735"/>
    <w:rsid w:val="005D7471"/>
    <w:rsid w:val="005E1D6F"/>
    <w:rsid w:val="005E1DBF"/>
    <w:rsid w:val="005E2754"/>
    <w:rsid w:val="005F0BF9"/>
    <w:rsid w:val="005F1DE7"/>
    <w:rsid w:val="005F6291"/>
    <w:rsid w:val="0060136D"/>
    <w:rsid w:val="0060217F"/>
    <w:rsid w:val="006025D3"/>
    <w:rsid w:val="006036D2"/>
    <w:rsid w:val="00605375"/>
    <w:rsid w:val="006061F6"/>
    <w:rsid w:val="0060738E"/>
    <w:rsid w:val="00607A8F"/>
    <w:rsid w:val="00611121"/>
    <w:rsid w:val="0061529A"/>
    <w:rsid w:val="006245BD"/>
    <w:rsid w:val="00625110"/>
    <w:rsid w:val="00631445"/>
    <w:rsid w:val="006353F4"/>
    <w:rsid w:val="00640350"/>
    <w:rsid w:val="00641642"/>
    <w:rsid w:val="00642818"/>
    <w:rsid w:val="00644588"/>
    <w:rsid w:val="006467EB"/>
    <w:rsid w:val="00651182"/>
    <w:rsid w:val="00654E72"/>
    <w:rsid w:val="006560E2"/>
    <w:rsid w:val="00662984"/>
    <w:rsid w:val="006664D0"/>
    <w:rsid w:val="00667666"/>
    <w:rsid w:val="00667AD7"/>
    <w:rsid w:val="00670161"/>
    <w:rsid w:val="006765A3"/>
    <w:rsid w:val="00676AC3"/>
    <w:rsid w:val="006808CF"/>
    <w:rsid w:val="00685352"/>
    <w:rsid w:val="00687324"/>
    <w:rsid w:val="00696C7C"/>
    <w:rsid w:val="006A0E9D"/>
    <w:rsid w:val="006A1507"/>
    <w:rsid w:val="006A5907"/>
    <w:rsid w:val="006B4A4B"/>
    <w:rsid w:val="006B6DCC"/>
    <w:rsid w:val="006C1FE5"/>
    <w:rsid w:val="006C4D1A"/>
    <w:rsid w:val="006C6ECC"/>
    <w:rsid w:val="006C7C0C"/>
    <w:rsid w:val="006D0D77"/>
    <w:rsid w:val="006D55D4"/>
    <w:rsid w:val="006E05BC"/>
    <w:rsid w:val="006E1542"/>
    <w:rsid w:val="006E32FA"/>
    <w:rsid w:val="006E6810"/>
    <w:rsid w:val="006F1998"/>
    <w:rsid w:val="006F51C9"/>
    <w:rsid w:val="007010ED"/>
    <w:rsid w:val="00703A3D"/>
    <w:rsid w:val="00706E25"/>
    <w:rsid w:val="00720059"/>
    <w:rsid w:val="00723E17"/>
    <w:rsid w:val="00730711"/>
    <w:rsid w:val="007316F5"/>
    <w:rsid w:val="00733006"/>
    <w:rsid w:val="00733E52"/>
    <w:rsid w:val="00733F5A"/>
    <w:rsid w:val="0073494A"/>
    <w:rsid w:val="0073528C"/>
    <w:rsid w:val="00735ECA"/>
    <w:rsid w:val="00736B61"/>
    <w:rsid w:val="0074173F"/>
    <w:rsid w:val="007422DD"/>
    <w:rsid w:val="00743B89"/>
    <w:rsid w:val="0075057F"/>
    <w:rsid w:val="0075359A"/>
    <w:rsid w:val="007579C3"/>
    <w:rsid w:val="00761159"/>
    <w:rsid w:val="00763AC3"/>
    <w:rsid w:val="0076793A"/>
    <w:rsid w:val="00776BD3"/>
    <w:rsid w:val="0077710D"/>
    <w:rsid w:val="0077759E"/>
    <w:rsid w:val="00782469"/>
    <w:rsid w:val="00782AF6"/>
    <w:rsid w:val="00794BEC"/>
    <w:rsid w:val="0079687E"/>
    <w:rsid w:val="007969E9"/>
    <w:rsid w:val="00796FA5"/>
    <w:rsid w:val="007972A9"/>
    <w:rsid w:val="007A05E1"/>
    <w:rsid w:val="007A3DA8"/>
    <w:rsid w:val="007B0746"/>
    <w:rsid w:val="007B48FF"/>
    <w:rsid w:val="007B6A8D"/>
    <w:rsid w:val="007C33FA"/>
    <w:rsid w:val="007C3A41"/>
    <w:rsid w:val="007C7D3F"/>
    <w:rsid w:val="007D1B5F"/>
    <w:rsid w:val="007D5356"/>
    <w:rsid w:val="007D58C8"/>
    <w:rsid w:val="007E1756"/>
    <w:rsid w:val="007E73DD"/>
    <w:rsid w:val="007F0840"/>
    <w:rsid w:val="007F2124"/>
    <w:rsid w:val="007F3F26"/>
    <w:rsid w:val="0080074C"/>
    <w:rsid w:val="00805138"/>
    <w:rsid w:val="00811C37"/>
    <w:rsid w:val="008121F1"/>
    <w:rsid w:val="00831957"/>
    <w:rsid w:val="00833550"/>
    <w:rsid w:val="00835301"/>
    <w:rsid w:val="0083581B"/>
    <w:rsid w:val="00840993"/>
    <w:rsid w:val="0084140B"/>
    <w:rsid w:val="00841698"/>
    <w:rsid w:val="0084318B"/>
    <w:rsid w:val="00843FFC"/>
    <w:rsid w:val="00844A08"/>
    <w:rsid w:val="0086214B"/>
    <w:rsid w:val="00862A59"/>
    <w:rsid w:val="00870B34"/>
    <w:rsid w:val="008802BD"/>
    <w:rsid w:val="00880C96"/>
    <w:rsid w:val="00880F43"/>
    <w:rsid w:val="00882198"/>
    <w:rsid w:val="00893913"/>
    <w:rsid w:val="00894A8D"/>
    <w:rsid w:val="0089781C"/>
    <w:rsid w:val="008A22C5"/>
    <w:rsid w:val="008A453D"/>
    <w:rsid w:val="008A5FDD"/>
    <w:rsid w:val="008A6FA7"/>
    <w:rsid w:val="008B1F57"/>
    <w:rsid w:val="008B1F62"/>
    <w:rsid w:val="008B2F6E"/>
    <w:rsid w:val="008C30F7"/>
    <w:rsid w:val="008C561E"/>
    <w:rsid w:val="008D2D0A"/>
    <w:rsid w:val="008D494D"/>
    <w:rsid w:val="008E5A16"/>
    <w:rsid w:val="008E6086"/>
    <w:rsid w:val="008E66A4"/>
    <w:rsid w:val="008F3EA7"/>
    <w:rsid w:val="00902374"/>
    <w:rsid w:val="0090483B"/>
    <w:rsid w:val="0090693C"/>
    <w:rsid w:val="009108A1"/>
    <w:rsid w:val="00911F7D"/>
    <w:rsid w:val="00912C48"/>
    <w:rsid w:val="00912E33"/>
    <w:rsid w:val="00916E39"/>
    <w:rsid w:val="009173EF"/>
    <w:rsid w:val="00917ABA"/>
    <w:rsid w:val="00925131"/>
    <w:rsid w:val="00930D14"/>
    <w:rsid w:val="00932906"/>
    <w:rsid w:val="0094130F"/>
    <w:rsid w:val="009419D1"/>
    <w:rsid w:val="00945D18"/>
    <w:rsid w:val="009539B3"/>
    <w:rsid w:val="00961B0B"/>
    <w:rsid w:val="00962938"/>
    <w:rsid w:val="00963226"/>
    <w:rsid w:val="009659F0"/>
    <w:rsid w:val="00966A1B"/>
    <w:rsid w:val="00977602"/>
    <w:rsid w:val="00981F5D"/>
    <w:rsid w:val="009821AE"/>
    <w:rsid w:val="00984458"/>
    <w:rsid w:val="00997952"/>
    <w:rsid w:val="009A069F"/>
    <w:rsid w:val="009A6F1D"/>
    <w:rsid w:val="009B048E"/>
    <w:rsid w:val="009B637E"/>
    <w:rsid w:val="009D1147"/>
    <w:rsid w:val="009D3B98"/>
    <w:rsid w:val="009D6EA5"/>
    <w:rsid w:val="009E17BD"/>
    <w:rsid w:val="009E3EED"/>
    <w:rsid w:val="009E6868"/>
    <w:rsid w:val="009E7651"/>
    <w:rsid w:val="009E7DE0"/>
    <w:rsid w:val="009F15C5"/>
    <w:rsid w:val="009F1D4D"/>
    <w:rsid w:val="009F4DF7"/>
    <w:rsid w:val="009F5BC3"/>
    <w:rsid w:val="00A02D2D"/>
    <w:rsid w:val="00A04CEC"/>
    <w:rsid w:val="00A066D8"/>
    <w:rsid w:val="00A12C68"/>
    <w:rsid w:val="00A20884"/>
    <w:rsid w:val="00A27F92"/>
    <w:rsid w:val="00A305AA"/>
    <w:rsid w:val="00A32654"/>
    <w:rsid w:val="00A33971"/>
    <w:rsid w:val="00A35E16"/>
    <w:rsid w:val="00A44101"/>
    <w:rsid w:val="00A5383B"/>
    <w:rsid w:val="00A55622"/>
    <w:rsid w:val="00A556C2"/>
    <w:rsid w:val="00A602CD"/>
    <w:rsid w:val="00A63031"/>
    <w:rsid w:val="00A71E8E"/>
    <w:rsid w:val="00A76752"/>
    <w:rsid w:val="00A77EA6"/>
    <w:rsid w:val="00A806F2"/>
    <w:rsid w:val="00A8261D"/>
    <w:rsid w:val="00A82D0D"/>
    <w:rsid w:val="00A87B50"/>
    <w:rsid w:val="00A91DE4"/>
    <w:rsid w:val="00A94AD4"/>
    <w:rsid w:val="00AA5496"/>
    <w:rsid w:val="00AB0340"/>
    <w:rsid w:val="00AB42F6"/>
    <w:rsid w:val="00AC1E55"/>
    <w:rsid w:val="00AC2591"/>
    <w:rsid w:val="00AC6F74"/>
    <w:rsid w:val="00AC769F"/>
    <w:rsid w:val="00AD0AE5"/>
    <w:rsid w:val="00AD3E23"/>
    <w:rsid w:val="00AD5D3C"/>
    <w:rsid w:val="00AD7201"/>
    <w:rsid w:val="00AD7909"/>
    <w:rsid w:val="00AE26D6"/>
    <w:rsid w:val="00AF2963"/>
    <w:rsid w:val="00B024D2"/>
    <w:rsid w:val="00B13315"/>
    <w:rsid w:val="00B2270F"/>
    <w:rsid w:val="00B23E7E"/>
    <w:rsid w:val="00B25B11"/>
    <w:rsid w:val="00B25B41"/>
    <w:rsid w:val="00B27123"/>
    <w:rsid w:val="00B332FB"/>
    <w:rsid w:val="00B371AF"/>
    <w:rsid w:val="00B40A81"/>
    <w:rsid w:val="00B41974"/>
    <w:rsid w:val="00B44910"/>
    <w:rsid w:val="00B54B8F"/>
    <w:rsid w:val="00B576FA"/>
    <w:rsid w:val="00B7000E"/>
    <w:rsid w:val="00B72267"/>
    <w:rsid w:val="00B750EB"/>
    <w:rsid w:val="00B76EB6"/>
    <w:rsid w:val="00B77B71"/>
    <w:rsid w:val="00B824C8"/>
    <w:rsid w:val="00B82A28"/>
    <w:rsid w:val="00B8318C"/>
    <w:rsid w:val="00B84652"/>
    <w:rsid w:val="00B8578D"/>
    <w:rsid w:val="00B8714F"/>
    <w:rsid w:val="00B902F2"/>
    <w:rsid w:val="00BA1CA1"/>
    <w:rsid w:val="00BA1CAA"/>
    <w:rsid w:val="00BA3A82"/>
    <w:rsid w:val="00BA4604"/>
    <w:rsid w:val="00BA7087"/>
    <w:rsid w:val="00BB0863"/>
    <w:rsid w:val="00BB0E88"/>
    <w:rsid w:val="00BB137B"/>
    <w:rsid w:val="00BB2F3F"/>
    <w:rsid w:val="00BC2C12"/>
    <w:rsid w:val="00BC5A8A"/>
    <w:rsid w:val="00BD032B"/>
    <w:rsid w:val="00BE012E"/>
    <w:rsid w:val="00BE02D1"/>
    <w:rsid w:val="00BE1922"/>
    <w:rsid w:val="00BE2640"/>
    <w:rsid w:val="00BE355F"/>
    <w:rsid w:val="00BF1FFF"/>
    <w:rsid w:val="00BF27CF"/>
    <w:rsid w:val="00BF2BF9"/>
    <w:rsid w:val="00BF370B"/>
    <w:rsid w:val="00C01189"/>
    <w:rsid w:val="00C03AD5"/>
    <w:rsid w:val="00C104DD"/>
    <w:rsid w:val="00C108D2"/>
    <w:rsid w:val="00C17270"/>
    <w:rsid w:val="00C17609"/>
    <w:rsid w:val="00C17AF8"/>
    <w:rsid w:val="00C301A8"/>
    <w:rsid w:val="00C33313"/>
    <w:rsid w:val="00C36D0F"/>
    <w:rsid w:val="00C374DE"/>
    <w:rsid w:val="00C4152B"/>
    <w:rsid w:val="00C44DA7"/>
    <w:rsid w:val="00C50344"/>
    <w:rsid w:val="00C512A0"/>
    <w:rsid w:val="00C51F07"/>
    <w:rsid w:val="00C53A28"/>
    <w:rsid w:val="00C667DB"/>
    <w:rsid w:val="00C66E21"/>
    <w:rsid w:val="00C672BF"/>
    <w:rsid w:val="00C7397E"/>
    <w:rsid w:val="00C73A8D"/>
    <w:rsid w:val="00C83C71"/>
    <w:rsid w:val="00C90506"/>
    <w:rsid w:val="00C94145"/>
    <w:rsid w:val="00C9560A"/>
    <w:rsid w:val="00CA1BFF"/>
    <w:rsid w:val="00CA2A00"/>
    <w:rsid w:val="00CA4EB5"/>
    <w:rsid w:val="00CA6393"/>
    <w:rsid w:val="00CB1BB5"/>
    <w:rsid w:val="00CB45D7"/>
    <w:rsid w:val="00CB5846"/>
    <w:rsid w:val="00CB688A"/>
    <w:rsid w:val="00CC02B8"/>
    <w:rsid w:val="00CC2057"/>
    <w:rsid w:val="00CD0C08"/>
    <w:rsid w:val="00CD5BBD"/>
    <w:rsid w:val="00CD66E3"/>
    <w:rsid w:val="00CE222A"/>
    <w:rsid w:val="00CE554A"/>
    <w:rsid w:val="00CF203C"/>
    <w:rsid w:val="00CF33F3"/>
    <w:rsid w:val="00CF3EC3"/>
    <w:rsid w:val="00CF6AD5"/>
    <w:rsid w:val="00D01238"/>
    <w:rsid w:val="00D01634"/>
    <w:rsid w:val="00D04FD6"/>
    <w:rsid w:val="00D05510"/>
    <w:rsid w:val="00D06183"/>
    <w:rsid w:val="00D10EA5"/>
    <w:rsid w:val="00D12D29"/>
    <w:rsid w:val="00D145D9"/>
    <w:rsid w:val="00D15841"/>
    <w:rsid w:val="00D175B3"/>
    <w:rsid w:val="00D208E0"/>
    <w:rsid w:val="00D2236C"/>
    <w:rsid w:val="00D22C42"/>
    <w:rsid w:val="00D2455D"/>
    <w:rsid w:val="00D25DBB"/>
    <w:rsid w:val="00D27B70"/>
    <w:rsid w:val="00D309CF"/>
    <w:rsid w:val="00D30A39"/>
    <w:rsid w:val="00D336EE"/>
    <w:rsid w:val="00D337D8"/>
    <w:rsid w:val="00D33BC1"/>
    <w:rsid w:val="00D43B52"/>
    <w:rsid w:val="00D442AF"/>
    <w:rsid w:val="00D4769E"/>
    <w:rsid w:val="00D534B0"/>
    <w:rsid w:val="00D57E69"/>
    <w:rsid w:val="00D617BD"/>
    <w:rsid w:val="00D7144D"/>
    <w:rsid w:val="00D7225A"/>
    <w:rsid w:val="00D7501A"/>
    <w:rsid w:val="00D76A33"/>
    <w:rsid w:val="00D86145"/>
    <w:rsid w:val="00D9217C"/>
    <w:rsid w:val="00DA1A79"/>
    <w:rsid w:val="00DA313D"/>
    <w:rsid w:val="00DA3E70"/>
    <w:rsid w:val="00DA5B1F"/>
    <w:rsid w:val="00DB088B"/>
    <w:rsid w:val="00DB6388"/>
    <w:rsid w:val="00DC0E33"/>
    <w:rsid w:val="00DC429C"/>
    <w:rsid w:val="00DC4A08"/>
    <w:rsid w:val="00DC7F3A"/>
    <w:rsid w:val="00DD06C6"/>
    <w:rsid w:val="00DE06EB"/>
    <w:rsid w:val="00DE0C72"/>
    <w:rsid w:val="00DE52DC"/>
    <w:rsid w:val="00DF608C"/>
    <w:rsid w:val="00E00CA5"/>
    <w:rsid w:val="00E07153"/>
    <w:rsid w:val="00E07718"/>
    <w:rsid w:val="00E10E80"/>
    <w:rsid w:val="00E124F0"/>
    <w:rsid w:val="00E137BC"/>
    <w:rsid w:val="00E17990"/>
    <w:rsid w:val="00E17CE7"/>
    <w:rsid w:val="00E237EC"/>
    <w:rsid w:val="00E2526B"/>
    <w:rsid w:val="00E342CF"/>
    <w:rsid w:val="00E3640B"/>
    <w:rsid w:val="00E40B6E"/>
    <w:rsid w:val="00E4141B"/>
    <w:rsid w:val="00E4442D"/>
    <w:rsid w:val="00E544AC"/>
    <w:rsid w:val="00E55559"/>
    <w:rsid w:val="00E77551"/>
    <w:rsid w:val="00E828D5"/>
    <w:rsid w:val="00E8417D"/>
    <w:rsid w:val="00E849B4"/>
    <w:rsid w:val="00E85DA7"/>
    <w:rsid w:val="00E90283"/>
    <w:rsid w:val="00E917D3"/>
    <w:rsid w:val="00EA5FA5"/>
    <w:rsid w:val="00EB2232"/>
    <w:rsid w:val="00EB2ED4"/>
    <w:rsid w:val="00EB43C8"/>
    <w:rsid w:val="00EB4849"/>
    <w:rsid w:val="00EB66CD"/>
    <w:rsid w:val="00EB7167"/>
    <w:rsid w:val="00EC3551"/>
    <w:rsid w:val="00ED029B"/>
    <w:rsid w:val="00ED063D"/>
    <w:rsid w:val="00ED1BE1"/>
    <w:rsid w:val="00ED308F"/>
    <w:rsid w:val="00ED50E7"/>
    <w:rsid w:val="00ED6491"/>
    <w:rsid w:val="00ED6E70"/>
    <w:rsid w:val="00EE00D4"/>
    <w:rsid w:val="00EE0185"/>
    <w:rsid w:val="00EE620A"/>
    <w:rsid w:val="00EF00BD"/>
    <w:rsid w:val="00EF7D55"/>
    <w:rsid w:val="00F01FC4"/>
    <w:rsid w:val="00F02CE5"/>
    <w:rsid w:val="00F03FB0"/>
    <w:rsid w:val="00F046BB"/>
    <w:rsid w:val="00F07765"/>
    <w:rsid w:val="00F1489D"/>
    <w:rsid w:val="00F15957"/>
    <w:rsid w:val="00F17005"/>
    <w:rsid w:val="00F1776B"/>
    <w:rsid w:val="00F2150A"/>
    <w:rsid w:val="00F23CA9"/>
    <w:rsid w:val="00F33243"/>
    <w:rsid w:val="00F3600D"/>
    <w:rsid w:val="00F43265"/>
    <w:rsid w:val="00F5168B"/>
    <w:rsid w:val="00F523CD"/>
    <w:rsid w:val="00F524E4"/>
    <w:rsid w:val="00F61E82"/>
    <w:rsid w:val="00F6550B"/>
    <w:rsid w:val="00F6647A"/>
    <w:rsid w:val="00F70C1F"/>
    <w:rsid w:val="00F71EF8"/>
    <w:rsid w:val="00F73F0D"/>
    <w:rsid w:val="00F77CB0"/>
    <w:rsid w:val="00F83017"/>
    <w:rsid w:val="00F83B99"/>
    <w:rsid w:val="00F84005"/>
    <w:rsid w:val="00F910A2"/>
    <w:rsid w:val="00F915D8"/>
    <w:rsid w:val="00F96900"/>
    <w:rsid w:val="00FB3CFA"/>
    <w:rsid w:val="00FB4929"/>
    <w:rsid w:val="00FB4F5B"/>
    <w:rsid w:val="00FC3229"/>
    <w:rsid w:val="00FC4153"/>
    <w:rsid w:val="00FC4B12"/>
    <w:rsid w:val="00FD0557"/>
    <w:rsid w:val="00FD0BB9"/>
    <w:rsid w:val="00FD0E17"/>
    <w:rsid w:val="00FD3677"/>
    <w:rsid w:val="00FE12EA"/>
    <w:rsid w:val="00FE2E6C"/>
    <w:rsid w:val="00FE38D0"/>
    <w:rsid w:val="00FE6AD0"/>
    <w:rsid w:val="00FE7501"/>
    <w:rsid w:val="00FE77D2"/>
    <w:rsid w:val="00FF071A"/>
    <w:rsid w:val="00FF117D"/>
    <w:rsid w:val="00FF3934"/>
    <w:rsid w:val="00FF6044"/>
    <w:rsid w:val="00FF6E6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60000E80-4B81-4F59-95EA-A4E56BB3D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56C2"/>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480"/>
      <w:ind w:left="794" w:hanging="794"/>
      <w:outlineLvl w:val="0"/>
    </w:pPr>
    <w:rPr>
      <w:b/>
      <w:sz w:val="28"/>
    </w:rPr>
  </w:style>
  <w:style w:type="paragraph" w:styleId="Heading2">
    <w:name w:val="heading 2"/>
    <w:basedOn w:val="Heading1"/>
    <w:next w:val="Normal"/>
    <w:qFormat/>
    <w:pPr>
      <w:spacing w:before="320"/>
      <w:outlineLvl w:val="1"/>
    </w:pPr>
    <w:rPr>
      <w:sz w:val="24"/>
    </w:rPr>
  </w:style>
  <w:style w:type="paragraph" w:styleId="Heading3">
    <w:name w:val="heading 3"/>
    <w:basedOn w:val="Heading1"/>
    <w:next w:val="Normal"/>
    <w:qFormat/>
    <w:pPr>
      <w:spacing w:before="200"/>
      <w:ind w:left="0" w:firstLine="0"/>
      <w:outlineLvl w:val="2"/>
    </w:pPr>
    <w:rPr>
      <w:rFonts w:ascii="Times New Roman Bold" w:hAnsi="Times New Roman Bold"/>
      <w:i/>
      <w:sz w:val="24"/>
    </w:rPr>
  </w:style>
  <w:style w:type="paragraph" w:styleId="Heading4">
    <w:name w:val="heading 4"/>
    <w:basedOn w:val="Heading3"/>
    <w:next w:val="Normal"/>
    <w:qFormat/>
    <w:pPr>
      <w:tabs>
        <w:tab w:val="clear" w:pos="794"/>
        <w:tab w:val="clear" w:pos="1191"/>
        <w:tab w:val="clear" w:pos="1588"/>
        <w:tab w:val="clear" w:pos="1985"/>
      </w:tabs>
      <w:outlineLvl w:val="3"/>
    </w:pPr>
    <w:rPr>
      <w:b w:val="0"/>
    </w:r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tyle>
  <w:style w:type="paragraph" w:styleId="TOC4">
    <w:name w:val="toc 4"/>
    <w:basedOn w:val="TOC3"/>
    <w:pPr>
      <w:spacing w:before="80"/>
    </w:pPr>
  </w:style>
  <w:style w:type="paragraph" w:styleId="TOC3">
    <w:name w:val="toc 3"/>
    <w:basedOn w:val="TOC2"/>
  </w:style>
  <w:style w:type="paragraph" w:styleId="TOC2">
    <w:name w:val="toc 2"/>
    <w:basedOn w:val="TOC1"/>
    <w:pPr>
      <w:spacing w:before="160"/>
    </w:pPr>
  </w:style>
  <w:style w:type="paragraph" w:styleId="TOC1">
    <w:name w:val="toc 1"/>
    <w:basedOn w:val="Normal"/>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tyle>
  <w:style w:type="paragraph" w:styleId="TOC6">
    <w:name w:val="toc 6"/>
    <w:basedOn w:val="TOC4"/>
  </w:style>
  <w:style w:type="paragraph" w:styleId="TOC5">
    <w:name w:val="toc 5"/>
    <w:basedOn w:val="TOC4"/>
  </w:style>
  <w:style w:type="paragraph" w:styleId="Index7">
    <w:name w:val="index 7"/>
    <w:basedOn w:val="Normal"/>
    <w:next w:val="Normal"/>
    <w:pPr>
      <w:ind w:left="1698"/>
    </w:pPr>
  </w:style>
  <w:style w:type="paragraph" w:styleId="Index6">
    <w:name w:val="index 6"/>
    <w:basedOn w:val="Normal"/>
    <w:next w:val="Normal"/>
    <w:pPr>
      <w:ind w:left="1415"/>
    </w:pPr>
  </w:style>
  <w:style w:type="paragraph" w:styleId="Index5">
    <w:name w:val="index 5"/>
    <w:basedOn w:val="Normal"/>
    <w:next w:val="Normal"/>
    <w:pPr>
      <w:ind w:left="1132"/>
    </w:pPr>
  </w:style>
  <w:style w:type="paragraph" w:styleId="Index4">
    <w:name w:val="index 4"/>
    <w:basedOn w:val="Normal"/>
    <w:next w:val="Normal"/>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tyle>
  <w:style w:type="paragraph" w:styleId="Footer">
    <w:name w:val="footer"/>
    <w:basedOn w:val="Normal"/>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pPr>
      <w:tabs>
        <w:tab w:val="clear" w:pos="794"/>
        <w:tab w:val="clear" w:pos="1191"/>
        <w:tab w:val="clear" w:pos="1588"/>
        <w:tab w:val="clear" w:pos="1985"/>
      </w:tabs>
      <w:spacing w:before="0"/>
      <w:jc w:val="center"/>
    </w:pPr>
    <w:rPr>
      <w:sz w:val="18"/>
      <w:lang w:val="fr-FR"/>
    </w:rPr>
  </w:style>
  <w:style w:type="character" w:styleId="FootnoteReference">
    <w:name w:val="footnote reference"/>
    <w:rPr>
      <w:position w:val="6"/>
      <w:sz w:val="18"/>
    </w:rPr>
  </w:style>
  <w:style w:type="paragraph" w:styleId="FootnoteText">
    <w:name w:val="footnote text"/>
    <w:basedOn w:val="Normal"/>
    <w:pPr>
      <w:keepLines/>
      <w:tabs>
        <w:tab w:val="left" w:pos="255"/>
      </w:tabs>
      <w:ind w:left="255" w:hanging="255"/>
    </w:pPr>
  </w:style>
  <w:style w:type="paragraph" w:styleId="NormalIndent">
    <w:name w:val="Normal Indent"/>
    <w:basedOn w:val="Normal"/>
    <w:pPr>
      <w:ind w:left="794"/>
    </w:pPr>
  </w:style>
  <w:style w:type="paragraph" w:customStyle="1" w:styleId="enumlev1">
    <w:name w:val="enumlev1"/>
    <w:basedOn w:val="Normal"/>
    <w:pPr>
      <w:tabs>
        <w:tab w:val="left" w:pos="2608"/>
        <w:tab w:val="left" w:pos="3345"/>
      </w:tabs>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Normalaftertitle">
    <w:name w:val="Normal after title"/>
    <w:basedOn w:val="Normal"/>
    <w:next w:val="Normal"/>
    <w:pPr>
      <w:spacing w:before="320"/>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Head">
    <w:name w:val="Head"/>
    <w:basedOn w:val="Normal"/>
    <w:pPr>
      <w:tabs>
        <w:tab w:val="left" w:pos="6663"/>
      </w:tabs>
      <w:overflowPunct/>
      <w:autoSpaceDE/>
      <w:autoSpaceDN/>
      <w:adjustRightInd/>
      <w:spacing w:before="0"/>
      <w:textAlignment w:val="auto"/>
    </w:pPr>
  </w:style>
  <w:style w:type="paragraph" w:customStyle="1" w:styleId="toc0">
    <w:name w:val="toc 0"/>
    <w:basedOn w:val="Normal"/>
    <w:next w:val="TOC1"/>
    <w:pPr>
      <w:tabs>
        <w:tab w:val="clear" w:pos="1191"/>
        <w:tab w:val="clear" w:pos="1588"/>
        <w:tab w:val="clear" w:pos="1985"/>
        <w:tab w:val="center" w:pos="8789"/>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pPr>
      <w:spacing w:before="480"/>
      <w:jc w:val="center"/>
    </w:pPr>
    <w:rPr>
      <w:b/>
      <w:sz w:val="28"/>
    </w:rPr>
  </w:style>
  <w:style w:type="paragraph" w:customStyle="1" w:styleId="meeting">
    <w:name w:val="meeting"/>
    <w:basedOn w:val="Head"/>
    <w:next w:val="Head"/>
    <w:pPr>
      <w:tabs>
        <w:tab w:val="left" w:pos="7371"/>
      </w:tabs>
      <w:spacing w:after="567"/>
    </w:pPr>
  </w:style>
  <w:style w:type="paragraph" w:customStyle="1" w:styleId="Subject">
    <w:name w:val="Subject"/>
    <w:basedOn w:val="Normal"/>
    <w:next w:val="Source"/>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style>
  <w:style w:type="paragraph" w:customStyle="1" w:styleId="Data">
    <w:name w:val="Data"/>
    <w:basedOn w:val="Subject"/>
    <w:next w:val="Subject"/>
  </w:style>
  <w:style w:type="paragraph" w:customStyle="1" w:styleId="Reasons">
    <w:name w:val="Reasons"/>
    <w:basedOn w:val="Normal"/>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rPr>
      <w:color w:val="0000FF"/>
      <w:u w:val="single"/>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pPr>
      <w:tabs>
        <w:tab w:val="clear" w:pos="794"/>
        <w:tab w:val="clear" w:pos="1191"/>
        <w:tab w:val="clear" w:pos="1588"/>
        <w:tab w:val="clear" w:pos="1985"/>
      </w:tabs>
      <w:spacing w:before="80"/>
    </w:pPr>
  </w:style>
  <w:style w:type="paragraph" w:styleId="TOC9">
    <w:name w:val="toc 9"/>
    <w:basedOn w:val="TOC4"/>
  </w:style>
  <w:style w:type="paragraph" w:customStyle="1" w:styleId="Headingb">
    <w:name w:val="Heading_b"/>
    <w:basedOn w:val="Heading3"/>
    <w:next w:val="Normal"/>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rPr>
      <w:color w:val="800080"/>
      <w:u w:val="single"/>
    </w:r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pPr>
      <w:spacing w:before="240"/>
    </w:pPr>
    <w:rPr>
      <w:caps w:val="0"/>
    </w:rPr>
  </w:style>
  <w:style w:type="paragraph" w:customStyle="1" w:styleId="Title4">
    <w:name w:val="Title 4"/>
    <w:basedOn w:val="Title3"/>
    <w:next w:val="Heading1"/>
    <w:rPr>
      <w:b/>
    </w:rPr>
  </w:style>
  <w:style w:type="paragraph" w:customStyle="1" w:styleId="dnum">
    <w:name w:val="dnum"/>
    <w:basedOn w:val="Normal"/>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Table">
    <w:name w:val="Table_#"/>
    <w:basedOn w:val="Normal"/>
    <w:next w:val="Normal"/>
    <w:pPr>
      <w:keepNext/>
      <w:overflowPunct/>
      <w:autoSpaceDE/>
      <w:autoSpaceDN/>
      <w:adjustRightInd/>
      <w:spacing w:before="560" w:after="120"/>
      <w:jc w:val="center"/>
      <w:textAlignment w:val="auto"/>
    </w:pPr>
    <w:rPr>
      <w:caps/>
    </w:rPr>
  </w:style>
  <w:style w:type="paragraph" w:customStyle="1" w:styleId="AnnexNo">
    <w:name w:val="Annex_No"/>
    <w:basedOn w:val="Normal"/>
    <w:next w:val="Annextitle"/>
    <w:pPr>
      <w:keepNext/>
      <w:keepLines/>
      <w:spacing w:before="480" w:after="80"/>
      <w:jc w:val="center"/>
    </w:pPr>
    <w:rPr>
      <w:caps/>
      <w:sz w:val="28"/>
    </w:rPr>
  </w:style>
  <w:style w:type="paragraph" w:customStyle="1" w:styleId="Annextitle">
    <w:name w:val="Annex_title"/>
    <w:basedOn w:val="Normal"/>
    <w:next w:val="Annexref"/>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pPr>
      <w:keepNext/>
      <w:keepLines/>
      <w:spacing w:after="280"/>
      <w:jc w:val="center"/>
    </w:pPr>
  </w:style>
  <w:style w:type="paragraph" w:customStyle="1" w:styleId="AppendixNo">
    <w:name w:val="Appendix_No"/>
    <w:basedOn w:val="AnnexNo"/>
    <w:next w:val="Appendixtitle"/>
  </w:style>
  <w:style w:type="paragraph" w:customStyle="1" w:styleId="Appendixtitle">
    <w:name w:val="Appendix_title"/>
    <w:basedOn w:val="Annextitle"/>
    <w:next w:val="Appendixref"/>
  </w:style>
  <w:style w:type="paragraph" w:customStyle="1" w:styleId="Appendixref">
    <w:name w:val="Appendix_ref"/>
    <w:basedOn w:val="Annexref"/>
    <w:next w:val="Normalaftertitle"/>
  </w:style>
  <w:style w:type="paragraph" w:customStyle="1" w:styleId="Call">
    <w:name w:val="Call"/>
    <w:basedOn w:val="Normal"/>
    <w:next w:val="Normal"/>
    <w:pPr>
      <w:keepNext/>
      <w:keepLines/>
      <w:spacing w:before="160"/>
      <w:ind w:left="794"/>
    </w:pPr>
    <w:rPr>
      <w:i/>
    </w:rPr>
  </w:style>
  <w:style w:type="character" w:styleId="EndnoteReference">
    <w:name w:val="endnote reference"/>
    <w:rPr>
      <w:vertAlign w:val="superscript"/>
    </w:rPr>
  </w:style>
  <w:style w:type="paragraph" w:customStyle="1" w:styleId="Equationlegend">
    <w:name w:val="Equation_legend"/>
    <w:basedOn w:val="Normal"/>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pPr>
      <w:keepNext/>
      <w:keepLines/>
      <w:spacing w:after="120"/>
      <w:jc w:val="center"/>
    </w:pPr>
  </w:style>
  <w:style w:type="paragraph" w:customStyle="1" w:styleId="Figuretitle">
    <w:name w:val="Figure_title"/>
    <w:basedOn w:val="Tabletitle"/>
    <w:next w:val="Normalaftertitle"/>
    <w:pPr>
      <w:spacing w:before="240" w:after="480"/>
    </w:pPr>
  </w:style>
  <w:style w:type="paragraph" w:customStyle="1" w:styleId="Tabletitle">
    <w:name w:val="Table_title"/>
    <w:basedOn w:val="TableNo"/>
    <w:next w:val="Tabletext"/>
    <w:pPr>
      <w:spacing w:before="0"/>
    </w:pPr>
    <w:rPr>
      <w:rFonts w:ascii="Times New Roman Bold" w:hAnsi="Times New Roman Bold"/>
      <w:b/>
      <w:caps w:val="0"/>
    </w:rPr>
  </w:style>
  <w:style w:type="paragraph" w:customStyle="1" w:styleId="TableNo">
    <w:name w:val="Table_No"/>
    <w:basedOn w:val="Normal"/>
    <w:next w:val="Tabletitle"/>
    <w:pPr>
      <w:keepNext/>
      <w:spacing w:before="360" w:after="120"/>
      <w:jc w:val="center"/>
    </w:pPr>
    <w:rPr>
      <w:caps/>
    </w:rPr>
  </w:style>
  <w:style w:type="paragraph" w:customStyle="1" w:styleId="Tabletext">
    <w:name w:val="Table_text"/>
    <w:basedOn w:val="Normal"/>
    <w:link w:val="TabletextChar"/>
    <w:uiPriority w:val="9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pPr>
      <w:keepNext/>
      <w:keepLines/>
      <w:spacing w:before="240" w:after="120"/>
      <w:jc w:val="center"/>
    </w:pPr>
    <w:rPr>
      <w:caps/>
    </w:rPr>
  </w:style>
  <w:style w:type="paragraph" w:customStyle="1" w:styleId="Figurewithouttitle">
    <w:name w:val="Figure_without_title"/>
    <w:basedOn w:val="Figure"/>
    <w:next w:val="Normalaftertitle"/>
    <w:pPr>
      <w:keepNext w:val="0"/>
      <w:spacing w:after="240"/>
    </w:pPr>
  </w:style>
  <w:style w:type="paragraph" w:customStyle="1" w:styleId="Headingi">
    <w:name w:val="Heading_i"/>
    <w:basedOn w:val="Heading3"/>
    <w:next w:val="Normal"/>
    <w:pPr>
      <w:spacing w:before="160"/>
    </w:pPr>
    <w:rPr>
      <w:b w:val="0"/>
    </w:rPr>
  </w:style>
  <w:style w:type="character" w:styleId="PageNumber">
    <w:name w:val="page number"/>
    <w:basedOn w:val="DefaultParagraphFont"/>
  </w:style>
  <w:style w:type="paragraph" w:customStyle="1" w:styleId="PartNo">
    <w:name w:val="Part_No"/>
    <w:basedOn w:val="AnnexNo"/>
    <w:next w:val="Parttitle"/>
  </w:style>
  <w:style w:type="paragraph" w:customStyle="1" w:styleId="Parttitle">
    <w:name w:val="Part_title"/>
    <w:basedOn w:val="Annextitle"/>
    <w:next w:val="Partref"/>
  </w:style>
  <w:style w:type="paragraph" w:customStyle="1" w:styleId="Partref">
    <w:name w:val="Part_ref"/>
    <w:basedOn w:val="Annexref"/>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ref">
    <w:name w:val="Question_ref"/>
    <w:basedOn w:val="Recref"/>
    <w:next w:val="Questiondate"/>
  </w:style>
  <w:style w:type="paragraph" w:customStyle="1" w:styleId="Questiontitle">
    <w:name w:val="Question_title"/>
    <w:basedOn w:val="Rectitle"/>
    <w:next w:val="Questionref"/>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paragraph" w:customStyle="1" w:styleId="ResNo">
    <w:name w:val="Res_No"/>
    <w:basedOn w:val="RecNo"/>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SectionNo">
    <w:name w:val="Section_No"/>
    <w:basedOn w:val="AnnexNo"/>
    <w:next w:val="Sectiontitle"/>
  </w:style>
  <w:style w:type="paragraph" w:customStyle="1" w:styleId="Sectiontitle">
    <w:name w:val="Section_title"/>
    <w:basedOn w:val="Normal"/>
    <w:next w:val="Normalaftertitle"/>
    <w:rPr>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pPr>
      <w:keepNext/>
      <w:spacing w:before="80" w:after="80"/>
      <w:jc w:val="center"/>
    </w:pPr>
    <w:rPr>
      <w:b/>
    </w:rPr>
  </w:style>
  <w:style w:type="paragraph" w:customStyle="1" w:styleId="Tablelegend">
    <w:name w:val="Table_legend"/>
    <w:basedOn w:val="Tabletext"/>
    <w:pPr>
      <w:spacing w:before="120"/>
    </w:pPr>
  </w:style>
  <w:style w:type="paragraph" w:customStyle="1" w:styleId="Tableref">
    <w:name w:val="Table_ref"/>
    <w:basedOn w:val="Normal"/>
    <w:next w:val="Tabletitle"/>
    <w:pPr>
      <w:keepNext/>
      <w:spacing w:before="567"/>
      <w:jc w:val="center"/>
    </w:pPr>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Normal"/>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styleId="BodyText2">
    <w:name w:val="Body Text 2"/>
    <w:basedOn w:val="Normal"/>
    <w:rsid w:val="008802BD"/>
    <w:pPr>
      <w:widowControl w:val="0"/>
    </w:pPr>
    <w:rPr>
      <w:sz w:val="20"/>
    </w:rPr>
  </w:style>
  <w:style w:type="paragraph" w:customStyle="1" w:styleId="ASN1">
    <w:name w:val="ASN.1"/>
    <w:basedOn w:val="Normal"/>
    <w:rsid w:val="008802BD"/>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overflowPunct/>
      <w:autoSpaceDE/>
      <w:autoSpaceDN/>
      <w:adjustRightInd/>
      <w:spacing w:before="0"/>
      <w:textAlignment w:val="auto"/>
    </w:pPr>
    <w:rPr>
      <w:b/>
      <w:noProof/>
      <w:sz w:val="20"/>
    </w:rPr>
  </w:style>
  <w:style w:type="paragraph" w:customStyle="1" w:styleId="Normalaftertitle0">
    <w:name w:val="Normal_after_title"/>
    <w:basedOn w:val="Normal"/>
    <w:next w:val="Normal"/>
    <w:rsid w:val="008802BD"/>
    <w:pPr>
      <w:spacing w:before="360"/>
    </w:pPr>
  </w:style>
  <w:style w:type="paragraph" w:customStyle="1" w:styleId="Formal">
    <w:name w:val="Formal"/>
    <w:basedOn w:val="ASN1"/>
    <w:rsid w:val="008802BD"/>
    <w:pPr>
      <w:tabs>
        <w:tab w:val="left" w:pos="794"/>
        <w:tab w:val="left" w:pos="1191"/>
        <w:tab w:val="left" w:pos="1588"/>
        <w:tab w:val="left" w:pos="1985"/>
      </w:tabs>
      <w:overflowPunct w:val="0"/>
      <w:autoSpaceDE w:val="0"/>
      <w:autoSpaceDN w:val="0"/>
      <w:adjustRightInd w:val="0"/>
      <w:textAlignment w:val="baseline"/>
    </w:pPr>
    <w:rPr>
      <w:rFonts w:ascii="Courier New" w:hAnsi="Courier New"/>
      <w:b w:val="0"/>
    </w:rPr>
  </w:style>
  <w:style w:type="paragraph" w:customStyle="1" w:styleId="TableText0">
    <w:name w:val="Table_Text"/>
    <w:basedOn w:val="Normal"/>
    <w:rsid w:val="008802B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sz w:val="22"/>
    </w:rPr>
  </w:style>
  <w:style w:type="paragraph" w:styleId="BalloonText">
    <w:name w:val="Balloon Text"/>
    <w:basedOn w:val="Normal"/>
    <w:semiHidden/>
    <w:rsid w:val="009A069F"/>
    <w:rPr>
      <w:rFonts w:ascii="Tahoma" w:hAnsi="Tahoma" w:cs="Tahoma"/>
      <w:sz w:val="16"/>
      <w:szCs w:val="16"/>
    </w:rPr>
  </w:style>
  <w:style w:type="table" w:styleId="TableGrid">
    <w:name w:val="Table Grid"/>
    <w:basedOn w:val="TableNormal"/>
    <w:rsid w:val="00997952"/>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e">
    <w:name w:val="Date"/>
    <w:basedOn w:val="Normal"/>
    <w:next w:val="Normal"/>
    <w:link w:val="DateChar"/>
    <w:rsid w:val="005352F1"/>
  </w:style>
  <w:style w:type="character" w:customStyle="1" w:styleId="DateChar">
    <w:name w:val="Date Char"/>
    <w:link w:val="Date"/>
    <w:rsid w:val="005352F1"/>
    <w:rPr>
      <w:rFonts w:ascii="Times New Roman" w:hAnsi="Times New Roman"/>
      <w:sz w:val="24"/>
      <w:lang w:val="en-GB" w:eastAsia="en-US"/>
    </w:rPr>
  </w:style>
  <w:style w:type="paragraph" w:styleId="ListParagraph">
    <w:name w:val="List Paragraph"/>
    <w:basedOn w:val="Normal"/>
    <w:link w:val="ListParagraphChar"/>
    <w:uiPriority w:val="34"/>
    <w:qFormat/>
    <w:rsid w:val="003A7BA2"/>
    <w:pPr>
      <w:ind w:left="720"/>
      <w:contextualSpacing/>
    </w:pPr>
  </w:style>
  <w:style w:type="character" w:styleId="Emphasis">
    <w:name w:val="Emphasis"/>
    <w:basedOn w:val="DefaultParagraphFont"/>
    <w:qFormat/>
    <w:rsid w:val="00D208E0"/>
    <w:rPr>
      <w:i/>
      <w:iCs/>
    </w:rPr>
  </w:style>
  <w:style w:type="character" w:customStyle="1" w:styleId="apple-converted-space">
    <w:name w:val="apple-converted-space"/>
    <w:basedOn w:val="DefaultParagraphFont"/>
    <w:rsid w:val="0060136D"/>
  </w:style>
  <w:style w:type="character" w:customStyle="1" w:styleId="ListParagraphChar">
    <w:name w:val="List Paragraph Char"/>
    <w:basedOn w:val="DefaultParagraphFont"/>
    <w:link w:val="ListParagraph"/>
    <w:uiPriority w:val="34"/>
    <w:rsid w:val="00027EFA"/>
    <w:rPr>
      <w:rFonts w:ascii="Times New Roman" w:hAnsi="Times New Roman"/>
      <w:sz w:val="24"/>
      <w:lang w:val="en-GB" w:eastAsia="en-US"/>
    </w:rPr>
  </w:style>
  <w:style w:type="table" w:styleId="PlainTable4">
    <w:name w:val="Plain Table 4"/>
    <w:basedOn w:val="TableNormal"/>
    <w:uiPriority w:val="44"/>
    <w:rsid w:val="00027EFA"/>
    <w:rPr>
      <w:rFonts w:asciiTheme="minorHAnsi" w:eastAsiaTheme="minorEastAsia" w:hAnsiTheme="minorHAnsi" w:cstheme="minorBidi"/>
      <w:sz w:val="22"/>
      <w:szCs w:val="22"/>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abletextChar">
    <w:name w:val="Table_text Char"/>
    <w:basedOn w:val="DefaultParagraphFont"/>
    <w:link w:val="Tabletext"/>
    <w:uiPriority w:val="99"/>
    <w:locked/>
    <w:rsid w:val="00E00CA5"/>
    <w:rPr>
      <w:rFonts w:ascii="Times New Roman" w:hAnsi="Times New Roman"/>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tu.int/md/S17-CL-C-0111/en"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CA1F13F961AB246A6293F334B48452B" ma:contentTypeVersion="1" ma:contentTypeDescription="Create a new document." ma:contentTypeScope="" ma:versionID="0295d511ef6e2fb068dd0fbdedd58c89">
  <xsd:schema xmlns:xsd="http://www.w3.org/2001/XMLSchema" xmlns:xs="http://www.w3.org/2001/XMLSchema" xmlns:p="http://schemas.microsoft.com/office/2006/metadata/properties" xmlns:ns1="http://schemas.microsoft.com/sharepoint/v3" targetNamespace="http://schemas.microsoft.com/office/2006/metadata/properties" ma:root="true" ma:fieldsID="47702c99b0592ceb5bf7269db54c0d1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57B879-BAF4-4E2A-A8E4-5D46110D705B}">
  <ds:schemaRefs>
    <ds:schemaRef ds:uri="http://schemas.microsoft.com/sharepoint/v3/contenttype/forms"/>
  </ds:schemaRefs>
</ds:datastoreItem>
</file>

<file path=customXml/itemProps2.xml><?xml version="1.0" encoding="utf-8"?>
<ds:datastoreItem xmlns:ds="http://schemas.openxmlformats.org/officeDocument/2006/customXml" ds:itemID="{8B6D89E4-4F8D-4E94-9019-69F1DDE7A6CC}">
  <ds:schemaRefs>
    <ds:schemaRef ds:uri="http://schemas.microsoft.com/office/2006/metadata/properties"/>
    <ds:schemaRef ds:uri="http://purl.org/dc/terms/"/>
    <ds:schemaRef ds:uri="http://schemas.microsoft.com/office/2006/documentManagement/types"/>
    <ds:schemaRef ds:uri="http://purl.org/dc/elements/1.1/"/>
    <ds:schemaRef ds:uri="http://schemas.microsoft.com/sharepoint/v3"/>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BD149F27-A036-4472-9DE6-CF8C693FB4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98D0BCF-8376-40E1-8829-E788DCB6C0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1790</Words>
  <Characters>10204</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CWG-SFP draft agenda</vt:lpstr>
    </vt:vector>
  </TitlesOfParts>
  <Manager>General Secretariat - Pool</Manager>
  <Company>International Telecommunication Union (ITU)</Company>
  <LinksUpToDate>false</LinksUpToDate>
  <CharactersWithSpaces>11971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CWG-SFP Conclusions of the RAG</dc:title>
  <dc:subject>CWG-SFP 2017</dc:subject>
  <dc:creator>Report by the Secretary-General</dc:creator>
  <cp:keywords>C2017, C17</cp:keywords>
  <cp:lastModifiedBy>Brouard, Ricarda</cp:lastModifiedBy>
  <cp:revision>4</cp:revision>
  <cp:lastPrinted>2013-09-10T08:38:00Z</cp:lastPrinted>
  <dcterms:created xsi:type="dcterms:W3CDTF">2017-05-22T14:54:00Z</dcterms:created>
  <dcterms:modified xsi:type="dcterms:W3CDTF">2017-05-22T15:24:00Z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C07/XX-E</vt:lpwstr>
  </property>
  <property fmtid="{D5CDD505-2E9C-101B-9397-08002B2CF9AE}" pid="3" name="Docdate">
    <vt:lpwstr>May 2007</vt:lpwstr>
  </property>
  <property fmtid="{D5CDD505-2E9C-101B-9397-08002B2CF9AE}" pid="4" name="Docorlang">
    <vt:lpwstr>Original: English</vt:lpwstr>
  </property>
  <property fmtid="{D5CDD505-2E9C-101B-9397-08002B2CF9AE}" pid="5" name="Docbluepink">
    <vt:lpwstr/>
  </property>
  <property fmtid="{D5CDD505-2E9C-101B-9397-08002B2CF9AE}" pid="6" name="Docdest">
    <vt:lpwstr>Agenda item: PL</vt:lpwstr>
  </property>
  <property fmtid="{D5CDD505-2E9C-101B-9397-08002B2CF9AE}" pid="7" name="Docauthor">
    <vt:lpwstr>Report by the Secretary-General</vt:lpwstr>
  </property>
</Properties>
</file>