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D31263" w:rsidP="00D3126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D31263">
              <w:rPr>
                <w:rFonts w:eastAsiaTheme="minorEastAsia"/>
                <w:b/>
                <w:bCs/>
                <w:sz w:val="28"/>
                <w:szCs w:val="40"/>
                <w:rtl/>
                <w:lang w:eastAsia="zh-CN"/>
              </w:rPr>
              <w:t xml:space="preserve">فريق العمل التابع للمجلس </w:t>
            </w:r>
            <w:proofErr w:type="spellStart"/>
            <w:r w:rsidRPr="00D31263">
              <w:rPr>
                <w:rFonts w:eastAsiaTheme="minorEastAsia"/>
                <w:b/>
                <w:bCs/>
                <w:sz w:val="28"/>
                <w:szCs w:val="40"/>
                <w:rtl/>
                <w:lang w:eastAsia="zh-CN"/>
              </w:rPr>
              <w:t>ال‍معني</w:t>
            </w:r>
            <w:proofErr w:type="spellEnd"/>
            <w:r w:rsidRPr="00D31263">
              <w:rPr>
                <w:rFonts w:eastAsiaTheme="minorEastAsia"/>
                <w:b/>
                <w:bCs/>
                <w:sz w:val="28"/>
                <w:szCs w:val="40"/>
                <w:rtl/>
                <w:lang w:eastAsia="zh-CN"/>
              </w:rPr>
              <w:t xml:space="preserve"> بالخطتين</w:t>
            </w:r>
            <w:r>
              <w:rPr>
                <w:rFonts w:eastAsiaTheme="minorEastAsia"/>
                <w:b/>
                <w:bCs/>
                <w:sz w:val="28"/>
                <w:szCs w:val="40"/>
                <w:lang w:eastAsia="zh-CN"/>
              </w:rPr>
              <w:br/>
            </w:r>
            <w:r w:rsidRPr="00D31263">
              <w:rPr>
                <w:rFonts w:eastAsiaTheme="minorEastAsia"/>
                <w:b/>
                <w:bCs/>
                <w:sz w:val="28"/>
                <w:szCs w:val="40"/>
                <w:rtl/>
                <w:lang w:eastAsia="zh-CN"/>
              </w:rPr>
              <w:t>الاستراتيجية والمالية للفترة </w:t>
            </w:r>
            <w:r w:rsidRPr="00D31263">
              <w:rPr>
                <w:rFonts w:eastAsiaTheme="minorEastAsia"/>
                <w:b/>
                <w:bCs/>
                <w:sz w:val="28"/>
                <w:szCs w:val="40"/>
                <w:lang w:eastAsia="zh-CN" w:bidi="ar-EG"/>
              </w:rPr>
              <w:t>2023-2020</w:t>
            </w:r>
          </w:p>
        </w:tc>
        <w:tc>
          <w:tcPr>
            <w:tcW w:w="3052" w:type="dxa"/>
            <w:vMerge w:val="restart"/>
          </w:tcPr>
          <w:p w:rsidR="00950A5B" w:rsidRPr="00950A5B" w:rsidRDefault="00950A5B" w:rsidP="00950A5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950A5B" w:rsidP="00D31263">
            <w:pPr>
              <w:rPr>
                <w:rFonts w:eastAsiaTheme="minorEastAsia"/>
                <w:rtl/>
                <w:lang w:eastAsia="zh-CN" w:bidi="ar-EG"/>
              </w:rPr>
            </w:pPr>
            <w:r w:rsidRPr="00950A5B">
              <w:rPr>
                <w:rFonts w:eastAsiaTheme="minorEastAsia" w:hint="cs"/>
                <w:b/>
                <w:bCs/>
                <w:sz w:val="24"/>
                <w:szCs w:val="32"/>
                <w:rtl/>
                <w:lang w:eastAsia="zh-CN" w:bidi="ar-EG"/>
              </w:rPr>
              <w:t xml:space="preserve">الاجتماع </w:t>
            </w:r>
            <w:r w:rsidRPr="00950A5B">
              <w:rPr>
                <w:rFonts w:eastAsiaTheme="minorEastAsia" w:hint="cs"/>
                <w:b/>
                <w:bCs/>
                <w:sz w:val="24"/>
                <w:szCs w:val="32"/>
                <w:rtl/>
                <w:lang w:eastAsia="zh-CN"/>
              </w:rPr>
              <w:t>الثاني</w:t>
            </w:r>
            <w:r w:rsidRPr="00950A5B">
              <w:rPr>
                <w:rFonts w:eastAsiaTheme="minorEastAsia" w:hint="cs"/>
                <w:b/>
                <w:bCs/>
                <w:sz w:val="24"/>
                <w:szCs w:val="32"/>
                <w:rtl/>
                <w:lang w:eastAsia="zh-CN" w:bidi="ar-EG"/>
              </w:rPr>
              <w:t xml:space="preserve"> - جنيف، </w:t>
            </w:r>
            <w:r w:rsidRPr="00950A5B">
              <w:rPr>
                <w:rFonts w:eastAsiaTheme="minorEastAsia"/>
                <w:b/>
                <w:bCs/>
                <w:sz w:val="24"/>
                <w:szCs w:val="32"/>
                <w:lang w:eastAsia="zh-CN" w:bidi="ar-EG"/>
              </w:rPr>
              <w:t>1</w:t>
            </w:r>
            <w:r w:rsidR="00D31263">
              <w:rPr>
                <w:rFonts w:eastAsiaTheme="minorEastAsia"/>
                <w:b/>
                <w:bCs/>
                <w:sz w:val="24"/>
                <w:szCs w:val="32"/>
                <w:lang w:eastAsia="zh-CN" w:bidi="ar-EG"/>
              </w:rPr>
              <w:t>2</w:t>
            </w:r>
            <w:r w:rsidRPr="00950A5B">
              <w:rPr>
                <w:rFonts w:eastAsiaTheme="minorEastAsia"/>
                <w:b/>
                <w:bCs/>
                <w:sz w:val="24"/>
                <w:szCs w:val="32"/>
                <w:lang w:eastAsia="zh-CN" w:bidi="ar-EG"/>
              </w:rPr>
              <w:t>-1</w:t>
            </w:r>
            <w:r w:rsidR="00D31263">
              <w:rPr>
                <w:rFonts w:eastAsiaTheme="minorEastAsia"/>
                <w:b/>
                <w:bCs/>
                <w:sz w:val="24"/>
                <w:szCs w:val="32"/>
                <w:lang w:eastAsia="zh-CN" w:bidi="ar-EG"/>
              </w:rPr>
              <w:t>1</w:t>
            </w:r>
            <w:r w:rsidRPr="00950A5B">
              <w:rPr>
                <w:rFonts w:eastAsiaTheme="minorEastAsia" w:hint="cs"/>
                <w:b/>
                <w:bCs/>
                <w:sz w:val="24"/>
                <w:szCs w:val="32"/>
                <w:rtl/>
                <w:lang w:eastAsia="zh-CN" w:bidi="ar-EG"/>
              </w:rPr>
              <w:t xml:space="preserve"> سبتمبر </w:t>
            </w:r>
            <w:r w:rsidRPr="00950A5B">
              <w:rPr>
                <w:rFonts w:eastAsiaTheme="minorEastAsia"/>
                <w:b/>
                <w:bCs/>
                <w:sz w:val="24"/>
                <w:szCs w:val="32"/>
                <w:lang w:eastAsia="zh-CN" w:bidi="ar-EG"/>
              </w:rPr>
              <w:t>2017</w:t>
            </w:r>
          </w:p>
        </w:tc>
        <w:tc>
          <w:tcPr>
            <w:tcW w:w="3052" w:type="dxa"/>
            <w:vMerge/>
            <w:tcBorders>
              <w:bottom w:val="single" w:sz="12" w:space="0" w:color="auto"/>
            </w:tcBorders>
          </w:tcPr>
          <w:p w:rsidR="00950A5B" w:rsidRPr="00950A5B" w:rsidRDefault="00950A5B" w:rsidP="00950A5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950A5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lang w:eastAsia="zh-CN" w:bidi="ar-EG"/>
              </w:rPr>
            </w:pPr>
          </w:p>
        </w:tc>
        <w:tc>
          <w:tcPr>
            <w:tcW w:w="3052" w:type="dxa"/>
            <w:vAlign w:val="center"/>
          </w:tcPr>
          <w:p w:rsidR="00950A5B" w:rsidRPr="00950A5B" w:rsidRDefault="00950A5B" w:rsidP="00D1317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00855818" w:rsidRPr="00855818">
              <w:rPr>
                <w:rFonts w:eastAsiaTheme="minorEastAsia"/>
                <w:b/>
                <w:bCs/>
                <w:lang w:eastAsia="zh-CN" w:bidi="ar-SY"/>
              </w:rPr>
              <w:t>CWG-SFP</w:t>
            </w:r>
            <w:r w:rsidR="00D1317F">
              <w:rPr>
                <w:rFonts w:eastAsiaTheme="minorEastAsia"/>
                <w:b/>
                <w:bCs/>
                <w:lang w:eastAsia="zh-CN" w:bidi="ar-SY"/>
              </w:rPr>
              <w:t>-</w:t>
            </w:r>
            <w:r w:rsidR="00855818" w:rsidRPr="00855818">
              <w:rPr>
                <w:rFonts w:eastAsiaTheme="minorEastAsia"/>
                <w:b/>
                <w:bCs/>
                <w:lang w:eastAsia="zh-CN" w:bidi="ar-SY"/>
              </w:rPr>
              <w:t>2/2-A</w:t>
            </w:r>
          </w:p>
        </w:tc>
      </w:tr>
      <w:tr w:rsidR="00950A5B" w:rsidRPr="00950A5B" w:rsidTr="004B6B8C">
        <w:trPr>
          <w:cantSplit/>
        </w:trPr>
        <w:tc>
          <w:tcPr>
            <w:tcW w:w="6620" w:type="dxa"/>
            <w:vMerge/>
          </w:tcPr>
          <w:p w:rsidR="00950A5B" w:rsidRPr="00950A5B" w:rsidRDefault="00950A5B" w:rsidP="00950A5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950A5B" w:rsidRPr="00950A5B" w:rsidRDefault="00855818" w:rsidP="00950A5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4</w:t>
            </w:r>
            <w:r w:rsidR="00950A5B" w:rsidRPr="00950A5B">
              <w:rPr>
                <w:rFonts w:eastAsiaTheme="minorEastAsia" w:hint="cs"/>
                <w:b/>
                <w:bCs/>
                <w:rtl/>
                <w:lang w:eastAsia="zh-CN" w:bidi="ar-EG"/>
              </w:rPr>
              <w:t xml:space="preserve"> أغسطس </w:t>
            </w:r>
            <w:r w:rsidR="00950A5B" w:rsidRPr="00950A5B">
              <w:rPr>
                <w:rFonts w:eastAsiaTheme="minorEastAsia"/>
                <w:b/>
                <w:bCs/>
                <w:lang w:eastAsia="zh-CN" w:bidi="ar-SY"/>
              </w:rPr>
              <w:t>2017</w:t>
            </w:r>
          </w:p>
        </w:tc>
      </w:tr>
      <w:tr w:rsidR="00950A5B" w:rsidRPr="00950A5B" w:rsidTr="004B6B8C">
        <w:trPr>
          <w:cantSplit/>
        </w:trPr>
        <w:tc>
          <w:tcPr>
            <w:tcW w:w="6620" w:type="dxa"/>
            <w:vMerge/>
          </w:tcPr>
          <w:p w:rsidR="00950A5B" w:rsidRPr="00950A5B" w:rsidRDefault="00950A5B" w:rsidP="00950A5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950A5B" w:rsidRPr="00950A5B" w:rsidRDefault="00950A5B" w:rsidP="00950A5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b/>
                <w:bCs/>
                <w:rtl/>
                <w:lang w:eastAsia="zh-CN" w:bidi="ar-EG"/>
              </w:rPr>
              <w:t xml:space="preserve">الأصل: </w:t>
            </w:r>
            <w:r w:rsidRPr="00950A5B">
              <w:rPr>
                <w:rFonts w:eastAsiaTheme="minorEastAsia" w:hint="cs"/>
                <w:b/>
                <w:bCs/>
                <w:rtl/>
                <w:lang w:eastAsia="zh-CN" w:bidi="ar-EG"/>
              </w:rPr>
              <w:t>بالإنكليزية</w:t>
            </w:r>
          </w:p>
        </w:tc>
      </w:tr>
      <w:tr w:rsidR="00950A5B" w:rsidRPr="00950A5B" w:rsidTr="004B6B8C">
        <w:trPr>
          <w:cantSplit/>
        </w:trPr>
        <w:tc>
          <w:tcPr>
            <w:tcW w:w="9672" w:type="dxa"/>
            <w:gridSpan w:val="2"/>
          </w:tcPr>
          <w:p w:rsidR="00950A5B" w:rsidRPr="00950A5B" w:rsidRDefault="00855818" w:rsidP="00855818">
            <w:pPr>
              <w:pStyle w:val="Source"/>
              <w:rPr>
                <w:rFonts w:eastAsiaTheme="minorEastAsia"/>
                <w:rtl/>
                <w:lang w:eastAsia="zh-CN"/>
              </w:rPr>
            </w:pPr>
            <w:r w:rsidRPr="00855818">
              <w:rPr>
                <w:rFonts w:eastAsiaTheme="minorEastAsia"/>
                <w:rtl/>
                <w:lang w:eastAsia="zh-CN" w:bidi="ar-SA"/>
              </w:rPr>
              <w:t>رئيس فريق العمل التابع للمجلس</w:t>
            </w:r>
            <w:r w:rsidRPr="00855818">
              <w:rPr>
                <w:rFonts w:eastAsiaTheme="minorEastAsia"/>
                <w:rtl/>
                <w:lang w:eastAsia="zh-CN" w:bidi="ar-SA"/>
              </w:rPr>
              <w:br/>
            </w:r>
            <w:proofErr w:type="spellStart"/>
            <w:r w:rsidRPr="00855818">
              <w:rPr>
                <w:rFonts w:eastAsiaTheme="minorEastAsia"/>
                <w:rtl/>
                <w:lang w:eastAsia="zh-CN" w:bidi="ar-SA"/>
              </w:rPr>
              <w:t>ال‍معني</w:t>
            </w:r>
            <w:proofErr w:type="spellEnd"/>
            <w:r w:rsidRPr="00855818">
              <w:rPr>
                <w:rFonts w:eastAsiaTheme="minorEastAsia"/>
                <w:rtl/>
                <w:lang w:eastAsia="zh-CN" w:bidi="ar-SA"/>
              </w:rPr>
              <w:t xml:space="preserve"> بالخطتين الاستراتيجية </w:t>
            </w:r>
            <w:proofErr w:type="spellStart"/>
            <w:r w:rsidRPr="00855818">
              <w:rPr>
                <w:rFonts w:eastAsiaTheme="minorEastAsia"/>
                <w:rtl/>
                <w:lang w:eastAsia="zh-CN" w:bidi="ar-SA"/>
              </w:rPr>
              <w:t>وال‍مالية</w:t>
            </w:r>
            <w:proofErr w:type="spellEnd"/>
            <w:r w:rsidRPr="00855818">
              <w:rPr>
                <w:rFonts w:eastAsiaTheme="minorEastAsia"/>
                <w:rtl/>
                <w:lang w:eastAsia="zh-CN" w:bidi="ar-SA"/>
              </w:rPr>
              <w:t xml:space="preserve"> </w:t>
            </w:r>
            <w:r w:rsidRPr="00855818">
              <w:rPr>
                <w:rFonts w:eastAsiaTheme="minorEastAsia"/>
                <w:lang w:eastAsia="zh-CN"/>
              </w:rPr>
              <w:t>(CWG-SFP)</w:t>
            </w:r>
            <w:r w:rsidRPr="00855818">
              <w:rPr>
                <w:rFonts w:eastAsiaTheme="minorEastAsia"/>
                <w:rtl/>
                <w:lang w:eastAsia="zh-CN" w:bidi="ar-SA"/>
              </w:rPr>
              <w:t xml:space="preserve"> للفترة </w:t>
            </w:r>
            <w:r w:rsidRPr="00855818">
              <w:rPr>
                <w:rFonts w:eastAsiaTheme="minorEastAsia"/>
                <w:lang w:eastAsia="zh-CN"/>
              </w:rPr>
              <w:t>2023-2020</w:t>
            </w:r>
          </w:p>
        </w:tc>
      </w:tr>
      <w:tr w:rsidR="00950A5B" w:rsidRPr="00950A5B" w:rsidTr="004B6B8C">
        <w:trPr>
          <w:cantSplit/>
        </w:trPr>
        <w:tc>
          <w:tcPr>
            <w:tcW w:w="9672" w:type="dxa"/>
            <w:gridSpan w:val="2"/>
          </w:tcPr>
          <w:p w:rsidR="00950A5B" w:rsidRPr="00950A5B" w:rsidRDefault="00855818" w:rsidP="00855818">
            <w:pPr>
              <w:pStyle w:val="Title1"/>
              <w:rPr>
                <w:rFonts w:eastAsiaTheme="minorEastAsia"/>
                <w:rtl/>
                <w:lang w:eastAsia="zh-CN"/>
              </w:rPr>
            </w:pPr>
            <w:r w:rsidRPr="00855818">
              <w:rPr>
                <w:rFonts w:eastAsiaTheme="minorEastAsia"/>
                <w:rtl/>
                <w:lang w:eastAsia="zh-CN" w:bidi="ar-SA"/>
              </w:rPr>
              <w:t>تقرير الاجتماع الأول ل</w:t>
            </w:r>
            <w:r>
              <w:rPr>
                <w:rFonts w:eastAsiaTheme="minorEastAsia" w:hint="cs"/>
                <w:rtl/>
                <w:lang w:eastAsia="zh-CN"/>
              </w:rPr>
              <w:t>فريق</w:t>
            </w:r>
            <w:r w:rsidRPr="00855818">
              <w:rPr>
                <w:rFonts w:eastAsiaTheme="minorEastAsia"/>
                <w:w w:val="100"/>
                <w:sz w:val="22"/>
                <w:szCs w:val="30"/>
                <w:rtl/>
                <w:lang w:eastAsia="zh-CN" w:bidi="ar-SA"/>
              </w:rPr>
              <w:t xml:space="preserve"> </w:t>
            </w:r>
            <w:r w:rsidRPr="00855818">
              <w:rPr>
                <w:rFonts w:eastAsiaTheme="minorEastAsia"/>
                <w:rtl/>
                <w:lang w:eastAsia="zh-CN" w:bidi="ar-SA"/>
              </w:rPr>
              <w:t>العمل التابع للمجلس</w:t>
            </w:r>
            <w:r w:rsidRPr="00855818">
              <w:rPr>
                <w:rFonts w:eastAsiaTheme="minorEastAsia"/>
                <w:rtl/>
                <w:lang w:eastAsia="zh-CN" w:bidi="ar-SA"/>
              </w:rPr>
              <w:br/>
            </w:r>
            <w:proofErr w:type="spellStart"/>
            <w:r w:rsidRPr="00855818">
              <w:rPr>
                <w:rFonts w:eastAsiaTheme="minorEastAsia"/>
                <w:rtl/>
                <w:lang w:eastAsia="zh-CN" w:bidi="ar-SA"/>
              </w:rPr>
              <w:t>ال‍معني</w:t>
            </w:r>
            <w:proofErr w:type="spellEnd"/>
            <w:r w:rsidRPr="00855818">
              <w:rPr>
                <w:rFonts w:eastAsiaTheme="minorEastAsia"/>
                <w:rtl/>
                <w:lang w:eastAsia="zh-CN" w:bidi="ar-SA"/>
              </w:rPr>
              <w:t xml:space="preserve"> بالخطتين الاستراتيجية </w:t>
            </w:r>
            <w:proofErr w:type="spellStart"/>
            <w:r w:rsidRPr="00855818">
              <w:rPr>
                <w:rFonts w:eastAsiaTheme="minorEastAsia"/>
                <w:rtl/>
                <w:lang w:eastAsia="zh-CN" w:bidi="ar-SA"/>
              </w:rPr>
              <w:t>وال‍مالية</w:t>
            </w:r>
            <w:proofErr w:type="spellEnd"/>
            <w:r w:rsidRPr="00855818">
              <w:rPr>
                <w:rFonts w:eastAsiaTheme="minorEastAsia"/>
                <w:rtl/>
                <w:lang w:eastAsia="zh-CN" w:bidi="ar-SA"/>
              </w:rPr>
              <w:t xml:space="preserve"> </w:t>
            </w:r>
            <w:r w:rsidRPr="00855818">
              <w:rPr>
                <w:rFonts w:eastAsiaTheme="minorEastAsia"/>
                <w:lang w:eastAsia="zh-CN" w:bidi="ar-SA"/>
              </w:rPr>
              <w:t>(CWG-SFP)</w:t>
            </w:r>
          </w:p>
        </w:tc>
      </w:tr>
    </w:tbl>
    <w:p w:rsidR="000E4FF0" w:rsidRPr="00950A5B"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p>
    <w:p w:rsidR="006157A3" w:rsidRDefault="006157A3" w:rsidP="008B5B5D">
      <w:pPr>
        <w:rPr>
          <w:rtl/>
          <w:lang w:bidi="ar-EG"/>
        </w:rPr>
      </w:pPr>
    </w:p>
    <w:p w:rsidR="00855818" w:rsidRDefault="000E4FF0" w:rsidP="00855818">
      <w:pPr>
        <w:pStyle w:val="Body"/>
        <w:spacing w:before="1440"/>
        <w:jc w:val="left"/>
        <w:rPr>
          <w:lang w:bidi="ar-SA"/>
        </w:rPr>
      </w:pPr>
      <w:r>
        <w:rPr>
          <w:rtl/>
        </w:rPr>
        <w:br w:type="page"/>
      </w:r>
    </w:p>
    <w:tbl>
      <w:tblPr>
        <w:bidiVisual/>
        <w:tblW w:w="5000" w:type="pct"/>
        <w:jc w:val="center"/>
        <w:tblLayout w:type="fixed"/>
        <w:tblLook w:val="04A0" w:firstRow="1" w:lastRow="0" w:firstColumn="1" w:lastColumn="0" w:noHBand="0" w:noVBand="1"/>
      </w:tblPr>
      <w:tblGrid>
        <w:gridCol w:w="6597"/>
        <w:gridCol w:w="3042"/>
      </w:tblGrid>
      <w:tr w:rsidR="00855818" w:rsidTr="00855818">
        <w:trPr>
          <w:cantSplit/>
          <w:trHeight w:val="20"/>
          <w:jc w:val="center"/>
        </w:trPr>
        <w:tc>
          <w:tcPr>
            <w:tcW w:w="6620" w:type="dxa"/>
            <w:hideMark/>
          </w:tcPr>
          <w:p w:rsidR="00855818" w:rsidRDefault="008558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Pr>
                <w:rFonts w:eastAsiaTheme="minorEastAsia"/>
                <w:b/>
                <w:bCs/>
                <w:w w:val="110"/>
                <w:sz w:val="32"/>
                <w:szCs w:val="44"/>
                <w:rtl/>
                <w:lang w:eastAsia="zh-CN"/>
              </w:rPr>
              <w:lastRenderedPageBreak/>
              <w:t xml:space="preserve">المجلس </w:t>
            </w:r>
            <w:r>
              <w:rPr>
                <w:rFonts w:eastAsiaTheme="minorEastAsia"/>
                <w:b/>
                <w:bCs/>
                <w:w w:val="110"/>
                <w:sz w:val="32"/>
                <w:szCs w:val="44"/>
                <w:lang w:eastAsia="zh-CN" w:bidi="ar-SY"/>
              </w:rPr>
              <w:t>2017</w:t>
            </w:r>
            <w:r>
              <w:rPr>
                <w:rFonts w:eastAsiaTheme="minorEastAsia"/>
                <w:b/>
                <w:bCs/>
                <w:w w:val="110"/>
                <w:sz w:val="32"/>
                <w:szCs w:val="44"/>
                <w:rtl/>
                <w:lang w:eastAsia="zh-CN" w:bidi="ar-SY"/>
              </w:rPr>
              <w:br/>
            </w:r>
            <w:r>
              <w:rPr>
                <w:rFonts w:eastAsiaTheme="minorEastAsia"/>
                <w:b/>
                <w:bCs/>
                <w:sz w:val="24"/>
                <w:szCs w:val="32"/>
                <w:rtl/>
                <w:lang w:eastAsia="zh-CN"/>
              </w:rPr>
              <w:t xml:space="preserve">جنيف، </w:t>
            </w:r>
            <w:r>
              <w:rPr>
                <w:rFonts w:eastAsiaTheme="minorEastAsia"/>
                <w:b/>
                <w:bCs/>
                <w:sz w:val="24"/>
                <w:szCs w:val="32"/>
                <w:lang w:eastAsia="zh-CN" w:bidi="ar-SY"/>
              </w:rPr>
              <w:t>25-15</w:t>
            </w:r>
            <w:r>
              <w:rPr>
                <w:rFonts w:eastAsiaTheme="minorEastAsia"/>
                <w:b/>
                <w:bCs/>
                <w:sz w:val="24"/>
                <w:szCs w:val="32"/>
                <w:rtl/>
                <w:lang w:eastAsia="zh-CN"/>
              </w:rPr>
              <w:t xml:space="preserve"> مايو </w:t>
            </w:r>
            <w:r>
              <w:rPr>
                <w:rFonts w:eastAsiaTheme="minorEastAsia"/>
                <w:b/>
                <w:bCs/>
                <w:sz w:val="24"/>
                <w:szCs w:val="32"/>
                <w:lang w:eastAsia="zh-CN"/>
              </w:rPr>
              <w:t>2017</w:t>
            </w:r>
          </w:p>
        </w:tc>
        <w:tc>
          <w:tcPr>
            <w:tcW w:w="3052" w:type="dxa"/>
            <w:hideMark/>
          </w:tcPr>
          <w:p w:rsidR="00855818" w:rsidRDefault="008558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rPr>
            </w:pPr>
            <w:r>
              <w:rPr>
                <w:noProof/>
                <w:lang w:eastAsia="zh-CN"/>
              </w:rPr>
              <w:drawing>
                <wp:inline distT="0" distB="0" distL="0" distR="0">
                  <wp:extent cx="1837055" cy="723265"/>
                  <wp:effectExtent l="0" t="0" r="0" b="635"/>
                  <wp:docPr id="4" name="Picture 4"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A-[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055" cy="723265"/>
                          </a:xfrm>
                          <a:prstGeom prst="rect">
                            <a:avLst/>
                          </a:prstGeom>
                          <a:noFill/>
                          <a:ln>
                            <a:noFill/>
                          </a:ln>
                        </pic:spPr>
                      </pic:pic>
                    </a:graphicData>
                  </a:graphic>
                </wp:inline>
              </w:drawing>
            </w:r>
          </w:p>
        </w:tc>
      </w:tr>
      <w:tr w:rsidR="00855818" w:rsidTr="00855818">
        <w:trPr>
          <w:cantSplit/>
          <w:trHeight w:val="280"/>
          <w:jc w:val="center"/>
        </w:trPr>
        <w:tc>
          <w:tcPr>
            <w:tcW w:w="6620" w:type="dxa"/>
            <w:tcBorders>
              <w:top w:val="nil"/>
              <w:left w:val="nil"/>
              <w:bottom w:val="single" w:sz="12" w:space="0" w:color="auto"/>
              <w:right w:val="nil"/>
            </w:tcBorders>
          </w:tcPr>
          <w:p w:rsidR="00855818" w:rsidRDefault="008558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rPr>
            </w:pPr>
          </w:p>
        </w:tc>
        <w:tc>
          <w:tcPr>
            <w:tcW w:w="3052" w:type="dxa"/>
            <w:tcBorders>
              <w:top w:val="nil"/>
              <w:left w:val="nil"/>
              <w:bottom w:val="single" w:sz="12" w:space="0" w:color="auto"/>
              <w:right w:val="nil"/>
            </w:tcBorders>
          </w:tcPr>
          <w:p w:rsidR="00855818" w:rsidRDefault="008558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rtl/>
                <w:lang w:eastAsia="zh-CN" w:bidi="ar-SY"/>
              </w:rPr>
            </w:pPr>
          </w:p>
        </w:tc>
      </w:tr>
      <w:tr w:rsidR="00855818" w:rsidTr="00855818">
        <w:trPr>
          <w:cantSplit/>
          <w:trHeight w:val="20"/>
          <w:jc w:val="center"/>
        </w:trPr>
        <w:tc>
          <w:tcPr>
            <w:tcW w:w="6620" w:type="dxa"/>
            <w:tcBorders>
              <w:top w:val="single" w:sz="12" w:space="0" w:color="auto"/>
              <w:left w:val="nil"/>
              <w:bottom w:val="nil"/>
              <w:right w:val="nil"/>
            </w:tcBorders>
          </w:tcPr>
          <w:p w:rsidR="00855818" w:rsidRDefault="008558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EG"/>
              </w:rPr>
            </w:pPr>
          </w:p>
        </w:tc>
        <w:tc>
          <w:tcPr>
            <w:tcW w:w="3052" w:type="dxa"/>
            <w:tcBorders>
              <w:top w:val="single" w:sz="12" w:space="0" w:color="auto"/>
              <w:left w:val="nil"/>
              <w:bottom w:val="nil"/>
              <w:right w:val="nil"/>
            </w:tcBorders>
          </w:tcPr>
          <w:p w:rsidR="00855818" w:rsidRDefault="008558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SY"/>
              </w:rPr>
            </w:pPr>
          </w:p>
        </w:tc>
      </w:tr>
      <w:tr w:rsidR="00855818" w:rsidTr="00855818">
        <w:trPr>
          <w:cantSplit/>
          <w:jc w:val="center"/>
        </w:trPr>
        <w:tc>
          <w:tcPr>
            <w:tcW w:w="6620" w:type="dxa"/>
            <w:hideMark/>
          </w:tcPr>
          <w:p w:rsidR="00855818" w:rsidRDefault="008558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lang w:eastAsia="zh-CN" w:bidi="ar-EG"/>
              </w:rPr>
            </w:pPr>
            <w:r>
              <w:rPr>
                <w:rFonts w:eastAsiaTheme="minorEastAsia"/>
                <w:b/>
                <w:bCs/>
                <w:rtl/>
                <w:lang w:eastAsia="zh-CN"/>
              </w:rPr>
              <w:t xml:space="preserve">بند جدول الأعمال: </w:t>
            </w:r>
            <w:r>
              <w:rPr>
                <w:rFonts w:eastAsiaTheme="minorEastAsia"/>
                <w:b/>
                <w:bCs/>
                <w:lang w:eastAsia="zh-CN"/>
              </w:rPr>
              <w:t>PL 3.1</w:t>
            </w:r>
          </w:p>
        </w:tc>
        <w:tc>
          <w:tcPr>
            <w:tcW w:w="3052" w:type="dxa"/>
            <w:vAlign w:val="center"/>
            <w:hideMark/>
          </w:tcPr>
          <w:p w:rsidR="00855818" w:rsidRDefault="008558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Pr>
                <w:rFonts w:eastAsiaTheme="minorEastAsia"/>
                <w:b/>
                <w:bCs/>
                <w:rtl/>
                <w:lang w:eastAsia="zh-CN"/>
              </w:rPr>
              <w:t xml:space="preserve">الوثيقة </w:t>
            </w:r>
            <w:r>
              <w:rPr>
                <w:rFonts w:eastAsiaTheme="minorEastAsia"/>
                <w:b/>
                <w:bCs/>
                <w:lang w:eastAsia="zh-CN" w:bidi="ar-SY"/>
              </w:rPr>
              <w:t>C17/123-A</w:t>
            </w:r>
          </w:p>
        </w:tc>
      </w:tr>
      <w:tr w:rsidR="00855818" w:rsidTr="00855818">
        <w:trPr>
          <w:cantSplit/>
          <w:jc w:val="center"/>
        </w:trPr>
        <w:tc>
          <w:tcPr>
            <w:tcW w:w="6620" w:type="dxa"/>
          </w:tcPr>
          <w:p w:rsidR="00855818" w:rsidRDefault="008558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hideMark/>
          </w:tcPr>
          <w:p w:rsidR="00855818" w:rsidRDefault="008558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r>
              <w:rPr>
                <w:rFonts w:eastAsiaTheme="minorEastAsia"/>
                <w:b/>
                <w:bCs/>
                <w:lang w:eastAsia="zh-CN" w:bidi="ar-SY"/>
              </w:rPr>
              <w:t>24</w:t>
            </w:r>
            <w:r>
              <w:rPr>
                <w:rFonts w:eastAsiaTheme="minorEastAsia"/>
                <w:b/>
                <w:bCs/>
                <w:rtl/>
                <w:lang w:eastAsia="zh-CN"/>
              </w:rPr>
              <w:t xml:space="preserve"> مايو </w:t>
            </w:r>
            <w:r>
              <w:rPr>
                <w:rFonts w:eastAsiaTheme="minorEastAsia"/>
                <w:b/>
                <w:bCs/>
                <w:lang w:eastAsia="zh-CN" w:bidi="ar-SY"/>
              </w:rPr>
              <w:t>2017</w:t>
            </w:r>
          </w:p>
        </w:tc>
      </w:tr>
      <w:tr w:rsidR="00855818" w:rsidTr="00855818">
        <w:trPr>
          <w:cantSplit/>
          <w:jc w:val="center"/>
        </w:trPr>
        <w:tc>
          <w:tcPr>
            <w:tcW w:w="6620" w:type="dxa"/>
          </w:tcPr>
          <w:p w:rsidR="00855818" w:rsidRDefault="008558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rPr>
            </w:pPr>
          </w:p>
        </w:tc>
        <w:tc>
          <w:tcPr>
            <w:tcW w:w="3052" w:type="dxa"/>
            <w:vAlign w:val="center"/>
            <w:hideMark/>
          </w:tcPr>
          <w:p w:rsidR="00855818" w:rsidRDefault="008558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Pr>
                <w:rFonts w:eastAsiaTheme="minorEastAsia"/>
                <w:b/>
                <w:bCs/>
                <w:rtl/>
                <w:lang w:eastAsia="zh-CN"/>
              </w:rPr>
              <w:t>الأصل: بالإنكليزية</w:t>
            </w:r>
          </w:p>
        </w:tc>
      </w:tr>
      <w:tr w:rsidR="00855818" w:rsidTr="00855818">
        <w:trPr>
          <w:cantSplit/>
          <w:jc w:val="center"/>
        </w:trPr>
        <w:tc>
          <w:tcPr>
            <w:tcW w:w="9672" w:type="dxa"/>
            <w:gridSpan w:val="2"/>
          </w:tcPr>
          <w:p w:rsidR="00855818" w:rsidRDefault="00855818">
            <w:pPr>
              <w:pStyle w:val="Source"/>
              <w:rPr>
                <w:rFonts w:eastAsiaTheme="minorEastAsia"/>
                <w:sz w:val="28"/>
                <w:szCs w:val="40"/>
                <w:lang w:val="en-CA" w:eastAsia="zh-CN"/>
              </w:rPr>
            </w:pPr>
          </w:p>
        </w:tc>
      </w:tr>
      <w:tr w:rsidR="00855818" w:rsidTr="00855818">
        <w:trPr>
          <w:cantSplit/>
          <w:jc w:val="center"/>
        </w:trPr>
        <w:tc>
          <w:tcPr>
            <w:tcW w:w="9672" w:type="dxa"/>
            <w:gridSpan w:val="2"/>
            <w:hideMark/>
          </w:tcPr>
          <w:p w:rsidR="00855818" w:rsidRDefault="00855818">
            <w:pPr>
              <w:pStyle w:val="Title1"/>
              <w:rPr>
                <w:rFonts w:eastAsiaTheme="minorEastAsia"/>
                <w:rtl/>
                <w:lang w:eastAsia="zh-CN"/>
              </w:rPr>
            </w:pPr>
            <w:r>
              <w:rPr>
                <w:rFonts w:eastAsiaTheme="minorEastAsia"/>
                <w:rtl/>
                <w:lang w:eastAsia="zh-CN" w:bidi="ar-SA"/>
              </w:rPr>
              <w:t>تقرير من رئيس فريق العمل التابع للمجلس المعني</w:t>
            </w:r>
            <w:r>
              <w:rPr>
                <w:rFonts w:eastAsiaTheme="minorEastAsia"/>
                <w:rtl/>
                <w:lang w:eastAsia="zh-CN" w:bidi="ar-SA"/>
              </w:rPr>
              <w:br/>
              <w:t xml:space="preserve">بالخطتين الاستراتيجية والمالية للفترة </w:t>
            </w:r>
            <w:r>
              <w:rPr>
                <w:rFonts w:eastAsiaTheme="minorEastAsia"/>
                <w:lang w:eastAsia="zh-CN"/>
              </w:rPr>
              <w:t>2023-2020</w:t>
            </w:r>
          </w:p>
        </w:tc>
      </w:tr>
    </w:tbl>
    <w:p w:rsidR="00855818" w:rsidRDefault="00855818" w:rsidP="008558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val="en-GB" w:eastAsia="zh-CN"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855818" w:rsidTr="00855818">
        <w:trPr>
          <w:jc w:val="center"/>
        </w:trPr>
        <w:tc>
          <w:tcPr>
            <w:tcW w:w="7230" w:type="dxa"/>
            <w:tcBorders>
              <w:top w:val="single" w:sz="12" w:space="0" w:color="auto"/>
              <w:left w:val="single" w:sz="12" w:space="0" w:color="auto"/>
              <w:bottom w:val="single" w:sz="12" w:space="0" w:color="auto"/>
              <w:right w:val="single" w:sz="12" w:space="0" w:color="auto"/>
            </w:tcBorders>
            <w:hideMark/>
          </w:tcPr>
          <w:p w:rsidR="00855818" w:rsidRDefault="00855818">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sz w:val="20"/>
                <w:lang w:eastAsia="zh-CN" w:bidi="ar-SY"/>
              </w:rPr>
            </w:pPr>
            <w:r>
              <w:rPr>
                <w:rFonts w:eastAsiaTheme="minorEastAsia"/>
                <w:b/>
                <w:bCs/>
                <w:sz w:val="20"/>
                <w:rtl/>
                <w:lang w:eastAsia="zh-CN" w:bidi="ar-SY"/>
              </w:rPr>
              <w:t>ملخص</w:t>
            </w:r>
          </w:p>
          <w:p w:rsidR="00855818" w:rsidRDefault="00855818">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0"/>
                <w:rtl/>
                <w:lang w:eastAsia="zh-CN" w:bidi="ar-SY"/>
              </w:rPr>
            </w:pPr>
            <w:r>
              <w:rPr>
                <w:rFonts w:eastAsiaTheme="minorEastAsia"/>
                <w:sz w:val="20"/>
                <w:rtl/>
                <w:lang w:eastAsia="zh-CN"/>
              </w:rPr>
              <w:t xml:space="preserve">تلخص هذه الوثيقة النتائج الرئيسية للاجتماع الأول لفريق العمل التابع للمجلس المعني بالخطتين الاستراتيجية والمالية للفترة </w:t>
            </w:r>
            <w:r>
              <w:rPr>
                <w:rFonts w:eastAsiaTheme="minorEastAsia"/>
                <w:sz w:val="20"/>
                <w:lang w:eastAsia="zh-CN" w:bidi="ar-SY"/>
              </w:rPr>
              <w:t>2023</w:t>
            </w:r>
            <w:r>
              <w:rPr>
                <w:rFonts w:eastAsiaTheme="minorEastAsia"/>
                <w:sz w:val="20"/>
                <w:lang w:eastAsia="zh-CN" w:bidi="ar-SY"/>
              </w:rPr>
              <w:noBreakHyphen/>
              <w:t>2020</w:t>
            </w:r>
            <w:r>
              <w:rPr>
                <w:rFonts w:eastAsiaTheme="minorEastAsia"/>
                <w:sz w:val="20"/>
                <w:rtl/>
                <w:lang w:eastAsia="zh-CN" w:bidi="ar-SY"/>
              </w:rPr>
              <w:t xml:space="preserve"> الذي عُقد في </w:t>
            </w:r>
            <w:r>
              <w:rPr>
                <w:rFonts w:eastAsiaTheme="minorEastAsia"/>
                <w:sz w:val="20"/>
                <w:lang w:eastAsia="zh-CN" w:bidi="ar-SY"/>
              </w:rPr>
              <w:t>23</w:t>
            </w:r>
            <w:r>
              <w:rPr>
                <w:rFonts w:eastAsiaTheme="minorEastAsia"/>
                <w:sz w:val="20"/>
                <w:rtl/>
                <w:lang w:eastAsia="zh-CN"/>
              </w:rPr>
              <w:t> مايو </w:t>
            </w:r>
            <w:r>
              <w:rPr>
                <w:rFonts w:eastAsiaTheme="minorEastAsia"/>
                <w:sz w:val="20"/>
                <w:lang w:eastAsia="zh-CN"/>
              </w:rPr>
              <w:t>2017</w:t>
            </w:r>
            <w:r>
              <w:rPr>
                <w:rFonts w:eastAsiaTheme="minorEastAsia"/>
                <w:sz w:val="20"/>
                <w:rtl/>
                <w:lang w:eastAsia="zh-CN"/>
              </w:rPr>
              <w:t xml:space="preserve"> خلال دورة مجلس الاتحاد، وفقاً للقرار </w:t>
            </w:r>
            <w:r>
              <w:rPr>
                <w:rFonts w:eastAsiaTheme="minorEastAsia"/>
                <w:sz w:val="20"/>
                <w:lang w:eastAsia="zh-CN" w:bidi="ar-SY"/>
              </w:rPr>
              <w:t>1384</w:t>
            </w:r>
            <w:r>
              <w:rPr>
                <w:rFonts w:eastAsiaTheme="minorEastAsia"/>
                <w:sz w:val="20"/>
                <w:rtl/>
                <w:lang w:eastAsia="zh-CN"/>
              </w:rPr>
              <w:t xml:space="preserve"> الصادر عن المجلس في دورته لعام </w:t>
            </w:r>
            <w:r>
              <w:rPr>
                <w:rFonts w:eastAsiaTheme="minorEastAsia"/>
                <w:sz w:val="20"/>
                <w:lang w:eastAsia="zh-CN" w:bidi="ar-SY"/>
              </w:rPr>
              <w:t>2017</w:t>
            </w:r>
            <w:r>
              <w:rPr>
                <w:rFonts w:eastAsiaTheme="minorEastAsia"/>
                <w:sz w:val="20"/>
                <w:rtl/>
                <w:lang w:eastAsia="zh-CN"/>
              </w:rPr>
              <w:t>.</w:t>
            </w:r>
          </w:p>
          <w:p w:rsidR="00855818" w:rsidRDefault="00855818">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sz w:val="20"/>
                <w:rtl/>
                <w:lang w:eastAsia="zh-CN" w:bidi="ar-SY"/>
              </w:rPr>
            </w:pPr>
            <w:r>
              <w:rPr>
                <w:rFonts w:eastAsiaTheme="minorEastAsia"/>
                <w:b/>
                <w:bCs/>
                <w:sz w:val="20"/>
                <w:rtl/>
                <w:lang w:eastAsia="zh-CN" w:bidi="ar-SY"/>
              </w:rPr>
              <w:t>الإجراء المطلوب</w:t>
            </w:r>
          </w:p>
          <w:p w:rsidR="00855818" w:rsidRDefault="00855818">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0"/>
                <w:rtl/>
                <w:lang w:eastAsia="zh-CN" w:bidi="ar-SY"/>
              </w:rPr>
            </w:pPr>
            <w:r>
              <w:rPr>
                <w:rFonts w:eastAsiaTheme="minorEastAsia"/>
                <w:sz w:val="20"/>
                <w:rtl/>
                <w:lang w:eastAsia="zh-CN"/>
              </w:rPr>
              <w:t xml:space="preserve">يدعى المجلس إلى </w:t>
            </w:r>
            <w:r>
              <w:rPr>
                <w:rFonts w:eastAsiaTheme="minorEastAsia"/>
                <w:b/>
                <w:bCs/>
                <w:sz w:val="20"/>
                <w:rtl/>
                <w:lang w:eastAsia="zh-CN"/>
              </w:rPr>
              <w:t>الإحاطة علماً</w:t>
            </w:r>
            <w:r>
              <w:rPr>
                <w:rFonts w:eastAsiaTheme="minorEastAsia"/>
                <w:sz w:val="20"/>
                <w:rtl/>
                <w:lang w:eastAsia="zh-CN"/>
              </w:rPr>
              <w:t xml:space="preserve"> بهذا التقرير.</w:t>
            </w:r>
          </w:p>
          <w:p w:rsidR="00855818" w:rsidRDefault="00855818">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sz w:val="20"/>
                <w:rtl/>
                <w:lang w:eastAsia="zh-CN" w:bidi="ar-SY"/>
              </w:rPr>
            </w:pPr>
            <w:r>
              <w:rPr>
                <w:rFonts w:eastAsiaTheme="minorEastAsia"/>
                <w:sz w:val="20"/>
                <w:rtl/>
                <w:lang w:eastAsia="zh-CN" w:bidi="ar-SY"/>
              </w:rPr>
              <w:t>_________</w:t>
            </w:r>
          </w:p>
          <w:p w:rsidR="00855818" w:rsidRDefault="00855818">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sz w:val="20"/>
                <w:rtl/>
                <w:lang w:eastAsia="zh-CN" w:bidi="ar-SY"/>
              </w:rPr>
            </w:pPr>
            <w:r>
              <w:rPr>
                <w:rFonts w:eastAsiaTheme="minorEastAsia"/>
                <w:b/>
                <w:bCs/>
                <w:sz w:val="20"/>
                <w:rtl/>
                <w:lang w:eastAsia="zh-CN" w:bidi="ar-SY"/>
              </w:rPr>
              <w:t>المراجع</w:t>
            </w:r>
          </w:p>
          <w:p w:rsidR="00855818" w:rsidRPr="0067128F" w:rsidRDefault="005C756F">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sz w:val="20"/>
                <w:rtl/>
                <w:lang w:eastAsia="zh-CN" w:bidi="ar-EG"/>
              </w:rPr>
            </w:pPr>
            <w:hyperlink r:id="rId11" w:history="1">
              <w:r w:rsidR="00855818" w:rsidRPr="0067128F">
                <w:rPr>
                  <w:rStyle w:val="Hyperlink"/>
                  <w:rFonts w:eastAsiaTheme="minorEastAsia"/>
                  <w:i/>
                  <w:iCs/>
                  <w:sz w:val="20"/>
                  <w:rtl/>
                  <w:lang w:eastAsia="zh-CN"/>
                </w:rPr>
                <w:t xml:space="preserve">القرار </w:t>
              </w:r>
              <w:r w:rsidR="00855818" w:rsidRPr="0067128F">
                <w:rPr>
                  <w:rStyle w:val="Hyperlink"/>
                  <w:rFonts w:eastAsiaTheme="minorEastAsia"/>
                  <w:i/>
                  <w:iCs/>
                  <w:sz w:val="20"/>
                  <w:lang w:eastAsia="zh-CN" w:bidi="ar-SY"/>
                </w:rPr>
                <w:t>71</w:t>
              </w:r>
            </w:hyperlink>
            <w:r w:rsidR="00855818" w:rsidRPr="0067128F">
              <w:rPr>
                <w:rFonts w:eastAsiaTheme="minorEastAsia"/>
                <w:i/>
                <w:iCs/>
                <w:sz w:val="20"/>
                <w:rtl/>
                <w:lang w:eastAsia="zh-CN"/>
              </w:rPr>
              <w:t xml:space="preserve"> (المراجَع في بوسان، </w:t>
            </w:r>
            <w:r w:rsidR="00855818" w:rsidRPr="0067128F">
              <w:rPr>
                <w:rFonts w:eastAsiaTheme="minorEastAsia"/>
                <w:i/>
                <w:iCs/>
                <w:sz w:val="20"/>
                <w:lang w:eastAsia="zh-CN" w:bidi="ar-SY"/>
              </w:rPr>
              <w:t>2014</w:t>
            </w:r>
            <w:r w:rsidR="00855818" w:rsidRPr="0067128F">
              <w:rPr>
                <w:rFonts w:eastAsiaTheme="minorEastAsia"/>
                <w:i/>
                <w:iCs/>
                <w:sz w:val="20"/>
                <w:rtl/>
                <w:lang w:eastAsia="zh-CN"/>
              </w:rPr>
              <w:t>)</w:t>
            </w:r>
            <w:hyperlink r:id="rId12" w:history="1">
              <w:r w:rsidR="00855818" w:rsidRPr="0067128F">
                <w:rPr>
                  <w:rFonts w:eastAsiaTheme="minorEastAsia"/>
                  <w:i/>
                  <w:iCs/>
                  <w:rtl/>
                </w:rPr>
                <w:t xml:space="preserve"> و</w:t>
              </w:r>
              <w:r w:rsidR="00855818" w:rsidRPr="0067128F">
                <w:rPr>
                  <w:rStyle w:val="Hyperlink"/>
                  <w:rFonts w:eastAsiaTheme="minorEastAsia"/>
                  <w:i/>
                  <w:iCs/>
                  <w:sz w:val="20"/>
                  <w:rtl/>
                  <w:lang w:eastAsia="zh-CN"/>
                </w:rPr>
                <w:t xml:space="preserve">القرار </w:t>
              </w:r>
              <w:r w:rsidR="00855818" w:rsidRPr="0067128F">
                <w:rPr>
                  <w:rStyle w:val="Hyperlink"/>
                  <w:rFonts w:eastAsiaTheme="minorEastAsia"/>
                  <w:i/>
                  <w:iCs/>
                  <w:sz w:val="20"/>
                  <w:lang w:eastAsia="zh-CN" w:bidi="ar-SY"/>
                </w:rPr>
                <w:t>72</w:t>
              </w:r>
            </w:hyperlink>
            <w:r w:rsidR="00855818" w:rsidRPr="0067128F">
              <w:rPr>
                <w:rFonts w:eastAsiaTheme="minorEastAsia"/>
                <w:i/>
                <w:iCs/>
                <w:sz w:val="20"/>
                <w:rtl/>
                <w:lang w:eastAsia="zh-CN"/>
              </w:rPr>
              <w:t xml:space="preserve"> (المراجَع في بوسان، </w:t>
            </w:r>
            <w:r w:rsidR="00855818" w:rsidRPr="0067128F">
              <w:rPr>
                <w:rFonts w:eastAsiaTheme="minorEastAsia"/>
                <w:i/>
                <w:iCs/>
                <w:sz w:val="20"/>
                <w:lang w:eastAsia="zh-CN" w:bidi="ar-SY"/>
              </w:rPr>
              <w:t>2014</w:t>
            </w:r>
            <w:r w:rsidR="00855818" w:rsidRPr="0067128F">
              <w:rPr>
                <w:rFonts w:eastAsiaTheme="minorEastAsia"/>
                <w:i/>
                <w:iCs/>
                <w:sz w:val="20"/>
                <w:rtl/>
                <w:lang w:eastAsia="zh-CN"/>
              </w:rPr>
              <w:t xml:space="preserve">) </w:t>
            </w:r>
            <w:hyperlink r:id="rId13" w:history="1">
              <w:r w:rsidR="00855818" w:rsidRPr="0067128F">
                <w:rPr>
                  <w:rFonts w:eastAsiaTheme="minorEastAsia"/>
                  <w:i/>
                  <w:iCs/>
                  <w:color w:val="0000FF"/>
                  <w:sz w:val="20"/>
                  <w:u w:val="single"/>
                  <w:rtl/>
                </w:rPr>
                <w:br/>
              </w:r>
              <w:r w:rsidR="00855818" w:rsidRPr="0067128F">
                <w:rPr>
                  <w:rFonts w:eastAsiaTheme="minorEastAsia"/>
                  <w:i/>
                  <w:iCs/>
                  <w:rtl/>
                </w:rPr>
                <w:t>و</w:t>
              </w:r>
              <w:r w:rsidR="00855818" w:rsidRPr="0067128F">
                <w:rPr>
                  <w:rStyle w:val="Hyperlink"/>
                  <w:rFonts w:eastAsiaTheme="minorEastAsia"/>
                  <w:i/>
                  <w:iCs/>
                  <w:sz w:val="20"/>
                  <w:rtl/>
                  <w:lang w:eastAsia="zh-CN"/>
                </w:rPr>
                <w:t xml:space="preserve">القرار </w:t>
              </w:r>
              <w:r w:rsidR="00855818" w:rsidRPr="0067128F">
                <w:rPr>
                  <w:rStyle w:val="Hyperlink"/>
                  <w:rFonts w:eastAsiaTheme="minorEastAsia"/>
                  <w:i/>
                  <w:iCs/>
                  <w:sz w:val="20"/>
                  <w:lang w:eastAsia="zh-CN" w:bidi="ar-SY"/>
                </w:rPr>
                <w:t>151</w:t>
              </w:r>
            </w:hyperlink>
            <w:r w:rsidR="00855818" w:rsidRPr="0067128F">
              <w:rPr>
                <w:rFonts w:eastAsiaTheme="minorEastAsia"/>
                <w:i/>
                <w:iCs/>
                <w:sz w:val="20"/>
                <w:rtl/>
                <w:lang w:eastAsia="zh-CN"/>
              </w:rPr>
              <w:t xml:space="preserve"> (المراجَع في بوسان، </w:t>
            </w:r>
            <w:r w:rsidR="00855818" w:rsidRPr="0067128F">
              <w:rPr>
                <w:rFonts w:eastAsiaTheme="minorEastAsia"/>
                <w:i/>
                <w:iCs/>
                <w:sz w:val="20"/>
                <w:lang w:eastAsia="zh-CN" w:bidi="ar-SY"/>
              </w:rPr>
              <w:t>2014</w:t>
            </w:r>
            <w:r w:rsidR="00855818" w:rsidRPr="0067128F">
              <w:rPr>
                <w:rFonts w:eastAsiaTheme="minorEastAsia"/>
                <w:i/>
                <w:iCs/>
                <w:sz w:val="20"/>
                <w:rtl/>
                <w:lang w:eastAsia="zh-CN"/>
              </w:rPr>
              <w:t>)</w:t>
            </w:r>
            <w:hyperlink r:id="rId14" w:history="1">
              <w:r w:rsidR="00855818" w:rsidRPr="0067128F">
                <w:rPr>
                  <w:rFonts w:eastAsiaTheme="minorEastAsia"/>
                  <w:i/>
                  <w:iCs/>
                  <w:rtl/>
                </w:rPr>
                <w:t xml:space="preserve"> و</w:t>
              </w:r>
              <w:r w:rsidR="00855818" w:rsidRPr="0067128F">
                <w:rPr>
                  <w:rStyle w:val="Hyperlink"/>
                  <w:rFonts w:eastAsiaTheme="minorEastAsia"/>
                  <w:i/>
                  <w:iCs/>
                  <w:sz w:val="20"/>
                  <w:rtl/>
                  <w:lang w:eastAsia="zh-CN"/>
                </w:rPr>
                <w:t xml:space="preserve">القرار </w:t>
              </w:r>
              <w:r w:rsidR="00855818" w:rsidRPr="0067128F">
                <w:rPr>
                  <w:rStyle w:val="Hyperlink"/>
                  <w:rFonts w:eastAsiaTheme="minorEastAsia"/>
                  <w:i/>
                  <w:iCs/>
                  <w:sz w:val="20"/>
                  <w:lang w:eastAsia="zh-CN" w:bidi="ar-SY"/>
                </w:rPr>
                <w:t>1384</w:t>
              </w:r>
            </w:hyperlink>
            <w:r w:rsidR="00855818" w:rsidRPr="0067128F">
              <w:rPr>
                <w:rFonts w:eastAsiaTheme="minorEastAsia"/>
                <w:i/>
                <w:iCs/>
                <w:sz w:val="20"/>
                <w:rtl/>
                <w:lang w:eastAsia="zh-CN"/>
              </w:rPr>
              <w:t xml:space="preserve"> </w:t>
            </w:r>
            <w:r w:rsidR="00855818" w:rsidRPr="0067128F">
              <w:rPr>
                <w:rFonts w:eastAsiaTheme="minorEastAsia"/>
                <w:i/>
                <w:iCs/>
                <w:sz w:val="20"/>
                <w:lang w:eastAsia="zh-CN"/>
              </w:rPr>
              <w:t>(</w:t>
            </w:r>
            <w:r w:rsidR="00855818" w:rsidRPr="0067128F">
              <w:rPr>
                <w:rFonts w:eastAsiaTheme="minorEastAsia"/>
                <w:i/>
                <w:iCs/>
                <w:sz w:val="20"/>
                <w:lang w:eastAsia="zh-CN" w:bidi="ar-SY"/>
              </w:rPr>
              <w:t>2017</w:t>
            </w:r>
            <w:r w:rsidR="00855818" w:rsidRPr="0067128F">
              <w:rPr>
                <w:rFonts w:eastAsiaTheme="minorEastAsia"/>
                <w:i/>
                <w:iCs/>
                <w:sz w:val="20"/>
                <w:lang w:eastAsia="zh-CN"/>
              </w:rPr>
              <w:t>)</w:t>
            </w:r>
            <w:r w:rsidR="00855818" w:rsidRPr="0067128F">
              <w:rPr>
                <w:rFonts w:eastAsiaTheme="minorEastAsia"/>
                <w:i/>
                <w:iCs/>
                <w:sz w:val="20"/>
                <w:rtl/>
                <w:lang w:eastAsia="zh-CN"/>
              </w:rPr>
              <w:t xml:space="preserve"> للمجلس </w:t>
            </w:r>
            <w:r w:rsidR="00855818" w:rsidRPr="0067128F">
              <w:rPr>
                <w:rFonts w:eastAsiaTheme="minorEastAsia"/>
                <w:i/>
                <w:iCs/>
                <w:sz w:val="20"/>
                <w:lang w:eastAsia="zh-CN"/>
              </w:rPr>
              <w:br/>
            </w:r>
            <w:r w:rsidR="00855818" w:rsidRPr="0067128F">
              <w:rPr>
                <w:rFonts w:eastAsiaTheme="minorEastAsia"/>
                <w:i/>
                <w:iCs/>
                <w:sz w:val="20"/>
                <w:rtl/>
                <w:lang w:eastAsia="zh-CN"/>
              </w:rPr>
              <w:t>و</w:t>
            </w:r>
            <w:hyperlink r:id="rId15" w:history="1">
              <w:r w:rsidR="00855818" w:rsidRPr="0067128F">
                <w:rPr>
                  <w:rStyle w:val="Hyperlink"/>
                  <w:rFonts w:eastAsiaTheme="minorEastAsia"/>
                  <w:i/>
                  <w:iCs/>
                  <w:sz w:val="20"/>
                  <w:rtl/>
                  <w:lang w:eastAsia="zh-CN"/>
                </w:rPr>
                <w:t xml:space="preserve">القرار </w:t>
              </w:r>
              <w:r w:rsidR="00855818" w:rsidRPr="0067128F">
                <w:rPr>
                  <w:rStyle w:val="Hyperlink"/>
                  <w:rFonts w:eastAsiaTheme="minorEastAsia"/>
                  <w:i/>
                  <w:iCs/>
                  <w:sz w:val="20"/>
                  <w:lang w:eastAsia="zh-CN" w:bidi="ar-SY"/>
                </w:rPr>
                <w:t>1333</w:t>
              </w:r>
            </w:hyperlink>
            <w:r w:rsidR="00855818" w:rsidRPr="0067128F">
              <w:rPr>
                <w:rFonts w:eastAsiaTheme="minorEastAsia"/>
                <w:i/>
                <w:iCs/>
                <w:sz w:val="20"/>
                <w:rtl/>
                <w:lang w:eastAsia="zh-CN"/>
              </w:rPr>
              <w:t xml:space="preserve"> (المراجَع في </w:t>
            </w:r>
            <w:r w:rsidR="00855818" w:rsidRPr="0067128F">
              <w:rPr>
                <w:rFonts w:eastAsiaTheme="minorEastAsia"/>
                <w:i/>
                <w:iCs/>
                <w:sz w:val="20"/>
                <w:lang w:eastAsia="zh-CN" w:bidi="ar-SY"/>
              </w:rPr>
              <w:t>2016</w:t>
            </w:r>
            <w:r w:rsidR="00855818" w:rsidRPr="0067128F">
              <w:rPr>
                <w:rFonts w:eastAsiaTheme="minorEastAsia"/>
                <w:i/>
                <w:iCs/>
                <w:sz w:val="20"/>
                <w:rtl/>
                <w:lang w:eastAsia="zh-CN"/>
              </w:rPr>
              <w:t xml:space="preserve">) للمجلس، ووثائق المجلس: </w:t>
            </w:r>
            <w:hyperlink r:id="rId16" w:history="1">
              <w:r w:rsidR="00855818" w:rsidRPr="0067128F">
                <w:rPr>
                  <w:rStyle w:val="Hyperlink"/>
                  <w:rFonts w:eastAsiaTheme="minorEastAsia"/>
                  <w:i/>
                  <w:iCs/>
                  <w:sz w:val="20"/>
                  <w:lang w:eastAsia="zh-CN" w:bidi="ar-SY"/>
                </w:rPr>
                <w:t>C17/75</w:t>
              </w:r>
            </w:hyperlink>
            <w:r w:rsidR="00855818" w:rsidRPr="0067128F">
              <w:rPr>
                <w:rFonts w:eastAsiaTheme="minorEastAsia"/>
                <w:i/>
                <w:iCs/>
                <w:sz w:val="20"/>
                <w:rtl/>
                <w:lang w:eastAsia="zh-CN"/>
              </w:rPr>
              <w:t xml:space="preserve"> و</w:t>
            </w:r>
            <w:hyperlink r:id="rId17" w:history="1">
              <w:r w:rsidR="00855818" w:rsidRPr="0067128F">
                <w:rPr>
                  <w:rStyle w:val="Hyperlink"/>
                  <w:rFonts w:eastAsiaTheme="minorEastAsia"/>
                  <w:i/>
                  <w:iCs/>
                  <w:sz w:val="20"/>
                  <w:lang w:eastAsia="zh-CN" w:bidi="ar-SY"/>
                </w:rPr>
                <w:t>C17/35</w:t>
              </w:r>
            </w:hyperlink>
            <w:r w:rsidR="00855818" w:rsidRPr="0067128F">
              <w:rPr>
                <w:rFonts w:eastAsiaTheme="minorEastAsia"/>
                <w:i/>
                <w:iCs/>
                <w:sz w:val="20"/>
                <w:rtl/>
                <w:lang w:eastAsia="zh-CN"/>
              </w:rPr>
              <w:t xml:space="preserve"> و</w:t>
            </w:r>
            <w:hyperlink r:id="rId18" w:history="1">
              <w:r w:rsidR="00855818" w:rsidRPr="0067128F">
                <w:rPr>
                  <w:rStyle w:val="Hyperlink"/>
                  <w:rFonts w:eastAsiaTheme="minorEastAsia"/>
                  <w:i/>
                  <w:iCs/>
                  <w:sz w:val="20"/>
                  <w:lang w:eastAsia="zh-CN" w:bidi="ar-SY"/>
                </w:rPr>
                <w:t>C17/39</w:t>
              </w:r>
            </w:hyperlink>
            <w:r w:rsidR="00855818" w:rsidRPr="0067128F">
              <w:rPr>
                <w:rFonts w:eastAsiaTheme="minorEastAsia"/>
                <w:i/>
                <w:iCs/>
                <w:sz w:val="20"/>
                <w:rtl/>
                <w:lang w:eastAsia="zh-CN"/>
              </w:rPr>
              <w:t xml:space="preserve"> و</w:t>
            </w:r>
            <w:hyperlink r:id="rId19" w:history="1">
              <w:r w:rsidR="00855818" w:rsidRPr="0067128F">
                <w:rPr>
                  <w:rStyle w:val="Hyperlink"/>
                  <w:rFonts w:eastAsiaTheme="minorEastAsia"/>
                  <w:i/>
                  <w:iCs/>
                  <w:sz w:val="20"/>
                  <w:lang w:eastAsia="zh-CN" w:bidi="ar-SY"/>
                </w:rPr>
                <w:t>C17/111</w:t>
              </w:r>
            </w:hyperlink>
            <w:r w:rsidR="00855818" w:rsidRPr="0067128F">
              <w:rPr>
                <w:rFonts w:eastAsiaTheme="minorEastAsia"/>
                <w:i/>
                <w:iCs/>
                <w:sz w:val="20"/>
                <w:rtl/>
                <w:lang w:eastAsia="zh-CN"/>
              </w:rPr>
              <w:t xml:space="preserve">؛ </w:t>
            </w:r>
            <w:hyperlink r:id="rId20" w:history="1">
              <w:r w:rsidR="00855818" w:rsidRPr="0067128F">
                <w:rPr>
                  <w:rFonts w:eastAsiaTheme="minorEastAsia"/>
                  <w:i/>
                  <w:iCs/>
                  <w:rtl/>
                </w:rPr>
                <w:t>و</w:t>
              </w:r>
              <w:r w:rsidR="00855818" w:rsidRPr="0067128F">
                <w:rPr>
                  <w:rStyle w:val="Hyperlink"/>
                  <w:rFonts w:eastAsiaTheme="minorEastAsia"/>
                  <w:i/>
                  <w:iCs/>
                  <w:sz w:val="20"/>
                  <w:rtl/>
                  <w:lang w:eastAsia="zh-CN"/>
                </w:rPr>
                <w:t xml:space="preserve">الوثيقة </w:t>
              </w:r>
              <w:r w:rsidR="00855818" w:rsidRPr="0067128F">
                <w:rPr>
                  <w:rStyle w:val="Hyperlink"/>
                  <w:rFonts w:eastAsiaTheme="minorEastAsia"/>
                  <w:i/>
                  <w:iCs/>
                  <w:sz w:val="20"/>
                  <w:lang w:eastAsia="zh-CN" w:bidi="ar-SY"/>
                </w:rPr>
                <w:t>TDAG17-22/</w:t>
              </w:r>
              <w:bookmarkStart w:id="1" w:name="DocNo1"/>
              <w:bookmarkEnd w:id="1"/>
              <w:r w:rsidR="00855818" w:rsidRPr="0067128F">
                <w:rPr>
                  <w:rStyle w:val="Hyperlink"/>
                  <w:rFonts w:eastAsiaTheme="minorEastAsia"/>
                  <w:i/>
                  <w:iCs/>
                  <w:sz w:val="20"/>
                  <w:lang w:eastAsia="zh-CN" w:bidi="ar-SY"/>
                </w:rPr>
                <w:t>7</w:t>
              </w:r>
              <w:r w:rsidR="00855818" w:rsidRPr="0067128F">
                <w:rPr>
                  <w:rStyle w:val="Hyperlink"/>
                  <w:rFonts w:eastAsiaTheme="minorEastAsia"/>
                  <w:i/>
                  <w:iCs/>
                  <w:sz w:val="20"/>
                  <w:rtl/>
                  <w:lang w:eastAsia="zh-CN"/>
                </w:rPr>
                <w:t xml:space="preserve"> للفريق الاستشاري لتنمية الاتصالات</w:t>
              </w:r>
            </w:hyperlink>
          </w:p>
        </w:tc>
      </w:tr>
    </w:tbl>
    <w:p w:rsidR="00855818" w:rsidRDefault="00855818" w:rsidP="00855818">
      <w:pPr>
        <w:pStyle w:val="Heading1"/>
        <w:rPr>
          <w:rtl/>
          <w:lang w:val="en-GB"/>
        </w:rPr>
      </w:pPr>
      <w:r>
        <w:lastRenderedPageBreak/>
        <w:t>1</w:t>
      </w:r>
      <w:r>
        <w:rPr>
          <w:rtl/>
        </w:rPr>
        <w:tab/>
        <w:t>مقدمة</w:t>
      </w:r>
    </w:p>
    <w:p w:rsidR="00855818" w:rsidRDefault="00855818" w:rsidP="0067128F">
      <w:pPr>
        <w:keepNext/>
        <w:keepLines/>
      </w:pPr>
      <w:r>
        <w:t>1.1</w:t>
      </w:r>
      <w:r>
        <w:tab/>
      </w:r>
      <w:r>
        <w:rPr>
          <w:rtl/>
        </w:rPr>
        <w:t xml:space="preserve">اعتمد مجلس الاتحاد في دورته لعام </w:t>
      </w:r>
      <w:r>
        <w:t>2017</w:t>
      </w:r>
      <w:r>
        <w:rPr>
          <w:rtl/>
        </w:rPr>
        <w:t xml:space="preserve">، في جلسته العامة الثالثة، </w:t>
      </w:r>
      <w:hyperlink r:id="rId21" w:history="1">
        <w:r>
          <w:rPr>
            <w:rStyle w:val="Hyperlink"/>
            <w:rtl/>
          </w:rPr>
          <w:t xml:space="preserve">القرار </w:t>
        </w:r>
        <w:r>
          <w:rPr>
            <w:rStyle w:val="Hyperlink"/>
          </w:rPr>
          <w:t>1384</w:t>
        </w:r>
      </w:hyperlink>
      <w:r>
        <w:rPr>
          <w:rtl/>
        </w:rPr>
        <w:t xml:space="preserve"> الذي أنشئ بموجبه فريق العمل التابع للمجلس المعني بإعداد مشروعيْ الخطتين الاستراتيجية والمالية للفترة </w:t>
      </w:r>
      <w:r>
        <w:t>2023-2020</w:t>
      </w:r>
      <w:r>
        <w:rPr>
          <w:rtl/>
        </w:rPr>
        <w:t xml:space="preserve"> </w:t>
      </w:r>
      <w:r>
        <w:t>(CWG-SFP)</w:t>
      </w:r>
      <w:r>
        <w:rPr>
          <w:rtl/>
        </w:rPr>
        <w:t>. ويتضمن القرار اختصاصات الفريق. وهذا الفريق مفتوح لجميع الدول الأعضاء ومفتوح كذلك لجميع أعضاء القطاعات عند تناوله للخطة الاستراتيجية.</w:t>
      </w:r>
    </w:p>
    <w:p w:rsidR="00855818" w:rsidRDefault="00855818" w:rsidP="00855818">
      <w:pPr>
        <w:pStyle w:val="Heading1"/>
        <w:widowControl w:val="0"/>
        <w:rPr>
          <w:rtl/>
        </w:rPr>
      </w:pPr>
      <w:r>
        <w:t>2</w:t>
      </w:r>
      <w:r>
        <w:rPr>
          <w:rtl/>
        </w:rPr>
        <w:tab/>
        <w:t>كلمة ترحيب</w:t>
      </w:r>
    </w:p>
    <w:p w:rsidR="00855818" w:rsidRDefault="00855818" w:rsidP="00855818">
      <w:pPr>
        <w:keepNext/>
        <w:keepLines/>
        <w:widowControl w:val="0"/>
        <w:rPr>
          <w:rtl/>
        </w:rPr>
      </w:pPr>
      <w:r>
        <w:t>1.2</w:t>
      </w:r>
      <w:r>
        <w:rPr>
          <w:rtl/>
        </w:rPr>
        <w:tab/>
        <w:t xml:space="preserve">رحب الرئيس بالمشاركين وأشار إلى أهمية الخطتين الاستراتيجية والمالية بالنسبة إلى الاتحاد. وذكّر المشاركين بأن الغرض من الفريق يتمثل في إعداد مشروعيْ الخطتين لكي ينظر فيهما المجلس في دورته لعام </w:t>
      </w:r>
      <w:r>
        <w:t>2018</w:t>
      </w:r>
      <w:r>
        <w:rPr>
          <w:rtl/>
        </w:rPr>
        <w:t xml:space="preserve"> وإحالتهما إلى مؤتمر المندوبين المفوضين لعام </w:t>
      </w:r>
      <w:r>
        <w:t>2018</w:t>
      </w:r>
      <w:r>
        <w:rPr>
          <w:rtl/>
        </w:rPr>
        <w:t xml:space="preserve"> من أجل اعتمادهما. وأعرب الرئيس عن رغبته في أن يتسم فريق العمل التابع للمجلس هذا والعملية بأكملها بالانفتاح والشفافية والشمول قدر الإمكان.</w:t>
      </w:r>
    </w:p>
    <w:p w:rsidR="00855818" w:rsidRDefault="00855818" w:rsidP="00855818">
      <w:pPr>
        <w:rPr>
          <w:spacing w:val="-4"/>
          <w:rtl/>
        </w:rPr>
      </w:pPr>
      <w:r>
        <w:t>2.2</w:t>
      </w:r>
      <w:r>
        <w:rPr>
          <w:rtl/>
        </w:rPr>
        <w:tab/>
      </w:r>
      <w:r>
        <w:rPr>
          <w:spacing w:val="-4"/>
          <w:rtl/>
        </w:rPr>
        <w:t>ورحب الأمين العام بالمشاركين وهنّأ الرئيس على تعيينه وشدد على أهمية العمل الذي يضطلع به الفريق بالنسبة إلى الاتحاد.</w:t>
      </w:r>
    </w:p>
    <w:p w:rsidR="00855818" w:rsidRDefault="00855818" w:rsidP="00855818">
      <w:pPr>
        <w:rPr>
          <w:rtl/>
        </w:rPr>
      </w:pPr>
      <w:r>
        <w:t>3.2</w:t>
      </w:r>
      <w:r>
        <w:rPr>
          <w:rtl/>
        </w:rPr>
        <w:tab/>
        <w:t xml:space="preserve">وأُبلغ فريق العمل التابع للمجلس بإنشاء فريق مشترك بين القطاعات في الأمانة يرأسه مدير مكتب الاتصالات الراديوية، السيد فرانسوا </w:t>
      </w:r>
      <w:proofErr w:type="spellStart"/>
      <w:r>
        <w:rPr>
          <w:rtl/>
        </w:rPr>
        <w:t>رانسي</w:t>
      </w:r>
      <w:proofErr w:type="spellEnd"/>
      <w:r>
        <w:rPr>
          <w:rtl/>
        </w:rPr>
        <w:t>، لتنسيق المدخلات التي تقدمها الأمانة إلى فريق العمل.</w:t>
      </w:r>
    </w:p>
    <w:p w:rsidR="00855818" w:rsidRDefault="00855818" w:rsidP="00344CF1">
      <w:pPr>
        <w:rPr>
          <w:rtl/>
        </w:rPr>
      </w:pPr>
      <w:r>
        <w:t>4.2</w:t>
      </w:r>
      <w:r>
        <w:rPr>
          <w:rtl/>
        </w:rPr>
        <w:tab/>
        <w:t xml:space="preserve">وينبغي اتخاذ قرار </w:t>
      </w:r>
      <w:r w:rsidR="00344CF1">
        <w:rPr>
          <w:rFonts w:hint="cs"/>
          <w:rtl/>
        </w:rPr>
        <w:t xml:space="preserve">بشأن </w:t>
      </w:r>
      <w:r>
        <w:rPr>
          <w:rtl/>
        </w:rPr>
        <w:t>نواب رئيس فريق العمل في جلسة عامة أخرى لدورة المجلس لعام </w:t>
      </w:r>
      <w:r>
        <w:t>2017</w:t>
      </w:r>
      <w:r>
        <w:rPr>
          <w:rtl/>
        </w:rPr>
        <w:t>.</w:t>
      </w:r>
    </w:p>
    <w:p w:rsidR="00855818" w:rsidRPr="0067128F" w:rsidRDefault="00855818" w:rsidP="00855818">
      <w:pPr>
        <w:pStyle w:val="Heading1"/>
        <w:rPr>
          <w:rtl/>
        </w:rPr>
      </w:pPr>
      <w:r w:rsidRPr="0067128F">
        <w:t>3</w:t>
      </w:r>
      <w:r w:rsidRPr="0067128F">
        <w:rPr>
          <w:rtl/>
        </w:rPr>
        <w:tab/>
        <w:t xml:space="preserve">إقرار جدول الأعمال (الوثيقة </w:t>
      </w:r>
      <w:hyperlink r:id="rId22" w:history="1">
        <w:r w:rsidRPr="0067128F">
          <w:rPr>
            <w:rStyle w:val="Hyperlink"/>
            <w:sz w:val="26"/>
            <w:szCs w:val="36"/>
          </w:rPr>
          <w:t>CWG SFP/01</w:t>
        </w:r>
      </w:hyperlink>
      <w:r w:rsidRPr="0067128F">
        <w:rPr>
          <w:rtl/>
        </w:rPr>
        <w:t>)</w:t>
      </w:r>
    </w:p>
    <w:p w:rsidR="00855818" w:rsidRDefault="00855818" w:rsidP="00855818">
      <w:pPr>
        <w:rPr>
          <w:rtl/>
        </w:rPr>
      </w:pPr>
      <w:r>
        <w:t>1.3</w:t>
      </w:r>
      <w:r>
        <w:rPr>
          <w:rtl/>
        </w:rPr>
        <w:tab/>
        <w:t xml:space="preserve">تم إقرار جدول الأعمال (الوثيقة </w:t>
      </w:r>
      <w:r>
        <w:t>CWG SFP/01</w:t>
      </w:r>
      <w:r>
        <w:rPr>
          <w:rtl/>
        </w:rPr>
        <w:t>) بدون أي اعتراض.</w:t>
      </w:r>
    </w:p>
    <w:p w:rsidR="00855818" w:rsidRPr="0067128F" w:rsidRDefault="00855818" w:rsidP="0067128F">
      <w:pPr>
        <w:pStyle w:val="Heading1"/>
        <w:rPr>
          <w:rtl/>
        </w:rPr>
      </w:pPr>
      <w:r w:rsidRPr="0067128F">
        <w:t>4</w:t>
      </w:r>
      <w:r w:rsidRPr="0067128F">
        <w:rPr>
          <w:rtl/>
        </w:rPr>
        <w:tab/>
        <w:t xml:space="preserve">نظرة عامة بشأن القرار </w:t>
      </w:r>
      <w:r w:rsidRPr="0067128F">
        <w:t>1384</w:t>
      </w:r>
      <w:r w:rsidRPr="0067128F">
        <w:rPr>
          <w:rtl/>
        </w:rPr>
        <w:t xml:space="preserve"> (المجلس</w:t>
      </w:r>
      <w:r w:rsidR="00344CF1" w:rsidRPr="0067128F">
        <w:rPr>
          <w:rFonts w:hint="cs"/>
          <w:rtl/>
        </w:rPr>
        <w:t>،</w:t>
      </w:r>
      <w:r w:rsidRPr="0067128F">
        <w:rPr>
          <w:rtl/>
        </w:rPr>
        <w:t xml:space="preserve"> </w:t>
      </w:r>
      <w:r w:rsidRPr="0067128F">
        <w:t>2017</w:t>
      </w:r>
      <w:r w:rsidRPr="0067128F">
        <w:rPr>
          <w:rtl/>
        </w:rPr>
        <w:t xml:space="preserve">) (الوثيقة </w:t>
      </w:r>
      <w:hyperlink r:id="rId23" w:history="1">
        <w:r w:rsidRPr="0067128F">
          <w:rPr>
            <w:rStyle w:val="Hyperlink"/>
            <w:sz w:val="26"/>
            <w:szCs w:val="36"/>
          </w:rPr>
          <w:t>CWG-SFP-INF/1/1</w:t>
        </w:r>
      </w:hyperlink>
      <w:r w:rsidR="0067128F" w:rsidRPr="0067128F">
        <w:rPr>
          <w:rtl/>
        </w:rPr>
        <w:t>)</w:t>
      </w:r>
    </w:p>
    <w:p w:rsidR="00855818" w:rsidRDefault="00855818" w:rsidP="00855818">
      <w:pPr>
        <w:rPr>
          <w:rtl/>
        </w:rPr>
      </w:pPr>
      <w:r>
        <w:t>1.4</w:t>
      </w:r>
      <w:r>
        <w:rPr>
          <w:rtl/>
        </w:rPr>
        <w:tab/>
        <w:t xml:space="preserve">عرض الرئيس القرار </w:t>
      </w:r>
      <w:r>
        <w:t>1384</w:t>
      </w:r>
      <w:r>
        <w:rPr>
          <w:rtl/>
        </w:rPr>
        <w:t xml:space="preserve"> (المجلس</w:t>
      </w:r>
      <w:r w:rsidR="00344CF1">
        <w:rPr>
          <w:rFonts w:hint="cs"/>
          <w:rtl/>
        </w:rPr>
        <w:t>،</w:t>
      </w:r>
      <w:r>
        <w:rPr>
          <w:rtl/>
        </w:rPr>
        <w:t xml:space="preserve"> </w:t>
      </w:r>
      <w:r>
        <w:t>2017</w:t>
      </w:r>
      <w:r>
        <w:rPr>
          <w:rtl/>
        </w:rPr>
        <w:t>) الذي أُنشئ بموجبه فريق العمل التابع للمجلس المعني بالخطتين الاستراتيجية والمالية </w:t>
      </w:r>
      <w:r>
        <w:t>(CWG-SFP)</w:t>
      </w:r>
      <w:r>
        <w:rPr>
          <w:rtl/>
        </w:rPr>
        <w:t xml:space="preserve">. ووافق الفريق على تضمين تقرير الرئيس توضيحاً بأن مشروعيْ الخطتين سيعرضان أولاً على المجلس كي يوافق عليهما في دورته العادية لعام </w:t>
      </w:r>
      <w:r>
        <w:t>2018</w:t>
      </w:r>
      <w:r>
        <w:rPr>
          <w:rtl/>
        </w:rPr>
        <w:t xml:space="preserve"> التي ستُعقد في شهر أبريل.</w:t>
      </w:r>
    </w:p>
    <w:p w:rsidR="00855818" w:rsidRPr="0067128F" w:rsidRDefault="00855818" w:rsidP="0067128F">
      <w:pPr>
        <w:pStyle w:val="Heading1"/>
        <w:rPr>
          <w:rtl/>
        </w:rPr>
      </w:pPr>
      <w:r w:rsidRPr="0067128F">
        <w:t>5</w:t>
      </w:r>
      <w:r w:rsidRPr="0067128F">
        <w:rPr>
          <w:rtl/>
        </w:rPr>
        <w:tab/>
        <w:t>عرض بشأن العملية المقترحة لإعداد الخطتين الاستراتيجية والمالية ل</w:t>
      </w:r>
      <w:r w:rsidR="00344CF1" w:rsidRPr="0067128F">
        <w:rPr>
          <w:rFonts w:hint="cs"/>
          <w:rtl/>
        </w:rPr>
        <w:t>لاتحاد من أجل ا</w:t>
      </w:r>
      <w:r w:rsidRPr="0067128F">
        <w:rPr>
          <w:rtl/>
        </w:rPr>
        <w:t>لفترة </w:t>
      </w:r>
      <w:r w:rsidRPr="0067128F">
        <w:t>2023</w:t>
      </w:r>
      <w:r w:rsidRPr="0067128F">
        <w:noBreakHyphen/>
        <w:t>2020</w:t>
      </w:r>
      <w:r w:rsidRPr="0067128F">
        <w:rPr>
          <w:rtl/>
        </w:rPr>
        <w:t xml:space="preserve"> (الوثيقة </w:t>
      </w:r>
      <w:hyperlink r:id="rId24" w:history="1">
        <w:r w:rsidRPr="0067128F">
          <w:rPr>
            <w:rStyle w:val="Hyperlink"/>
            <w:sz w:val="26"/>
            <w:szCs w:val="36"/>
          </w:rPr>
          <w:t>CWG SFP/02</w:t>
        </w:r>
      </w:hyperlink>
      <w:r w:rsidR="0067128F" w:rsidRPr="0067128F">
        <w:rPr>
          <w:rtl/>
        </w:rPr>
        <w:t>)</w:t>
      </w:r>
    </w:p>
    <w:p w:rsidR="00855818" w:rsidRDefault="00855818" w:rsidP="00855818">
      <w:pPr>
        <w:rPr>
          <w:rtl/>
        </w:rPr>
      </w:pPr>
      <w:r>
        <w:t>1.5</w:t>
      </w:r>
      <w:r>
        <w:rPr>
          <w:b/>
          <w:bCs/>
          <w:rtl/>
        </w:rPr>
        <w:tab/>
      </w:r>
      <w:r>
        <w:rPr>
          <w:rtl/>
        </w:rPr>
        <w:t xml:space="preserve">عرضت الأمانة (رئيسة دائرة التخطيط الاستراتيجي وشؤون الأعضاء </w:t>
      </w:r>
      <w:r>
        <w:t>(SPM)</w:t>
      </w:r>
      <w:r>
        <w:rPr>
          <w:rtl/>
        </w:rPr>
        <w:t>/شعبة الاستراتيجيات المؤسسية </w:t>
      </w:r>
      <w:r>
        <w:t>(CSD)</w:t>
      </w:r>
      <w:r>
        <w:rPr>
          <w:rtl/>
        </w:rPr>
        <w:t>) العملية المقترحة والجدول الزمني المقترح لإعداد الخطتين. وشمل هذا العرض:</w:t>
      </w:r>
    </w:p>
    <w:p w:rsidR="00855818" w:rsidRDefault="00855818" w:rsidP="00855818">
      <w:pPr>
        <w:pStyle w:val="enumlev1"/>
        <w:rPr>
          <w:rtl/>
        </w:rPr>
      </w:pPr>
      <w:r>
        <w:rPr>
          <w:rFonts w:ascii="Times New Roman" w:hAnsi="Times New Roman" w:cs="Times New Roman"/>
          <w:rtl/>
        </w:rPr>
        <w:t>•</w:t>
      </w:r>
      <w:r>
        <w:tab/>
      </w:r>
      <w:r>
        <w:rPr>
          <w:rtl/>
        </w:rPr>
        <w:t xml:space="preserve">مَدخلاً إلى الإطار الاستراتيجي الحالي للفترة </w:t>
      </w:r>
      <w:r>
        <w:t>2019</w:t>
      </w:r>
      <w:r>
        <w:noBreakHyphen/>
        <w:t>2016</w:t>
      </w:r>
      <w:r>
        <w:rPr>
          <w:rtl/>
        </w:rPr>
        <w:t xml:space="preserve"> والعناصر الجديدة المعتمدة والدروس المستفادة من تنفيذه؛</w:t>
      </w:r>
    </w:p>
    <w:p w:rsidR="00855818" w:rsidRDefault="00855818" w:rsidP="00855818">
      <w:pPr>
        <w:pStyle w:val="enumlev1"/>
        <w:rPr>
          <w:rtl/>
        </w:rPr>
      </w:pPr>
      <w:r>
        <w:rPr>
          <w:rFonts w:ascii="Times New Roman" w:hAnsi="Times New Roman" w:cs="Times New Roman"/>
          <w:rtl/>
        </w:rPr>
        <w:t>•</w:t>
      </w:r>
      <w:r>
        <w:tab/>
      </w:r>
      <w:r>
        <w:rPr>
          <w:rtl/>
        </w:rPr>
        <w:t>وصفاً للعملية التي ينبغي اتباعها في إعداد مشروع الخطة المالية؛</w:t>
      </w:r>
    </w:p>
    <w:p w:rsidR="00855818" w:rsidRDefault="00855818" w:rsidP="00855818">
      <w:pPr>
        <w:pStyle w:val="enumlev1"/>
      </w:pPr>
      <w:r>
        <w:rPr>
          <w:rFonts w:ascii="Times New Roman" w:hAnsi="Times New Roman" w:cs="Times New Roman"/>
          <w:rtl/>
        </w:rPr>
        <w:t>•</w:t>
      </w:r>
      <w:r>
        <w:tab/>
      </w:r>
      <w:r>
        <w:rPr>
          <w:rtl/>
        </w:rPr>
        <w:t>التطورات الرئيسية التي يتعين مراعاتها في إعداد الخطة الاستراتيجية.</w:t>
      </w:r>
    </w:p>
    <w:p w:rsidR="00855818" w:rsidRDefault="00855818" w:rsidP="00855818">
      <w:r>
        <w:t>2.5</w:t>
      </w:r>
      <w:r>
        <w:rPr>
          <w:rtl/>
        </w:rPr>
        <w:tab/>
        <w:t xml:space="preserve">وأخذ الفريق علماً بالتوجهات التكنولوجية الجديدة وخطة </w:t>
      </w:r>
      <w:r>
        <w:t>2030</w:t>
      </w:r>
      <w:r>
        <w:rPr>
          <w:rtl/>
        </w:rPr>
        <w:t>، بما في ذلك أهداف التنمية المستدامة ومقاصدها، والحاجة إلى أخذها بعين الاعتبار عند وضع الخطة الاستراتيجية.</w:t>
      </w:r>
    </w:p>
    <w:p w:rsidR="00855818" w:rsidRDefault="00855818" w:rsidP="00855818">
      <w:pPr>
        <w:rPr>
          <w:rtl/>
        </w:rPr>
      </w:pPr>
      <w:r>
        <w:t>3.5</w:t>
      </w:r>
      <w:r>
        <w:rPr>
          <w:rtl/>
        </w:rPr>
        <w:tab/>
        <w:t>واتفق الفريق على أن تكون مواعيد اجتماعات الفريق على النحو التالي:</w:t>
      </w:r>
    </w:p>
    <w:p w:rsidR="00855818" w:rsidRDefault="00855818" w:rsidP="00855818">
      <w:pPr>
        <w:pStyle w:val="enumlev1"/>
        <w:rPr>
          <w:spacing w:val="-6"/>
          <w:rtl/>
        </w:rPr>
      </w:pPr>
      <w:r>
        <w:rPr>
          <w:rFonts w:ascii="Times New Roman" w:hAnsi="Times New Roman" w:cs="Times New Roman"/>
          <w:spacing w:val="-6"/>
          <w:rtl/>
        </w:rPr>
        <w:t>•</w:t>
      </w:r>
      <w:r>
        <w:rPr>
          <w:spacing w:val="-6"/>
        </w:rPr>
        <w:tab/>
      </w:r>
      <w:r>
        <w:rPr>
          <w:spacing w:val="-6"/>
          <w:rtl/>
        </w:rPr>
        <w:t>الاجتماع الثاني: اجتماع لمدة يومين أثناء مجموعة اجتماعات أفرقة العمل التابعة للمجلس التي ستعقد في سبتمبر </w:t>
      </w:r>
      <w:r>
        <w:rPr>
          <w:spacing w:val="-6"/>
        </w:rPr>
        <w:t>2017</w:t>
      </w:r>
      <w:r>
        <w:rPr>
          <w:spacing w:val="-6"/>
          <w:rtl/>
        </w:rPr>
        <w:t>؛</w:t>
      </w:r>
    </w:p>
    <w:p w:rsidR="00855818" w:rsidRDefault="00855818" w:rsidP="00855818">
      <w:pPr>
        <w:pStyle w:val="enumlev1"/>
        <w:rPr>
          <w:spacing w:val="-6"/>
          <w:rtl/>
        </w:rPr>
      </w:pPr>
      <w:r>
        <w:rPr>
          <w:rFonts w:ascii="Times New Roman" w:hAnsi="Times New Roman" w:cs="Times New Roman"/>
          <w:rtl/>
        </w:rPr>
        <w:lastRenderedPageBreak/>
        <w:t>•</w:t>
      </w:r>
      <w:r>
        <w:tab/>
      </w:r>
      <w:r>
        <w:rPr>
          <w:spacing w:val="-6"/>
          <w:rtl/>
        </w:rPr>
        <w:t>الاجتماع الثالث: اجتماع لمدة يومين أثناء مجموعة اجتماعات أفرقة العمل التابعة للمجلس التي ستعقد في يناير/فبراير </w:t>
      </w:r>
      <w:r>
        <w:rPr>
          <w:spacing w:val="-6"/>
        </w:rPr>
        <w:t>2018</w:t>
      </w:r>
      <w:r>
        <w:rPr>
          <w:spacing w:val="-6"/>
          <w:rtl/>
        </w:rPr>
        <w:t>؛</w:t>
      </w:r>
    </w:p>
    <w:p w:rsidR="00855818" w:rsidRDefault="00855818" w:rsidP="00855818">
      <w:pPr>
        <w:pStyle w:val="enumlev1"/>
      </w:pPr>
      <w:r>
        <w:rPr>
          <w:rFonts w:ascii="Times New Roman" w:hAnsi="Times New Roman" w:cs="Times New Roman"/>
          <w:rtl/>
        </w:rPr>
        <w:t>•</w:t>
      </w:r>
      <w:r>
        <w:tab/>
      </w:r>
      <w:r>
        <w:rPr>
          <w:rtl/>
        </w:rPr>
        <w:t xml:space="preserve">الاجتماع الرابع: اجتماع لمدة يوم أو يومين قبل انعقاد دورة المجلس لعام </w:t>
      </w:r>
      <w:r>
        <w:t>2018</w:t>
      </w:r>
      <w:r>
        <w:rPr>
          <w:rtl/>
        </w:rPr>
        <w:t>.</w:t>
      </w:r>
    </w:p>
    <w:p w:rsidR="00855818" w:rsidRDefault="00855818" w:rsidP="00855818">
      <w:r>
        <w:t>4.5</w:t>
      </w:r>
      <w:r>
        <w:rPr>
          <w:rtl/>
        </w:rPr>
        <w:tab/>
        <w:t>واتفق الفريق على الحاجة إلى الترجمة الشفوية والترجمة التحريرية إلى اللغات الرسمية الست للاتحاد، وعلى آليات المشاركة الفعّالة عن بُعد في جميع اجتماعات فريق العمل التابع للمجلس المعني بالخطتين الاستراتيجية والمالية.</w:t>
      </w:r>
    </w:p>
    <w:p w:rsidR="00855818" w:rsidRPr="0067128F" w:rsidRDefault="00855818" w:rsidP="0067128F">
      <w:pPr>
        <w:pStyle w:val="Heading1"/>
        <w:rPr>
          <w:spacing w:val="6"/>
          <w:lang w:val="en-CA"/>
        </w:rPr>
      </w:pPr>
      <w:r w:rsidRPr="0067128F">
        <w:rPr>
          <w:spacing w:val="6"/>
        </w:rPr>
        <w:t>6</w:t>
      </w:r>
      <w:r w:rsidRPr="0067128F">
        <w:rPr>
          <w:spacing w:val="6"/>
          <w:rtl/>
        </w:rPr>
        <w:tab/>
        <w:t xml:space="preserve">استعراض الخطة الاستراتيجية للاتحاد للفترة </w:t>
      </w:r>
      <w:r w:rsidRPr="0067128F">
        <w:rPr>
          <w:spacing w:val="6"/>
        </w:rPr>
        <w:t>2019</w:t>
      </w:r>
      <w:r w:rsidRPr="0067128F">
        <w:rPr>
          <w:spacing w:val="6"/>
        </w:rPr>
        <w:noBreakHyphen/>
        <w:t>2016</w:t>
      </w:r>
      <w:r w:rsidRPr="0067128F">
        <w:rPr>
          <w:spacing w:val="6"/>
          <w:rtl/>
        </w:rPr>
        <w:t xml:space="preserve">، القرارات </w:t>
      </w:r>
      <w:r w:rsidRPr="0067128F">
        <w:rPr>
          <w:spacing w:val="6"/>
        </w:rPr>
        <w:t>71</w:t>
      </w:r>
      <w:r w:rsidRPr="0067128F">
        <w:rPr>
          <w:spacing w:val="6"/>
          <w:rtl/>
        </w:rPr>
        <w:t xml:space="preserve"> و</w:t>
      </w:r>
      <w:r w:rsidRPr="0067128F">
        <w:rPr>
          <w:spacing w:val="6"/>
        </w:rPr>
        <w:t>72</w:t>
      </w:r>
      <w:r w:rsidRPr="0067128F">
        <w:rPr>
          <w:spacing w:val="6"/>
          <w:rtl/>
        </w:rPr>
        <w:t xml:space="preserve"> و</w:t>
      </w:r>
      <w:r w:rsidRPr="0067128F">
        <w:rPr>
          <w:spacing w:val="6"/>
        </w:rPr>
        <w:t>151</w:t>
      </w:r>
      <w:r w:rsidRPr="0067128F">
        <w:rPr>
          <w:spacing w:val="6"/>
          <w:rtl/>
        </w:rPr>
        <w:t xml:space="preserve"> و</w:t>
      </w:r>
      <w:r w:rsidRPr="0067128F">
        <w:rPr>
          <w:spacing w:val="6"/>
        </w:rPr>
        <w:t>191</w:t>
      </w:r>
      <w:r w:rsidR="0067128F" w:rsidRPr="0067128F">
        <w:rPr>
          <w:rFonts w:hint="cs"/>
          <w:spacing w:val="6"/>
          <w:rtl/>
        </w:rPr>
        <w:t xml:space="preserve"> </w:t>
      </w:r>
      <w:r w:rsidRPr="0067128F">
        <w:rPr>
          <w:spacing w:val="6"/>
          <w:rtl/>
        </w:rPr>
        <w:t>و</w:t>
      </w:r>
      <w:r w:rsidRPr="0067128F">
        <w:rPr>
          <w:spacing w:val="6"/>
        </w:rPr>
        <w:t>200</w:t>
      </w:r>
      <w:r w:rsidRPr="0067128F">
        <w:rPr>
          <w:spacing w:val="6"/>
          <w:rtl/>
        </w:rPr>
        <w:t xml:space="preserve"> (الوثيقة </w:t>
      </w:r>
      <w:hyperlink r:id="rId25" w:history="1">
        <w:r w:rsidRPr="0067128F">
          <w:rPr>
            <w:rStyle w:val="Hyperlink"/>
            <w:spacing w:val="6"/>
            <w:sz w:val="26"/>
            <w:szCs w:val="36"/>
          </w:rPr>
          <w:t>CWG-SFP</w:t>
        </w:r>
        <w:r w:rsidRPr="0067128F">
          <w:rPr>
            <w:rStyle w:val="Hyperlink"/>
            <w:spacing w:val="6"/>
            <w:sz w:val="26"/>
            <w:szCs w:val="36"/>
          </w:rPr>
          <w:noBreakHyphen/>
          <w:t>INF/1/2</w:t>
        </w:r>
      </w:hyperlink>
      <w:r w:rsidRPr="0067128F">
        <w:rPr>
          <w:spacing w:val="6"/>
          <w:rtl/>
        </w:rPr>
        <w:t>) وهيكل الخطة الاستراتيجية للفترة </w:t>
      </w:r>
      <w:r w:rsidRPr="0067128F">
        <w:rPr>
          <w:spacing w:val="6"/>
        </w:rPr>
        <w:t>2023</w:t>
      </w:r>
      <w:r w:rsidRPr="0067128F">
        <w:rPr>
          <w:spacing w:val="6"/>
        </w:rPr>
        <w:noBreakHyphen/>
        <w:t>2020</w:t>
      </w:r>
      <w:r w:rsidRPr="0067128F">
        <w:rPr>
          <w:spacing w:val="6"/>
          <w:rtl/>
        </w:rPr>
        <w:t xml:space="preserve"> (الوثيقة </w:t>
      </w:r>
      <w:hyperlink r:id="rId26" w:history="1">
        <w:r w:rsidRPr="0067128F">
          <w:rPr>
            <w:rStyle w:val="Hyperlink"/>
            <w:spacing w:val="6"/>
            <w:sz w:val="26"/>
            <w:szCs w:val="36"/>
            <w:lang w:val="en-CA"/>
          </w:rPr>
          <w:t>CWG</w:t>
        </w:r>
        <w:r w:rsidRPr="0067128F">
          <w:rPr>
            <w:rStyle w:val="Hyperlink"/>
            <w:spacing w:val="6"/>
            <w:sz w:val="26"/>
            <w:szCs w:val="36"/>
            <w:lang w:val="en-CA"/>
          </w:rPr>
          <w:noBreakHyphen/>
          <w:t>SFP-1/3</w:t>
        </w:r>
      </w:hyperlink>
      <w:r w:rsidRPr="0067128F">
        <w:rPr>
          <w:spacing w:val="6"/>
          <w:rtl/>
          <w:lang w:val="en-CA"/>
        </w:rPr>
        <w:t>)</w:t>
      </w:r>
    </w:p>
    <w:p w:rsidR="00855818" w:rsidRDefault="00855818" w:rsidP="00F14E64">
      <w:pPr>
        <w:rPr>
          <w:rtl/>
          <w:lang w:val="en-GB"/>
        </w:rPr>
      </w:pPr>
      <w:r>
        <w:t>1.6</w:t>
      </w:r>
      <w:r w:rsidR="00F14E64">
        <w:rPr>
          <w:rtl/>
        </w:rPr>
        <w:tab/>
        <w:t xml:space="preserve">اتفق </w:t>
      </w:r>
      <w:r>
        <w:rPr>
          <w:rtl/>
        </w:rPr>
        <w:t xml:space="preserve">فريق </w:t>
      </w:r>
      <w:r w:rsidR="00F14E64">
        <w:rPr>
          <w:rtl/>
        </w:rPr>
        <w:t xml:space="preserve">العمل التابع للمجلس المعني بالخطتين الاستراتيجية والمالية </w:t>
      </w:r>
      <w:r>
        <w:rPr>
          <w:rtl/>
        </w:rPr>
        <w:t xml:space="preserve">على أن تتضمن أعمال </w:t>
      </w:r>
      <w:r w:rsidR="00F14E64">
        <w:rPr>
          <w:rFonts w:hint="cs"/>
          <w:rtl/>
        </w:rPr>
        <w:t>ال</w:t>
      </w:r>
      <w:r>
        <w:rPr>
          <w:rtl/>
        </w:rPr>
        <w:t>فريق مراجعة القرارات </w:t>
      </w:r>
      <w:r>
        <w:t>71</w:t>
      </w:r>
      <w:r>
        <w:rPr>
          <w:rtl/>
        </w:rPr>
        <w:t xml:space="preserve"> و</w:t>
      </w:r>
      <w:r>
        <w:t>72</w:t>
      </w:r>
      <w:r>
        <w:rPr>
          <w:rtl/>
        </w:rPr>
        <w:t xml:space="preserve"> و</w:t>
      </w:r>
      <w:r>
        <w:t>151</w:t>
      </w:r>
      <w:r>
        <w:rPr>
          <w:rtl/>
        </w:rPr>
        <w:t xml:space="preserve"> و</w:t>
      </w:r>
      <w:r>
        <w:t>191</w:t>
      </w:r>
      <w:r>
        <w:rPr>
          <w:rtl/>
        </w:rPr>
        <w:t xml:space="preserve"> و</w:t>
      </w:r>
      <w:r>
        <w:t>200</w:t>
      </w:r>
      <w:r>
        <w:rPr>
          <w:rtl/>
        </w:rPr>
        <w:t>، لمواءمتها مع الخطة الاستراتيجية الجديدة.</w:t>
      </w:r>
    </w:p>
    <w:p w:rsidR="00855818" w:rsidRDefault="00855818" w:rsidP="00855818">
      <w:pPr>
        <w:rPr>
          <w:rtl/>
        </w:rPr>
      </w:pPr>
      <w:r>
        <w:t>2.6</w:t>
      </w:r>
      <w:r>
        <w:rPr>
          <w:rtl/>
        </w:rPr>
        <w:tab/>
        <w:t xml:space="preserve">وتمت الموافقة على الهيكل المقترح للخطة الاستراتيجية للفترة </w:t>
      </w:r>
      <w:r>
        <w:t>2023</w:t>
      </w:r>
      <w:r>
        <w:noBreakHyphen/>
        <w:t>2020</w:t>
      </w:r>
      <w:r>
        <w:rPr>
          <w:rtl/>
        </w:rPr>
        <w:t>، وتقرَّر تسمية الخطة الملحق </w:t>
      </w:r>
      <w:r>
        <w:t>1</w:t>
      </w:r>
      <w:r>
        <w:rPr>
          <w:rtl/>
        </w:rPr>
        <w:t xml:space="preserve"> بالقرار </w:t>
      </w:r>
      <w:r>
        <w:t>71</w:t>
      </w:r>
      <w:r>
        <w:rPr>
          <w:rtl/>
        </w:rPr>
        <w:t>، أما الملحق </w:t>
      </w:r>
      <w:r>
        <w:t>2</w:t>
      </w:r>
      <w:r>
        <w:rPr>
          <w:rtl/>
        </w:rPr>
        <w:t>، فينبغي أن يتضمن تحليل المعلومات الأساسية.</w:t>
      </w:r>
    </w:p>
    <w:p w:rsidR="00855818" w:rsidRPr="0067128F" w:rsidRDefault="00855818" w:rsidP="00855818">
      <w:pPr>
        <w:pStyle w:val="Heading1"/>
        <w:rPr>
          <w:rtl/>
        </w:rPr>
      </w:pPr>
      <w:r w:rsidRPr="0067128F">
        <w:t>7</w:t>
      </w:r>
      <w:r w:rsidRPr="0067128F">
        <w:rPr>
          <w:rtl/>
        </w:rPr>
        <w:tab/>
        <w:t xml:space="preserve">مساهمة من الفريق الاستشاري للاتصالات الراديوية (الوثيقة </w:t>
      </w:r>
      <w:hyperlink r:id="rId27" w:history="1">
        <w:r w:rsidRPr="0067128F">
          <w:rPr>
            <w:rStyle w:val="Hyperlink"/>
            <w:sz w:val="26"/>
            <w:szCs w:val="36"/>
          </w:rPr>
          <w:t>CWG-SFP-INF/1/3</w:t>
        </w:r>
      </w:hyperlink>
      <w:r w:rsidRPr="0067128F">
        <w:rPr>
          <w:rtl/>
        </w:rPr>
        <w:t>)</w:t>
      </w:r>
    </w:p>
    <w:p w:rsidR="00855818" w:rsidRDefault="00855818" w:rsidP="00855818">
      <w:pPr>
        <w:rPr>
          <w:rtl/>
        </w:rPr>
      </w:pPr>
      <w:r>
        <w:t>1.7</w:t>
      </w:r>
      <w:r>
        <w:rPr>
          <w:rtl/>
        </w:rPr>
        <w:tab/>
        <w:t xml:space="preserve">قدم مدير مكتب الاتصالات الراديوية </w:t>
      </w:r>
      <w:r>
        <w:t>(BR)</w:t>
      </w:r>
      <w:r>
        <w:rPr>
          <w:rtl/>
        </w:rPr>
        <w:t xml:space="preserve"> المساهمة المقدمة من الفريق الاستشاري للاتصالات الراديوية (الوثيقة </w:t>
      </w:r>
      <w:hyperlink r:id="rId28" w:history="1">
        <w:r>
          <w:rPr>
            <w:rStyle w:val="Hyperlink"/>
          </w:rPr>
          <w:t>C17/111</w:t>
        </w:r>
      </w:hyperlink>
      <w:r>
        <w:rPr>
          <w:rtl/>
        </w:rPr>
        <w:t xml:space="preserve">) إلى المجلس في دورته لعام </w:t>
      </w:r>
      <w:r>
        <w:t>2017</w:t>
      </w:r>
      <w:r>
        <w:rPr>
          <w:rtl/>
        </w:rPr>
        <w:t>، التي يُطلب فيها مراعاة الجانبين التاليين: التمييز بين أهداف قطاع الاتصالات الراديوية وأهداف المكتب؛ والثقة في مصادر البيانات المتعلقة بالمؤشرات.</w:t>
      </w:r>
    </w:p>
    <w:p w:rsidR="00855818" w:rsidRDefault="00855818" w:rsidP="00855818">
      <w:pPr>
        <w:rPr>
          <w:rtl/>
        </w:rPr>
      </w:pPr>
      <w:r>
        <w:t>2.7</w:t>
      </w:r>
      <w:r>
        <w:rPr>
          <w:rtl/>
        </w:rPr>
        <w:tab/>
        <w:t>واقتُرح أن ينشئ الفريق الاستشاري للاتصالات الراديوية فريق عمل بالمراسلة لمناقشة مساهمات قطاع الاتصالات الراديوية في الخطة الاستراتيجية للاتحاد. وستحيل الأمانة هذا المقترح إلى رئيس الفريق الاستشاري وستقدم الدعم اللازم لإنشاء هذا الفريق.</w:t>
      </w:r>
    </w:p>
    <w:p w:rsidR="00855818" w:rsidRDefault="00855818" w:rsidP="00855818">
      <w:pPr>
        <w:rPr>
          <w:rtl/>
        </w:rPr>
      </w:pPr>
      <w:r>
        <w:t>3.7</w:t>
      </w:r>
      <w:r>
        <w:rPr>
          <w:rtl/>
        </w:rPr>
        <w:tab/>
        <w:t>وسلطت المناقشات الضوء على صعوبة</w:t>
      </w:r>
      <w:r w:rsidR="00F14E64">
        <w:rPr>
          <w:rFonts w:hint="cs"/>
          <w:rtl/>
        </w:rPr>
        <w:t xml:space="preserve"> بيان</w:t>
      </w:r>
      <w:r>
        <w:rPr>
          <w:rtl/>
        </w:rPr>
        <w:t xml:space="preserve"> التقابل التام بين الخطتين التشغيلية والاستراتيجية نظراً إلى اختلاف أنشطة المكتب عن أنشطة القطاع، وكذلك الحاجة إلى استعراض مؤشرات الأداء الحالية، لا سيما المؤشرات المتعلقة بلوائح الراديو.</w:t>
      </w:r>
    </w:p>
    <w:p w:rsidR="00855818" w:rsidRDefault="00855818" w:rsidP="00855818">
      <w:pPr>
        <w:pStyle w:val="Heading1"/>
        <w:rPr>
          <w:rtl/>
        </w:rPr>
      </w:pPr>
      <w:r>
        <w:t>8</w:t>
      </w:r>
      <w:r>
        <w:rPr>
          <w:rtl/>
        </w:rPr>
        <w:tab/>
        <w:t>مساهمة من الفريق الاستشاري لتنمية الاتصالات</w:t>
      </w:r>
    </w:p>
    <w:p w:rsidR="00855818" w:rsidRDefault="00855818" w:rsidP="00855818">
      <w:r>
        <w:t>1.8</w:t>
      </w:r>
      <w:r>
        <w:tab/>
      </w:r>
      <w:r>
        <w:rPr>
          <w:rtl/>
        </w:rPr>
        <w:t xml:space="preserve">أوضح رئيس فريق العمل بالمراسلة التابع للفريق الاستشاري لتنمية الاتصالات والمعني بالخطة الاستراتيجية والخطة التشغيلية والإعلان، السيد فابيو </w:t>
      </w:r>
      <w:proofErr w:type="spellStart"/>
      <w:r>
        <w:rPr>
          <w:rtl/>
        </w:rPr>
        <w:t>بيجي</w:t>
      </w:r>
      <w:proofErr w:type="spellEnd"/>
      <w:r>
        <w:rPr>
          <w:rtl/>
        </w:rPr>
        <w:t>، العملية الجارية في إطار قطاع تنمية الاتصالات استعداداً للمؤتمر العالمي لتنمية الاتصالات لعام </w:t>
      </w:r>
      <w:r>
        <w:t>2017</w:t>
      </w:r>
      <w:r>
        <w:rPr>
          <w:rtl/>
        </w:rPr>
        <w:t xml:space="preserve"> (الوثيقة </w:t>
      </w:r>
      <w:hyperlink r:id="rId29" w:history="1">
        <w:r>
          <w:rPr>
            <w:rStyle w:val="Hyperlink"/>
          </w:rPr>
          <w:t>CWG-SFP-INF/1/4</w:t>
        </w:r>
      </w:hyperlink>
      <w:r>
        <w:rPr>
          <w:rtl/>
        </w:rPr>
        <w:t>).</w:t>
      </w:r>
    </w:p>
    <w:p w:rsidR="00855818" w:rsidRDefault="00855818" w:rsidP="00855818">
      <w:pPr>
        <w:pStyle w:val="Heading1"/>
        <w:rPr>
          <w:rtl/>
        </w:rPr>
      </w:pPr>
      <w:r>
        <w:t>9</w:t>
      </w:r>
      <w:r>
        <w:rPr>
          <w:rtl/>
        </w:rPr>
        <w:tab/>
        <w:t>مساهمة من الفريق الاستشاري لتقييس الاتصالات</w:t>
      </w:r>
    </w:p>
    <w:p w:rsidR="00855818" w:rsidRDefault="00855818" w:rsidP="00855818">
      <w:pPr>
        <w:rPr>
          <w:rtl/>
        </w:rPr>
      </w:pPr>
      <w:r>
        <w:t>1.9</w:t>
      </w:r>
      <w:r>
        <w:rPr>
          <w:rtl/>
        </w:rPr>
        <w:tab/>
        <w:t>أحاط رئيس الفريق الاستشاري لتقييس الاتصالات، السيد بروس غراسي، الفريق علماً بآليات المساهمة في أعمال الفريق وأعرب عن استعداده للتعاون الوثيق. واقترح النظر في مبادرات الفريق</w:t>
      </w:r>
      <w:r w:rsidR="0067128F">
        <w:rPr>
          <w:rFonts w:hint="cs"/>
          <w:rtl/>
        </w:rPr>
        <w:t xml:space="preserve"> الاستشاري</w:t>
      </w:r>
      <w:r>
        <w:rPr>
          <w:rtl/>
        </w:rPr>
        <w:t xml:space="preserve"> بشأن استراتيجية التقييس في إطار أعمال فريق العمل التابع للمجلس والمعني بالخطتين الاستراتيجية والمالية. وأشار إلى أن السيد فيكتور مارتينيز </w:t>
      </w:r>
      <w:proofErr w:type="spellStart"/>
      <w:r>
        <w:rPr>
          <w:rtl/>
        </w:rPr>
        <w:t>فانيغاس</w:t>
      </w:r>
      <w:proofErr w:type="spellEnd"/>
      <w:r>
        <w:rPr>
          <w:rtl/>
        </w:rPr>
        <w:t xml:space="preserve"> (المكسيك) هو رئيس فريق العمل بالمراسلة التابع للفريق الاستشاري بشأن الخطة الاستراتيجية.</w:t>
      </w:r>
    </w:p>
    <w:p w:rsidR="00855818" w:rsidRDefault="00855818" w:rsidP="00855818">
      <w:pPr>
        <w:rPr>
          <w:rtl/>
        </w:rPr>
      </w:pPr>
      <w:r>
        <w:t>2.9</w:t>
      </w:r>
      <w:r>
        <w:rPr>
          <w:rtl/>
        </w:rPr>
        <w:tab/>
        <w:t>اتفق الفريق على ضرورة التعاون الوثيق والدينامي بين فريق العمل التابع للمجلس والمعني بالخطتين الاستراتيجية والمالية، والفريق الداخلي للأمانة وجميع الأفرقة الاستشارية للقطاعات وأفرقة العمل بالمراسلة.</w:t>
      </w:r>
    </w:p>
    <w:p w:rsidR="00855818" w:rsidRDefault="00855818" w:rsidP="00855818">
      <w:pPr>
        <w:rPr>
          <w:rtl/>
        </w:rPr>
      </w:pPr>
      <w:r>
        <w:lastRenderedPageBreak/>
        <w:t>3.9</w:t>
      </w:r>
      <w:r>
        <w:rPr>
          <w:rtl/>
        </w:rPr>
        <w:tab/>
        <w:t>وذكّر الرئيس الحضور بأن الأمانة ستتولى في نهاية المطاف إعداد مشروعي الخطة الاستراتيجية والخطة المالية استناداً إلى المساهمات المقدمة من الأعضاء والمشاورات العامة وفريق العمل التابع للمجلس والمعني بالخطتين الاستراتيجية والمالية والأفرقة الاستشارية للقطاعات، ولذلك طلب من المشاركين استخدام كل القنوات المتاحة للتأكد من تجسيد مقترحاتهم في مشروعي الخطتين.</w:t>
      </w:r>
    </w:p>
    <w:p w:rsidR="00855818" w:rsidRPr="0067128F" w:rsidRDefault="00855818" w:rsidP="00855818">
      <w:pPr>
        <w:pStyle w:val="Heading1"/>
        <w:rPr>
          <w:rtl/>
          <w:lang w:val="en-CA"/>
        </w:rPr>
      </w:pPr>
      <w:r w:rsidRPr="0067128F">
        <w:t>10</w:t>
      </w:r>
      <w:r w:rsidRPr="0067128F">
        <w:rPr>
          <w:rtl/>
        </w:rPr>
        <w:tab/>
        <w:t xml:space="preserve">موضوع المشاورة العامة الأولى لفريق العمل التابع للمجلس والمعني بالخطتين الاستراتيجية والمالية (الوثيقة </w:t>
      </w:r>
      <w:hyperlink r:id="rId30" w:history="1">
        <w:r w:rsidRPr="0067128F">
          <w:rPr>
            <w:rStyle w:val="Hyperlink"/>
            <w:sz w:val="26"/>
            <w:szCs w:val="36"/>
            <w:lang w:val="en-CA"/>
          </w:rPr>
          <w:t>CWG-SFP-1/4</w:t>
        </w:r>
      </w:hyperlink>
      <w:r w:rsidRPr="0067128F">
        <w:rPr>
          <w:rtl/>
          <w:lang w:val="en-CA"/>
        </w:rPr>
        <w:t>)</w:t>
      </w:r>
    </w:p>
    <w:p w:rsidR="00855818" w:rsidRDefault="00855818" w:rsidP="00855818">
      <w:pPr>
        <w:rPr>
          <w:lang w:val="en-GB"/>
        </w:rPr>
      </w:pPr>
      <w:r>
        <w:t>1.10</w:t>
      </w:r>
      <w:r>
        <w:rPr>
          <w:rtl/>
        </w:rPr>
        <w:tab/>
        <w:t xml:space="preserve">قدمت الأمانة مجموعة من الأسئلة المقترحة من أجل المشاورة العامة الأولى التي ستكون مفتوحة اعتباراً من دورة المجلس لعام </w:t>
      </w:r>
      <w:r>
        <w:t>2017</w:t>
      </w:r>
      <w:r>
        <w:rPr>
          <w:rtl/>
        </w:rPr>
        <w:t xml:space="preserve"> حتى نهاية شهر يونيو.</w:t>
      </w:r>
    </w:p>
    <w:p w:rsidR="00855818" w:rsidRDefault="00855818" w:rsidP="00F14E64">
      <w:pPr>
        <w:rPr>
          <w:rtl/>
        </w:rPr>
      </w:pPr>
      <w:r>
        <w:t>2.10</w:t>
      </w:r>
      <w:r>
        <w:rPr>
          <w:rtl/>
        </w:rPr>
        <w:tab/>
      </w:r>
      <w:r w:rsidR="00F14E64">
        <w:rPr>
          <w:rFonts w:hint="cs"/>
          <w:rtl/>
        </w:rPr>
        <w:t>وات</w:t>
      </w:r>
      <w:r>
        <w:rPr>
          <w:rtl/>
        </w:rPr>
        <w:t xml:space="preserve">فق الفريق على إتاحة </w:t>
      </w:r>
      <w:r>
        <w:t>30</w:t>
      </w:r>
      <w:r>
        <w:rPr>
          <w:rtl/>
        </w:rPr>
        <w:t xml:space="preserve"> يوماً على الأقل لكل مشاورة من المشاورات العامة الثلاث التي سيجريها الفريق بعد اجتماعاته الأول والثاني والثالث.</w:t>
      </w:r>
    </w:p>
    <w:p w:rsidR="00855818" w:rsidRDefault="00855818" w:rsidP="00855818">
      <w:pPr>
        <w:rPr>
          <w:rtl/>
        </w:rPr>
      </w:pPr>
      <w:r>
        <w:t>3.10</w:t>
      </w:r>
      <w:r>
        <w:rPr>
          <w:rtl/>
        </w:rPr>
        <w:tab/>
        <w:t>طلب الفريق من الرئيس التشاور مع جميع الأطراف المعنية واستكمال الأسئلة.</w:t>
      </w:r>
    </w:p>
    <w:p w:rsidR="00855818" w:rsidRDefault="00855818" w:rsidP="00F14E64">
      <w:pPr>
        <w:rPr>
          <w:spacing w:val="2"/>
          <w:rtl/>
        </w:rPr>
      </w:pPr>
      <w:r>
        <w:rPr>
          <w:spacing w:val="2"/>
        </w:rPr>
        <w:t>4.10</w:t>
      </w:r>
      <w:r>
        <w:rPr>
          <w:spacing w:val="2"/>
          <w:rtl/>
        </w:rPr>
        <w:tab/>
        <w:t xml:space="preserve">وبعد المشاورات، </w:t>
      </w:r>
      <w:r w:rsidR="00F14E64">
        <w:rPr>
          <w:rFonts w:hint="cs"/>
          <w:spacing w:val="2"/>
          <w:rtl/>
        </w:rPr>
        <w:t>اقترح</w:t>
      </w:r>
      <w:r>
        <w:rPr>
          <w:spacing w:val="2"/>
          <w:rtl/>
        </w:rPr>
        <w:t xml:space="preserve"> الرئيس أن تورد المشاورة العامة الأولى القرار </w:t>
      </w:r>
      <w:r>
        <w:rPr>
          <w:spacing w:val="2"/>
        </w:rPr>
        <w:t>71</w:t>
      </w:r>
      <w:r>
        <w:rPr>
          <w:spacing w:val="2"/>
          <w:rtl/>
        </w:rPr>
        <w:t xml:space="preserve"> كوثيقة معلومات أساسية وأن تطرح الأسئلة التالية:</w:t>
      </w:r>
    </w:p>
    <w:p w:rsidR="00855818" w:rsidRDefault="00855818" w:rsidP="00855818">
      <w:pPr>
        <w:pStyle w:val="enumlev1"/>
        <w:rPr>
          <w:i/>
          <w:iCs/>
          <w:rtl/>
        </w:rPr>
      </w:pPr>
      <w:r>
        <w:sym w:font="Symbol" w:char="F0B7"/>
      </w:r>
      <w:r>
        <w:rPr>
          <w:i/>
          <w:iCs/>
          <w:rtl/>
        </w:rPr>
        <w:tab/>
        <w:t xml:space="preserve">ما هي الأولويات الاستراتيجية الرئيسية التي ينبغي أن يحددها الاتحاد للفترة </w:t>
      </w:r>
      <w:r>
        <w:rPr>
          <w:i/>
          <w:iCs/>
        </w:rPr>
        <w:t>2023-2020</w:t>
      </w:r>
      <w:r>
        <w:rPr>
          <w:i/>
          <w:iCs/>
          <w:rtl/>
        </w:rPr>
        <w:t xml:space="preserve">، مع مراعاة خطة التنمية المستدامة للأمم المتحدة لعام </w:t>
      </w:r>
      <w:r>
        <w:rPr>
          <w:i/>
          <w:iCs/>
        </w:rPr>
        <w:t>2030</w:t>
      </w:r>
      <w:r>
        <w:rPr>
          <w:i/>
          <w:iCs/>
          <w:rtl/>
        </w:rPr>
        <w:t xml:space="preserve"> وأهداف التنمية المستدامة؟</w:t>
      </w:r>
    </w:p>
    <w:p w:rsidR="00855818" w:rsidRDefault="00855818" w:rsidP="00855818">
      <w:pPr>
        <w:pStyle w:val="enumlev1"/>
        <w:rPr>
          <w:i/>
          <w:iCs/>
          <w:rtl/>
        </w:rPr>
      </w:pPr>
      <w:r>
        <w:sym w:font="Symbol" w:char="F0B7"/>
      </w:r>
      <w:r>
        <w:rPr>
          <w:i/>
          <w:iCs/>
          <w:rtl/>
        </w:rPr>
        <w:tab/>
        <w:t>ما هي الاتجاهات التكنولوجية الرئيسية التي ينبغي للاتحاد أن يأخذها بعين الاعتبار عند تخطيط استراتيجيته؟</w:t>
      </w:r>
    </w:p>
    <w:p w:rsidR="00855818" w:rsidRDefault="00855818" w:rsidP="00855818">
      <w:pPr>
        <w:pStyle w:val="enumlev1"/>
        <w:rPr>
          <w:i/>
          <w:iCs/>
          <w:rtl/>
        </w:rPr>
      </w:pPr>
      <w:r>
        <w:sym w:font="Symbol" w:char="F0B7"/>
      </w:r>
      <w:r>
        <w:rPr>
          <w:i/>
          <w:iCs/>
          <w:rtl/>
        </w:rPr>
        <w:tab/>
        <w:t xml:space="preserve">ما هي في رأيكم التحديات الثلاثة الرئيسية بالنسبة إلى الاتحاد والإنجازات الثلاثة الرئيسية التي ترغبون في أن يحققها الاتحاد في الإطار الزمني </w:t>
      </w:r>
      <w:r>
        <w:rPr>
          <w:i/>
          <w:iCs/>
        </w:rPr>
        <w:t>2023-2020</w:t>
      </w:r>
      <w:r>
        <w:rPr>
          <w:i/>
          <w:iCs/>
          <w:rtl/>
        </w:rPr>
        <w:t>؟</w:t>
      </w:r>
    </w:p>
    <w:p w:rsidR="00855818" w:rsidRDefault="00855818" w:rsidP="00855818">
      <w:pPr>
        <w:pStyle w:val="enumlev1"/>
        <w:rPr>
          <w:rtl/>
        </w:rPr>
      </w:pPr>
      <w:r>
        <w:sym w:font="Symbol" w:char="F0B7"/>
      </w:r>
      <w:r>
        <w:rPr>
          <w:i/>
          <w:iCs/>
          <w:rtl/>
        </w:rPr>
        <w:tab/>
        <w:t>ما هي الأفكار أو التعليقات الأخرى التي تودون الإعراب عنها؟</w:t>
      </w:r>
    </w:p>
    <w:p w:rsidR="00855818" w:rsidRDefault="00855818" w:rsidP="00855818">
      <w:pPr>
        <w:pStyle w:val="Heading1"/>
        <w:rPr>
          <w:rtl/>
        </w:rPr>
      </w:pPr>
      <w:r>
        <w:t>11</w:t>
      </w:r>
      <w:r>
        <w:rPr>
          <w:rtl/>
        </w:rPr>
        <w:tab/>
        <w:t>الاجتماع المقبل</w:t>
      </w:r>
    </w:p>
    <w:p w:rsidR="00855818" w:rsidRDefault="00855818" w:rsidP="00855818">
      <w:pPr>
        <w:rPr>
          <w:rtl/>
        </w:rPr>
      </w:pPr>
      <w:r>
        <w:t>1.11</w:t>
      </w:r>
      <w:r>
        <w:rPr>
          <w:rtl/>
        </w:rPr>
        <w:tab/>
        <w:t xml:space="preserve">سيُعقد الاجتماع المقبل لفريق العمل التابع للمجلس والمعني بالخطتين الاستراتيجية والمالية خلال المجموعة التالية من اجتماعات أفرقة العمل التابعة للمجلس في سبتمبر </w:t>
      </w:r>
      <w:r>
        <w:t>2017</w:t>
      </w:r>
      <w:r>
        <w:rPr>
          <w:rtl/>
        </w:rPr>
        <w:t>.</w:t>
      </w:r>
    </w:p>
    <w:p w:rsidR="00855818" w:rsidRDefault="00855818" w:rsidP="00855818">
      <w:pPr>
        <w:spacing w:before="600"/>
        <w:jc w:val="center"/>
        <w:rPr>
          <w:rFonts w:ascii="Traditional Arabic" w:hAnsi="Traditional Arabic"/>
          <w:sz w:val="30"/>
          <w:rtl/>
          <w:lang w:bidi="ar-EG"/>
        </w:rPr>
      </w:pPr>
      <w:r>
        <w:rPr>
          <w:rFonts w:ascii="Traditional Arabic" w:hAnsi="Traditional Arabic"/>
          <w:sz w:val="30"/>
          <w:rtl/>
        </w:rPr>
        <w:t>___________</w:t>
      </w:r>
      <w:bookmarkStart w:id="2" w:name="_GoBack"/>
      <w:bookmarkEnd w:id="2"/>
    </w:p>
    <w:sectPr w:rsidR="00855818" w:rsidSect="008B5B5D">
      <w:headerReference w:type="default" r:id="rId31"/>
      <w:footerReference w:type="default" r:id="rId32"/>
      <w:footerReference w:type="first" r:id="rId3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E68" w:rsidRDefault="00760E68" w:rsidP="00E07379">
      <w:pPr>
        <w:spacing w:before="0" w:line="240" w:lineRule="auto"/>
      </w:pPr>
      <w:r>
        <w:separator/>
      </w:r>
    </w:p>
  </w:endnote>
  <w:endnote w:type="continuationSeparator" w:id="0">
    <w:p w:rsidR="00760E68" w:rsidRDefault="00760E6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F14E64" w:rsidP="00855818">
    <w:pPr>
      <w:pStyle w:val="Footer"/>
      <w:tabs>
        <w:tab w:val="clear" w:pos="5812"/>
        <w:tab w:val="right" w:pos="5670"/>
      </w:tabs>
    </w:pPr>
    <w:fldSimple w:instr=" FILENAME \p \* MERGEFORMAT ">
      <w:r w:rsidR="00855818">
        <w:rPr>
          <w:noProof/>
        </w:rPr>
        <w:t>P:\ARA\SG\CONSEIL\CWG-SFP\CWG-SFP2\000\002A.docx</w:t>
      </w:r>
    </w:fldSimple>
    <w:r w:rsidR="00BD0C50" w:rsidRPr="00665956">
      <w:t xml:space="preserve">   (</w:t>
    </w:r>
    <w:r w:rsidR="00855818">
      <w:t>422355</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sidR="00D1317F">
      <w:rPr>
        <w:noProof/>
      </w:rPr>
      <w:t>16.08.17</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760E68">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5B" w:rsidRPr="00950A5B" w:rsidRDefault="00950A5B" w:rsidP="00950A5B">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p w:rsidR="00950A5B" w:rsidRDefault="00950A5B" w:rsidP="000E4FF0">
    <w:pPr>
      <w:pStyle w:val="Footer"/>
      <w:tabs>
        <w:tab w:val="center" w:pos="5529"/>
      </w:tabs>
      <w:rPr>
        <w:rFonts w:cs="Calibri"/>
        <w:lang w:val="fr-FR"/>
      </w:rPr>
    </w:pPr>
  </w:p>
  <w:p w:rsidR="000E4FF0" w:rsidRPr="00476123" w:rsidRDefault="000E4FF0" w:rsidP="00855818">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855818">
      <w:rPr>
        <w:rFonts w:cs="Calibri"/>
        <w:noProof/>
        <w:lang w:val="fr-FR"/>
      </w:rPr>
      <w:t>P:\ARA\SG\CONSEIL\CWG-SFP\CWG-SFP2\000\002A.docx</w:t>
    </w:r>
    <w:r w:rsidRPr="00476123">
      <w:rPr>
        <w:rFonts w:cs="Calibri"/>
      </w:rPr>
      <w:fldChar w:fldCharType="end"/>
    </w:r>
    <w:r w:rsidRPr="00855818">
      <w:rPr>
        <w:rFonts w:cs="Calibri"/>
        <w:lang w:val="fr-FR"/>
      </w:rPr>
      <w:t xml:space="preserve">  </w:t>
    </w:r>
    <w:r w:rsidRPr="00476123">
      <w:rPr>
        <w:rFonts w:cs="Calibri"/>
        <w:lang w:val="fr-FR"/>
      </w:rPr>
      <w:t xml:space="preserve"> (</w:t>
    </w:r>
    <w:r w:rsidR="00855818">
      <w:rPr>
        <w:rFonts w:cs="Calibri"/>
        <w:lang w:val="fr-FR"/>
      </w:rPr>
      <w:t>422355</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D1317F">
      <w:rPr>
        <w:rFonts w:cs="Calibri"/>
        <w:noProof/>
        <w:lang w:val="fr-FR"/>
      </w:rPr>
      <w:t>16.08.17</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760E68" w:rsidRPr="00476123">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E68" w:rsidRDefault="00760E68" w:rsidP="00E07379">
      <w:pPr>
        <w:spacing w:before="0" w:line="240" w:lineRule="auto"/>
      </w:pPr>
      <w:r>
        <w:separator/>
      </w:r>
    </w:p>
  </w:footnote>
  <w:footnote w:type="continuationSeparator" w:id="0">
    <w:p w:rsidR="00760E68" w:rsidRDefault="00760E68"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5C756F" w:rsidP="00D1317F">
    <w:pPr>
      <w:tabs>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855818">
          <w:rPr>
            <w:rFonts w:eastAsiaTheme="minorEastAsia"/>
            <w:lang w:eastAsia="zh-CN"/>
          </w:rPr>
          <w:t xml:space="preserve">- </w:t>
        </w:r>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5</w:t>
        </w:r>
        <w:r w:rsidR="000E4FF0" w:rsidRPr="000E4FF0">
          <w:rPr>
            <w:rFonts w:eastAsiaTheme="minorEastAsia" w:cs="Calibri"/>
            <w:noProof/>
            <w:sz w:val="20"/>
            <w:szCs w:val="20"/>
            <w:lang w:eastAsia="zh-CN"/>
          </w:rPr>
          <w:fldChar w:fldCharType="end"/>
        </w:r>
      </w:sdtContent>
    </w:sdt>
    <w:r w:rsidR="00855818">
      <w:rPr>
        <w:rFonts w:eastAsiaTheme="minorEastAsia" w:cs="Calibri"/>
        <w:noProof/>
        <w:sz w:val="20"/>
        <w:szCs w:val="20"/>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E68"/>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44CF1"/>
    <w:rsid w:val="00357185"/>
    <w:rsid w:val="003C106D"/>
    <w:rsid w:val="003C475F"/>
    <w:rsid w:val="003E4132"/>
    <w:rsid w:val="003F678F"/>
    <w:rsid w:val="0042686F"/>
    <w:rsid w:val="004367CE"/>
    <w:rsid w:val="00443869"/>
    <w:rsid w:val="004712C6"/>
    <w:rsid w:val="00476123"/>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C756F"/>
    <w:rsid w:val="005D6476"/>
    <w:rsid w:val="005D6C0D"/>
    <w:rsid w:val="005E5283"/>
    <w:rsid w:val="005E58F5"/>
    <w:rsid w:val="00606660"/>
    <w:rsid w:val="006157A3"/>
    <w:rsid w:val="00620E60"/>
    <w:rsid w:val="0063315A"/>
    <w:rsid w:val="0065591D"/>
    <w:rsid w:val="00662C5A"/>
    <w:rsid w:val="00670AF5"/>
    <w:rsid w:val="0067128F"/>
    <w:rsid w:val="006C1556"/>
    <w:rsid w:val="006F267F"/>
    <w:rsid w:val="006F63F7"/>
    <w:rsid w:val="006F6F03"/>
    <w:rsid w:val="00706D7A"/>
    <w:rsid w:val="00726AEC"/>
    <w:rsid w:val="007530CA"/>
    <w:rsid w:val="00760E68"/>
    <w:rsid w:val="0079553D"/>
    <w:rsid w:val="007B01CC"/>
    <w:rsid w:val="007D4F32"/>
    <w:rsid w:val="007E7C6C"/>
    <w:rsid w:val="007F6238"/>
    <w:rsid w:val="007F646C"/>
    <w:rsid w:val="00801FCD"/>
    <w:rsid w:val="00803D7E"/>
    <w:rsid w:val="00803F08"/>
    <w:rsid w:val="008235CD"/>
    <w:rsid w:val="00823A07"/>
    <w:rsid w:val="00835FEC"/>
    <w:rsid w:val="008513CB"/>
    <w:rsid w:val="00855818"/>
    <w:rsid w:val="00874D9C"/>
    <w:rsid w:val="008A1810"/>
    <w:rsid w:val="008B5B5D"/>
    <w:rsid w:val="00917694"/>
    <w:rsid w:val="009263CD"/>
    <w:rsid w:val="00930E6D"/>
    <w:rsid w:val="00950A5B"/>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317F"/>
    <w:rsid w:val="00D14BEB"/>
    <w:rsid w:val="00D21C89"/>
    <w:rsid w:val="00D31263"/>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14E64"/>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4143D2A-F12C-4A52-AC85-B78D8F4B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818"/>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855818"/>
    <w:pPr>
      <w:keepNext/>
      <w:keepLines/>
      <w:spacing w:before="360"/>
      <w:ind w:left="794" w:hanging="79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855818"/>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855818"/>
    <w:pPr>
      <w:tabs>
        <w:tab w:val="clear" w:pos="794"/>
      </w:tabs>
      <w:spacing w:before="80"/>
      <w:ind w:left="794" w:hanging="794"/>
    </w:pPr>
  </w:style>
  <w:style w:type="character" w:customStyle="1" w:styleId="enumlev1Char">
    <w:name w:val="enumlev1 Char"/>
    <w:basedOn w:val="DefaultParagraphFont"/>
    <w:link w:val="enumlev1"/>
    <w:rsid w:val="00855818"/>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855818"/>
    <w:pPr>
      <w:bidi/>
      <w:spacing w:before="120" w:after="0" w:line="192" w:lineRule="auto"/>
      <w:jc w:val="both"/>
    </w:pPr>
    <w:rPr>
      <w:rFonts w:ascii="Calibri" w:eastAsia="SimSun" w:hAnsi="Calibri" w:cs="Traditional Arabic"/>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93926">
      <w:bodyDiv w:val="1"/>
      <w:marLeft w:val="0"/>
      <w:marRight w:val="0"/>
      <w:marTop w:val="0"/>
      <w:marBottom w:val="0"/>
      <w:divBdr>
        <w:top w:val="none" w:sz="0" w:space="0" w:color="auto"/>
        <w:left w:val="none" w:sz="0" w:space="0" w:color="auto"/>
        <w:bottom w:val="none" w:sz="0" w:space="0" w:color="auto"/>
        <w:right w:val="none" w:sz="0" w:space="0" w:color="auto"/>
      </w:divBdr>
    </w:div>
    <w:div w:id="1081679888">
      <w:bodyDiv w:val="1"/>
      <w:marLeft w:val="0"/>
      <w:marRight w:val="0"/>
      <w:marTop w:val="0"/>
      <w:marBottom w:val="0"/>
      <w:divBdr>
        <w:top w:val="none" w:sz="0" w:space="0" w:color="auto"/>
        <w:left w:val="none" w:sz="0" w:space="0" w:color="auto"/>
        <w:bottom w:val="none" w:sz="0" w:space="0" w:color="auto"/>
        <w:right w:val="none" w:sz="0" w:space="0" w:color="auto"/>
      </w:divBdr>
    </w:div>
    <w:div w:id="14304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council/CWG-SFP/Documents/resolution151.docx" TargetMode="External"/><Relationship Id="rId18" Type="http://schemas.openxmlformats.org/officeDocument/2006/relationships/hyperlink" Target="https://www.itu.int/md/meetingdoc.asp?lang=en&amp;parent=S17-CL-C-0039" TargetMode="External"/><Relationship Id="rId26" Type="http://schemas.openxmlformats.org/officeDocument/2006/relationships/hyperlink" Target="https://www.itu.int/md/S17-CLCWGSPF1-C-0003" TargetMode="External"/><Relationship Id="rId3" Type="http://schemas.openxmlformats.org/officeDocument/2006/relationships/customXml" Target="../customXml/item3.xml"/><Relationship Id="rId21" Type="http://schemas.openxmlformats.org/officeDocument/2006/relationships/hyperlink" Target="https://www.itu.int/md/S17-CL-C-0117/en"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en/council/CWG-SFP/Documents/resolution72.docx" TargetMode="External"/><Relationship Id="rId17" Type="http://schemas.openxmlformats.org/officeDocument/2006/relationships/hyperlink" Target="http://www.itu.int/md/S17-CL-C-0035/en" TargetMode="External"/><Relationship Id="rId25" Type="http://schemas.openxmlformats.org/officeDocument/2006/relationships/hyperlink" Target="https://www.itu.int/md/S17-CLCWGSPF1-INF-0002"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S17-CL-C-0075/en" TargetMode="External"/><Relationship Id="rId20" Type="http://schemas.openxmlformats.org/officeDocument/2006/relationships/hyperlink" Target="https://www.itu.int/md/D14-TDAG22-C-0007/en" TargetMode="External"/><Relationship Id="rId29" Type="http://schemas.openxmlformats.org/officeDocument/2006/relationships/hyperlink" Target="https://www.itu.int/md/S17-CLCWGSPF1-INF-000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CWG-SFP/Documents/resolution71.docx" TargetMode="External"/><Relationship Id="rId24" Type="http://schemas.openxmlformats.org/officeDocument/2006/relationships/hyperlink" Target="https://www.itu.int/md/S17-CLCWGSPF1-C-0002/en"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md/S16-CL-C-0134/en" TargetMode="External"/><Relationship Id="rId23" Type="http://schemas.openxmlformats.org/officeDocument/2006/relationships/hyperlink" Target="https://www.itu.int/md/S17-CLCWGSPF1-INF-0001" TargetMode="External"/><Relationship Id="rId28" Type="http://schemas.openxmlformats.org/officeDocument/2006/relationships/hyperlink" Target="https://www.itu.int/md/S17-CL-C-0111/en" TargetMode="External"/><Relationship Id="rId10" Type="http://schemas.openxmlformats.org/officeDocument/2006/relationships/image" Target="media/image1.jpeg"/><Relationship Id="rId19" Type="http://schemas.openxmlformats.org/officeDocument/2006/relationships/hyperlink" Target="https://www.itu.int/md/S17-CL-C-0111/en"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7-CL-C-0117/en" TargetMode="External"/><Relationship Id="rId22" Type="http://schemas.openxmlformats.org/officeDocument/2006/relationships/hyperlink" Target="https://www.itu.int/md/S17-CLCWGSPF1-C-0001/en" TargetMode="External"/><Relationship Id="rId27" Type="http://schemas.openxmlformats.org/officeDocument/2006/relationships/hyperlink" Target="https://www.itu.int/md/S17-CLCWGSPF1-INF-0003" TargetMode="External"/><Relationship Id="rId30" Type="http://schemas.openxmlformats.org/officeDocument/2006/relationships/hyperlink" Target="https://www.itu.int/md/S17-CLCWGSPF1-C-0004"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de10a323-94a9-4e93-88b4-ea964576960d"/>
    <ds:schemaRef ds:uri="996b2e75-67fd-4955-a3b0-5ab9934cb50b"/>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E2E22B4-D584-4E81-B0EE-86DD409C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Imad RIZ</cp:lastModifiedBy>
  <cp:revision>7</cp:revision>
  <cp:lastPrinted>2016-06-07T13:25:00Z</cp:lastPrinted>
  <dcterms:created xsi:type="dcterms:W3CDTF">2017-08-16T12:51:00Z</dcterms:created>
  <dcterms:modified xsi:type="dcterms:W3CDTF">2017-08-16T15:27:00Z</dcterms:modified>
  <cp:category>Conference document</cp:category>
</cp:coreProperties>
</file>